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37A99" w:rsidRPr="005814F5" w:rsidRDefault="0091365A" w:rsidP="00020B35">
      <w:pPr>
        <w:spacing w:after="0"/>
        <w:jc w:val="right"/>
      </w:pPr>
      <w:r>
        <w:rPr>
          <w:noProof/>
          <w:lang w:eastAsia="en-AU"/>
        </w:rPr>
        <w:drawing>
          <wp:inline distT="0" distB="0" distL="0" distR="0" wp14:anchorId="5A95050F" wp14:editId="0777777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2625F96" w14:textId="77777777" w:rsidR="00756954" w:rsidRDefault="00756954" w:rsidP="00756954">
      <w:pPr>
        <w:pStyle w:val="DocumentTitle"/>
        <w:spacing w:before="3360"/>
      </w:pPr>
      <w:r>
        <w:t>City of Melbourne – Melbourne Economy Snapshot</w:t>
      </w:r>
    </w:p>
    <w:p w14:paraId="5A64C0C1" w14:textId="64536F6B" w:rsidR="00756954" w:rsidRDefault="00151C6A" w:rsidP="00756954">
      <w:pPr>
        <w:pStyle w:val="Subtitle"/>
      </w:pPr>
      <w:r>
        <w:t xml:space="preserve">Number </w:t>
      </w:r>
      <w:r w:rsidR="008952AA">
        <w:t>10</w:t>
      </w:r>
      <w:r>
        <w:t xml:space="preserve">, </w:t>
      </w:r>
      <w:r w:rsidR="473B8606">
        <w:t>August</w:t>
      </w:r>
      <w:r w:rsidR="123C9FDF">
        <w:t xml:space="preserve"> </w:t>
      </w:r>
      <w:r w:rsidR="00756954">
        <w:t>202</w:t>
      </w:r>
      <w:r w:rsidR="00661D29">
        <w:t>5</w:t>
      </w:r>
    </w:p>
    <w:p w14:paraId="3E231827" w14:textId="528945F3" w:rsidR="00423541" w:rsidRDefault="00756954" w:rsidP="00756954">
      <w:r>
        <w:t>DISCLAIMER:</w:t>
      </w:r>
      <w:r w:rsidR="002F646F">
        <w:t xml:space="preserve"> </w:t>
      </w:r>
      <w:r w:rsidR="002F646F" w:rsidRPr="002F646F">
        <w:t>This information is correct at the time of publication. It is the responsibility of any individual to check the accuracy of this data if it is republished or presented at a future time.</w:t>
      </w:r>
    </w:p>
    <w:p w14:paraId="52B4B6E5" w14:textId="77777777" w:rsidR="009522EA" w:rsidRPr="00891621" w:rsidRDefault="00423541" w:rsidP="00891621">
      <w:pPr>
        <w:spacing w:after="0" w:line="240" w:lineRule="auto"/>
      </w:pPr>
      <w:r>
        <w:br w:type="page"/>
      </w:r>
      <w:bookmarkStart w:id="0" w:name="_Toc403992346"/>
      <w:bookmarkStart w:id="1" w:name="_Toc403992581"/>
      <w:bookmarkStart w:id="2" w:name="_Toc419982220"/>
      <w:bookmarkStart w:id="3" w:name="_Toc419982306"/>
    </w:p>
    <w:sdt>
      <w:sdtPr>
        <w:rPr>
          <w:rFonts w:ascii="Arial" w:eastAsia="MS Mincho" w:hAnsi="Arial"/>
          <w:sz w:val="20"/>
          <w:szCs w:val="24"/>
          <w:lang w:val="en-AU"/>
        </w:rPr>
        <w:id w:val="68392152"/>
        <w:docPartObj>
          <w:docPartGallery w:val="Table of Contents"/>
          <w:docPartUnique/>
        </w:docPartObj>
      </w:sdtPr>
      <w:sdtEndPr>
        <w:rPr>
          <w:b/>
          <w:bCs/>
          <w:noProof/>
          <w:szCs w:val="20"/>
        </w:rPr>
      </w:sdtEndPr>
      <w:sdtContent>
        <w:p w14:paraId="79D95803" w14:textId="268972E6" w:rsidR="009522EA" w:rsidRDefault="009522EA">
          <w:pPr>
            <w:pStyle w:val="TOCHeading"/>
            <w:rPr>
              <w:rFonts w:hint="eastAsia"/>
            </w:rPr>
          </w:pPr>
          <w:r>
            <w:t>Contents</w:t>
          </w:r>
        </w:p>
        <w:p w14:paraId="30CDDA46" w14:textId="72EDB758" w:rsidR="0008407B" w:rsidRDefault="009522EA">
          <w:pPr>
            <w:pStyle w:val="TOC1"/>
            <w:tabs>
              <w:tab w:val="right" w:leader="dot" w:pos="9771"/>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4007181" w:history="1">
            <w:r w:rsidR="0008407B" w:rsidRPr="00C740E3">
              <w:rPr>
                <w:rStyle w:val="Hyperlink"/>
                <w:noProof/>
              </w:rPr>
              <w:t>Melbourne’s strong economic growth powers ahead</w:t>
            </w:r>
            <w:r w:rsidR="0008407B">
              <w:rPr>
                <w:noProof/>
                <w:webHidden/>
              </w:rPr>
              <w:tab/>
            </w:r>
            <w:r w:rsidR="0008407B">
              <w:rPr>
                <w:noProof/>
                <w:webHidden/>
              </w:rPr>
              <w:fldChar w:fldCharType="begin"/>
            </w:r>
            <w:r w:rsidR="0008407B">
              <w:rPr>
                <w:noProof/>
                <w:webHidden/>
              </w:rPr>
              <w:instrText xml:space="preserve"> PAGEREF _Toc204007181 \h </w:instrText>
            </w:r>
            <w:r w:rsidR="0008407B">
              <w:rPr>
                <w:noProof/>
                <w:webHidden/>
              </w:rPr>
            </w:r>
            <w:r w:rsidR="0008407B">
              <w:rPr>
                <w:noProof/>
                <w:webHidden/>
              </w:rPr>
              <w:fldChar w:fldCharType="separate"/>
            </w:r>
            <w:r w:rsidR="0008407B">
              <w:rPr>
                <w:noProof/>
                <w:webHidden/>
              </w:rPr>
              <w:t>3</w:t>
            </w:r>
            <w:r w:rsidR="0008407B">
              <w:rPr>
                <w:noProof/>
                <w:webHidden/>
              </w:rPr>
              <w:fldChar w:fldCharType="end"/>
            </w:r>
          </w:hyperlink>
        </w:p>
        <w:p w14:paraId="643B7616" w14:textId="7FA53313" w:rsidR="0008407B" w:rsidRDefault="00BC4BD9">
          <w:pPr>
            <w:pStyle w:val="TOC2"/>
            <w:rPr>
              <w:rFonts w:asciiTheme="minorHAnsi" w:eastAsiaTheme="minorEastAsia" w:hAnsiTheme="minorHAnsi" w:cstheme="minorBidi"/>
              <w:noProof/>
              <w:kern w:val="2"/>
              <w:sz w:val="24"/>
              <w:lang w:eastAsia="en-AU"/>
              <w14:ligatures w14:val="standardContextual"/>
            </w:rPr>
          </w:pPr>
          <w:r>
            <w:t xml:space="preserve">Table 1 </w:t>
          </w:r>
          <w:r w:rsidRPr="00BC4BD9">
            <w:t>–</w:t>
          </w:r>
          <w:r>
            <w:t xml:space="preserve"> </w:t>
          </w:r>
          <w:hyperlink w:anchor="_Toc204007182" w:history="1">
            <w:r w:rsidR="0008407B" w:rsidRPr="00C740E3">
              <w:rPr>
                <w:rStyle w:val="Hyperlink"/>
                <w:noProof/>
              </w:rPr>
              <w:t>City of Melbourne has an impressive</w:t>
            </w:r>
            <w:r w:rsidR="0008407B" w:rsidRPr="00C740E3">
              <w:rPr>
                <w:rStyle w:val="Hyperlink"/>
                <w:b/>
                <w:noProof/>
              </w:rPr>
              <w:t xml:space="preserve"> </w:t>
            </w:r>
            <w:r w:rsidR="0008407B" w:rsidRPr="00FF01F8">
              <w:rPr>
                <w:rStyle w:val="Hyperlink"/>
                <w:bCs/>
                <w:noProof/>
              </w:rPr>
              <w:t>130% GRP increase</w:t>
            </w:r>
            <w:r w:rsidR="0008407B" w:rsidRPr="00C740E3">
              <w:rPr>
                <w:rStyle w:val="Hyperlink"/>
                <w:noProof/>
              </w:rPr>
              <w:t xml:space="preserve"> over the past 20 years, significantly outperforming both Victoria (66%) and Australia (67%).</w:t>
            </w:r>
            <w:r w:rsidR="0008407B">
              <w:rPr>
                <w:noProof/>
                <w:webHidden/>
              </w:rPr>
              <w:tab/>
            </w:r>
            <w:r w:rsidR="0008407B">
              <w:rPr>
                <w:noProof/>
                <w:webHidden/>
              </w:rPr>
              <w:fldChar w:fldCharType="begin"/>
            </w:r>
            <w:r w:rsidR="0008407B">
              <w:rPr>
                <w:noProof/>
                <w:webHidden/>
              </w:rPr>
              <w:instrText xml:space="preserve"> PAGEREF _Toc204007182 \h </w:instrText>
            </w:r>
            <w:r w:rsidR="0008407B">
              <w:rPr>
                <w:noProof/>
                <w:webHidden/>
              </w:rPr>
            </w:r>
            <w:r w:rsidR="0008407B">
              <w:rPr>
                <w:noProof/>
                <w:webHidden/>
              </w:rPr>
              <w:fldChar w:fldCharType="separate"/>
            </w:r>
            <w:r w:rsidR="0008407B">
              <w:rPr>
                <w:noProof/>
                <w:webHidden/>
              </w:rPr>
              <w:t>3</w:t>
            </w:r>
            <w:r w:rsidR="0008407B">
              <w:rPr>
                <w:noProof/>
                <w:webHidden/>
              </w:rPr>
              <w:fldChar w:fldCharType="end"/>
            </w:r>
          </w:hyperlink>
        </w:p>
        <w:p w14:paraId="582E0ED8" w14:textId="1E27D7A9"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183" w:history="1">
            <w:r w:rsidRPr="00C740E3">
              <w:rPr>
                <w:rStyle w:val="Hyperlink"/>
                <w:noProof/>
              </w:rPr>
              <w:t>Table 2 – The city’s growing economic influence shows its contribution to Victoria’s GRP,</w:t>
            </w:r>
            <w:r w:rsidRPr="00C740E3">
              <w:rPr>
                <w:rStyle w:val="Hyperlink"/>
                <w:b/>
                <w:noProof/>
              </w:rPr>
              <w:t xml:space="preserve"> </w:t>
            </w:r>
            <w:r w:rsidRPr="00FF01F8">
              <w:rPr>
                <w:rStyle w:val="Hyperlink"/>
                <w:bCs/>
                <w:noProof/>
              </w:rPr>
              <w:t>rising</w:t>
            </w:r>
            <w:r w:rsidRPr="00C740E3">
              <w:rPr>
                <w:rStyle w:val="Hyperlink"/>
                <w:b/>
                <w:noProof/>
              </w:rPr>
              <w:t xml:space="preserve"> </w:t>
            </w:r>
            <w:r w:rsidRPr="00C740E3">
              <w:rPr>
                <w:rStyle w:val="Hyperlink"/>
                <w:noProof/>
              </w:rPr>
              <w:t xml:space="preserve">from </w:t>
            </w:r>
            <w:r w:rsidRPr="00FF01F8">
              <w:rPr>
                <w:rStyle w:val="Hyperlink"/>
                <w:bCs/>
                <w:noProof/>
              </w:rPr>
              <w:t>16%</w:t>
            </w:r>
            <w:r w:rsidRPr="00C740E3">
              <w:rPr>
                <w:rStyle w:val="Hyperlink"/>
                <w:noProof/>
              </w:rPr>
              <w:t xml:space="preserve"> in 2004 to </w:t>
            </w:r>
            <w:r w:rsidRPr="00FF01F8">
              <w:rPr>
                <w:rStyle w:val="Hyperlink"/>
                <w:bCs/>
                <w:noProof/>
              </w:rPr>
              <w:t>22%</w:t>
            </w:r>
            <w:r w:rsidRPr="00C740E3">
              <w:rPr>
                <w:rStyle w:val="Hyperlink"/>
                <w:noProof/>
              </w:rPr>
              <w:t xml:space="preserve"> in 2024.</w:t>
            </w:r>
            <w:r>
              <w:rPr>
                <w:noProof/>
                <w:webHidden/>
              </w:rPr>
              <w:tab/>
            </w:r>
            <w:r>
              <w:rPr>
                <w:noProof/>
                <w:webHidden/>
              </w:rPr>
              <w:fldChar w:fldCharType="begin"/>
            </w:r>
            <w:r>
              <w:rPr>
                <w:noProof/>
                <w:webHidden/>
              </w:rPr>
              <w:instrText xml:space="preserve"> PAGEREF _Toc204007183 \h </w:instrText>
            </w:r>
            <w:r>
              <w:rPr>
                <w:noProof/>
                <w:webHidden/>
              </w:rPr>
            </w:r>
            <w:r>
              <w:rPr>
                <w:noProof/>
                <w:webHidden/>
              </w:rPr>
              <w:fldChar w:fldCharType="separate"/>
            </w:r>
            <w:r>
              <w:rPr>
                <w:noProof/>
                <w:webHidden/>
              </w:rPr>
              <w:t>3</w:t>
            </w:r>
            <w:r>
              <w:rPr>
                <w:noProof/>
                <w:webHidden/>
              </w:rPr>
              <w:fldChar w:fldCharType="end"/>
            </w:r>
          </w:hyperlink>
        </w:p>
        <w:p w14:paraId="79FC6109" w14:textId="18E9E077" w:rsidR="0008407B" w:rsidRDefault="0008407B">
          <w:pPr>
            <w:pStyle w:val="TOC1"/>
            <w:tabs>
              <w:tab w:val="right" w:leader="dot" w:pos="9771"/>
            </w:tabs>
            <w:rPr>
              <w:rFonts w:asciiTheme="minorHAnsi" w:eastAsiaTheme="minorEastAsia" w:hAnsiTheme="minorHAnsi" w:cstheme="minorBidi"/>
              <w:noProof/>
              <w:kern w:val="2"/>
              <w:sz w:val="24"/>
              <w:lang w:eastAsia="en-AU"/>
              <w14:ligatures w14:val="standardContextual"/>
            </w:rPr>
          </w:pPr>
          <w:hyperlink w:anchor="_Toc204007184" w:history="1">
            <w:r w:rsidRPr="00C740E3">
              <w:rPr>
                <w:rStyle w:val="Hyperlink"/>
                <w:noProof/>
              </w:rPr>
              <w:t>Key industries drive employment growth in Melbourne</w:t>
            </w:r>
            <w:r>
              <w:rPr>
                <w:noProof/>
                <w:webHidden/>
              </w:rPr>
              <w:tab/>
            </w:r>
            <w:r>
              <w:rPr>
                <w:noProof/>
                <w:webHidden/>
              </w:rPr>
              <w:fldChar w:fldCharType="begin"/>
            </w:r>
            <w:r>
              <w:rPr>
                <w:noProof/>
                <w:webHidden/>
              </w:rPr>
              <w:instrText xml:space="preserve"> PAGEREF _Toc204007184 \h </w:instrText>
            </w:r>
            <w:r>
              <w:rPr>
                <w:noProof/>
                <w:webHidden/>
              </w:rPr>
            </w:r>
            <w:r>
              <w:rPr>
                <w:noProof/>
                <w:webHidden/>
              </w:rPr>
              <w:fldChar w:fldCharType="separate"/>
            </w:r>
            <w:r>
              <w:rPr>
                <w:noProof/>
                <w:webHidden/>
              </w:rPr>
              <w:t>4</w:t>
            </w:r>
            <w:r>
              <w:rPr>
                <w:noProof/>
                <w:webHidden/>
              </w:rPr>
              <w:fldChar w:fldCharType="end"/>
            </w:r>
          </w:hyperlink>
        </w:p>
        <w:p w14:paraId="62239E0A" w14:textId="2D9C17B5"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185" w:history="1">
            <w:r w:rsidRPr="00C740E3">
              <w:rPr>
                <w:rStyle w:val="Hyperlink"/>
                <w:noProof/>
              </w:rPr>
              <w:t xml:space="preserve">Table 3 – Local jobs in </w:t>
            </w:r>
            <w:r w:rsidR="00BC4BD9">
              <w:rPr>
                <w:rStyle w:val="Hyperlink"/>
                <w:noProof/>
              </w:rPr>
              <w:t>C</w:t>
            </w:r>
            <w:r w:rsidRPr="00C740E3">
              <w:rPr>
                <w:rStyle w:val="Hyperlink"/>
                <w:noProof/>
              </w:rPr>
              <w:t>ity of Melbourne each year by industry</w:t>
            </w:r>
            <w:r>
              <w:rPr>
                <w:noProof/>
                <w:webHidden/>
              </w:rPr>
              <w:tab/>
            </w:r>
            <w:r>
              <w:rPr>
                <w:noProof/>
                <w:webHidden/>
              </w:rPr>
              <w:fldChar w:fldCharType="begin"/>
            </w:r>
            <w:r>
              <w:rPr>
                <w:noProof/>
                <w:webHidden/>
              </w:rPr>
              <w:instrText xml:space="preserve"> PAGEREF _Toc204007185 \h </w:instrText>
            </w:r>
            <w:r>
              <w:rPr>
                <w:noProof/>
                <w:webHidden/>
              </w:rPr>
            </w:r>
            <w:r>
              <w:rPr>
                <w:noProof/>
                <w:webHidden/>
              </w:rPr>
              <w:fldChar w:fldCharType="separate"/>
            </w:r>
            <w:r>
              <w:rPr>
                <w:noProof/>
                <w:webHidden/>
              </w:rPr>
              <w:t>4</w:t>
            </w:r>
            <w:r>
              <w:rPr>
                <w:noProof/>
                <w:webHidden/>
              </w:rPr>
              <w:fldChar w:fldCharType="end"/>
            </w:r>
          </w:hyperlink>
        </w:p>
        <w:p w14:paraId="0B72C492" w14:textId="658071F2"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186" w:history="1">
            <w:r w:rsidRPr="00C740E3">
              <w:rPr>
                <w:rStyle w:val="Hyperlink"/>
                <w:noProof/>
              </w:rPr>
              <w:t>Table 4</w:t>
            </w:r>
            <w:r w:rsidR="00BC4BD9">
              <w:rPr>
                <w:rStyle w:val="Hyperlink"/>
                <w:noProof/>
              </w:rPr>
              <w:t xml:space="preserve"> </w:t>
            </w:r>
            <w:r w:rsidRPr="00C740E3">
              <w:rPr>
                <w:rStyle w:val="Hyperlink"/>
                <w:noProof/>
              </w:rPr>
              <w:t>– Employment growth 2019 to 2014 by industry</w:t>
            </w:r>
            <w:r>
              <w:rPr>
                <w:noProof/>
                <w:webHidden/>
              </w:rPr>
              <w:tab/>
            </w:r>
            <w:r>
              <w:rPr>
                <w:noProof/>
                <w:webHidden/>
              </w:rPr>
              <w:fldChar w:fldCharType="begin"/>
            </w:r>
            <w:r>
              <w:rPr>
                <w:noProof/>
                <w:webHidden/>
              </w:rPr>
              <w:instrText xml:space="preserve"> PAGEREF _Toc204007186 \h </w:instrText>
            </w:r>
            <w:r>
              <w:rPr>
                <w:noProof/>
                <w:webHidden/>
              </w:rPr>
            </w:r>
            <w:r>
              <w:rPr>
                <w:noProof/>
                <w:webHidden/>
              </w:rPr>
              <w:fldChar w:fldCharType="separate"/>
            </w:r>
            <w:r>
              <w:rPr>
                <w:noProof/>
                <w:webHidden/>
              </w:rPr>
              <w:t>4</w:t>
            </w:r>
            <w:r>
              <w:rPr>
                <w:noProof/>
                <w:webHidden/>
              </w:rPr>
              <w:fldChar w:fldCharType="end"/>
            </w:r>
          </w:hyperlink>
        </w:p>
        <w:p w14:paraId="4CEBCDD6" w14:textId="36C0153D" w:rsidR="0008407B" w:rsidRDefault="0008407B">
          <w:pPr>
            <w:pStyle w:val="TOC1"/>
            <w:tabs>
              <w:tab w:val="right" w:leader="dot" w:pos="9771"/>
            </w:tabs>
            <w:rPr>
              <w:rFonts w:asciiTheme="minorHAnsi" w:eastAsiaTheme="minorEastAsia" w:hAnsiTheme="minorHAnsi" w:cstheme="minorBidi"/>
              <w:noProof/>
              <w:kern w:val="2"/>
              <w:sz w:val="24"/>
              <w:lang w:eastAsia="en-AU"/>
              <w14:ligatures w14:val="standardContextual"/>
            </w:rPr>
          </w:pPr>
          <w:hyperlink w:anchor="_Toc204007187" w:history="1">
            <w:r w:rsidRPr="00C740E3">
              <w:rPr>
                <w:rStyle w:val="Hyperlink"/>
                <w:noProof/>
              </w:rPr>
              <w:t>Neighbourhood Spend Trends</w:t>
            </w:r>
            <w:r>
              <w:rPr>
                <w:noProof/>
                <w:webHidden/>
              </w:rPr>
              <w:tab/>
            </w:r>
            <w:r>
              <w:rPr>
                <w:noProof/>
                <w:webHidden/>
              </w:rPr>
              <w:fldChar w:fldCharType="begin"/>
            </w:r>
            <w:r>
              <w:rPr>
                <w:noProof/>
                <w:webHidden/>
              </w:rPr>
              <w:instrText xml:space="preserve"> PAGEREF _Toc204007187 \h </w:instrText>
            </w:r>
            <w:r>
              <w:rPr>
                <w:noProof/>
                <w:webHidden/>
              </w:rPr>
            </w:r>
            <w:r>
              <w:rPr>
                <w:noProof/>
                <w:webHidden/>
              </w:rPr>
              <w:fldChar w:fldCharType="separate"/>
            </w:r>
            <w:r>
              <w:rPr>
                <w:noProof/>
                <w:webHidden/>
              </w:rPr>
              <w:t>6</w:t>
            </w:r>
            <w:r>
              <w:rPr>
                <w:noProof/>
                <w:webHidden/>
              </w:rPr>
              <w:fldChar w:fldCharType="end"/>
            </w:r>
          </w:hyperlink>
        </w:p>
        <w:p w14:paraId="0D445872" w14:textId="345F22BF"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188" w:history="1">
            <w:r w:rsidRPr="00C740E3">
              <w:rPr>
                <w:rStyle w:val="Hyperlink"/>
                <w:noProof/>
              </w:rPr>
              <w:t>Explore your unique neighbourhood with our Neighbourhood Spend Trends. Understanding when people spend, what they're buying, and where they're coming from can help you work smarter and tailor your offering to boost your business.</w:t>
            </w:r>
            <w:r>
              <w:rPr>
                <w:noProof/>
                <w:webHidden/>
              </w:rPr>
              <w:tab/>
            </w:r>
            <w:r>
              <w:rPr>
                <w:noProof/>
                <w:webHidden/>
              </w:rPr>
              <w:fldChar w:fldCharType="begin"/>
            </w:r>
            <w:r>
              <w:rPr>
                <w:noProof/>
                <w:webHidden/>
              </w:rPr>
              <w:instrText xml:space="preserve"> PAGEREF _Toc204007188 \h </w:instrText>
            </w:r>
            <w:r>
              <w:rPr>
                <w:noProof/>
                <w:webHidden/>
              </w:rPr>
            </w:r>
            <w:r>
              <w:rPr>
                <w:noProof/>
                <w:webHidden/>
              </w:rPr>
              <w:fldChar w:fldCharType="separate"/>
            </w:r>
            <w:r>
              <w:rPr>
                <w:noProof/>
                <w:webHidden/>
              </w:rPr>
              <w:t>6</w:t>
            </w:r>
            <w:r>
              <w:rPr>
                <w:noProof/>
                <w:webHidden/>
              </w:rPr>
              <w:fldChar w:fldCharType="end"/>
            </w:r>
          </w:hyperlink>
        </w:p>
        <w:p w14:paraId="1201CEC1" w14:textId="562F9929"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189" w:history="1">
            <w:r w:rsidRPr="00C740E3">
              <w:rPr>
                <w:rStyle w:val="Hyperlink"/>
                <w:noProof/>
              </w:rPr>
              <w:t>Kensington</w:t>
            </w:r>
            <w:r>
              <w:rPr>
                <w:noProof/>
                <w:webHidden/>
              </w:rPr>
              <w:tab/>
            </w:r>
            <w:r>
              <w:rPr>
                <w:noProof/>
                <w:webHidden/>
              </w:rPr>
              <w:fldChar w:fldCharType="begin"/>
            </w:r>
            <w:r>
              <w:rPr>
                <w:noProof/>
                <w:webHidden/>
              </w:rPr>
              <w:instrText xml:space="preserve"> PAGEREF _Toc204007189 \h </w:instrText>
            </w:r>
            <w:r>
              <w:rPr>
                <w:noProof/>
                <w:webHidden/>
              </w:rPr>
            </w:r>
            <w:r>
              <w:rPr>
                <w:noProof/>
                <w:webHidden/>
              </w:rPr>
              <w:fldChar w:fldCharType="separate"/>
            </w:r>
            <w:r>
              <w:rPr>
                <w:noProof/>
                <w:webHidden/>
              </w:rPr>
              <w:t>6</w:t>
            </w:r>
            <w:r>
              <w:rPr>
                <w:noProof/>
                <w:webHidden/>
              </w:rPr>
              <w:fldChar w:fldCharType="end"/>
            </w:r>
          </w:hyperlink>
        </w:p>
        <w:p w14:paraId="6A658493" w14:textId="4BA15E89"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0" w:history="1">
            <w:r w:rsidRPr="00C740E3">
              <w:rPr>
                <w:rStyle w:val="Hyperlink"/>
                <w:noProof/>
              </w:rPr>
              <w:t>Table 5 – Spending by category, Q</w:t>
            </w:r>
            <w:r w:rsidR="00450D63">
              <w:rPr>
                <w:rStyle w:val="Hyperlink"/>
                <w:noProof/>
              </w:rPr>
              <w:t>1</w:t>
            </w:r>
            <w:r w:rsidRPr="00C740E3">
              <w:rPr>
                <w:rStyle w:val="Hyperlink"/>
                <w:noProof/>
              </w:rPr>
              <w:t xml:space="preserve"> 202</w:t>
            </w:r>
            <w:r w:rsidR="00450D63">
              <w:rPr>
                <w:rStyle w:val="Hyperlink"/>
                <w:noProof/>
              </w:rPr>
              <w:t>5</w:t>
            </w:r>
            <w:r>
              <w:rPr>
                <w:noProof/>
                <w:webHidden/>
              </w:rPr>
              <w:tab/>
            </w:r>
            <w:r>
              <w:rPr>
                <w:noProof/>
                <w:webHidden/>
              </w:rPr>
              <w:fldChar w:fldCharType="begin"/>
            </w:r>
            <w:r>
              <w:rPr>
                <w:noProof/>
                <w:webHidden/>
              </w:rPr>
              <w:instrText xml:space="preserve"> PAGEREF _Toc204007190 \h </w:instrText>
            </w:r>
            <w:r>
              <w:rPr>
                <w:noProof/>
                <w:webHidden/>
              </w:rPr>
            </w:r>
            <w:r>
              <w:rPr>
                <w:noProof/>
                <w:webHidden/>
              </w:rPr>
              <w:fldChar w:fldCharType="separate"/>
            </w:r>
            <w:r>
              <w:rPr>
                <w:noProof/>
                <w:webHidden/>
              </w:rPr>
              <w:t>6</w:t>
            </w:r>
            <w:r>
              <w:rPr>
                <w:noProof/>
                <w:webHidden/>
              </w:rPr>
              <w:fldChar w:fldCharType="end"/>
            </w:r>
          </w:hyperlink>
        </w:p>
        <w:p w14:paraId="539BD9A9" w14:textId="2EB47F57"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1" w:history="1">
            <w:r w:rsidRPr="00C740E3">
              <w:rPr>
                <w:rStyle w:val="Hyperlink"/>
                <w:noProof/>
              </w:rPr>
              <w:t>Table 6 – Work hours and non-work hours spending in Kensington, Q1 2025</w:t>
            </w:r>
            <w:r>
              <w:rPr>
                <w:noProof/>
                <w:webHidden/>
              </w:rPr>
              <w:tab/>
            </w:r>
            <w:r>
              <w:rPr>
                <w:noProof/>
                <w:webHidden/>
              </w:rPr>
              <w:fldChar w:fldCharType="begin"/>
            </w:r>
            <w:r>
              <w:rPr>
                <w:noProof/>
                <w:webHidden/>
              </w:rPr>
              <w:instrText xml:space="preserve"> PAGEREF _Toc204007191 \h </w:instrText>
            </w:r>
            <w:r>
              <w:rPr>
                <w:noProof/>
                <w:webHidden/>
              </w:rPr>
            </w:r>
            <w:r>
              <w:rPr>
                <w:noProof/>
                <w:webHidden/>
              </w:rPr>
              <w:fldChar w:fldCharType="separate"/>
            </w:r>
            <w:r>
              <w:rPr>
                <w:noProof/>
                <w:webHidden/>
              </w:rPr>
              <w:t>6</w:t>
            </w:r>
            <w:r>
              <w:rPr>
                <w:noProof/>
                <w:webHidden/>
              </w:rPr>
              <w:fldChar w:fldCharType="end"/>
            </w:r>
          </w:hyperlink>
        </w:p>
        <w:p w14:paraId="1CFA1591" w14:textId="51F6B3D0"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2" w:history="1">
            <w:r w:rsidRPr="00C740E3">
              <w:rPr>
                <w:rStyle w:val="Hyperlink"/>
                <w:noProof/>
              </w:rPr>
              <w:t>Table 7 – Weekday and weekend spending in Kensington, Q1 2025</w:t>
            </w:r>
            <w:r>
              <w:rPr>
                <w:noProof/>
                <w:webHidden/>
              </w:rPr>
              <w:tab/>
            </w:r>
            <w:r>
              <w:rPr>
                <w:noProof/>
                <w:webHidden/>
              </w:rPr>
              <w:fldChar w:fldCharType="begin"/>
            </w:r>
            <w:r>
              <w:rPr>
                <w:noProof/>
                <w:webHidden/>
              </w:rPr>
              <w:instrText xml:space="preserve"> PAGEREF _Toc204007192 \h </w:instrText>
            </w:r>
            <w:r>
              <w:rPr>
                <w:noProof/>
                <w:webHidden/>
              </w:rPr>
            </w:r>
            <w:r>
              <w:rPr>
                <w:noProof/>
                <w:webHidden/>
              </w:rPr>
              <w:fldChar w:fldCharType="separate"/>
            </w:r>
            <w:r>
              <w:rPr>
                <w:noProof/>
                <w:webHidden/>
              </w:rPr>
              <w:t>6</w:t>
            </w:r>
            <w:r>
              <w:rPr>
                <w:noProof/>
                <w:webHidden/>
              </w:rPr>
              <w:fldChar w:fldCharType="end"/>
            </w:r>
          </w:hyperlink>
        </w:p>
        <w:p w14:paraId="411A281A" w14:textId="32A2D4C6"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3" w:history="1">
            <w:r w:rsidRPr="00C740E3">
              <w:rPr>
                <w:rStyle w:val="Hyperlink"/>
                <w:noProof/>
              </w:rPr>
              <w:t>Table 8.a – Where spending in Kensington came from, Q1 2025</w:t>
            </w:r>
            <w:r>
              <w:rPr>
                <w:noProof/>
                <w:webHidden/>
              </w:rPr>
              <w:tab/>
            </w:r>
            <w:r>
              <w:rPr>
                <w:noProof/>
                <w:webHidden/>
              </w:rPr>
              <w:fldChar w:fldCharType="begin"/>
            </w:r>
            <w:r>
              <w:rPr>
                <w:noProof/>
                <w:webHidden/>
              </w:rPr>
              <w:instrText xml:space="preserve"> PAGEREF _Toc204007193 \h </w:instrText>
            </w:r>
            <w:r>
              <w:rPr>
                <w:noProof/>
                <w:webHidden/>
              </w:rPr>
            </w:r>
            <w:r>
              <w:rPr>
                <w:noProof/>
                <w:webHidden/>
              </w:rPr>
              <w:fldChar w:fldCharType="separate"/>
            </w:r>
            <w:r>
              <w:rPr>
                <w:noProof/>
                <w:webHidden/>
              </w:rPr>
              <w:t>6</w:t>
            </w:r>
            <w:r>
              <w:rPr>
                <w:noProof/>
                <w:webHidden/>
              </w:rPr>
              <w:fldChar w:fldCharType="end"/>
            </w:r>
          </w:hyperlink>
        </w:p>
        <w:p w14:paraId="238151C7" w14:textId="7B867E37"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4" w:history="1">
            <w:r w:rsidRPr="00C740E3">
              <w:rPr>
                <w:rStyle w:val="Hyperlink"/>
                <w:noProof/>
              </w:rPr>
              <w:t>Table 8.b – Where spending in Kensington</w:t>
            </w:r>
            <w:r w:rsidR="00450D63">
              <w:rPr>
                <w:rStyle w:val="Hyperlink"/>
                <w:noProof/>
              </w:rPr>
              <w:t xml:space="preserve"> came from</w:t>
            </w:r>
            <w:r w:rsidRPr="00C740E3">
              <w:rPr>
                <w:rStyle w:val="Hyperlink"/>
                <w:noProof/>
              </w:rPr>
              <w:t>, Q1 2025</w:t>
            </w:r>
            <w:r>
              <w:rPr>
                <w:noProof/>
                <w:webHidden/>
              </w:rPr>
              <w:tab/>
            </w:r>
            <w:r>
              <w:rPr>
                <w:noProof/>
                <w:webHidden/>
              </w:rPr>
              <w:fldChar w:fldCharType="begin"/>
            </w:r>
            <w:r>
              <w:rPr>
                <w:noProof/>
                <w:webHidden/>
              </w:rPr>
              <w:instrText xml:space="preserve"> PAGEREF _Toc204007194 \h </w:instrText>
            </w:r>
            <w:r>
              <w:rPr>
                <w:noProof/>
                <w:webHidden/>
              </w:rPr>
            </w:r>
            <w:r>
              <w:rPr>
                <w:noProof/>
                <w:webHidden/>
              </w:rPr>
              <w:fldChar w:fldCharType="separate"/>
            </w:r>
            <w:r>
              <w:rPr>
                <w:noProof/>
                <w:webHidden/>
              </w:rPr>
              <w:t>7</w:t>
            </w:r>
            <w:r>
              <w:rPr>
                <w:noProof/>
                <w:webHidden/>
              </w:rPr>
              <w:fldChar w:fldCharType="end"/>
            </w:r>
          </w:hyperlink>
        </w:p>
        <w:p w14:paraId="332AFB16" w14:textId="25CDDADF"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195" w:history="1">
            <w:r w:rsidRPr="00C740E3">
              <w:rPr>
                <w:rStyle w:val="Hyperlink"/>
                <w:noProof/>
              </w:rPr>
              <w:t>Carlton</w:t>
            </w:r>
            <w:r>
              <w:rPr>
                <w:noProof/>
                <w:webHidden/>
              </w:rPr>
              <w:tab/>
            </w:r>
            <w:r>
              <w:rPr>
                <w:noProof/>
                <w:webHidden/>
              </w:rPr>
              <w:fldChar w:fldCharType="begin"/>
            </w:r>
            <w:r>
              <w:rPr>
                <w:noProof/>
                <w:webHidden/>
              </w:rPr>
              <w:instrText xml:space="preserve"> PAGEREF _Toc204007195 \h </w:instrText>
            </w:r>
            <w:r>
              <w:rPr>
                <w:noProof/>
                <w:webHidden/>
              </w:rPr>
            </w:r>
            <w:r>
              <w:rPr>
                <w:noProof/>
                <w:webHidden/>
              </w:rPr>
              <w:fldChar w:fldCharType="separate"/>
            </w:r>
            <w:r>
              <w:rPr>
                <w:noProof/>
                <w:webHidden/>
              </w:rPr>
              <w:t>7</w:t>
            </w:r>
            <w:r>
              <w:rPr>
                <w:noProof/>
                <w:webHidden/>
              </w:rPr>
              <w:fldChar w:fldCharType="end"/>
            </w:r>
          </w:hyperlink>
        </w:p>
        <w:p w14:paraId="12EF52E3" w14:textId="5D5EE2A9"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6" w:history="1">
            <w:r w:rsidRPr="00C740E3">
              <w:rPr>
                <w:rStyle w:val="Hyperlink"/>
                <w:noProof/>
              </w:rPr>
              <w:t>Table 10 – Spending by category, Q1 2025</w:t>
            </w:r>
            <w:r>
              <w:rPr>
                <w:noProof/>
                <w:webHidden/>
              </w:rPr>
              <w:tab/>
            </w:r>
            <w:r>
              <w:rPr>
                <w:noProof/>
                <w:webHidden/>
              </w:rPr>
              <w:fldChar w:fldCharType="begin"/>
            </w:r>
            <w:r>
              <w:rPr>
                <w:noProof/>
                <w:webHidden/>
              </w:rPr>
              <w:instrText xml:space="preserve"> PAGEREF _Toc204007196 \h </w:instrText>
            </w:r>
            <w:r>
              <w:rPr>
                <w:noProof/>
                <w:webHidden/>
              </w:rPr>
            </w:r>
            <w:r>
              <w:rPr>
                <w:noProof/>
                <w:webHidden/>
              </w:rPr>
              <w:fldChar w:fldCharType="separate"/>
            </w:r>
            <w:r>
              <w:rPr>
                <w:noProof/>
                <w:webHidden/>
              </w:rPr>
              <w:t>7</w:t>
            </w:r>
            <w:r>
              <w:rPr>
                <w:noProof/>
                <w:webHidden/>
              </w:rPr>
              <w:fldChar w:fldCharType="end"/>
            </w:r>
          </w:hyperlink>
        </w:p>
        <w:p w14:paraId="024B846B" w14:textId="1291CF13"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7" w:history="1">
            <w:r w:rsidRPr="00C740E3">
              <w:rPr>
                <w:rStyle w:val="Hyperlink"/>
                <w:noProof/>
              </w:rPr>
              <w:t>Table 11 – Work hours and non-work hours spending in Carlton, Q1 2025</w:t>
            </w:r>
            <w:r>
              <w:rPr>
                <w:noProof/>
                <w:webHidden/>
              </w:rPr>
              <w:tab/>
            </w:r>
            <w:r>
              <w:rPr>
                <w:noProof/>
                <w:webHidden/>
              </w:rPr>
              <w:fldChar w:fldCharType="begin"/>
            </w:r>
            <w:r>
              <w:rPr>
                <w:noProof/>
                <w:webHidden/>
              </w:rPr>
              <w:instrText xml:space="preserve"> PAGEREF _Toc204007197 \h </w:instrText>
            </w:r>
            <w:r>
              <w:rPr>
                <w:noProof/>
                <w:webHidden/>
              </w:rPr>
            </w:r>
            <w:r>
              <w:rPr>
                <w:noProof/>
                <w:webHidden/>
              </w:rPr>
              <w:fldChar w:fldCharType="separate"/>
            </w:r>
            <w:r>
              <w:rPr>
                <w:noProof/>
                <w:webHidden/>
              </w:rPr>
              <w:t>7</w:t>
            </w:r>
            <w:r>
              <w:rPr>
                <w:noProof/>
                <w:webHidden/>
              </w:rPr>
              <w:fldChar w:fldCharType="end"/>
            </w:r>
          </w:hyperlink>
        </w:p>
        <w:p w14:paraId="2623A7F5" w14:textId="2A43E861"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8" w:history="1">
            <w:r w:rsidRPr="00C740E3">
              <w:rPr>
                <w:rStyle w:val="Hyperlink"/>
                <w:noProof/>
              </w:rPr>
              <w:t>Table 12 – Weekday and weekend spending in Carlton, Q1 2025</w:t>
            </w:r>
            <w:r>
              <w:rPr>
                <w:noProof/>
                <w:webHidden/>
              </w:rPr>
              <w:tab/>
            </w:r>
            <w:r>
              <w:rPr>
                <w:noProof/>
                <w:webHidden/>
              </w:rPr>
              <w:fldChar w:fldCharType="begin"/>
            </w:r>
            <w:r>
              <w:rPr>
                <w:noProof/>
                <w:webHidden/>
              </w:rPr>
              <w:instrText xml:space="preserve"> PAGEREF _Toc204007198 \h </w:instrText>
            </w:r>
            <w:r>
              <w:rPr>
                <w:noProof/>
                <w:webHidden/>
              </w:rPr>
            </w:r>
            <w:r>
              <w:rPr>
                <w:noProof/>
                <w:webHidden/>
              </w:rPr>
              <w:fldChar w:fldCharType="separate"/>
            </w:r>
            <w:r>
              <w:rPr>
                <w:noProof/>
                <w:webHidden/>
              </w:rPr>
              <w:t>7</w:t>
            </w:r>
            <w:r>
              <w:rPr>
                <w:noProof/>
                <w:webHidden/>
              </w:rPr>
              <w:fldChar w:fldCharType="end"/>
            </w:r>
          </w:hyperlink>
        </w:p>
        <w:p w14:paraId="40EF267E" w14:textId="6698EF3E"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199" w:history="1">
            <w:r w:rsidRPr="00C740E3">
              <w:rPr>
                <w:rStyle w:val="Hyperlink"/>
                <w:noProof/>
              </w:rPr>
              <w:t>Table 13.a – Where spending in Carlton came from, Q1 2025</w:t>
            </w:r>
            <w:r>
              <w:rPr>
                <w:noProof/>
                <w:webHidden/>
              </w:rPr>
              <w:tab/>
            </w:r>
            <w:r>
              <w:rPr>
                <w:noProof/>
                <w:webHidden/>
              </w:rPr>
              <w:fldChar w:fldCharType="begin"/>
            </w:r>
            <w:r>
              <w:rPr>
                <w:noProof/>
                <w:webHidden/>
              </w:rPr>
              <w:instrText xml:space="preserve"> PAGEREF _Toc204007199 \h </w:instrText>
            </w:r>
            <w:r>
              <w:rPr>
                <w:noProof/>
                <w:webHidden/>
              </w:rPr>
            </w:r>
            <w:r>
              <w:rPr>
                <w:noProof/>
                <w:webHidden/>
              </w:rPr>
              <w:fldChar w:fldCharType="separate"/>
            </w:r>
            <w:r>
              <w:rPr>
                <w:noProof/>
                <w:webHidden/>
              </w:rPr>
              <w:t>8</w:t>
            </w:r>
            <w:r>
              <w:rPr>
                <w:noProof/>
                <w:webHidden/>
              </w:rPr>
              <w:fldChar w:fldCharType="end"/>
            </w:r>
          </w:hyperlink>
        </w:p>
        <w:p w14:paraId="31A47B01" w14:textId="34608D37"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0" w:history="1">
            <w:r w:rsidRPr="00C740E3">
              <w:rPr>
                <w:rStyle w:val="Hyperlink"/>
                <w:noProof/>
              </w:rPr>
              <w:t xml:space="preserve">Table 13.b – Where spending in </w:t>
            </w:r>
            <w:r w:rsidR="00450D63">
              <w:rPr>
                <w:rStyle w:val="Hyperlink"/>
                <w:noProof/>
              </w:rPr>
              <w:t>Carlton</w:t>
            </w:r>
            <w:r w:rsidRPr="00C740E3">
              <w:rPr>
                <w:rStyle w:val="Hyperlink"/>
                <w:noProof/>
              </w:rPr>
              <w:t xml:space="preserve"> came from, Q</w:t>
            </w:r>
            <w:r w:rsidR="00450D63">
              <w:rPr>
                <w:rStyle w:val="Hyperlink"/>
                <w:noProof/>
              </w:rPr>
              <w:t>1</w:t>
            </w:r>
            <w:r w:rsidRPr="00C740E3">
              <w:rPr>
                <w:rStyle w:val="Hyperlink"/>
                <w:noProof/>
              </w:rPr>
              <w:t xml:space="preserve"> 202</w:t>
            </w:r>
            <w:r w:rsidR="00450D63">
              <w:rPr>
                <w:rStyle w:val="Hyperlink"/>
                <w:noProof/>
              </w:rPr>
              <w:t>5</w:t>
            </w:r>
            <w:r>
              <w:rPr>
                <w:noProof/>
                <w:webHidden/>
              </w:rPr>
              <w:tab/>
            </w:r>
            <w:r>
              <w:rPr>
                <w:noProof/>
                <w:webHidden/>
              </w:rPr>
              <w:fldChar w:fldCharType="begin"/>
            </w:r>
            <w:r>
              <w:rPr>
                <w:noProof/>
                <w:webHidden/>
              </w:rPr>
              <w:instrText xml:space="preserve"> PAGEREF _Toc204007200 \h </w:instrText>
            </w:r>
            <w:r>
              <w:rPr>
                <w:noProof/>
                <w:webHidden/>
              </w:rPr>
            </w:r>
            <w:r>
              <w:rPr>
                <w:noProof/>
                <w:webHidden/>
              </w:rPr>
              <w:fldChar w:fldCharType="separate"/>
            </w:r>
            <w:r>
              <w:rPr>
                <w:noProof/>
                <w:webHidden/>
              </w:rPr>
              <w:t>8</w:t>
            </w:r>
            <w:r>
              <w:rPr>
                <w:noProof/>
                <w:webHidden/>
              </w:rPr>
              <w:fldChar w:fldCharType="end"/>
            </w:r>
          </w:hyperlink>
        </w:p>
        <w:p w14:paraId="0E0F96EE" w14:textId="7B5D0745"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201" w:history="1">
            <w:r w:rsidRPr="00C740E3">
              <w:rPr>
                <w:rStyle w:val="Hyperlink"/>
                <w:noProof/>
              </w:rPr>
              <w:t>East Melbourne</w:t>
            </w:r>
            <w:r>
              <w:rPr>
                <w:noProof/>
                <w:webHidden/>
              </w:rPr>
              <w:tab/>
            </w:r>
            <w:r>
              <w:rPr>
                <w:noProof/>
                <w:webHidden/>
              </w:rPr>
              <w:fldChar w:fldCharType="begin"/>
            </w:r>
            <w:r>
              <w:rPr>
                <w:noProof/>
                <w:webHidden/>
              </w:rPr>
              <w:instrText xml:space="preserve"> PAGEREF _Toc204007201 \h </w:instrText>
            </w:r>
            <w:r>
              <w:rPr>
                <w:noProof/>
                <w:webHidden/>
              </w:rPr>
            </w:r>
            <w:r>
              <w:rPr>
                <w:noProof/>
                <w:webHidden/>
              </w:rPr>
              <w:fldChar w:fldCharType="separate"/>
            </w:r>
            <w:r>
              <w:rPr>
                <w:noProof/>
                <w:webHidden/>
              </w:rPr>
              <w:t>8</w:t>
            </w:r>
            <w:r>
              <w:rPr>
                <w:noProof/>
                <w:webHidden/>
              </w:rPr>
              <w:fldChar w:fldCharType="end"/>
            </w:r>
          </w:hyperlink>
        </w:p>
        <w:p w14:paraId="071DD978" w14:textId="311DB474"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2" w:history="1">
            <w:r w:rsidRPr="00C740E3">
              <w:rPr>
                <w:rStyle w:val="Hyperlink"/>
                <w:noProof/>
              </w:rPr>
              <w:t>Table 14 – Spending by category, Q1 2025</w:t>
            </w:r>
            <w:r>
              <w:rPr>
                <w:noProof/>
                <w:webHidden/>
              </w:rPr>
              <w:tab/>
            </w:r>
            <w:r>
              <w:rPr>
                <w:noProof/>
                <w:webHidden/>
              </w:rPr>
              <w:fldChar w:fldCharType="begin"/>
            </w:r>
            <w:r>
              <w:rPr>
                <w:noProof/>
                <w:webHidden/>
              </w:rPr>
              <w:instrText xml:space="preserve"> PAGEREF _Toc204007202 \h </w:instrText>
            </w:r>
            <w:r>
              <w:rPr>
                <w:noProof/>
                <w:webHidden/>
              </w:rPr>
            </w:r>
            <w:r>
              <w:rPr>
                <w:noProof/>
                <w:webHidden/>
              </w:rPr>
              <w:fldChar w:fldCharType="separate"/>
            </w:r>
            <w:r>
              <w:rPr>
                <w:noProof/>
                <w:webHidden/>
              </w:rPr>
              <w:t>8</w:t>
            </w:r>
            <w:r>
              <w:rPr>
                <w:noProof/>
                <w:webHidden/>
              </w:rPr>
              <w:fldChar w:fldCharType="end"/>
            </w:r>
          </w:hyperlink>
        </w:p>
        <w:p w14:paraId="1F2C7C21" w14:textId="5B540393"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3" w:history="1">
            <w:r w:rsidRPr="00C740E3">
              <w:rPr>
                <w:rStyle w:val="Hyperlink"/>
                <w:noProof/>
              </w:rPr>
              <w:t>Table 15 – Work hours and non-work hours spending in East Melbourne, Q1 2025</w:t>
            </w:r>
            <w:r>
              <w:rPr>
                <w:noProof/>
                <w:webHidden/>
              </w:rPr>
              <w:tab/>
            </w:r>
            <w:r>
              <w:rPr>
                <w:noProof/>
                <w:webHidden/>
              </w:rPr>
              <w:fldChar w:fldCharType="begin"/>
            </w:r>
            <w:r>
              <w:rPr>
                <w:noProof/>
                <w:webHidden/>
              </w:rPr>
              <w:instrText xml:space="preserve"> PAGEREF _Toc204007203 \h </w:instrText>
            </w:r>
            <w:r>
              <w:rPr>
                <w:noProof/>
                <w:webHidden/>
              </w:rPr>
            </w:r>
            <w:r>
              <w:rPr>
                <w:noProof/>
                <w:webHidden/>
              </w:rPr>
              <w:fldChar w:fldCharType="separate"/>
            </w:r>
            <w:r>
              <w:rPr>
                <w:noProof/>
                <w:webHidden/>
              </w:rPr>
              <w:t>8</w:t>
            </w:r>
            <w:r>
              <w:rPr>
                <w:noProof/>
                <w:webHidden/>
              </w:rPr>
              <w:fldChar w:fldCharType="end"/>
            </w:r>
          </w:hyperlink>
        </w:p>
        <w:p w14:paraId="08A2C5EC" w14:textId="6E20D8A2"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4" w:history="1">
            <w:r w:rsidRPr="00C740E3">
              <w:rPr>
                <w:rStyle w:val="Hyperlink"/>
                <w:noProof/>
              </w:rPr>
              <w:t>Table 16 – Weekday and weekend spending in East Melbourne, Q1 2025</w:t>
            </w:r>
            <w:r>
              <w:rPr>
                <w:noProof/>
                <w:webHidden/>
              </w:rPr>
              <w:tab/>
            </w:r>
            <w:r>
              <w:rPr>
                <w:noProof/>
                <w:webHidden/>
              </w:rPr>
              <w:fldChar w:fldCharType="begin"/>
            </w:r>
            <w:r>
              <w:rPr>
                <w:noProof/>
                <w:webHidden/>
              </w:rPr>
              <w:instrText xml:space="preserve"> PAGEREF _Toc204007204 \h </w:instrText>
            </w:r>
            <w:r>
              <w:rPr>
                <w:noProof/>
                <w:webHidden/>
              </w:rPr>
            </w:r>
            <w:r>
              <w:rPr>
                <w:noProof/>
                <w:webHidden/>
              </w:rPr>
              <w:fldChar w:fldCharType="separate"/>
            </w:r>
            <w:r>
              <w:rPr>
                <w:noProof/>
                <w:webHidden/>
              </w:rPr>
              <w:t>9</w:t>
            </w:r>
            <w:r>
              <w:rPr>
                <w:noProof/>
                <w:webHidden/>
              </w:rPr>
              <w:fldChar w:fldCharType="end"/>
            </w:r>
          </w:hyperlink>
        </w:p>
        <w:p w14:paraId="678FB098" w14:textId="651DE729"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5" w:history="1">
            <w:r w:rsidRPr="00C740E3">
              <w:rPr>
                <w:rStyle w:val="Hyperlink"/>
                <w:noProof/>
              </w:rPr>
              <w:t>Table 17.a – Where spending in East Melbourne</w:t>
            </w:r>
            <w:r w:rsidR="00450D63">
              <w:rPr>
                <w:rStyle w:val="Hyperlink"/>
                <w:noProof/>
              </w:rPr>
              <w:t xml:space="preserve"> came from</w:t>
            </w:r>
            <w:r w:rsidRPr="00C740E3">
              <w:rPr>
                <w:rStyle w:val="Hyperlink"/>
                <w:noProof/>
              </w:rPr>
              <w:t>, Q1 2025</w:t>
            </w:r>
            <w:r>
              <w:rPr>
                <w:noProof/>
                <w:webHidden/>
              </w:rPr>
              <w:tab/>
            </w:r>
            <w:r>
              <w:rPr>
                <w:noProof/>
                <w:webHidden/>
              </w:rPr>
              <w:fldChar w:fldCharType="begin"/>
            </w:r>
            <w:r>
              <w:rPr>
                <w:noProof/>
                <w:webHidden/>
              </w:rPr>
              <w:instrText xml:space="preserve"> PAGEREF _Toc204007205 \h </w:instrText>
            </w:r>
            <w:r>
              <w:rPr>
                <w:noProof/>
                <w:webHidden/>
              </w:rPr>
            </w:r>
            <w:r>
              <w:rPr>
                <w:noProof/>
                <w:webHidden/>
              </w:rPr>
              <w:fldChar w:fldCharType="separate"/>
            </w:r>
            <w:r>
              <w:rPr>
                <w:noProof/>
                <w:webHidden/>
              </w:rPr>
              <w:t>9</w:t>
            </w:r>
            <w:r>
              <w:rPr>
                <w:noProof/>
                <w:webHidden/>
              </w:rPr>
              <w:fldChar w:fldCharType="end"/>
            </w:r>
          </w:hyperlink>
        </w:p>
        <w:p w14:paraId="0E76AA76" w14:textId="6AA3BFE3"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6" w:history="1">
            <w:r w:rsidRPr="00C740E3">
              <w:rPr>
                <w:rStyle w:val="Hyperlink"/>
                <w:noProof/>
              </w:rPr>
              <w:t>Table 17.b – Where spending in East Melbourne came from, Q1 2025</w:t>
            </w:r>
            <w:r>
              <w:rPr>
                <w:noProof/>
                <w:webHidden/>
              </w:rPr>
              <w:tab/>
            </w:r>
            <w:r>
              <w:rPr>
                <w:noProof/>
                <w:webHidden/>
              </w:rPr>
              <w:fldChar w:fldCharType="begin"/>
            </w:r>
            <w:r>
              <w:rPr>
                <w:noProof/>
                <w:webHidden/>
              </w:rPr>
              <w:instrText xml:space="preserve"> PAGEREF _Toc204007206 \h </w:instrText>
            </w:r>
            <w:r>
              <w:rPr>
                <w:noProof/>
                <w:webHidden/>
              </w:rPr>
            </w:r>
            <w:r>
              <w:rPr>
                <w:noProof/>
                <w:webHidden/>
              </w:rPr>
              <w:fldChar w:fldCharType="separate"/>
            </w:r>
            <w:r>
              <w:rPr>
                <w:noProof/>
                <w:webHidden/>
              </w:rPr>
              <w:t>9</w:t>
            </w:r>
            <w:r>
              <w:rPr>
                <w:noProof/>
                <w:webHidden/>
              </w:rPr>
              <w:fldChar w:fldCharType="end"/>
            </w:r>
          </w:hyperlink>
        </w:p>
        <w:p w14:paraId="79763247" w14:textId="1E5766AB"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207" w:history="1">
            <w:r w:rsidRPr="00C740E3">
              <w:rPr>
                <w:rStyle w:val="Hyperlink"/>
                <w:noProof/>
              </w:rPr>
              <w:t>South Yarra</w:t>
            </w:r>
            <w:r>
              <w:rPr>
                <w:noProof/>
                <w:webHidden/>
              </w:rPr>
              <w:tab/>
            </w:r>
            <w:r>
              <w:rPr>
                <w:noProof/>
                <w:webHidden/>
              </w:rPr>
              <w:fldChar w:fldCharType="begin"/>
            </w:r>
            <w:r>
              <w:rPr>
                <w:noProof/>
                <w:webHidden/>
              </w:rPr>
              <w:instrText xml:space="preserve"> PAGEREF _Toc204007207 \h </w:instrText>
            </w:r>
            <w:r>
              <w:rPr>
                <w:noProof/>
                <w:webHidden/>
              </w:rPr>
            </w:r>
            <w:r>
              <w:rPr>
                <w:noProof/>
                <w:webHidden/>
              </w:rPr>
              <w:fldChar w:fldCharType="separate"/>
            </w:r>
            <w:r>
              <w:rPr>
                <w:noProof/>
                <w:webHidden/>
              </w:rPr>
              <w:t>9</w:t>
            </w:r>
            <w:r>
              <w:rPr>
                <w:noProof/>
                <w:webHidden/>
              </w:rPr>
              <w:fldChar w:fldCharType="end"/>
            </w:r>
          </w:hyperlink>
        </w:p>
        <w:p w14:paraId="4673BD96" w14:textId="6120D99F"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8" w:history="1">
            <w:r w:rsidRPr="00C740E3">
              <w:rPr>
                <w:rStyle w:val="Hyperlink"/>
                <w:noProof/>
              </w:rPr>
              <w:t>Table 18 – Spending by category, Q5, 2025</w:t>
            </w:r>
            <w:r>
              <w:rPr>
                <w:noProof/>
                <w:webHidden/>
              </w:rPr>
              <w:tab/>
            </w:r>
            <w:r>
              <w:rPr>
                <w:noProof/>
                <w:webHidden/>
              </w:rPr>
              <w:fldChar w:fldCharType="begin"/>
            </w:r>
            <w:r>
              <w:rPr>
                <w:noProof/>
                <w:webHidden/>
              </w:rPr>
              <w:instrText xml:space="preserve"> PAGEREF _Toc204007208 \h </w:instrText>
            </w:r>
            <w:r>
              <w:rPr>
                <w:noProof/>
                <w:webHidden/>
              </w:rPr>
            </w:r>
            <w:r>
              <w:rPr>
                <w:noProof/>
                <w:webHidden/>
              </w:rPr>
              <w:fldChar w:fldCharType="separate"/>
            </w:r>
            <w:r>
              <w:rPr>
                <w:noProof/>
                <w:webHidden/>
              </w:rPr>
              <w:t>9</w:t>
            </w:r>
            <w:r>
              <w:rPr>
                <w:noProof/>
                <w:webHidden/>
              </w:rPr>
              <w:fldChar w:fldCharType="end"/>
            </w:r>
          </w:hyperlink>
        </w:p>
        <w:p w14:paraId="613CFDA1" w14:textId="7247ADCB"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09" w:history="1">
            <w:r w:rsidRPr="00C740E3">
              <w:rPr>
                <w:rStyle w:val="Hyperlink"/>
                <w:noProof/>
              </w:rPr>
              <w:t>Table 19 – Work hours and non-work hours spending in South Yarra, Q1 2025</w:t>
            </w:r>
            <w:r>
              <w:rPr>
                <w:noProof/>
                <w:webHidden/>
              </w:rPr>
              <w:tab/>
            </w:r>
            <w:r>
              <w:rPr>
                <w:noProof/>
                <w:webHidden/>
              </w:rPr>
              <w:fldChar w:fldCharType="begin"/>
            </w:r>
            <w:r>
              <w:rPr>
                <w:noProof/>
                <w:webHidden/>
              </w:rPr>
              <w:instrText xml:space="preserve"> PAGEREF _Toc204007209 \h </w:instrText>
            </w:r>
            <w:r>
              <w:rPr>
                <w:noProof/>
                <w:webHidden/>
              </w:rPr>
            </w:r>
            <w:r>
              <w:rPr>
                <w:noProof/>
                <w:webHidden/>
              </w:rPr>
              <w:fldChar w:fldCharType="separate"/>
            </w:r>
            <w:r>
              <w:rPr>
                <w:noProof/>
                <w:webHidden/>
              </w:rPr>
              <w:t>9</w:t>
            </w:r>
            <w:r>
              <w:rPr>
                <w:noProof/>
                <w:webHidden/>
              </w:rPr>
              <w:fldChar w:fldCharType="end"/>
            </w:r>
          </w:hyperlink>
        </w:p>
        <w:p w14:paraId="7BDAF708" w14:textId="5641DD9F"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10" w:history="1">
            <w:r w:rsidRPr="00C740E3">
              <w:rPr>
                <w:rStyle w:val="Hyperlink"/>
                <w:noProof/>
              </w:rPr>
              <w:t>Table 20 – Weekday and weekend spending in South Yarra, Q1 2025</w:t>
            </w:r>
            <w:r>
              <w:rPr>
                <w:noProof/>
                <w:webHidden/>
              </w:rPr>
              <w:tab/>
            </w:r>
            <w:r>
              <w:rPr>
                <w:noProof/>
                <w:webHidden/>
              </w:rPr>
              <w:fldChar w:fldCharType="begin"/>
            </w:r>
            <w:r>
              <w:rPr>
                <w:noProof/>
                <w:webHidden/>
              </w:rPr>
              <w:instrText xml:space="preserve"> PAGEREF _Toc204007210 \h </w:instrText>
            </w:r>
            <w:r>
              <w:rPr>
                <w:noProof/>
                <w:webHidden/>
              </w:rPr>
            </w:r>
            <w:r>
              <w:rPr>
                <w:noProof/>
                <w:webHidden/>
              </w:rPr>
              <w:fldChar w:fldCharType="separate"/>
            </w:r>
            <w:r>
              <w:rPr>
                <w:noProof/>
                <w:webHidden/>
              </w:rPr>
              <w:t>10</w:t>
            </w:r>
            <w:r>
              <w:rPr>
                <w:noProof/>
                <w:webHidden/>
              </w:rPr>
              <w:fldChar w:fldCharType="end"/>
            </w:r>
          </w:hyperlink>
        </w:p>
        <w:p w14:paraId="1A43DD2D" w14:textId="50E7A385"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11" w:history="1">
            <w:r w:rsidRPr="00C740E3">
              <w:rPr>
                <w:rStyle w:val="Hyperlink"/>
                <w:noProof/>
              </w:rPr>
              <w:t>Table 21.a – Where spending in South Yarra came from, Q1 2025</w:t>
            </w:r>
            <w:r>
              <w:rPr>
                <w:noProof/>
                <w:webHidden/>
              </w:rPr>
              <w:tab/>
            </w:r>
            <w:r>
              <w:rPr>
                <w:noProof/>
                <w:webHidden/>
              </w:rPr>
              <w:fldChar w:fldCharType="begin"/>
            </w:r>
            <w:r>
              <w:rPr>
                <w:noProof/>
                <w:webHidden/>
              </w:rPr>
              <w:instrText xml:space="preserve"> PAGEREF _Toc204007211 \h </w:instrText>
            </w:r>
            <w:r>
              <w:rPr>
                <w:noProof/>
                <w:webHidden/>
              </w:rPr>
            </w:r>
            <w:r>
              <w:rPr>
                <w:noProof/>
                <w:webHidden/>
              </w:rPr>
              <w:fldChar w:fldCharType="separate"/>
            </w:r>
            <w:r>
              <w:rPr>
                <w:noProof/>
                <w:webHidden/>
              </w:rPr>
              <w:t>10</w:t>
            </w:r>
            <w:r>
              <w:rPr>
                <w:noProof/>
                <w:webHidden/>
              </w:rPr>
              <w:fldChar w:fldCharType="end"/>
            </w:r>
          </w:hyperlink>
        </w:p>
        <w:p w14:paraId="3888D726" w14:textId="793EA960" w:rsidR="0008407B" w:rsidRDefault="0008407B">
          <w:pPr>
            <w:pStyle w:val="TOC3"/>
            <w:rPr>
              <w:rFonts w:asciiTheme="minorHAnsi" w:eastAsiaTheme="minorEastAsia" w:hAnsiTheme="minorHAnsi" w:cstheme="minorBidi"/>
              <w:noProof/>
              <w:kern w:val="2"/>
              <w:sz w:val="24"/>
              <w:lang w:eastAsia="en-AU"/>
              <w14:ligatures w14:val="standardContextual"/>
            </w:rPr>
          </w:pPr>
          <w:hyperlink w:anchor="_Toc204007212" w:history="1">
            <w:r w:rsidRPr="00C740E3">
              <w:rPr>
                <w:rStyle w:val="Hyperlink"/>
                <w:noProof/>
              </w:rPr>
              <w:t xml:space="preserve">Table 21.b – Where spending in </w:t>
            </w:r>
            <w:r w:rsidR="00450D63">
              <w:rPr>
                <w:rStyle w:val="Hyperlink"/>
                <w:noProof/>
              </w:rPr>
              <w:t>South Yarra</w:t>
            </w:r>
            <w:r w:rsidRPr="00C740E3">
              <w:rPr>
                <w:rStyle w:val="Hyperlink"/>
                <w:noProof/>
              </w:rPr>
              <w:t xml:space="preserve"> came from, Q</w:t>
            </w:r>
            <w:r w:rsidR="00450D63">
              <w:rPr>
                <w:rStyle w:val="Hyperlink"/>
                <w:noProof/>
              </w:rPr>
              <w:t>1</w:t>
            </w:r>
            <w:r w:rsidRPr="00C740E3">
              <w:rPr>
                <w:rStyle w:val="Hyperlink"/>
                <w:noProof/>
              </w:rPr>
              <w:t xml:space="preserve"> 202</w:t>
            </w:r>
            <w:r w:rsidR="00450D63">
              <w:rPr>
                <w:rStyle w:val="Hyperlink"/>
                <w:noProof/>
              </w:rPr>
              <w:t>5</w:t>
            </w:r>
            <w:r>
              <w:rPr>
                <w:noProof/>
                <w:webHidden/>
              </w:rPr>
              <w:tab/>
            </w:r>
            <w:r>
              <w:rPr>
                <w:noProof/>
                <w:webHidden/>
              </w:rPr>
              <w:fldChar w:fldCharType="begin"/>
            </w:r>
            <w:r>
              <w:rPr>
                <w:noProof/>
                <w:webHidden/>
              </w:rPr>
              <w:instrText xml:space="preserve"> PAGEREF _Toc204007212 \h </w:instrText>
            </w:r>
            <w:r>
              <w:rPr>
                <w:noProof/>
                <w:webHidden/>
              </w:rPr>
            </w:r>
            <w:r>
              <w:rPr>
                <w:noProof/>
                <w:webHidden/>
              </w:rPr>
              <w:fldChar w:fldCharType="separate"/>
            </w:r>
            <w:r>
              <w:rPr>
                <w:noProof/>
                <w:webHidden/>
              </w:rPr>
              <w:t>10</w:t>
            </w:r>
            <w:r>
              <w:rPr>
                <w:noProof/>
                <w:webHidden/>
              </w:rPr>
              <w:fldChar w:fldCharType="end"/>
            </w:r>
          </w:hyperlink>
        </w:p>
        <w:p w14:paraId="74B29170" w14:textId="3A82F884" w:rsidR="0008407B" w:rsidRDefault="0008407B">
          <w:pPr>
            <w:pStyle w:val="TOC2"/>
            <w:rPr>
              <w:rFonts w:asciiTheme="minorHAnsi" w:eastAsiaTheme="minorEastAsia" w:hAnsiTheme="minorHAnsi" w:cstheme="minorBidi"/>
              <w:noProof/>
              <w:kern w:val="2"/>
              <w:sz w:val="24"/>
              <w:lang w:eastAsia="en-AU"/>
              <w14:ligatures w14:val="standardContextual"/>
            </w:rPr>
          </w:pPr>
          <w:hyperlink w:anchor="_Toc204007213" w:history="1">
            <w:r w:rsidRPr="00C740E3">
              <w:rPr>
                <w:rStyle w:val="Hyperlink"/>
                <w:noProof/>
              </w:rPr>
              <w:t>Appendix 1: Data sources</w:t>
            </w:r>
            <w:r>
              <w:rPr>
                <w:noProof/>
                <w:webHidden/>
              </w:rPr>
              <w:tab/>
            </w:r>
            <w:r>
              <w:rPr>
                <w:noProof/>
                <w:webHidden/>
              </w:rPr>
              <w:fldChar w:fldCharType="begin"/>
            </w:r>
            <w:r>
              <w:rPr>
                <w:noProof/>
                <w:webHidden/>
              </w:rPr>
              <w:instrText xml:space="preserve"> PAGEREF _Toc204007213 \h </w:instrText>
            </w:r>
            <w:r>
              <w:rPr>
                <w:noProof/>
                <w:webHidden/>
              </w:rPr>
            </w:r>
            <w:r>
              <w:rPr>
                <w:noProof/>
                <w:webHidden/>
              </w:rPr>
              <w:fldChar w:fldCharType="separate"/>
            </w:r>
            <w:r>
              <w:rPr>
                <w:noProof/>
                <w:webHidden/>
              </w:rPr>
              <w:t>10</w:t>
            </w:r>
            <w:r>
              <w:rPr>
                <w:noProof/>
                <w:webHidden/>
              </w:rPr>
              <w:fldChar w:fldCharType="end"/>
            </w:r>
          </w:hyperlink>
        </w:p>
        <w:p w14:paraId="1B0815CD" w14:textId="77777777" w:rsidR="004679BC" w:rsidRDefault="009522EA" w:rsidP="004679BC">
          <w:pPr>
            <w:rPr>
              <w:rFonts w:hint="eastAsia"/>
              <w:b/>
              <w:bCs/>
              <w:noProof/>
              <w:szCs w:val="20"/>
            </w:rPr>
          </w:pPr>
          <w:r>
            <w:rPr>
              <w:b/>
              <w:bCs/>
              <w:noProof/>
            </w:rPr>
            <w:lastRenderedPageBreak/>
            <w:fldChar w:fldCharType="end"/>
          </w:r>
        </w:p>
      </w:sdtContent>
    </w:sdt>
    <w:p w14:paraId="7DF0E43C" w14:textId="550AD131" w:rsidR="00661D29" w:rsidRDefault="008952AA" w:rsidP="00891621">
      <w:pPr>
        <w:pStyle w:val="Heading1"/>
        <w:rPr>
          <w:rFonts w:hint="eastAsia"/>
        </w:rPr>
      </w:pPr>
      <w:bookmarkStart w:id="4" w:name="_Toc204007181"/>
      <w:r w:rsidRPr="008952AA">
        <w:t>Melbourne’s strong economic growth powers ahead</w:t>
      </w:r>
      <w:bookmarkEnd w:id="4"/>
    </w:p>
    <w:p w14:paraId="3B0A092C" w14:textId="7060DFF1" w:rsidR="00661D29" w:rsidRDefault="008952AA" w:rsidP="00661D29">
      <w:bookmarkStart w:id="5" w:name="_Toc182490805"/>
      <w:r w:rsidRPr="008952AA">
        <w:t>Melbourne continues to be Australia’s powerhouse for economic growth, reinforcing the city as the best place in Australia to invest and do business. Over the last two decades</w:t>
      </w:r>
      <w:r w:rsidR="00BC4BD9">
        <w:t>,</w:t>
      </w:r>
      <w:r w:rsidRPr="008952AA">
        <w:t xml:space="preserve"> the increase in Melbourne’s Gross Regional Product (GRP) has significantly outpaced the rest of the country, </w:t>
      </w:r>
      <w:proofErr w:type="gramStart"/>
      <w:r w:rsidRPr="008952AA">
        <w:t>doubling</w:t>
      </w:r>
      <w:proofErr w:type="gramEnd"/>
      <w:r w:rsidRPr="008952AA">
        <w:t xml:space="preserve"> both state and national trends, as well as significantly growing its contribution to Victoria’s strong economy.</w:t>
      </w:r>
    </w:p>
    <w:p w14:paraId="10897150" w14:textId="43AE0CFF" w:rsidR="00F61A91" w:rsidRDefault="0008407B" w:rsidP="00661D29">
      <w:pPr>
        <w:pStyle w:val="Heading2"/>
        <w:rPr>
          <w:rFonts w:hint="eastAsia"/>
        </w:rPr>
      </w:pPr>
      <w:bookmarkStart w:id="6" w:name="_Toc204007182"/>
      <w:bookmarkEnd w:id="5"/>
      <w:r>
        <w:rPr>
          <w:lang w:val="en-AU"/>
        </w:rPr>
        <w:t xml:space="preserve">Table 1 - </w:t>
      </w:r>
      <w:r w:rsidR="008952AA" w:rsidRPr="008952AA">
        <w:rPr>
          <w:lang w:val="en-AU"/>
        </w:rPr>
        <w:t>City of Melbourne has an impressive</w:t>
      </w:r>
      <w:r w:rsidR="008952AA" w:rsidRPr="008952AA">
        <w:rPr>
          <w:b/>
          <w:lang w:val="en-AU"/>
        </w:rPr>
        <w:t xml:space="preserve"> 130% GRP increase</w:t>
      </w:r>
      <w:r w:rsidR="008952AA" w:rsidRPr="008952AA">
        <w:rPr>
          <w:lang w:val="en-AU"/>
        </w:rPr>
        <w:t xml:space="preserve"> over the past 20 years, significantly outperforming both Victoria (66%) and Australia (67%).</w:t>
      </w:r>
      <w:bookmarkEnd w:id="6"/>
    </w:p>
    <w:tbl>
      <w:tblPr>
        <w:tblStyle w:val="TableGrid"/>
        <w:tblW w:w="0" w:type="auto"/>
        <w:tblLook w:val="04A0" w:firstRow="1" w:lastRow="0" w:firstColumn="1" w:lastColumn="0" w:noHBand="0" w:noVBand="1"/>
      </w:tblPr>
      <w:tblGrid>
        <w:gridCol w:w="559"/>
        <w:gridCol w:w="3875"/>
        <w:gridCol w:w="3154"/>
        <w:gridCol w:w="2183"/>
      </w:tblGrid>
      <w:tr w:rsidR="007D567F" w:rsidRPr="00831CFC" w14:paraId="5092FB3B" w14:textId="77777777" w:rsidTr="007D567F">
        <w:tc>
          <w:tcPr>
            <w:tcW w:w="0" w:type="auto"/>
            <w:vAlign w:val="center"/>
            <w:hideMark/>
          </w:tcPr>
          <w:p w14:paraId="63144927" w14:textId="1EACCB92" w:rsidR="007D567F" w:rsidRPr="00831CFC" w:rsidRDefault="007D567F" w:rsidP="007D567F">
            <w:pPr>
              <w:spacing w:after="0" w:line="240" w:lineRule="auto"/>
              <w:jc w:val="center"/>
              <w:rPr>
                <w:rFonts w:eastAsia="Times New Roman" w:cs="Arial"/>
                <w:b/>
                <w:bCs/>
                <w:sz w:val="24"/>
                <w:lang w:eastAsia="en-AU"/>
              </w:rPr>
            </w:pPr>
            <w:bookmarkStart w:id="7" w:name="_Toc182490806"/>
            <w:r>
              <w:rPr>
                <w:b/>
                <w:bCs/>
              </w:rPr>
              <w:t>Year</w:t>
            </w:r>
          </w:p>
        </w:tc>
        <w:tc>
          <w:tcPr>
            <w:tcW w:w="0" w:type="auto"/>
            <w:vAlign w:val="center"/>
            <w:hideMark/>
          </w:tcPr>
          <w:p w14:paraId="1C475342" w14:textId="39ABD063" w:rsidR="007D567F" w:rsidRPr="00831CFC" w:rsidRDefault="007D567F" w:rsidP="007D567F">
            <w:pPr>
              <w:spacing w:after="0" w:line="240" w:lineRule="auto"/>
              <w:jc w:val="center"/>
              <w:rPr>
                <w:rFonts w:eastAsia="Times New Roman" w:cs="Arial"/>
                <w:b/>
                <w:bCs/>
                <w:sz w:val="24"/>
                <w:lang w:eastAsia="en-AU"/>
              </w:rPr>
            </w:pPr>
            <w:r>
              <w:rPr>
                <w:b/>
                <w:bCs/>
              </w:rPr>
              <w:t>City of Melbourne – Cumulative GRP Change (%)</w:t>
            </w:r>
          </w:p>
        </w:tc>
        <w:tc>
          <w:tcPr>
            <w:tcW w:w="0" w:type="auto"/>
            <w:vAlign w:val="center"/>
            <w:hideMark/>
          </w:tcPr>
          <w:p w14:paraId="7751C8A4" w14:textId="4EEF9E42" w:rsidR="007D567F" w:rsidRPr="00831CFC" w:rsidRDefault="007D567F" w:rsidP="007D567F">
            <w:pPr>
              <w:spacing w:after="0" w:line="240" w:lineRule="auto"/>
              <w:jc w:val="center"/>
              <w:rPr>
                <w:rFonts w:eastAsia="Times New Roman" w:cs="Arial"/>
                <w:b/>
                <w:bCs/>
                <w:sz w:val="24"/>
                <w:lang w:eastAsia="en-AU"/>
              </w:rPr>
            </w:pPr>
            <w:r>
              <w:rPr>
                <w:b/>
                <w:bCs/>
              </w:rPr>
              <w:t>Victoria</w:t>
            </w:r>
            <w:r w:rsidR="00D8218E">
              <w:rPr>
                <w:b/>
                <w:bCs/>
              </w:rPr>
              <w:t xml:space="preserve"> – Cumulative GRP Change (%)</w:t>
            </w:r>
            <w:r>
              <w:rPr>
                <w:b/>
                <w:bCs/>
              </w:rPr>
              <w:t xml:space="preserve"> </w:t>
            </w:r>
          </w:p>
        </w:tc>
        <w:tc>
          <w:tcPr>
            <w:tcW w:w="2183" w:type="dxa"/>
            <w:vAlign w:val="center"/>
            <w:hideMark/>
          </w:tcPr>
          <w:p w14:paraId="178B283A" w14:textId="65F91472" w:rsidR="007D567F" w:rsidRPr="00831CFC" w:rsidRDefault="007D567F" w:rsidP="007D567F">
            <w:pPr>
              <w:spacing w:after="0" w:line="240" w:lineRule="auto"/>
              <w:jc w:val="center"/>
              <w:rPr>
                <w:rFonts w:eastAsia="Times New Roman" w:cs="Arial"/>
                <w:b/>
                <w:bCs/>
                <w:sz w:val="24"/>
                <w:lang w:eastAsia="en-AU"/>
              </w:rPr>
            </w:pPr>
            <w:r>
              <w:rPr>
                <w:b/>
                <w:bCs/>
              </w:rPr>
              <w:t>Australia</w:t>
            </w:r>
            <w:r w:rsidR="00D8218E">
              <w:rPr>
                <w:b/>
                <w:bCs/>
              </w:rPr>
              <w:t xml:space="preserve"> – Cumulative GRP Change (%)</w:t>
            </w:r>
          </w:p>
        </w:tc>
      </w:tr>
      <w:tr w:rsidR="007D567F" w:rsidRPr="00831CFC" w14:paraId="1C8AFC47" w14:textId="77777777" w:rsidTr="007D567F">
        <w:tc>
          <w:tcPr>
            <w:tcW w:w="0" w:type="auto"/>
            <w:vAlign w:val="center"/>
            <w:hideMark/>
          </w:tcPr>
          <w:p w14:paraId="31BCEF2F" w14:textId="3DC8F652" w:rsidR="007D567F" w:rsidRPr="00831CFC" w:rsidRDefault="007D567F" w:rsidP="007D567F">
            <w:pPr>
              <w:spacing w:after="0" w:line="240" w:lineRule="auto"/>
              <w:rPr>
                <w:rFonts w:eastAsia="Times New Roman" w:cs="Arial"/>
                <w:sz w:val="24"/>
                <w:lang w:eastAsia="en-AU"/>
              </w:rPr>
            </w:pPr>
            <w:r>
              <w:t>2004</w:t>
            </w:r>
          </w:p>
        </w:tc>
        <w:tc>
          <w:tcPr>
            <w:tcW w:w="0" w:type="auto"/>
            <w:vAlign w:val="center"/>
            <w:hideMark/>
          </w:tcPr>
          <w:p w14:paraId="3830B55E" w14:textId="19166CB5" w:rsidR="007D567F" w:rsidRPr="00831CFC" w:rsidRDefault="007D567F" w:rsidP="007D567F">
            <w:pPr>
              <w:spacing w:after="0" w:line="240" w:lineRule="auto"/>
              <w:rPr>
                <w:rFonts w:eastAsia="Times New Roman" w:cs="Arial"/>
                <w:sz w:val="24"/>
                <w:lang w:eastAsia="en-AU"/>
              </w:rPr>
            </w:pPr>
            <w:r>
              <w:t>100.0</w:t>
            </w:r>
          </w:p>
        </w:tc>
        <w:tc>
          <w:tcPr>
            <w:tcW w:w="0" w:type="auto"/>
            <w:vAlign w:val="center"/>
            <w:hideMark/>
          </w:tcPr>
          <w:p w14:paraId="3FAAA214" w14:textId="35E87F99" w:rsidR="007D567F" w:rsidRPr="00831CFC" w:rsidRDefault="007D567F" w:rsidP="007D567F">
            <w:pPr>
              <w:spacing w:after="0" w:line="240" w:lineRule="auto"/>
              <w:rPr>
                <w:rFonts w:eastAsia="Times New Roman" w:cs="Arial"/>
                <w:sz w:val="24"/>
                <w:lang w:eastAsia="en-AU"/>
              </w:rPr>
            </w:pPr>
            <w:r>
              <w:t>100.0</w:t>
            </w:r>
          </w:p>
        </w:tc>
        <w:tc>
          <w:tcPr>
            <w:tcW w:w="2183" w:type="dxa"/>
            <w:vAlign w:val="center"/>
            <w:hideMark/>
          </w:tcPr>
          <w:p w14:paraId="1018A552" w14:textId="00512A48" w:rsidR="007D567F" w:rsidRPr="00831CFC" w:rsidRDefault="007D567F" w:rsidP="007D567F">
            <w:pPr>
              <w:spacing w:after="0" w:line="240" w:lineRule="auto"/>
              <w:rPr>
                <w:rFonts w:eastAsia="Times New Roman" w:cs="Arial"/>
                <w:sz w:val="24"/>
                <w:lang w:eastAsia="en-AU"/>
              </w:rPr>
            </w:pPr>
            <w:r>
              <w:t>100</w:t>
            </w:r>
          </w:p>
        </w:tc>
      </w:tr>
      <w:tr w:rsidR="007D567F" w:rsidRPr="00831CFC" w14:paraId="69E23955" w14:textId="77777777" w:rsidTr="007D567F">
        <w:tc>
          <w:tcPr>
            <w:tcW w:w="0" w:type="auto"/>
            <w:vAlign w:val="center"/>
            <w:hideMark/>
          </w:tcPr>
          <w:p w14:paraId="1AFD0032" w14:textId="719B5427" w:rsidR="007D567F" w:rsidRPr="00831CFC" w:rsidRDefault="007D567F" w:rsidP="007D567F">
            <w:pPr>
              <w:spacing w:after="0" w:line="240" w:lineRule="auto"/>
              <w:rPr>
                <w:rFonts w:eastAsia="Times New Roman" w:cs="Arial"/>
                <w:sz w:val="24"/>
                <w:lang w:eastAsia="en-AU"/>
              </w:rPr>
            </w:pPr>
            <w:r>
              <w:t>2005</w:t>
            </w:r>
          </w:p>
        </w:tc>
        <w:tc>
          <w:tcPr>
            <w:tcW w:w="0" w:type="auto"/>
            <w:vAlign w:val="center"/>
            <w:hideMark/>
          </w:tcPr>
          <w:p w14:paraId="76FD2DD1" w14:textId="449E4CA4" w:rsidR="007D567F" w:rsidRPr="00831CFC" w:rsidRDefault="007D567F" w:rsidP="007D567F">
            <w:pPr>
              <w:spacing w:after="0" w:line="240" w:lineRule="auto"/>
              <w:rPr>
                <w:rFonts w:eastAsia="Times New Roman" w:cs="Arial"/>
                <w:sz w:val="24"/>
                <w:lang w:eastAsia="en-AU"/>
              </w:rPr>
            </w:pPr>
            <w:r>
              <w:t>106.0</w:t>
            </w:r>
          </w:p>
        </w:tc>
        <w:tc>
          <w:tcPr>
            <w:tcW w:w="0" w:type="auto"/>
            <w:vAlign w:val="center"/>
            <w:hideMark/>
          </w:tcPr>
          <w:p w14:paraId="69D398D8" w14:textId="7918163A" w:rsidR="007D567F" w:rsidRPr="00831CFC" w:rsidRDefault="007D567F" w:rsidP="007D567F">
            <w:pPr>
              <w:spacing w:after="0" w:line="240" w:lineRule="auto"/>
              <w:rPr>
                <w:rFonts w:eastAsia="Times New Roman" w:cs="Arial"/>
                <w:sz w:val="24"/>
                <w:lang w:eastAsia="en-AU"/>
              </w:rPr>
            </w:pPr>
            <w:r>
              <w:t>104.2</w:t>
            </w:r>
          </w:p>
        </w:tc>
        <w:tc>
          <w:tcPr>
            <w:tcW w:w="2183" w:type="dxa"/>
            <w:vAlign w:val="center"/>
            <w:hideMark/>
          </w:tcPr>
          <w:p w14:paraId="759B824A" w14:textId="71DB915D" w:rsidR="007D567F" w:rsidRPr="00831CFC" w:rsidRDefault="007D567F" w:rsidP="007D567F">
            <w:pPr>
              <w:spacing w:after="0" w:line="240" w:lineRule="auto"/>
              <w:rPr>
                <w:rFonts w:eastAsia="Times New Roman" w:cs="Arial"/>
                <w:sz w:val="24"/>
                <w:lang w:eastAsia="en-AU"/>
              </w:rPr>
            </w:pPr>
            <w:r>
              <w:t>103</w:t>
            </w:r>
          </w:p>
        </w:tc>
      </w:tr>
      <w:tr w:rsidR="007D567F" w:rsidRPr="00831CFC" w14:paraId="3104E3A4" w14:textId="77777777" w:rsidTr="007D567F">
        <w:tc>
          <w:tcPr>
            <w:tcW w:w="0" w:type="auto"/>
            <w:vAlign w:val="center"/>
            <w:hideMark/>
          </w:tcPr>
          <w:p w14:paraId="26BE53D0" w14:textId="1D557C38" w:rsidR="007D567F" w:rsidRPr="00831CFC" w:rsidRDefault="007D567F" w:rsidP="007D567F">
            <w:pPr>
              <w:spacing w:after="0" w:line="240" w:lineRule="auto"/>
              <w:rPr>
                <w:rFonts w:eastAsia="Times New Roman" w:cs="Arial"/>
                <w:sz w:val="24"/>
                <w:lang w:eastAsia="en-AU"/>
              </w:rPr>
            </w:pPr>
            <w:r>
              <w:t>2006</w:t>
            </w:r>
          </w:p>
        </w:tc>
        <w:tc>
          <w:tcPr>
            <w:tcW w:w="0" w:type="auto"/>
            <w:vAlign w:val="center"/>
            <w:hideMark/>
          </w:tcPr>
          <w:p w14:paraId="6EA2158C" w14:textId="3FFD7204" w:rsidR="007D567F" w:rsidRPr="00831CFC" w:rsidRDefault="007D567F" w:rsidP="007D567F">
            <w:pPr>
              <w:spacing w:after="0" w:line="240" w:lineRule="auto"/>
              <w:rPr>
                <w:rFonts w:eastAsia="Times New Roman" w:cs="Arial"/>
                <w:sz w:val="24"/>
                <w:lang w:eastAsia="en-AU"/>
              </w:rPr>
            </w:pPr>
            <w:r>
              <w:t>109.8</w:t>
            </w:r>
          </w:p>
        </w:tc>
        <w:tc>
          <w:tcPr>
            <w:tcW w:w="0" w:type="auto"/>
            <w:vAlign w:val="center"/>
            <w:hideMark/>
          </w:tcPr>
          <w:p w14:paraId="5B218488" w14:textId="572F982D" w:rsidR="007D567F" w:rsidRPr="00831CFC" w:rsidRDefault="007D567F" w:rsidP="007D567F">
            <w:pPr>
              <w:spacing w:after="0" w:line="240" w:lineRule="auto"/>
              <w:rPr>
                <w:rFonts w:eastAsia="Times New Roman" w:cs="Arial"/>
                <w:sz w:val="24"/>
                <w:lang w:eastAsia="en-AU"/>
              </w:rPr>
            </w:pPr>
            <w:r>
              <w:t>106.4</w:t>
            </w:r>
          </w:p>
        </w:tc>
        <w:tc>
          <w:tcPr>
            <w:tcW w:w="2183" w:type="dxa"/>
            <w:vAlign w:val="center"/>
            <w:hideMark/>
          </w:tcPr>
          <w:p w14:paraId="2FE64C2B" w14:textId="5A8385A8" w:rsidR="007D567F" w:rsidRPr="00831CFC" w:rsidRDefault="007D567F" w:rsidP="007D567F">
            <w:pPr>
              <w:spacing w:after="0" w:line="240" w:lineRule="auto"/>
              <w:rPr>
                <w:rFonts w:eastAsia="Times New Roman" w:cs="Arial"/>
                <w:sz w:val="24"/>
                <w:lang w:eastAsia="en-AU"/>
              </w:rPr>
            </w:pPr>
            <w:r>
              <w:t>106</w:t>
            </w:r>
          </w:p>
        </w:tc>
      </w:tr>
      <w:tr w:rsidR="007D567F" w:rsidRPr="00831CFC" w14:paraId="34B870E4" w14:textId="77777777" w:rsidTr="007D567F">
        <w:tc>
          <w:tcPr>
            <w:tcW w:w="0" w:type="auto"/>
            <w:vAlign w:val="center"/>
            <w:hideMark/>
          </w:tcPr>
          <w:p w14:paraId="239DD223" w14:textId="070861A1" w:rsidR="007D567F" w:rsidRPr="00831CFC" w:rsidRDefault="007D567F" w:rsidP="007D567F">
            <w:pPr>
              <w:spacing w:after="0" w:line="240" w:lineRule="auto"/>
              <w:rPr>
                <w:rFonts w:eastAsia="Times New Roman" w:cs="Arial"/>
                <w:sz w:val="24"/>
                <w:lang w:eastAsia="en-AU"/>
              </w:rPr>
            </w:pPr>
            <w:r>
              <w:t>2007</w:t>
            </w:r>
          </w:p>
        </w:tc>
        <w:tc>
          <w:tcPr>
            <w:tcW w:w="0" w:type="auto"/>
            <w:vAlign w:val="center"/>
            <w:hideMark/>
          </w:tcPr>
          <w:p w14:paraId="78934E18" w14:textId="039436B6" w:rsidR="007D567F" w:rsidRPr="00831CFC" w:rsidRDefault="007D567F" w:rsidP="007D567F">
            <w:pPr>
              <w:spacing w:after="0" w:line="240" w:lineRule="auto"/>
              <w:rPr>
                <w:rFonts w:eastAsia="Times New Roman" w:cs="Arial"/>
                <w:sz w:val="24"/>
                <w:lang w:eastAsia="en-AU"/>
              </w:rPr>
            </w:pPr>
            <w:r>
              <w:t>119.5</w:t>
            </w:r>
          </w:p>
        </w:tc>
        <w:tc>
          <w:tcPr>
            <w:tcW w:w="0" w:type="auto"/>
            <w:vAlign w:val="center"/>
            <w:hideMark/>
          </w:tcPr>
          <w:p w14:paraId="4627F690" w14:textId="6AB66C97" w:rsidR="007D567F" w:rsidRPr="00831CFC" w:rsidRDefault="007D567F" w:rsidP="007D567F">
            <w:pPr>
              <w:spacing w:after="0" w:line="240" w:lineRule="auto"/>
              <w:rPr>
                <w:rFonts w:eastAsia="Times New Roman" w:cs="Arial"/>
                <w:sz w:val="24"/>
                <w:lang w:eastAsia="en-AU"/>
              </w:rPr>
            </w:pPr>
            <w:r>
              <w:t>109.3</w:t>
            </w:r>
          </w:p>
        </w:tc>
        <w:tc>
          <w:tcPr>
            <w:tcW w:w="2183" w:type="dxa"/>
            <w:vAlign w:val="center"/>
            <w:hideMark/>
          </w:tcPr>
          <w:p w14:paraId="062AD84B" w14:textId="49061AD7" w:rsidR="007D567F" w:rsidRPr="00831CFC" w:rsidRDefault="007D567F" w:rsidP="007D567F">
            <w:pPr>
              <w:spacing w:after="0" w:line="240" w:lineRule="auto"/>
              <w:rPr>
                <w:rFonts w:eastAsia="Times New Roman" w:cs="Arial"/>
                <w:sz w:val="24"/>
                <w:lang w:eastAsia="en-AU"/>
              </w:rPr>
            </w:pPr>
            <w:r>
              <w:t>110</w:t>
            </w:r>
          </w:p>
        </w:tc>
      </w:tr>
      <w:tr w:rsidR="007D567F" w:rsidRPr="00831CFC" w14:paraId="13454114" w14:textId="77777777" w:rsidTr="007D567F">
        <w:tc>
          <w:tcPr>
            <w:tcW w:w="0" w:type="auto"/>
            <w:vAlign w:val="center"/>
            <w:hideMark/>
          </w:tcPr>
          <w:p w14:paraId="22CFA4C9" w14:textId="6909E176" w:rsidR="007D567F" w:rsidRPr="00831CFC" w:rsidRDefault="007D567F" w:rsidP="007D567F">
            <w:pPr>
              <w:spacing w:after="0" w:line="240" w:lineRule="auto"/>
              <w:rPr>
                <w:rFonts w:eastAsia="Times New Roman" w:cs="Arial"/>
                <w:sz w:val="24"/>
                <w:lang w:eastAsia="en-AU"/>
              </w:rPr>
            </w:pPr>
            <w:r>
              <w:t>2008</w:t>
            </w:r>
          </w:p>
        </w:tc>
        <w:tc>
          <w:tcPr>
            <w:tcW w:w="0" w:type="auto"/>
            <w:vAlign w:val="center"/>
            <w:hideMark/>
          </w:tcPr>
          <w:p w14:paraId="12F17137" w14:textId="249DD0C4" w:rsidR="007D567F" w:rsidRPr="00831CFC" w:rsidRDefault="007D567F" w:rsidP="007D567F">
            <w:pPr>
              <w:spacing w:after="0" w:line="240" w:lineRule="auto"/>
              <w:rPr>
                <w:rFonts w:eastAsia="Times New Roman" w:cs="Arial"/>
                <w:sz w:val="24"/>
                <w:lang w:eastAsia="en-AU"/>
              </w:rPr>
            </w:pPr>
            <w:r>
              <w:t>128.0</w:t>
            </w:r>
          </w:p>
        </w:tc>
        <w:tc>
          <w:tcPr>
            <w:tcW w:w="0" w:type="auto"/>
            <w:vAlign w:val="center"/>
            <w:hideMark/>
          </w:tcPr>
          <w:p w14:paraId="5390F550" w14:textId="2ED24E00" w:rsidR="007D567F" w:rsidRPr="00831CFC" w:rsidRDefault="007D567F" w:rsidP="007D567F">
            <w:pPr>
              <w:spacing w:after="0" w:line="240" w:lineRule="auto"/>
              <w:rPr>
                <w:rFonts w:eastAsia="Times New Roman" w:cs="Arial"/>
                <w:sz w:val="24"/>
                <w:lang w:eastAsia="en-AU"/>
              </w:rPr>
            </w:pPr>
            <w:r>
              <w:t>113.2</w:t>
            </w:r>
          </w:p>
        </w:tc>
        <w:tc>
          <w:tcPr>
            <w:tcW w:w="2183" w:type="dxa"/>
            <w:vAlign w:val="center"/>
            <w:hideMark/>
          </w:tcPr>
          <w:p w14:paraId="7B1FEFF3" w14:textId="0C36C5A6" w:rsidR="007D567F" w:rsidRPr="00831CFC" w:rsidRDefault="007D567F" w:rsidP="007D567F">
            <w:pPr>
              <w:spacing w:after="0" w:line="240" w:lineRule="auto"/>
              <w:rPr>
                <w:rFonts w:eastAsia="Times New Roman" w:cs="Arial"/>
                <w:sz w:val="24"/>
                <w:lang w:eastAsia="en-AU"/>
              </w:rPr>
            </w:pPr>
            <w:r>
              <w:t>114</w:t>
            </w:r>
          </w:p>
        </w:tc>
      </w:tr>
      <w:tr w:rsidR="007D567F" w:rsidRPr="00831CFC" w14:paraId="2C0396C1" w14:textId="77777777" w:rsidTr="007D567F">
        <w:tc>
          <w:tcPr>
            <w:tcW w:w="0" w:type="auto"/>
            <w:vAlign w:val="center"/>
            <w:hideMark/>
          </w:tcPr>
          <w:p w14:paraId="62DE6339" w14:textId="0CB322BB" w:rsidR="007D567F" w:rsidRPr="00831CFC" w:rsidRDefault="007D567F" w:rsidP="007D567F">
            <w:pPr>
              <w:spacing w:after="0" w:line="240" w:lineRule="auto"/>
              <w:rPr>
                <w:rFonts w:eastAsia="Times New Roman" w:cs="Arial"/>
                <w:sz w:val="24"/>
                <w:lang w:eastAsia="en-AU"/>
              </w:rPr>
            </w:pPr>
            <w:r>
              <w:t>2009</w:t>
            </w:r>
          </w:p>
        </w:tc>
        <w:tc>
          <w:tcPr>
            <w:tcW w:w="0" w:type="auto"/>
            <w:vAlign w:val="center"/>
            <w:hideMark/>
          </w:tcPr>
          <w:p w14:paraId="08915C13" w14:textId="190C8C9D" w:rsidR="007D567F" w:rsidRPr="00831CFC" w:rsidRDefault="007D567F" w:rsidP="007D567F">
            <w:pPr>
              <w:spacing w:after="0" w:line="240" w:lineRule="auto"/>
              <w:rPr>
                <w:rFonts w:eastAsia="Times New Roman" w:cs="Arial"/>
                <w:sz w:val="24"/>
                <w:lang w:eastAsia="en-AU"/>
              </w:rPr>
            </w:pPr>
            <w:r>
              <w:t>132.9</w:t>
            </w:r>
          </w:p>
        </w:tc>
        <w:tc>
          <w:tcPr>
            <w:tcW w:w="0" w:type="auto"/>
            <w:vAlign w:val="center"/>
            <w:hideMark/>
          </w:tcPr>
          <w:p w14:paraId="4B85FAA0" w14:textId="3E70FF58" w:rsidR="007D567F" w:rsidRPr="00831CFC" w:rsidRDefault="007D567F" w:rsidP="007D567F">
            <w:pPr>
              <w:spacing w:after="0" w:line="240" w:lineRule="auto"/>
              <w:rPr>
                <w:rFonts w:eastAsia="Times New Roman" w:cs="Arial"/>
                <w:sz w:val="24"/>
                <w:lang w:eastAsia="en-AU"/>
              </w:rPr>
            </w:pPr>
            <w:r>
              <w:t>115.4</w:t>
            </w:r>
          </w:p>
        </w:tc>
        <w:tc>
          <w:tcPr>
            <w:tcW w:w="2183" w:type="dxa"/>
            <w:vAlign w:val="center"/>
            <w:hideMark/>
          </w:tcPr>
          <w:p w14:paraId="6DECAF07" w14:textId="0234F26E" w:rsidR="007D567F" w:rsidRPr="00831CFC" w:rsidRDefault="007D567F" w:rsidP="007D567F">
            <w:pPr>
              <w:spacing w:after="0" w:line="240" w:lineRule="auto"/>
              <w:rPr>
                <w:rFonts w:eastAsia="Times New Roman" w:cs="Arial"/>
                <w:sz w:val="24"/>
                <w:lang w:eastAsia="en-AU"/>
              </w:rPr>
            </w:pPr>
            <w:r>
              <w:t>116</w:t>
            </w:r>
          </w:p>
        </w:tc>
      </w:tr>
      <w:tr w:rsidR="007D567F" w:rsidRPr="00831CFC" w14:paraId="6F8A976C" w14:textId="77777777" w:rsidTr="007D567F">
        <w:tc>
          <w:tcPr>
            <w:tcW w:w="0" w:type="auto"/>
            <w:vAlign w:val="center"/>
            <w:hideMark/>
          </w:tcPr>
          <w:p w14:paraId="20BB43A8" w14:textId="2B12E22C" w:rsidR="007D567F" w:rsidRPr="00831CFC" w:rsidRDefault="007D567F" w:rsidP="007D567F">
            <w:pPr>
              <w:spacing w:after="0" w:line="240" w:lineRule="auto"/>
              <w:rPr>
                <w:rFonts w:eastAsia="Times New Roman" w:cs="Arial"/>
                <w:sz w:val="24"/>
                <w:lang w:eastAsia="en-AU"/>
              </w:rPr>
            </w:pPr>
            <w:r>
              <w:t>2010</w:t>
            </w:r>
          </w:p>
        </w:tc>
        <w:tc>
          <w:tcPr>
            <w:tcW w:w="0" w:type="auto"/>
            <w:vAlign w:val="center"/>
            <w:hideMark/>
          </w:tcPr>
          <w:p w14:paraId="4B1F39D4" w14:textId="3290A7C5" w:rsidR="007D567F" w:rsidRPr="00831CFC" w:rsidRDefault="007D567F" w:rsidP="007D567F">
            <w:pPr>
              <w:spacing w:after="0" w:line="240" w:lineRule="auto"/>
              <w:rPr>
                <w:rFonts w:eastAsia="Times New Roman" w:cs="Arial"/>
                <w:sz w:val="24"/>
                <w:lang w:eastAsia="en-AU"/>
              </w:rPr>
            </w:pPr>
            <w:r>
              <w:t>138.3</w:t>
            </w:r>
          </w:p>
        </w:tc>
        <w:tc>
          <w:tcPr>
            <w:tcW w:w="0" w:type="auto"/>
            <w:vAlign w:val="center"/>
            <w:hideMark/>
          </w:tcPr>
          <w:p w14:paraId="07FA63E5" w14:textId="57659866" w:rsidR="007D567F" w:rsidRPr="00831CFC" w:rsidRDefault="007D567F" w:rsidP="007D567F">
            <w:pPr>
              <w:spacing w:after="0" w:line="240" w:lineRule="auto"/>
              <w:rPr>
                <w:rFonts w:eastAsia="Times New Roman" w:cs="Arial"/>
                <w:sz w:val="24"/>
                <w:lang w:eastAsia="en-AU"/>
              </w:rPr>
            </w:pPr>
            <w:r>
              <w:t>116.5</w:t>
            </w:r>
          </w:p>
        </w:tc>
        <w:tc>
          <w:tcPr>
            <w:tcW w:w="2183" w:type="dxa"/>
            <w:vAlign w:val="center"/>
            <w:hideMark/>
          </w:tcPr>
          <w:p w14:paraId="2BD6EE8E" w14:textId="2958D5E6" w:rsidR="007D567F" w:rsidRPr="00831CFC" w:rsidRDefault="007D567F" w:rsidP="007D567F">
            <w:pPr>
              <w:spacing w:after="0" w:line="240" w:lineRule="auto"/>
              <w:rPr>
                <w:rFonts w:eastAsia="Times New Roman" w:cs="Arial"/>
                <w:sz w:val="24"/>
                <w:lang w:eastAsia="en-AU"/>
              </w:rPr>
            </w:pPr>
            <w:r>
              <w:t>119</w:t>
            </w:r>
          </w:p>
        </w:tc>
      </w:tr>
      <w:tr w:rsidR="007D567F" w:rsidRPr="00831CFC" w14:paraId="078CD153" w14:textId="77777777" w:rsidTr="007D567F">
        <w:tc>
          <w:tcPr>
            <w:tcW w:w="0" w:type="auto"/>
            <w:vAlign w:val="center"/>
            <w:hideMark/>
          </w:tcPr>
          <w:p w14:paraId="32E00245" w14:textId="77782830" w:rsidR="007D567F" w:rsidRPr="00831CFC" w:rsidRDefault="007D567F" w:rsidP="007D567F">
            <w:pPr>
              <w:spacing w:after="0" w:line="240" w:lineRule="auto"/>
              <w:rPr>
                <w:rFonts w:eastAsia="Times New Roman" w:cs="Arial"/>
                <w:sz w:val="24"/>
                <w:lang w:eastAsia="en-AU"/>
              </w:rPr>
            </w:pPr>
            <w:r>
              <w:t>2011</w:t>
            </w:r>
          </w:p>
        </w:tc>
        <w:tc>
          <w:tcPr>
            <w:tcW w:w="0" w:type="auto"/>
            <w:vAlign w:val="center"/>
            <w:hideMark/>
          </w:tcPr>
          <w:p w14:paraId="56C3EA9B" w14:textId="4C80D03D" w:rsidR="007D567F" w:rsidRPr="00831CFC" w:rsidRDefault="007D567F" w:rsidP="007D567F">
            <w:pPr>
              <w:spacing w:after="0" w:line="240" w:lineRule="auto"/>
              <w:rPr>
                <w:rFonts w:eastAsia="Times New Roman" w:cs="Arial"/>
                <w:sz w:val="24"/>
                <w:lang w:eastAsia="en-AU"/>
              </w:rPr>
            </w:pPr>
            <w:r>
              <w:t>145.9</w:t>
            </w:r>
          </w:p>
        </w:tc>
        <w:tc>
          <w:tcPr>
            <w:tcW w:w="0" w:type="auto"/>
            <w:vAlign w:val="center"/>
            <w:hideMark/>
          </w:tcPr>
          <w:p w14:paraId="350C1879" w14:textId="0F3DD583" w:rsidR="007D567F" w:rsidRPr="00831CFC" w:rsidRDefault="007D567F" w:rsidP="007D567F">
            <w:pPr>
              <w:spacing w:after="0" w:line="240" w:lineRule="auto"/>
              <w:rPr>
                <w:rFonts w:eastAsia="Times New Roman" w:cs="Arial"/>
                <w:sz w:val="24"/>
                <w:lang w:eastAsia="en-AU"/>
              </w:rPr>
            </w:pPr>
            <w:r>
              <w:t>119.8</w:t>
            </w:r>
          </w:p>
        </w:tc>
        <w:tc>
          <w:tcPr>
            <w:tcW w:w="2183" w:type="dxa"/>
            <w:vAlign w:val="center"/>
            <w:hideMark/>
          </w:tcPr>
          <w:p w14:paraId="2C139D78" w14:textId="4DFF7BE7" w:rsidR="007D567F" w:rsidRPr="00831CFC" w:rsidRDefault="007D567F" w:rsidP="007D567F">
            <w:pPr>
              <w:spacing w:after="0" w:line="240" w:lineRule="auto"/>
              <w:rPr>
                <w:rFonts w:eastAsia="Times New Roman" w:cs="Arial"/>
                <w:sz w:val="24"/>
                <w:lang w:eastAsia="en-AU"/>
              </w:rPr>
            </w:pPr>
            <w:r>
              <w:t>122</w:t>
            </w:r>
          </w:p>
        </w:tc>
      </w:tr>
      <w:tr w:rsidR="007D567F" w:rsidRPr="00831CFC" w14:paraId="2EA9B49B" w14:textId="77777777" w:rsidTr="007D567F">
        <w:tc>
          <w:tcPr>
            <w:tcW w:w="0" w:type="auto"/>
            <w:vAlign w:val="center"/>
            <w:hideMark/>
          </w:tcPr>
          <w:p w14:paraId="404710A1" w14:textId="2A167404" w:rsidR="007D567F" w:rsidRPr="00831CFC" w:rsidRDefault="007D567F" w:rsidP="007D567F">
            <w:pPr>
              <w:spacing w:after="0" w:line="240" w:lineRule="auto"/>
              <w:rPr>
                <w:rFonts w:eastAsia="Times New Roman" w:cs="Arial"/>
                <w:sz w:val="24"/>
                <w:lang w:eastAsia="en-AU"/>
              </w:rPr>
            </w:pPr>
            <w:r>
              <w:t>2012</w:t>
            </w:r>
          </w:p>
        </w:tc>
        <w:tc>
          <w:tcPr>
            <w:tcW w:w="0" w:type="auto"/>
            <w:vAlign w:val="center"/>
            <w:hideMark/>
          </w:tcPr>
          <w:p w14:paraId="0155C22A" w14:textId="19158CA3" w:rsidR="007D567F" w:rsidRPr="00831CFC" w:rsidRDefault="007D567F" w:rsidP="007D567F">
            <w:pPr>
              <w:spacing w:after="0" w:line="240" w:lineRule="auto"/>
              <w:rPr>
                <w:rFonts w:eastAsia="Times New Roman" w:cs="Arial"/>
                <w:sz w:val="24"/>
                <w:lang w:eastAsia="en-AU"/>
              </w:rPr>
            </w:pPr>
            <w:r>
              <w:t>151.9</w:t>
            </w:r>
          </w:p>
        </w:tc>
        <w:tc>
          <w:tcPr>
            <w:tcW w:w="0" w:type="auto"/>
            <w:vAlign w:val="center"/>
            <w:hideMark/>
          </w:tcPr>
          <w:p w14:paraId="52067849" w14:textId="0A1233CF" w:rsidR="007D567F" w:rsidRPr="00831CFC" w:rsidRDefault="007D567F" w:rsidP="007D567F">
            <w:pPr>
              <w:spacing w:after="0" w:line="240" w:lineRule="auto"/>
              <w:rPr>
                <w:rFonts w:eastAsia="Times New Roman" w:cs="Arial"/>
                <w:sz w:val="24"/>
                <w:lang w:eastAsia="en-AU"/>
              </w:rPr>
            </w:pPr>
            <w:r>
              <w:t>122.6</w:t>
            </w:r>
          </w:p>
        </w:tc>
        <w:tc>
          <w:tcPr>
            <w:tcW w:w="2183" w:type="dxa"/>
            <w:vAlign w:val="center"/>
            <w:hideMark/>
          </w:tcPr>
          <w:p w14:paraId="5D4156BF" w14:textId="5F829C67" w:rsidR="007D567F" w:rsidRPr="00831CFC" w:rsidRDefault="007D567F" w:rsidP="007D567F">
            <w:pPr>
              <w:spacing w:after="0" w:line="240" w:lineRule="auto"/>
              <w:rPr>
                <w:rFonts w:eastAsia="Times New Roman" w:cs="Arial"/>
                <w:sz w:val="24"/>
                <w:lang w:eastAsia="en-AU"/>
              </w:rPr>
            </w:pPr>
            <w:r>
              <w:t>126</w:t>
            </w:r>
          </w:p>
        </w:tc>
      </w:tr>
      <w:tr w:rsidR="007D567F" w:rsidRPr="00831CFC" w14:paraId="107A07FA" w14:textId="77777777" w:rsidTr="007D567F">
        <w:tc>
          <w:tcPr>
            <w:tcW w:w="0" w:type="auto"/>
            <w:vAlign w:val="center"/>
            <w:hideMark/>
          </w:tcPr>
          <w:p w14:paraId="3F826245" w14:textId="76D76C0A" w:rsidR="007D567F" w:rsidRPr="00831CFC" w:rsidRDefault="007D567F" w:rsidP="007D567F">
            <w:pPr>
              <w:spacing w:after="0" w:line="240" w:lineRule="auto"/>
              <w:rPr>
                <w:rFonts w:eastAsia="Times New Roman" w:cs="Arial"/>
                <w:sz w:val="24"/>
                <w:lang w:eastAsia="en-AU"/>
              </w:rPr>
            </w:pPr>
            <w:r>
              <w:t>2013</w:t>
            </w:r>
          </w:p>
        </w:tc>
        <w:tc>
          <w:tcPr>
            <w:tcW w:w="0" w:type="auto"/>
            <w:vAlign w:val="center"/>
            <w:hideMark/>
          </w:tcPr>
          <w:p w14:paraId="0800C13E" w14:textId="05334698" w:rsidR="007D567F" w:rsidRPr="00831CFC" w:rsidRDefault="007D567F" w:rsidP="007D567F">
            <w:pPr>
              <w:spacing w:after="0" w:line="240" w:lineRule="auto"/>
              <w:rPr>
                <w:rFonts w:eastAsia="Times New Roman" w:cs="Arial"/>
                <w:sz w:val="24"/>
                <w:lang w:eastAsia="en-AU"/>
              </w:rPr>
            </w:pPr>
            <w:r>
              <w:t>155.9</w:t>
            </w:r>
          </w:p>
        </w:tc>
        <w:tc>
          <w:tcPr>
            <w:tcW w:w="0" w:type="auto"/>
            <w:vAlign w:val="center"/>
            <w:hideMark/>
          </w:tcPr>
          <w:p w14:paraId="200228A3" w14:textId="66BD5353" w:rsidR="007D567F" w:rsidRPr="00831CFC" w:rsidRDefault="007D567F" w:rsidP="007D567F">
            <w:pPr>
              <w:spacing w:after="0" w:line="240" w:lineRule="auto"/>
              <w:rPr>
                <w:rFonts w:eastAsia="Times New Roman" w:cs="Arial"/>
                <w:sz w:val="24"/>
                <w:lang w:eastAsia="en-AU"/>
              </w:rPr>
            </w:pPr>
            <w:r>
              <w:t>123.7</w:t>
            </w:r>
          </w:p>
        </w:tc>
        <w:tc>
          <w:tcPr>
            <w:tcW w:w="2183" w:type="dxa"/>
            <w:vAlign w:val="center"/>
            <w:hideMark/>
          </w:tcPr>
          <w:p w14:paraId="0DDDC923" w14:textId="1347E4E3" w:rsidR="007D567F" w:rsidRPr="00831CFC" w:rsidRDefault="007D567F" w:rsidP="007D567F">
            <w:pPr>
              <w:spacing w:after="0" w:line="240" w:lineRule="auto"/>
              <w:rPr>
                <w:rFonts w:eastAsia="Times New Roman" w:cs="Arial"/>
                <w:sz w:val="24"/>
                <w:lang w:eastAsia="en-AU"/>
              </w:rPr>
            </w:pPr>
            <w:r>
              <w:t>130</w:t>
            </w:r>
          </w:p>
        </w:tc>
      </w:tr>
      <w:tr w:rsidR="007D567F" w:rsidRPr="00831CFC" w14:paraId="7D965468" w14:textId="77777777" w:rsidTr="007D567F">
        <w:tc>
          <w:tcPr>
            <w:tcW w:w="0" w:type="auto"/>
            <w:vAlign w:val="center"/>
            <w:hideMark/>
          </w:tcPr>
          <w:p w14:paraId="3490C781" w14:textId="3DE5850A" w:rsidR="007D567F" w:rsidRPr="00831CFC" w:rsidRDefault="007D567F" w:rsidP="007D567F">
            <w:pPr>
              <w:spacing w:after="0" w:line="240" w:lineRule="auto"/>
              <w:rPr>
                <w:rFonts w:eastAsia="Times New Roman" w:cs="Arial"/>
                <w:sz w:val="24"/>
                <w:lang w:eastAsia="en-AU"/>
              </w:rPr>
            </w:pPr>
            <w:r>
              <w:t>2014</w:t>
            </w:r>
          </w:p>
        </w:tc>
        <w:tc>
          <w:tcPr>
            <w:tcW w:w="0" w:type="auto"/>
            <w:vAlign w:val="center"/>
            <w:hideMark/>
          </w:tcPr>
          <w:p w14:paraId="314276DB" w14:textId="5A057DB4" w:rsidR="007D567F" w:rsidRPr="00831CFC" w:rsidRDefault="007D567F" w:rsidP="007D567F">
            <w:pPr>
              <w:spacing w:after="0" w:line="240" w:lineRule="auto"/>
              <w:rPr>
                <w:rFonts w:eastAsia="Times New Roman" w:cs="Arial"/>
                <w:sz w:val="24"/>
                <w:lang w:eastAsia="en-AU"/>
              </w:rPr>
            </w:pPr>
            <w:r>
              <w:t>160.9</w:t>
            </w:r>
          </w:p>
        </w:tc>
        <w:tc>
          <w:tcPr>
            <w:tcW w:w="0" w:type="auto"/>
            <w:vAlign w:val="center"/>
            <w:hideMark/>
          </w:tcPr>
          <w:p w14:paraId="5DD684FA" w14:textId="61210D79" w:rsidR="007D567F" w:rsidRPr="00831CFC" w:rsidRDefault="007D567F" w:rsidP="007D567F">
            <w:pPr>
              <w:spacing w:after="0" w:line="240" w:lineRule="auto"/>
              <w:rPr>
                <w:rFonts w:eastAsia="Times New Roman" w:cs="Arial"/>
                <w:sz w:val="24"/>
                <w:lang w:eastAsia="en-AU"/>
              </w:rPr>
            </w:pPr>
            <w:r>
              <w:t>126.3</w:t>
            </w:r>
          </w:p>
        </w:tc>
        <w:tc>
          <w:tcPr>
            <w:tcW w:w="2183" w:type="dxa"/>
            <w:vAlign w:val="center"/>
            <w:hideMark/>
          </w:tcPr>
          <w:p w14:paraId="09B8475C" w14:textId="6EF7FCB7" w:rsidR="007D567F" w:rsidRPr="00831CFC" w:rsidRDefault="007D567F" w:rsidP="007D567F">
            <w:pPr>
              <w:spacing w:after="0" w:line="240" w:lineRule="auto"/>
              <w:rPr>
                <w:rFonts w:eastAsia="Times New Roman" w:cs="Arial"/>
                <w:sz w:val="24"/>
                <w:lang w:eastAsia="en-AU"/>
              </w:rPr>
            </w:pPr>
            <w:r>
              <w:t>133</w:t>
            </w:r>
          </w:p>
        </w:tc>
      </w:tr>
      <w:tr w:rsidR="007D567F" w:rsidRPr="00831CFC" w14:paraId="009F6284" w14:textId="77777777" w:rsidTr="007D567F">
        <w:tc>
          <w:tcPr>
            <w:tcW w:w="0" w:type="auto"/>
            <w:vAlign w:val="center"/>
            <w:hideMark/>
          </w:tcPr>
          <w:p w14:paraId="0B311EA2" w14:textId="2E1E7742" w:rsidR="007D567F" w:rsidRPr="00831CFC" w:rsidRDefault="007D567F" w:rsidP="007D567F">
            <w:pPr>
              <w:spacing w:after="0" w:line="240" w:lineRule="auto"/>
              <w:rPr>
                <w:rFonts w:eastAsia="Times New Roman" w:cs="Arial"/>
                <w:sz w:val="24"/>
                <w:lang w:eastAsia="en-AU"/>
              </w:rPr>
            </w:pPr>
            <w:r>
              <w:t>2015</w:t>
            </w:r>
          </w:p>
        </w:tc>
        <w:tc>
          <w:tcPr>
            <w:tcW w:w="0" w:type="auto"/>
            <w:vAlign w:val="center"/>
            <w:hideMark/>
          </w:tcPr>
          <w:p w14:paraId="7670E246" w14:textId="4BF9017D" w:rsidR="007D567F" w:rsidRPr="00831CFC" w:rsidRDefault="007D567F" w:rsidP="007D567F">
            <w:pPr>
              <w:spacing w:after="0" w:line="240" w:lineRule="auto"/>
              <w:rPr>
                <w:rFonts w:eastAsia="Times New Roman" w:cs="Arial"/>
                <w:sz w:val="24"/>
                <w:lang w:eastAsia="en-AU"/>
              </w:rPr>
            </w:pPr>
            <w:r>
              <w:t>166.8</w:t>
            </w:r>
          </w:p>
        </w:tc>
        <w:tc>
          <w:tcPr>
            <w:tcW w:w="0" w:type="auto"/>
            <w:vAlign w:val="center"/>
            <w:hideMark/>
          </w:tcPr>
          <w:p w14:paraId="63A584D3" w14:textId="63959445" w:rsidR="007D567F" w:rsidRPr="00831CFC" w:rsidRDefault="007D567F" w:rsidP="007D567F">
            <w:pPr>
              <w:spacing w:after="0" w:line="240" w:lineRule="auto"/>
              <w:rPr>
                <w:rFonts w:eastAsia="Times New Roman" w:cs="Arial"/>
                <w:sz w:val="24"/>
                <w:lang w:eastAsia="en-AU"/>
              </w:rPr>
            </w:pPr>
            <w:r>
              <w:t>129.9</w:t>
            </w:r>
          </w:p>
        </w:tc>
        <w:tc>
          <w:tcPr>
            <w:tcW w:w="2183" w:type="dxa"/>
            <w:vAlign w:val="center"/>
            <w:hideMark/>
          </w:tcPr>
          <w:p w14:paraId="5FE573FC" w14:textId="717C36E7" w:rsidR="007D567F" w:rsidRPr="00831CFC" w:rsidRDefault="007D567F" w:rsidP="007D567F">
            <w:pPr>
              <w:spacing w:after="0" w:line="240" w:lineRule="auto"/>
              <w:rPr>
                <w:rFonts w:eastAsia="Times New Roman" w:cs="Arial"/>
                <w:sz w:val="24"/>
                <w:lang w:eastAsia="en-AU"/>
              </w:rPr>
            </w:pPr>
            <w:r>
              <w:t>136</w:t>
            </w:r>
          </w:p>
        </w:tc>
      </w:tr>
      <w:tr w:rsidR="007D567F" w:rsidRPr="00831CFC" w14:paraId="214DC329" w14:textId="77777777" w:rsidTr="007D567F">
        <w:tc>
          <w:tcPr>
            <w:tcW w:w="0" w:type="auto"/>
            <w:vAlign w:val="center"/>
            <w:hideMark/>
          </w:tcPr>
          <w:p w14:paraId="7D931EDE" w14:textId="24840B07" w:rsidR="007D567F" w:rsidRPr="00831CFC" w:rsidRDefault="007D567F" w:rsidP="007D567F">
            <w:pPr>
              <w:spacing w:after="0" w:line="240" w:lineRule="auto"/>
              <w:rPr>
                <w:rFonts w:eastAsia="Times New Roman" w:cs="Arial"/>
                <w:sz w:val="24"/>
                <w:lang w:eastAsia="en-AU"/>
              </w:rPr>
            </w:pPr>
            <w:r>
              <w:t>2016</w:t>
            </w:r>
          </w:p>
        </w:tc>
        <w:tc>
          <w:tcPr>
            <w:tcW w:w="0" w:type="auto"/>
            <w:vAlign w:val="center"/>
            <w:hideMark/>
          </w:tcPr>
          <w:p w14:paraId="10141E58" w14:textId="5B1D9D86" w:rsidR="007D567F" w:rsidRPr="00831CFC" w:rsidRDefault="007D567F" w:rsidP="007D567F">
            <w:pPr>
              <w:spacing w:after="0" w:line="240" w:lineRule="auto"/>
              <w:rPr>
                <w:rFonts w:eastAsia="Times New Roman" w:cs="Arial"/>
                <w:sz w:val="24"/>
                <w:lang w:eastAsia="en-AU"/>
              </w:rPr>
            </w:pPr>
            <w:r>
              <w:t>176.1</w:t>
            </w:r>
          </w:p>
        </w:tc>
        <w:tc>
          <w:tcPr>
            <w:tcW w:w="0" w:type="auto"/>
            <w:vAlign w:val="center"/>
            <w:hideMark/>
          </w:tcPr>
          <w:p w14:paraId="6EDCC000" w14:textId="6582E4BE" w:rsidR="007D567F" w:rsidRPr="00831CFC" w:rsidRDefault="007D567F" w:rsidP="007D567F">
            <w:pPr>
              <w:spacing w:after="0" w:line="240" w:lineRule="auto"/>
              <w:rPr>
                <w:rFonts w:eastAsia="Times New Roman" w:cs="Arial"/>
                <w:sz w:val="24"/>
                <w:lang w:eastAsia="en-AU"/>
              </w:rPr>
            </w:pPr>
            <w:r>
              <w:t>134.5</w:t>
            </w:r>
          </w:p>
        </w:tc>
        <w:tc>
          <w:tcPr>
            <w:tcW w:w="2183" w:type="dxa"/>
            <w:vAlign w:val="center"/>
            <w:hideMark/>
          </w:tcPr>
          <w:p w14:paraId="25BEBC62" w14:textId="1066DC14" w:rsidR="007D567F" w:rsidRPr="00831CFC" w:rsidRDefault="007D567F" w:rsidP="007D567F">
            <w:pPr>
              <w:spacing w:after="0" w:line="240" w:lineRule="auto"/>
              <w:rPr>
                <w:rFonts w:eastAsia="Times New Roman" w:cs="Arial"/>
                <w:sz w:val="24"/>
                <w:lang w:eastAsia="en-AU"/>
              </w:rPr>
            </w:pPr>
            <w:r>
              <w:t>140</w:t>
            </w:r>
          </w:p>
        </w:tc>
      </w:tr>
      <w:tr w:rsidR="007D567F" w:rsidRPr="00831CFC" w14:paraId="1D7FC573" w14:textId="77777777" w:rsidTr="007D567F">
        <w:tc>
          <w:tcPr>
            <w:tcW w:w="0" w:type="auto"/>
            <w:vAlign w:val="center"/>
            <w:hideMark/>
          </w:tcPr>
          <w:p w14:paraId="3F44C147" w14:textId="3891BB0B" w:rsidR="007D567F" w:rsidRPr="00831CFC" w:rsidRDefault="007D567F" w:rsidP="007D567F">
            <w:pPr>
              <w:spacing w:after="0" w:line="240" w:lineRule="auto"/>
              <w:rPr>
                <w:rFonts w:eastAsia="Times New Roman" w:cs="Arial"/>
                <w:sz w:val="24"/>
                <w:lang w:eastAsia="en-AU"/>
              </w:rPr>
            </w:pPr>
            <w:r>
              <w:t>2017</w:t>
            </w:r>
          </w:p>
        </w:tc>
        <w:tc>
          <w:tcPr>
            <w:tcW w:w="0" w:type="auto"/>
            <w:vAlign w:val="center"/>
            <w:hideMark/>
          </w:tcPr>
          <w:p w14:paraId="4BB7A246" w14:textId="1A5EB518" w:rsidR="007D567F" w:rsidRPr="00831CFC" w:rsidRDefault="007D567F" w:rsidP="007D567F">
            <w:pPr>
              <w:spacing w:after="0" w:line="240" w:lineRule="auto"/>
              <w:rPr>
                <w:rFonts w:eastAsia="Times New Roman" w:cs="Arial"/>
                <w:sz w:val="24"/>
                <w:lang w:eastAsia="en-AU"/>
              </w:rPr>
            </w:pPr>
            <w:r>
              <w:t>186.1</w:t>
            </w:r>
          </w:p>
        </w:tc>
        <w:tc>
          <w:tcPr>
            <w:tcW w:w="0" w:type="auto"/>
            <w:vAlign w:val="center"/>
            <w:hideMark/>
          </w:tcPr>
          <w:p w14:paraId="5ED93D55" w14:textId="06228A64" w:rsidR="007D567F" w:rsidRPr="00831CFC" w:rsidRDefault="007D567F" w:rsidP="007D567F">
            <w:pPr>
              <w:spacing w:after="0" w:line="240" w:lineRule="auto"/>
              <w:rPr>
                <w:rFonts w:eastAsia="Times New Roman" w:cs="Arial"/>
                <w:sz w:val="24"/>
                <w:lang w:eastAsia="en-AU"/>
              </w:rPr>
            </w:pPr>
            <w:r>
              <w:t>139.8</w:t>
            </w:r>
          </w:p>
        </w:tc>
        <w:tc>
          <w:tcPr>
            <w:tcW w:w="2183" w:type="dxa"/>
            <w:vAlign w:val="center"/>
            <w:hideMark/>
          </w:tcPr>
          <w:p w14:paraId="4F12C0EB" w14:textId="58CCCB24" w:rsidR="007D567F" w:rsidRPr="00831CFC" w:rsidRDefault="007D567F" w:rsidP="007D567F">
            <w:pPr>
              <w:spacing w:after="0" w:line="240" w:lineRule="auto"/>
              <w:rPr>
                <w:rFonts w:eastAsia="Times New Roman" w:cs="Arial"/>
                <w:sz w:val="24"/>
                <w:lang w:eastAsia="en-AU"/>
              </w:rPr>
            </w:pPr>
            <w:r>
              <w:t>143</w:t>
            </w:r>
          </w:p>
        </w:tc>
      </w:tr>
      <w:tr w:rsidR="007D567F" w:rsidRPr="00831CFC" w14:paraId="0C5143B0" w14:textId="77777777" w:rsidTr="007D567F">
        <w:tc>
          <w:tcPr>
            <w:tcW w:w="0" w:type="auto"/>
            <w:vAlign w:val="center"/>
            <w:hideMark/>
          </w:tcPr>
          <w:p w14:paraId="49C68A98" w14:textId="09E7C16C" w:rsidR="007D567F" w:rsidRPr="00831CFC" w:rsidRDefault="007D567F" w:rsidP="007D567F">
            <w:pPr>
              <w:spacing w:after="0" w:line="240" w:lineRule="auto"/>
              <w:rPr>
                <w:rFonts w:eastAsia="Times New Roman" w:cs="Arial"/>
                <w:sz w:val="24"/>
                <w:lang w:eastAsia="en-AU"/>
              </w:rPr>
            </w:pPr>
            <w:r>
              <w:t>2018</w:t>
            </w:r>
          </w:p>
        </w:tc>
        <w:tc>
          <w:tcPr>
            <w:tcW w:w="0" w:type="auto"/>
            <w:vAlign w:val="center"/>
            <w:hideMark/>
          </w:tcPr>
          <w:p w14:paraId="60BFBD70" w14:textId="1B55956F" w:rsidR="007D567F" w:rsidRPr="00831CFC" w:rsidRDefault="007D567F" w:rsidP="007D567F">
            <w:pPr>
              <w:spacing w:after="0" w:line="240" w:lineRule="auto"/>
              <w:rPr>
                <w:rFonts w:eastAsia="Times New Roman" w:cs="Arial"/>
                <w:sz w:val="24"/>
                <w:lang w:eastAsia="en-AU"/>
              </w:rPr>
            </w:pPr>
            <w:r>
              <w:t>193.4</w:t>
            </w:r>
          </w:p>
        </w:tc>
        <w:tc>
          <w:tcPr>
            <w:tcW w:w="0" w:type="auto"/>
            <w:vAlign w:val="center"/>
            <w:hideMark/>
          </w:tcPr>
          <w:p w14:paraId="36D351D2" w14:textId="2050E063" w:rsidR="007D567F" w:rsidRPr="00831CFC" w:rsidRDefault="007D567F" w:rsidP="007D567F">
            <w:pPr>
              <w:spacing w:after="0" w:line="240" w:lineRule="auto"/>
              <w:rPr>
                <w:rFonts w:eastAsia="Times New Roman" w:cs="Arial"/>
                <w:sz w:val="24"/>
                <w:lang w:eastAsia="en-AU"/>
              </w:rPr>
            </w:pPr>
            <w:r>
              <w:t>144.5</w:t>
            </w:r>
          </w:p>
        </w:tc>
        <w:tc>
          <w:tcPr>
            <w:tcW w:w="2183" w:type="dxa"/>
            <w:vAlign w:val="center"/>
            <w:hideMark/>
          </w:tcPr>
          <w:p w14:paraId="63F6C0D9" w14:textId="427381C5" w:rsidR="007D567F" w:rsidRPr="00831CFC" w:rsidRDefault="007D567F" w:rsidP="007D567F">
            <w:pPr>
              <w:spacing w:after="0" w:line="240" w:lineRule="auto"/>
              <w:rPr>
                <w:rFonts w:eastAsia="Times New Roman" w:cs="Arial"/>
                <w:sz w:val="24"/>
                <w:lang w:eastAsia="en-AU"/>
              </w:rPr>
            </w:pPr>
            <w:r>
              <w:t>147</w:t>
            </w:r>
          </w:p>
        </w:tc>
      </w:tr>
      <w:tr w:rsidR="007D567F" w:rsidRPr="00831CFC" w14:paraId="113E85C4" w14:textId="77777777" w:rsidTr="007D567F">
        <w:tc>
          <w:tcPr>
            <w:tcW w:w="0" w:type="auto"/>
            <w:vAlign w:val="center"/>
            <w:hideMark/>
          </w:tcPr>
          <w:p w14:paraId="249E7E45" w14:textId="76402B2C" w:rsidR="007D567F" w:rsidRPr="00831CFC" w:rsidRDefault="007D567F" w:rsidP="007D567F">
            <w:pPr>
              <w:spacing w:after="0" w:line="240" w:lineRule="auto"/>
              <w:rPr>
                <w:rFonts w:eastAsia="Times New Roman" w:cs="Arial"/>
                <w:sz w:val="24"/>
                <w:lang w:eastAsia="en-AU"/>
              </w:rPr>
            </w:pPr>
            <w:r>
              <w:t>2019</w:t>
            </w:r>
          </w:p>
        </w:tc>
        <w:tc>
          <w:tcPr>
            <w:tcW w:w="0" w:type="auto"/>
            <w:vAlign w:val="center"/>
            <w:hideMark/>
          </w:tcPr>
          <w:p w14:paraId="6F5EF3E8" w14:textId="2789B6AF" w:rsidR="007D567F" w:rsidRPr="00831CFC" w:rsidRDefault="007D567F" w:rsidP="007D567F">
            <w:pPr>
              <w:spacing w:after="0" w:line="240" w:lineRule="auto"/>
              <w:rPr>
                <w:rFonts w:eastAsia="Times New Roman" w:cs="Arial"/>
                <w:sz w:val="24"/>
                <w:lang w:eastAsia="en-AU"/>
              </w:rPr>
            </w:pPr>
            <w:r>
              <w:t>202.4</w:t>
            </w:r>
          </w:p>
        </w:tc>
        <w:tc>
          <w:tcPr>
            <w:tcW w:w="0" w:type="auto"/>
            <w:vAlign w:val="center"/>
            <w:hideMark/>
          </w:tcPr>
          <w:p w14:paraId="28BFF921" w14:textId="45456530" w:rsidR="007D567F" w:rsidRPr="00831CFC" w:rsidRDefault="007D567F" w:rsidP="007D567F">
            <w:pPr>
              <w:spacing w:after="0" w:line="240" w:lineRule="auto"/>
              <w:rPr>
                <w:rFonts w:eastAsia="Times New Roman" w:cs="Arial"/>
                <w:sz w:val="24"/>
                <w:lang w:eastAsia="en-AU"/>
              </w:rPr>
            </w:pPr>
            <w:r>
              <w:t>148.9</w:t>
            </w:r>
          </w:p>
        </w:tc>
        <w:tc>
          <w:tcPr>
            <w:tcW w:w="2183" w:type="dxa"/>
            <w:vAlign w:val="center"/>
            <w:hideMark/>
          </w:tcPr>
          <w:p w14:paraId="67C5258D" w14:textId="66E34C62" w:rsidR="007D567F" w:rsidRPr="00831CFC" w:rsidRDefault="007D567F" w:rsidP="007D567F">
            <w:pPr>
              <w:spacing w:after="0" w:line="240" w:lineRule="auto"/>
              <w:rPr>
                <w:rFonts w:eastAsia="Times New Roman" w:cs="Arial"/>
                <w:sz w:val="24"/>
                <w:lang w:eastAsia="en-AU"/>
              </w:rPr>
            </w:pPr>
            <w:r>
              <w:t>150</w:t>
            </w:r>
          </w:p>
        </w:tc>
      </w:tr>
      <w:tr w:rsidR="007D567F" w:rsidRPr="00831CFC" w14:paraId="2F6564BA" w14:textId="77777777" w:rsidTr="007D567F">
        <w:tc>
          <w:tcPr>
            <w:tcW w:w="0" w:type="auto"/>
            <w:vAlign w:val="center"/>
            <w:hideMark/>
          </w:tcPr>
          <w:p w14:paraId="269E6721" w14:textId="58C77209" w:rsidR="007D567F" w:rsidRPr="00831CFC" w:rsidRDefault="007D567F" w:rsidP="007D567F">
            <w:pPr>
              <w:spacing w:after="0" w:line="240" w:lineRule="auto"/>
              <w:rPr>
                <w:rFonts w:eastAsia="Times New Roman" w:cs="Arial"/>
                <w:sz w:val="24"/>
                <w:lang w:eastAsia="en-AU"/>
              </w:rPr>
            </w:pPr>
            <w:r>
              <w:t>2020</w:t>
            </w:r>
          </w:p>
        </w:tc>
        <w:tc>
          <w:tcPr>
            <w:tcW w:w="0" w:type="auto"/>
            <w:vAlign w:val="center"/>
            <w:hideMark/>
          </w:tcPr>
          <w:p w14:paraId="25E715F0" w14:textId="1068007D" w:rsidR="007D567F" w:rsidRPr="00831CFC" w:rsidRDefault="007D567F" w:rsidP="007D567F">
            <w:pPr>
              <w:spacing w:after="0" w:line="240" w:lineRule="auto"/>
              <w:rPr>
                <w:rFonts w:eastAsia="Times New Roman" w:cs="Arial"/>
                <w:sz w:val="24"/>
                <w:lang w:eastAsia="en-AU"/>
              </w:rPr>
            </w:pPr>
            <w:r>
              <w:t>203.2</w:t>
            </w:r>
          </w:p>
        </w:tc>
        <w:tc>
          <w:tcPr>
            <w:tcW w:w="0" w:type="auto"/>
            <w:vAlign w:val="center"/>
            <w:hideMark/>
          </w:tcPr>
          <w:p w14:paraId="2D414D77" w14:textId="4A6A8291" w:rsidR="007D567F" w:rsidRPr="00831CFC" w:rsidRDefault="007D567F" w:rsidP="007D567F">
            <w:pPr>
              <w:spacing w:after="0" w:line="240" w:lineRule="auto"/>
              <w:rPr>
                <w:rFonts w:eastAsia="Times New Roman" w:cs="Arial"/>
                <w:sz w:val="24"/>
                <w:lang w:eastAsia="en-AU"/>
              </w:rPr>
            </w:pPr>
            <w:r>
              <w:t>148.5</w:t>
            </w:r>
          </w:p>
        </w:tc>
        <w:tc>
          <w:tcPr>
            <w:tcW w:w="2183" w:type="dxa"/>
            <w:vAlign w:val="center"/>
            <w:hideMark/>
          </w:tcPr>
          <w:p w14:paraId="3D458754" w14:textId="267BF881" w:rsidR="007D567F" w:rsidRPr="00831CFC" w:rsidRDefault="007D567F" w:rsidP="007D567F">
            <w:pPr>
              <w:spacing w:after="0" w:line="240" w:lineRule="auto"/>
              <w:rPr>
                <w:rFonts w:eastAsia="Times New Roman" w:cs="Arial"/>
                <w:sz w:val="24"/>
                <w:lang w:eastAsia="en-AU"/>
              </w:rPr>
            </w:pPr>
            <w:r>
              <w:t>150</w:t>
            </w:r>
          </w:p>
        </w:tc>
      </w:tr>
      <w:tr w:rsidR="007D567F" w:rsidRPr="00831CFC" w14:paraId="4F1D0E81" w14:textId="77777777" w:rsidTr="007D567F">
        <w:tc>
          <w:tcPr>
            <w:tcW w:w="0" w:type="auto"/>
            <w:vAlign w:val="center"/>
            <w:hideMark/>
          </w:tcPr>
          <w:p w14:paraId="5FD60AC9" w14:textId="7FFDD15F" w:rsidR="007D567F" w:rsidRPr="00831CFC" w:rsidRDefault="007D567F" w:rsidP="007D567F">
            <w:pPr>
              <w:spacing w:after="0" w:line="240" w:lineRule="auto"/>
              <w:rPr>
                <w:rFonts w:eastAsia="Times New Roman" w:cs="Arial"/>
                <w:sz w:val="24"/>
                <w:lang w:eastAsia="en-AU"/>
              </w:rPr>
            </w:pPr>
            <w:r>
              <w:t>2021</w:t>
            </w:r>
          </w:p>
        </w:tc>
        <w:tc>
          <w:tcPr>
            <w:tcW w:w="0" w:type="auto"/>
            <w:vAlign w:val="center"/>
            <w:hideMark/>
          </w:tcPr>
          <w:p w14:paraId="3168AB58" w14:textId="509F16D0" w:rsidR="007D567F" w:rsidRPr="00831CFC" w:rsidRDefault="007D567F" w:rsidP="007D567F">
            <w:pPr>
              <w:spacing w:after="0" w:line="240" w:lineRule="auto"/>
              <w:rPr>
                <w:rFonts w:eastAsia="Times New Roman" w:cs="Arial"/>
                <w:sz w:val="24"/>
                <w:lang w:eastAsia="en-AU"/>
              </w:rPr>
            </w:pPr>
            <w:r>
              <w:t>205.4</w:t>
            </w:r>
          </w:p>
        </w:tc>
        <w:tc>
          <w:tcPr>
            <w:tcW w:w="0" w:type="auto"/>
            <w:vAlign w:val="center"/>
            <w:hideMark/>
          </w:tcPr>
          <w:p w14:paraId="17821F25" w14:textId="2C2C8188" w:rsidR="007D567F" w:rsidRPr="00831CFC" w:rsidRDefault="007D567F" w:rsidP="007D567F">
            <w:pPr>
              <w:spacing w:after="0" w:line="240" w:lineRule="auto"/>
              <w:rPr>
                <w:rFonts w:eastAsia="Times New Roman" w:cs="Arial"/>
                <w:sz w:val="24"/>
                <w:lang w:eastAsia="en-AU"/>
              </w:rPr>
            </w:pPr>
            <w:r>
              <w:t>148.1</w:t>
            </w:r>
          </w:p>
        </w:tc>
        <w:tc>
          <w:tcPr>
            <w:tcW w:w="2183" w:type="dxa"/>
            <w:vAlign w:val="center"/>
            <w:hideMark/>
          </w:tcPr>
          <w:p w14:paraId="75F18F8D" w14:textId="2D1EFCD0" w:rsidR="007D567F" w:rsidRPr="00831CFC" w:rsidRDefault="007D567F" w:rsidP="007D567F">
            <w:pPr>
              <w:spacing w:after="0" w:line="240" w:lineRule="auto"/>
              <w:rPr>
                <w:rFonts w:eastAsia="Times New Roman" w:cs="Arial"/>
                <w:sz w:val="24"/>
                <w:lang w:eastAsia="en-AU"/>
              </w:rPr>
            </w:pPr>
            <w:r>
              <w:t>153</w:t>
            </w:r>
          </w:p>
        </w:tc>
      </w:tr>
      <w:tr w:rsidR="007D567F" w:rsidRPr="00831CFC" w14:paraId="2DCF444F" w14:textId="77777777" w:rsidTr="007D567F">
        <w:tc>
          <w:tcPr>
            <w:tcW w:w="0" w:type="auto"/>
            <w:vAlign w:val="center"/>
            <w:hideMark/>
          </w:tcPr>
          <w:p w14:paraId="28C2557D" w14:textId="54C7A79F" w:rsidR="007D567F" w:rsidRPr="00831CFC" w:rsidRDefault="007D567F" w:rsidP="007D567F">
            <w:pPr>
              <w:spacing w:after="0" w:line="240" w:lineRule="auto"/>
              <w:rPr>
                <w:rFonts w:eastAsia="Times New Roman" w:cs="Arial"/>
                <w:sz w:val="24"/>
                <w:lang w:eastAsia="en-AU"/>
              </w:rPr>
            </w:pPr>
            <w:r>
              <w:t>2022</w:t>
            </w:r>
          </w:p>
        </w:tc>
        <w:tc>
          <w:tcPr>
            <w:tcW w:w="0" w:type="auto"/>
            <w:vAlign w:val="center"/>
            <w:hideMark/>
          </w:tcPr>
          <w:p w14:paraId="42566218" w14:textId="7CBE34BF" w:rsidR="007D567F" w:rsidRPr="00831CFC" w:rsidRDefault="007D567F" w:rsidP="007D567F">
            <w:pPr>
              <w:spacing w:after="0" w:line="240" w:lineRule="auto"/>
              <w:rPr>
                <w:rFonts w:eastAsia="Times New Roman" w:cs="Arial"/>
                <w:sz w:val="24"/>
                <w:lang w:eastAsia="en-AU"/>
              </w:rPr>
            </w:pPr>
            <w:r>
              <w:t>219.7</w:t>
            </w:r>
          </w:p>
        </w:tc>
        <w:tc>
          <w:tcPr>
            <w:tcW w:w="0" w:type="auto"/>
            <w:vAlign w:val="center"/>
            <w:hideMark/>
          </w:tcPr>
          <w:p w14:paraId="06FE09B7" w14:textId="50D646C2" w:rsidR="007D567F" w:rsidRPr="00831CFC" w:rsidRDefault="007D567F" w:rsidP="007D567F">
            <w:pPr>
              <w:spacing w:after="0" w:line="240" w:lineRule="auto"/>
              <w:rPr>
                <w:rFonts w:eastAsia="Times New Roman" w:cs="Arial"/>
                <w:sz w:val="24"/>
                <w:lang w:eastAsia="en-AU"/>
              </w:rPr>
            </w:pPr>
            <w:r>
              <w:t>158.1</w:t>
            </w:r>
          </w:p>
        </w:tc>
        <w:tc>
          <w:tcPr>
            <w:tcW w:w="2183" w:type="dxa"/>
            <w:vAlign w:val="center"/>
            <w:hideMark/>
          </w:tcPr>
          <w:p w14:paraId="5AC76089" w14:textId="152A13E7" w:rsidR="007D567F" w:rsidRPr="00831CFC" w:rsidRDefault="007D567F" w:rsidP="007D567F">
            <w:pPr>
              <w:spacing w:after="0" w:line="240" w:lineRule="auto"/>
              <w:rPr>
                <w:rFonts w:eastAsia="Times New Roman" w:cs="Arial"/>
                <w:sz w:val="24"/>
                <w:lang w:eastAsia="en-AU"/>
              </w:rPr>
            </w:pPr>
            <w:r>
              <w:t>160</w:t>
            </w:r>
          </w:p>
        </w:tc>
      </w:tr>
      <w:tr w:rsidR="007D567F" w:rsidRPr="00831CFC" w14:paraId="5CD3AB0F" w14:textId="77777777" w:rsidTr="007D567F">
        <w:tc>
          <w:tcPr>
            <w:tcW w:w="0" w:type="auto"/>
            <w:vAlign w:val="center"/>
            <w:hideMark/>
          </w:tcPr>
          <w:p w14:paraId="037C4AB1" w14:textId="5FF7431B" w:rsidR="007D567F" w:rsidRPr="00831CFC" w:rsidRDefault="007D567F" w:rsidP="007D567F">
            <w:pPr>
              <w:spacing w:after="0" w:line="240" w:lineRule="auto"/>
              <w:rPr>
                <w:rFonts w:eastAsia="Times New Roman" w:cs="Arial"/>
                <w:sz w:val="24"/>
                <w:lang w:eastAsia="en-AU"/>
              </w:rPr>
            </w:pPr>
            <w:r>
              <w:t>2023</w:t>
            </w:r>
          </w:p>
        </w:tc>
        <w:tc>
          <w:tcPr>
            <w:tcW w:w="0" w:type="auto"/>
            <w:vAlign w:val="center"/>
            <w:hideMark/>
          </w:tcPr>
          <w:p w14:paraId="524A206C" w14:textId="59062E41" w:rsidR="007D567F" w:rsidRPr="00831CFC" w:rsidRDefault="007D567F" w:rsidP="007D567F">
            <w:pPr>
              <w:spacing w:after="0" w:line="240" w:lineRule="auto"/>
              <w:rPr>
                <w:rFonts w:eastAsia="Times New Roman" w:cs="Arial"/>
                <w:sz w:val="24"/>
                <w:lang w:eastAsia="en-AU"/>
              </w:rPr>
            </w:pPr>
            <w:r>
              <w:t>225.6</w:t>
            </w:r>
          </w:p>
        </w:tc>
        <w:tc>
          <w:tcPr>
            <w:tcW w:w="0" w:type="auto"/>
            <w:vAlign w:val="center"/>
            <w:hideMark/>
          </w:tcPr>
          <w:p w14:paraId="00CAAAF3" w14:textId="168FB5AA" w:rsidR="007D567F" w:rsidRPr="00831CFC" w:rsidRDefault="007D567F" w:rsidP="007D567F">
            <w:pPr>
              <w:spacing w:after="0" w:line="240" w:lineRule="auto"/>
              <w:rPr>
                <w:rFonts w:eastAsia="Times New Roman" w:cs="Arial"/>
                <w:sz w:val="24"/>
                <w:lang w:eastAsia="en-AU"/>
              </w:rPr>
            </w:pPr>
            <w:r>
              <w:t>163.4</w:t>
            </w:r>
          </w:p>
        </w:tc>
        <w:tc>
          <w:tcPr>
            <w:tcW w:w="2183" w:type="dxa"/>
            <w:vAlign w:val="center"/>
            <w:hideMark/>
          </w:tcPr>
          <w:p w14:paraId="7A0CEC56" w14:textId="0176732A" w:rsidR="007D567F" w:rsidRPr="00831CFC" w:rsidRDefault="007D567F" w:rsidP="007D567F">
            <w:pPr>
              <w:spacing w:after="0" w:line="240" w:lineRule="auto"/>
              <w:rPr>
                <w:rFonts w:eastAsia="Times New Roman" w:cs="Arial"/>
                <w:sz w:val="24"/>
                <w:lang w:eastAsia="en-AU"/>
              </w:rPr>
            </w:pPr>
            <w:r>
              <w:t>165</w:t>
            </w:r>
          </w:p>
        </w:tc>
      </w:tr>
      <w:tr w:rsidR="007D567F" w:rsidRPr="00831CFC" w14:paraId="5A893ABD" w14:textId="77777777" w:rsidTr="007D567F">
        <w:tc>
          <w:tcPr>
            <w:tcW w:w="0" w:type="auto"/>
            <w:vAlign w:val="center"/>
            <w:hideMark/>
          </w:tcPr>
          <w:p w14:paraId="3F564194" w14:textId="29D2A1A7" w:rsidR="007D567F" w:rsidRPr="00831CFC" w:rsidRDefault="007D567F" w:rsidP="007D567F">
            <w:pPr>
              <w:spacing w:after="0" w:line="240" w:lineRule="auto"/>
              <w:rPr>
                <w:rFonts w:eastAsia="Times New Roman" w:cs="Arial"/>
                <w:sz w:val="24"/>
                <w:lang w:eastAsia="en-AU"/>
              </w:rPr>
            </w:pPr>
            <w:r>
              <w:t>2024</w:t>
            </w:r>
          </w:p>
        </w:tc>
        <w:tc>
          <w:tcPr>
            <w:tcW w:w="0" w:type="auto"/>
            <w:vAlign w:val="center"/>
            <w:hideMark/>
          </w:tcPr>
          <w:p w14:paraId="6B1EB084" w14:textId="08E80960" w:rsidR="007D567F" w:rsidRPr="00831CFC" w:rsidRDefault="007D567F" w:rsidP="007D567F">
            <w:pPr>
              <w:spacing w:after="0" w:line="240" w:lineRule="auto"/>
              <w:rPr>
                <w:rFonts w:eastAsia="Times New Roman" w:cs="Arial"/>
                <w:sz w:val="24"/>
                <w:lang w:eastAsia="en-AU"/>
              </w:rPr>
            </w:pPr>
            <w:r>
              <w:t>229.6</w:t>
            </w:r>
          </w:p>
        </w:tc>
        <w:tc>
          <w:tcPr>
            <w:tcW w:w="0" w:type="auto"/>
            <w:vAlign w:val="center"/>
            <w:hideMark/>
          </w:tcPr>
          <w:p w14:paraId="1366AB6C" w14:textId="7B8DEE6F" w:rsidR="007D567F" w:rsidRPr="00831CFC" w:rsidRDefault="007D567F" w:rsidP="007D567F">
            <w:pPr>
              <w:spacing w:after="0" w:line="240" w:lineRule="auto"/>
              <w:rPr>
                <w:rFonts w:eastAsia="Times New Roman" w:cs="Arial"/>
                <w:sz w:val="24"/>
                <w:lang w:eastAsia="en-AU"/>
              </w:rPr>
            </w:pPr>
            <w:r>
              <w:t>165.9</w:t>
            </w:r>
          </w:p>
        </w:tc>
        <w:tc>
          <w:tcPr>
            <w:tcW w:w="2183" w:type="dxa"/>
            <w:vAlign w:val="center"/>
            <w:hideMark/>
          </w:tcPr>
          <w:p w14:paraId="64CAFE43" w14:textId="390DF9AB" w:rsidR="007D567F" w:rsidRPr="00831CFC" w:rsidRDefault="007D567F" w:rsidP="007D567F">
            <w:pPr>
              <w:spacing w:after="0" w:line="240" w:lineRule="auto"/>
              <w:rPr>
                <w:rFonts w:eastAsia="Times New Roman" w:cs="Arial"/>
                <w:sz w:val="24"/>
                <w:lang w:eastAsia="en-AU"/>
              </w:rPr>
            </w:pPr>
            <w:r>
              <w:t>167</w:t>
            </w:r>
          </w:p>
        </w:tc>
      </w:tr>
    </w:tbl>
    <w:p w14:paraId="78A3530D" w14:textId="77777777" w:rsidR="004679BC" w:rsidRDefault="004679BC">
      <w:pPr>
        <w:spacing w:after="0" w:line="240" w:lineRule="auto"/>
        <w:rPr>
          <w:rFonts w:ascii="Arial Bold" w:eastAsia="MS Gothic" w:hAnsi="Arial Bold" w:hint="eastAsia"/>
          <w:bCs/>
          <w:sz w:val="24"/>
          <w:szCs w:val="26"/>
          <w:lang w:val="en-US"/>
        </w:rPr>
      </w:pPr>
      <w:bookmarkStart w:id="8" w:name="_Toc204007183"/>
      <w:r>
        <w:rPr>
          <w:rFonts w:hint="eastAsia"/>
        </w:rPr>
        <w:br w:type="page"/>
      </w:r>
    </w:p>
    <w:p w14:paraId="04082D7F" w14:textId="2BF5329C" w:rsidR="005C3F28" w:rsidRPr="00F61A91" w:rsidRDefault="45EC3D86" w:rsidP="00891621">
      <w:pPr>
        <w:pStyle w:val="Heading2"/>
        <w:rPr>
          <w:rFonts w:hint="eastAsia"/>
        </w:rPr>
      </w:pPr>
      <w:r>
        <w:lastRenderedPageBreak/>
        <w:t xml:space="preserve">Table 2 </w:t>
      </w:r>
      <w:r w:rsidR="00A50617">
        <w:t>–</w:t>
      </w:r>
      <w:r>
        <w:t xml:space="preserve"> </w:t>
      </w:r>
      <w:bookmarkEnd w:id="7"/>
      <w:r w:rsidR="008952AA" w:rsidRPr="008952AA">
        <w:rPr>
          <w:lang w:val="en-AU"/>
        </w:rPr>
        <w:t>The city’s growing economic influence shows its contribution to Victoria’s GRP,</w:t>
      </w:r>
      <w:r w:rsidR="008952AA" w:rsidRPr="008952AA">
        <w:rPr>
          <w:b/>
          <w:lang w:val="en-AU"/>
        </w:rPr>
        <w:t xml:space="preserve"> rising </w:t>
      </w:r>
      <w:r w:rsidR="008952AA" w:rsidRPr="008952AA">
        <w:rPr>
          <w:lang w:val="en-AU"/>
        </w:rPr>
        <w:t xml:space="preserve">from </w:t>
      </w:r>
      <w:r w:rsidR="008952AA" w:rsidRPr="008952AA">
        <w:rPr>
          <w:b/>
          <w:lang w:val="en-AU"/>
        </w:rPr>
        <w:t>16%</w:t>
      </w:r>
      <w:r w:rsidR="008952AA" w:rsidRPr="008952AA">
        <w:rPr>
          <w:lang w:val="en-AU"/>
        </w:rPr>
        <w:t xml:space="preserve"> in 2004 to </w:t>
      </w:r>
      <w:r w:rsidR="008952AA" w:rsidRPr="008952AA">
        <w:rPr>
          <w:b/>
          <w:lang w:val="en-AU"/>
        </w:rPr>
        <w:t>22%</w:t>
      </w:r>
      <w:r w:rsidR="008952AA" w:rsidRPr="008952AA">
        <w:rPr>
          <w:lang w:val="en-AU"/>
        </w:rPr>
        <w:t xml:space="preserve"> in 2024.</w:t>
      </w:r>
      <w:bookmarkEnd w:id="8"/>
    </w:p>
    <w:tbl>
      <w:tblPr>
        <w:tblStyle w:val="TableGrid"/>
        <w:tblW w:w="8217" w:type="dxa"/>
        <w:tblLook w:val="04A0" w:firstRow="1" w:lastRow="0" w:firstColumn="1" w:lastColumn="0" w:noHBand="0" w:noVBand="1"/>
      </w:tblPr>
      <w:tblGrid>
        <w:gridCol w:w="2547"/>
        <w:gridCol w:w="2835"/>
        <w:gridCol w:w="2835"/>
      </w:tblGrid>
      <w:tr w:rsidR="00A50617" w14:paraId="13AB6C80" w14:textId="3BD52BED" w:rsidTr="0008240E">
        <w:trPr>
          <w:trHeight w:val="415"/>
        </w:trPr>
        <w:tc>
          <w:tcPr>
            <w:tcW w:w="2547" w:type="dxa"/>
          </w:tcPr>
          <w:p w14:paraId="09D091E0" w14:textId="4BFCA3AF" w:rsidR="00A50617" w:rsidRPr="008F55EC" w:rsidRDefault="00831CFC" w:rsidP="0092528F">
            <w:pPr>
              <w:rPr>
                <w:b/>
                <w:sz w:val="22"/>
                <w:szCs w:val="22"/>
              </w:rPr>
            </w:pPr>
            <w:r>
              <w:rPr>
                <w:b/>
                <w:sz w:val="22"/>
                <w:szCs w:val="22"/>
              </w:rPr>
              <w:t>Year</w:t>
            </w:r>
          </w:p>
        </w:tc>
        <w:tc>
          <w:tcPr>
            <w:tcW w:w="2835" w:type="dxa"/>
          </w:tcPr>
          <w:p w14:paraId="4C55E1EE" w14:textId="3746FBC4" w:rsidR="00A50617" w:rsidRPr="008F55EC" w:rsidRDefault="00831CFC" w:rsidP="0092528F">
            <w:pPr>
              <w:rPr>
                <w:b/>
                <w:sz w:val="22"/>
                <w:szCs w:val="22"/>
              </w:rPr>
            </w:pPr>
            <w:r>
              <w:rPr>
                <w:rFonts w:cs="Arial"/>
                <w:b/>
                <w:bCs/>
                <w:color w:val="000000"/>
                <w:sz w:val="22"/>
                <w:szCs w:val="22"/>
              </w:rPr>
              <w:t>City of Melbourne - GRP</w:t>
            </w:r>
          </w:p>
        </w:tc>
        <w:tc>
          <w:tcPr>
            <w:tcW w:w="2835" w:type="dxa"/>
          </w:tcPr>
          <w:p w14:paraId="6AC62BD4" w14:textId="08F8922F" w:rsidR="00A50617" w:rsidRPr="008F55EC" w:rsidRDefault="00831CFC" w:rsidP="4E54D03C">
            <w:pPr>
              <w:rPr>
                <w:b/>
                <w:bCs/>
                <w:sz w:val="22"/>
                <w:szCs w:val="22"/>
              </w:rPr>
            </w:pPr>
            <w:r>
              <w:rPr>
                <w:rFonts w:cs="Arial"/>
                <w:b/>
                <w:bCs/>
                <w:color w:val="000000"/>
                <w:sz w:val="22"/>
                <w:szCs w:val="22"/>
              </w:rPr>
              <w:t>Victoria - GRP</w:t>
            </w:r>
          </w:p>
        </w:tc>
      </w:tr>
      <w:tr w:rsidR="00A50617" w14:paraId="46DD5951" w14:textId="4CF2937A" w:rsidTr="0008240E">
        <w:trPr>
          <w:trHeight w:val="433"/>
        </w:trPr>
        <w:tc>
          <w:tcPr>
            <w:tcW w:w="2547" w:type="dxa"/>
          </w:tcPr>
          <w:p w14:paraId="359E63FE" w14:textId="1502BC62" w:rsidR="00A50617" w:rsidRPr="008F55EC" w:rsidRDefault="00831CFC" w:rsidP="00757EEC">
            <w:pPr>
              <w:rPr>
                <w:rFonts w:cs="Arial"/>
                <w:color w:val="000000"/>
                <w:sz w:val="22"/>
                <w:szCs w:val="22"/>
              </w:rPr>
            </w:pPr>
            <w:r>
              <w:rPr>
                <w:rFonts w:cs="Arial"/>
                <w:color w:val="000000"/>
                <w:sz w:val="22"/>
                <w:szCs w:val="22"/>
              </w:rPr>
              <w:t>2004</w:t>
            </w:r>
          </w:p>
        </w:tc>
        <w:tc>
          <w:tcPr>
            <w:tcW w:w="2835" w:type="dxa"/>
            <w:vAlign w:val="bottom"/>
          </w:tcPr>
          <w:p w14:paraId="165C3F6C" w14:textId="5B925435" w:rsidR="00A50617" w:rsidRPr="008F55EC" w:rsidRDefault="00831CFC" w:rsidP="00CA189C">
            <w:pPr>
              <w:jc w:val="right"/>
              <w:rPr>
                <w:sz w:val="22"/>
                <w:szCs w:val="22"/>
              </w:rPr>
            </w:pPr>
            <w:r>
              <w:rPr>
                <w:sz w:val="22"/>
                <w:szCs w:val="22"/>
              </w:rPr>
              <w:t>$55,222,000</w:t>
            </w:r>
          </w:p>
        </w:tc>
        <w:tc>
          <w:tcPr>
            <w:tcW w:w="2835" w:type="dxa"/>
            <w:vAlign w:val="bottom"/>
          </w:tcPr>
          <w:p w14:paraId="057FE03F" w14:textId="44980EF7" w:rsidR="00A50617" w:rsidRPr="008F55EC" w:rsidRDefault="00831CFC" w:rsidP="00CA189C">
            <w:pPr>
              <w:jc w:val="right"/>
              <w:rPr>
                <w:sz w:val="22"/>
                <w:szCs w:val="22"/>
              </w:rPr>
            </w:pPr>
            <w:r>
              <w:rPr>
                <w:sz w:val="22"/>
                <w:szCs w:val="22"/>
              </w:rPr>
              <w:t>$350,147,000</w:t>
            </w:r>
          </w:p>
        </w:tc>
      </w:tr>
      <w:tr w:rsidR="0030394E" w14:paraId="0E5CDBEE" w14:textId="77777777" w:rsidTr="0008240E">
        <w:trPr>
          <w:trHeight w:val="433"/>
        </w:trPr>
        <w:tc>
          <w:tcPr>
            <w:tcW w:w="2547" w:type="dxa"/>
          </w:tcPr>
          <w:p w14:paraId="65E13384" w14:textId="54C55201" w:rsidR="0030394E" w:rsidRDefault="00831CFC" w:rsidP="0030394E">
            <w:pPr>
              <w:rPr>
                <w:rFonts w:cs="Arial"/>
                <w:color w:val="000000"/>
                <w:sz w:val="22"/>
                <w:szCs w:val="22"/>
              </w:rPr>
            </w:pPr>
            <w:r>
              <w:rPr>
                <w:rFonts w:cs="Arial"/>
                <w:color w:val="000000"/>
                <w:sz w:val="22"/>
                <w:szCs w:val="22"/>
              </w:rPr>
              <w:t>2024</w:t>
            </w:r>
          </w:p>
        </w:tc>
        <w:tc>
          <w:tcPr>
            <w:tcW w:w="2835" w:type="dxa"/>
            <w:vAlign w:val="bottom"/>
          </w:tcPr>
          <w:p w14:paraId="0B823B87" w14:textId="67D1E5BB" w:rsidR="0030394E" w:rsidRDefault="00831CFC" w:rsidP="00CA189C">
            <w:pPr>
              <w:jc w:val="right"/>
              <w:rPr>
                <w:sz w:val="22"/>
                <w:szCs w:val="22"/>
              </w:rPr>
            </w:pPr>
            <w:r>
              <w:rPr>
                <w:sz w:val="22"/>
                <w:szCs w:val="22"/>
              </w:rPr>
              <w:t>$12</w:t>
            </w:r>
            <w:r w:rsidR="00F847DD">
              <w:rPr>
                <w:sz w:val="22"/>
                <w:szCs w:val="22"/>
              </w:rPr>
              <w:t>6</w:t>
            </w:r>
            <w:r>
              <w:rPr>
                <w:sz w:val="22"/>
                <w:szCs w:val="22"/>
              </w:rPr>
              <w:t>,786,000</w:t>
            </w:r>
          </w:p>
        </w:tc>
        <w:tc>
          <w:tcPr>
            <w:tcW w:w="2835" w:type="dxa"/>
            <w:vAlign w:val="bottom"/>
          </w:tcPr>
          <w:p w14:paraId="1E326517" w14:textId="50ECB09E" w:rsidR="0030394E" w:rsidRDefault="00831CFC" w:rsidP="00CA189C">
            <w:pPr>
              <w:jc w:val="right"/>
              <w:rPr>
                <w:rFonts w:cs="Arial"/>
                <w:color w:val="000000"/>
                <w:sz w:val="22"/>
                <w:szCs w:val="22"/>
              </w:rPr>
            </w:pPr>
            <w:r>
              <w:rPr>
                <w:rFonts w:cs="Arial"/>
                <w:color w:val="000000"/>
                <w:sz w:val="22"/>
                <w:szCs w:val="22"/>
              </w:rPr>
              <w:t>$581,041,000</w:t>
            </w:r>
          </w:p>
        </w:tc>
      </w:tr>
    </w:tbl>
    <w:p w14:paraId="292C1514" w14:textId="6DF89BFF" w:rsidR="00A5193E" w:rsidRPr="00AF02E0" w:rsidRDefault="007D567F" w:rsidP="00891621">
      <w:pPr>
        <w:pStyle w:val="Heading1"/>
        <w:rPr>
          <w:rFonts w:hint="eastAsia"/>
        </w:rPr>
      </w:pPr>
      <w:bookmarkStart w:id="9" w:name="_Toc204007184"/>
      <w:bookmarkEnd w:id="0"/>
      <w:bookmarkEnd w:id="1"/>
      <w:bookmarkEnd w:id="2"/>
      <w:bookmarkEnd w:id="3"/>
      <w:r>
        <w:t>Key industries drive employment growth in Melbourne</w:t>
      </w:r>
      <w:bookmarkEnd w:id="9"/>
    </w:p>
    <w:p w14:paraId="5CAB8FD5" w14:textId="24FED374" w:rsidR="00661D29" w:rsidRDefault="007D567F" w:rsidP="00661D29">
      <w:bookmarkStart w:id="10" w:name="_Toc182490809"/>
      <w:r w:rsidRPr="007D567F">
        <w:t>Melbourne’s local job growth is surging thanks to the strength of three key industries: Professional, Scientific and Technical Services; Financial and Insurance Services; and Health Care and Social Assistance. Together, these sectors now account for nearly half of all local employment in Melbourne, cementing the city’s reputation as a centre of knowledge, finance and care. Finance and Insurance leads the charge, emerging as the fastest-growing sector since 2019. Professional and Technical Services remains Melbourne’s largest employer. While, the</w:t>
      </w:r>
      <w:r w:rsidRPr="007D567F">
        <w:rPr>
          <w:b/>
          <w:bCs/>
        </w:rPr>
        <w:t xml:space="preserve"> </w:t>
      </w:r>
      <w:r w:rsidRPr="007D567F">
        <w:t>Health and Social Assistance</w:t>
      </w:r>
      <w:r w:rsidRPr="007D567F">
        <w:rPr>
          <w:b/>
          <w:bCs/>
        </w:rPr>
        <w:t xml:space="preserve"> </w:t>
      </w:r>
      <w:r w:rsidRPr="007D567F">
        <w:t>sector has seen remarkable growth, expanding rapidly to support a thriving population.</w:t>
      </w:r>
    </w:p>
    <w:p w14:paraId="7D5A6A53" w14:textId="017D49B6" w:rsidR="006172D1" w:rsidRDefault="0EF83AAF" w:rsidP="00891621">
      <w:pPr>
        <w:pStyle w:val="Heading2"/>
        <w:rPr>
          <w:rFonts w:hint="eastAsia"/>
        </w:rPr>
      </w:pPr>
      <w:bookmarkStart w:id="11" w:name="_Toc204007185"/>
      <w:r>
        <w:t xml:space="preserve">Table </w:t>
      </w:r>
      <w:r w:rsidR="00CF6F1F">
        <w:t>3</w:t>
      </w:r>
      <w:r w:rsidR="1139249F">
        <w:t xml:space="preserve"> </w:t>
      </w:r>
      <w:r w:rsidR="00F93CD4">
        <w:t>–</w:t>
      </w:r>
      <w:r w:rsidR="1139249F">
        <w:t xml:space="preserve"> </w:t>
      </w:r>
      <w:bookmarkEnd w:id="10"/>
      <w:r w:rsidR="007D567F">
        <w:rPr>
          <w:lang w:val="en-AU"/>
        </w:rPr>
        <w:t xml:space="preserve">Local jobs in </w:t>
      </w:r>
      <w:r w:rsidR="00BC4BD9">
        <w:rPr>
          <w:lang w:val="en-AU"/>
        </w:rPr>
        <w:t>C</w:t>
      </w:r>
      <w:r w:rsidR="007D567F">
        <w:rPr>
          <w:lang w:val="en-AU"/>
        </w:rPr>
        <w:t>ity of Melbourne each year by industry</w:t>
      </w:r>
      <w:bookmarkEnd w:id="11"/>
    </w:p>
    <w:tbl>
      <w:tblPr>
        <w:tblStyle w:val="TableGrid"/>
        <w:tblW w:w="9778" w:type="dxa"/>
        <w:tblLook w:val="04A0" w:firstRow="1" w:lastRow="0" w:firstColumn="1" w:lastColumn="0" w:noHBand="0" w:noVBand="1"/>
      </w:tblPr>
      <w:tblGrid>
        <w:gridCol w:w="1246"/>
        <w:gridCol w:w="1992"/>
        <w:gridCol w:w="1635"/>
        <w:gridCol w:w="1635"/>
        <w:gridCol w:w="1635"/>
        <w:gridCol w:w="1635"/>
      </w:tblGrid>
      <w:tr w:rsidR="007D567F" w14:paraId="3F901BF0" w14:textId="6D1D5262" w:rsidTr="2947B656">
        <w:trPr>
          <w:trHeight w:val="300"/>
        </w:trPr>
        <w:tc>
          <w:tcPr>
            <w:tcW w:w="1246" w:type="dxa"/>
          </w:tcPr>
          <w:p w14:paraId="27E018EA" w14:textId="03715212" w:rsidR="007D567F" w:rsidRPr="008F55EC" w:rsidRDefault="007D567F" w:rsidP="007D567F">
            <w:pPr>
              <w:rPr>
                <w:b/>
                <w:sz w:val="22"/>
                <w:szCs w:val="22"/>
              </w:rPr>
            </w:pPr>
            <w:r>
              <w:rPr>
                <w:b/>
                <w:sz w:val="22"/>
                <w:szCs w:val="22"/>
              </w:rPr>
              <w:t>Year</w:t>
            </w:r>
          </w:p>
        </w:tc>
        <w:tc>
          <w:tcPr>
            <w:tcW w:w="1992" w:type="dxa"/>
          </w:tcPr>
          <w:p w14:paraId="5B289EF3" w14:textId="7D474332" w:rsidR="007D567F" w:rsidRPr="008F55EC" w:rsidRDefault="007D567F" w:rsidP="007D567F">
            <w:pPr>
              <w:rPr>
                <w:b/>
                <w:sz w:val="22"/>
                <w:szCs w:val="22"/>
              </w:rPr>
            </w:pPr>
            <w:r>
              <w:rPr>
                <w:b/>
                <w:sz w:val="22"/>
                <w:szCs w:val="22"/>
              </w:rPr>
              <w:t>Financial and Insurance Services</w:t>
            </w:r>
          </w:p>
        </w:tc>
        <w:tc>
          <w:tcPr>
            <w:tcW w:w="1635" w:type="dxa"/>
          </w:tcPr>
          <w:p w14:paraId="7B4CFE09" w14:textId="11366F36" w:rsidR="007D567F" w:rsidRDefault="007D567F" w:rsidP="007D567F">
            <w:pPr>
              <w:rPr>
                <w:b/>
                <w:sz w:val="22"/>
                <w:szCs w:val="22"/>
              </w:rPr>
            </w:pPr>
            <w:r>
              <w:rPr>
                <w:b/>
                <w:sz w:val="22"/>
                <w:szCs w:val="22"/>
              </w:rPr>
              <w:t>Professional, Scientific and Technical Services</w:t>
            </w:r>
          </w:p>
        </w:tc>
        <w:tc>
          <w:tcPr>
            <w:tcW w:w="1635" w:type="dxa"/>
          </w:tcPr>
          <w:p w14:paraId="516C9485" w14:textId="34C5C164" w:rsidR="007D567F" w:rsidRDefault="007D567F" w:rsidP="007D567F">
            <w:pPr>
              <w:rPr>
                <w:b/>
                <w:sz w:val="22"/>
                <w:szCs w:val="22"/>
              </w:rPr>
            </w:pPr>
            <w:r>
              <w:rPr>
                <w:b/>
                <w:sz w:val="22"/>
                <w:szCs w:val="22"/>
              </w:rPr>
              <w:t>Health Care and Social Assistance</w:t>
            </w:r>
          </w:p>
        </w:tc>
        <w:tc>
          <w:tcPr>
            <w:tcW w:w="1635" w:type="dxa"/>
          </w:tcPr>
          <w:p w14:paraId="793D69EA" w14:textId="77C7AF69" w:rsidR="07CC5F68" w:rsidRDefault="35977359" w:rsidP="6631D956">
            <w:pPr>
              <w:rPr>
                <w:b/>
                <w:bCs/>
                <w:sz w:val="22"/>
                <w:szCs w:val="22"/>
              </w:rPr>
            </w:pPr>
            <w:r w:rsidRPr="2947B656">
              <w:rPr>
                <w:b/>
                <w:bCs/>
                <w:sz w:val="22"/>
                <w:szCs w:val="22"/>
              </w:rPr>
              <w:t>Other Industries</w:t>
            </w:r>
          </w:p>
          <w:p w14:paraId="241CAE8E" w14:textId="20AF5F21" w:rsidR="6631D956" w:rsidRDefault="6631D956" w:rsidP="6631D956">
            <w:pPr>
              <w:rPr>
                <w:b/>
                <w:bCs/>
                <w:sz w:val="22"/>
                <w:szCs w:val="22"/>
              </w:rPr>
            </w:pPr>
          </w:p>
        </w:tc>
        <w:tc>
          <w:tcPr>
            <w:tcW w:w="1635" w:type="dxa"/>
          </w:tcPr>
          <w:p w14:paraId="18EE7DA1" w14:textId="4BC923CE" w:rsidR="007D567F" w:rsidRDefault="07CC5F68" w:rsidP="6631D956">
            <w:pPr>
              <w:rPr>
                <w:b/>
                <w:bCs/>
                <w:sz w:val="22"/>
                <w:szCs w:val="22"/>
              </w:rPr>
            </w:pPr>
            <w:r w:rsidRPr="6631D956">
              <w:rPr>
                <w:b/>
                <w:bCs/>
                <w:sz w:val="22"/>
                <w:szCs w:val="22"/>
              </w:rPr>
              <w:t>Total</w:t>
            </w:r>
          </w:p>
        </w:tc>
      </w:tr>
      <w:tr w:rsidR="007D567F" w14:paraId="15385D68" w14:textId="10563F11" w:rsidTr="2947B656">
        <w:trPr>
          <w:trHeight w:val="300"/>
        </w:trPr>
        <w:tc>
          <w:tcPr>
            <w:tcW w:w="1246" w:type="dxa"/>
          </w:tcPr>
          <w:p w14:paraId="2E9ECFDD" w14:textId="49517995" w:rsidR="007D567F" w:rsidRDefault="007D567F" w:rsidP="007D567F">
            <w:pPr>
              <w:rPr>
                <w:rFonts w:cs="Arial"/>
                <w:color w:val="000000"/>
                <w:sz w:val="22"/>
                <w:szCs w:val="22"/>
              </w:rPr>
            </w:pPr>
            <w:r>
              <w:rPr>
                <w:rFonts w:cs="Arial"/>
                <w:color w:val="000000"/>
                <w:sz w:val="22"/>
                <w:szCs w:val="22"/>
              </w:rPr>
              <w:t>2024</w:t>
            </w:r>
          </w:p>
        </w:tc>
        <w:tc>
          <w:tcPr>
            <w:tcW w:w="1992" w:type="dxa"/>
            <w:vAlign w:val="bottom"/>
          </w:tcPr>
          <w:p w14:paraId="1D9917F2" w14:textId="14C1282D" w:rsidR="007D567F" w:rsidRDefault="007D567F" w:rsidP="007D567F">
            <w:pPr>
              <w:jc w:val="right"/>
              <w:rPr>
                <w:sz w:val="22"/>
                <w:szCs w:val="22"/>
              </w:rPr>
            </w:pPr>
            <w:r>
              <w:rPr>
                <w:sz w:val="22"/>
                <w:szCs w:val="22"/>
              </w:rPr>
              <w:t>102,000</w:t>
            </w:r>
          </w:p>
        </w:tc>
        <w:tc>
          <w:tcPr>
            <w:tcW w:w="1635" w:type="dxa"/>
          </w:tcPr>
          <w:p w14:paraId="3773CE80" w14:textId="14B5125C" w:rsidR="007D567F" w:rsidRDefault="007D567F" w:rsidP="007D567F">
            <w:pPr>
              <w:jc w:val="right"/>
              <w:rPr>
                <w:sz w:val="22"/>
                <w:szCs w:val="22"/>
              </w:rPr>
            </w:pPr>
            <w:r>
              <w:rPr>
                <w:sz w:val="22"/>
                <w:szCs w:val="22"/>
              </w:rPr>
              <w:t>144,000</w:t>
            </w:r>
          </w:p>
        </w:tc>
        <w:tc>
          <w:tcPr>
            <w:tcW w:w="1635" w:type="dxa"/>
          </w:tcPr>
          <w:p w14:paraId="5988712C" w14:textId="6B3BF1BC" w:rsidR="007D567F" w:rsidRDefault="007D567F" w:rsidP="007D567F">
            <w:pPr>
              <w:jc w:val="right"/>
              <w:rPr>
                <w:sz w:val="22"/>
                <w:szCs w:val="22"/>
              </w:rPr>
            </w:pPr>
            <w:r>
              <w:rPr>
                <w:sz w:val="22"/>
                <w:szCs w:val="22"/>
              </w:rPr>
              <w:t>56,000</w:t>
            </w:r>
          </w:p>
        </w:tc>
        <w:tc>
          <w:tcPr>
            <w:tcW w:w="1635" w:type="dxa"/>
          </w:tcPr>
          <w:p w14:paraId="038F973A" w14:textId="739F216E" w:rsidR="6631D956" w:rsidRDefault="6BA8AC0A" w:rsidP="6631D956">
            <w:pPr>
              <w:jc w:val="right"/>
              <w:rPr>
                <w:sz w:val="22"/>
                <w:szCs w:val="22"/>
              </w:rPr>
            </w:pPr>
            <w:r w:rsidRPr="2947B656">
              <w:rPr>
                <w:sz w:val="22"/>
                <w:szCs w:val="22"/>
              </w:rPr>
              <w:t>350,000</w:t>
            </w:r>
          </w:p>
        </w:tc>
        <w:tc>
          <w:tcPr>
            <w:tcW w:w="1635" w:type="dxa"/>
          </w:tcPr>
          <w:p w14:paraId="57BE1DC8" w14:textId="518A0D17" w:rsidR="007D567F" w:rsidRDefault="007D567F" w:rsidP="007D567F">
            <w:pPr>
              <w:jc w:val="right"/>
              <w:rPr>
                <w:sz w:val="22"/>
                <w:szCs w:val="22"/>
              </w:rPr>
            </w:pPr>
            <w:r>
              <w:rPr>
                <w:sz w:val="22"/>
                <w:szCs w:val="22"/>
              </w:rPr>
              <w:t>652,000</w:t>
            </w:r>
          </w:p>
        </w:tc>
      </w:tr>
      <w:tr w:rsidR="007D567F" w14:paraId="125D07C0" w14:textId="33895ABF" w:rsidTr="2947B656">
        <w:trPr>
          <w:trHeight w:val="300"/>
        </w:trPr>
        <w:tc>
          <w:tcPr>
            <w:tcW w:w="1246" w:type="dxa"/>
          </w:tcPr>
          <w:p w14:paraId="4DDF562E" w14:textId="7F1C569A" w:rsidR="007D567F" w:rsidRDefault="007D567F" w:rsidP="007D567F">
            <w:pPr>
              <w:rPr>
                <w:rFonts w:cs="Arial"/>
                <w:color w:val="000000"/>
                <w:sz w:val="22"/>
                <w:szCs w:val="22"/>
              </w:rPr>
            </w:pPr>
            <w:r>
              <w:rPr>
                <w:rFonts w:cs="Arial"/>
                <w:color w:val="000000"/>
                <w:sz w:val="22"/>
                <w:szCs w:val="22"/>
              </w:rPr>
              <w:t>2023</w:t>
            </w:r>
          </w:p>
        </w:tc>
        <w:tc>
          <w:tcPr>
            <w:tcW w:w="1992" w:type="dxa"/>
            <w:vAlign w:val="bottom"/>
          </w:tcPr>
          <w:p w14:paraId="0BFA09F7" w14:textId="74B5D533" w:rsidR="007D567F" w:rsidRDefault="007D567F" w:rsidP="007D567F">
            <w:pPr>
              <w:jc w:val="right"/>
              <w:rPr>
                <w:sz w:val="22"/>
                <w:szCs w:val="22"/>
              </w:rPr>
            </w:pPr>
            <w:r>
              <w:rPr>
                <w:sz w:val="22"/>
                <w:szCs w:val="22"/>
              </w:rPr>
              <w:t>102,000</w:t>
            </w:r>
          </w:p>
        </w:tc>
        <w:tc>
          <w:tcPr>
            <w:tcW w:w="1635" w:type="dxa"/>
          </w:tcPr>
          <w:p w14:paraId="7190A58B" w14:textId="13D60687" w:rsidR="007D567F" w:rsidRDefault="007D567F" w:rsidP="007D567F">
            <w:pPr>
              <w:jc w:val="right"/>
              <w:rPr>
                <w:sz w:val="22"/>
                <w:szCs w:val="22"/>
              </w:rPr>
            </w:pPr>
            <w:r>
              <w:rPr>
                <w:sz w:val="22"/>
                <w:szCs w:val="22"/>
              </w:rPr>
              <w:t>143,000</w:t>
            </w:r>
          </w:p>
        </w:tc>
        <w:tc>
          <w:tcPr>
            <w:tcW w:w="1635" w:type="dxa"/>
          </w:tcPr>
          <w:p w14:paraId="2DA6B2C3" w14:textId="6E8C06C9" w:rsidR="007D567F" w:rsidRDefault="007D567F" w:rsidP="007D567F">
            <w:pPr>
              <w:jc w:val="right"/>
              <w:rPr>
                <w:sz w:val="22"/>
                <w:szCs w:val="22"/>
              </w:rPr>
            </w:pPr>
            <w:r>
              <w:rPr>
                <w:sz w:val="22"/>
                <w:szCs w:val="22"/>
              </w:rPr>
              <w:t>54,000</w:t>
            </w:r>
          </w:p>
        </w:tc>
        <w:tc>
          <w:tcPr>
            <w:tcW w:w="1635" w:type="dxa"/>
          </w:tcPr>
          <w:p w14:paraId="33F7E6C5" w14:textId="68E748F0" w:rsidR="6631D956" w:rsidRDefault="1BB5C526" w:rsidP="6631D956">
            <w:pPr>
              <w:jc w:val="right"/>
              <w:rPr>
                <w:sz w:val="22"/>
                <w:szCs w:val="22"/>
              </w:rPr>
            </w:pPr>
            <w:r w:rsidRPr="2947B656">
              <w:rPr>
                <w:sz w:val="22"/>
                <w:szCs w:val="22"/>
              </w:rPr>
              <w:t>334,000</w:t>
            </w:r>
          </w:p>
        </w:tc>
        <w:tc>
          <w:tcPr>
            <w:tcW w:w="1635" w:type="dxa"/>
          </w:tcPr>
          <w:p w14:paraId="376B2A1A" w14:textId="21C17A36" w:rsidR="007D567F" w:rsidRDefault="007D567F" w:rsidP="007D567F">
            <w:pPr>
              <w:jc w:val="right"/>
              <w:rPr>
                <w:sz w:val="22"/>
                <w:szCs w:val="22"/>
              </w:rPr>
            </w:pPr>
            <w:r>
              <w:rPr>
                <w:sz w:val="22"/>
                <w:szCs w:val="22"/>
              </w:rPr>
              <w:t>633,000</w:t>
            </w:r>
          </w:p>
        </w:tc>
      </w:tr>
      <w:tr w:rsidR="007D567F" w14:paraId="1DA13768" w14:textId="253B03AF" w:rsidTr="2947B656">
        <w:trPr>
          <w:trHeight w:val="300"/>
        </w:trPr>
        <w:tc>
          <w:tcPr>
            <w:tcW w:w="1246" w:type="dxa"/>
          </w:tcPr>
          <w:p w14:paraId="168CA74C" w14:textId="32E3A493" w:rsidR="007D567F" w:rsidRDefault="007D567F" w:rsidP="007D567F">
            <w:pPr>
              <w:rPr>
                <w:rFonts w:cs="Arial"/>
                <w:color w:val="000000"/>
                <w:sz w:val="22"/>
                <w:szCs w:val="22"/>
              </w:rPr>
            </w:pPr>
            <w:r>
              <w:rPr>
                <w:rFonts w:cs="Arial"/>
                <w:color w:val="000000"/>
                <w:sz w:val="22"/>
                <w:szCs w:val="22"/>
              </w:rPr>
              <w:t>2022</w:t>
            </w:r>
          </w:p>
        </w:tc>
        <w:tc>
          <w:tcPr>
            <w:tcW w:w="1992" w:type="dxa"/>
            <w:vAlign w:val="bottom"/>
          </w:tcPr>
          <w:p w14:paraId="2CFAD1AC" w14:textId="34CE3E01" w:rsidR="007D567F" w:rsidRDefault="007D567F" w:rsidP="007D567F">
            <w:pPr>
              <w:jc w:val="right"/>
              <w:rPr>
                <w:sz w:val="22"/>
                <w:szCs w:val="22"/>
              </w:rPr>
            </w:pPr>
            <w:r>
              <w:rPr>
                <w:sz w:val="22"/>
                <w:szCs w:val="22"/>
              </w:rPr>
              <w:t>96,000</w:t>
            </w:r>
          </w:p>
        </w:tc>
        <w:tc>
          <w:tcPr>
            <w:tcW w:w="1635" w:type="dxa"/>
          </w:tcPr>
          <w:p w14:paraId="08A0148F" w14:textId="3D1D446F" w:rsidR="007D567F" w:rsidRDefault="007D567F" w:rsidP="007D567F">
            <w:pPr>
              <w:jc w:val="right"/>
              <w:rPr>
                <w:sz w:val="22"/>
                <w:szCs w:val="22"/>
              </w:rPr>
            </w:pPr>
            <w:r>
              <w:rPr>
                <w:sz w:val="22"/>
                <w:szCs w:val="22"/>
              </w:rPr>
              <w:t>136,000</w:t>
            </w:r>
          </w:p>
        </w:tc>
        <w:tc>
          <w:tcPr>
            <w:tcW w:w="1635" w:type="dxa"/>
          </w:tcPr>
          <w:p w14:paraId="6C39B57B" w14:textId="4296A743" w:rsidR="007D567F" w:rsidRDefault="007D567F" w:rsidP="007D567F">
            <w:pPr>
              <w:jc w:val="right"/>
              <w:rPr>
                <w:sz w:val="22"/>
                <w:szCs w:val="22"/>
              </w:rPr>
            </w:pPr>
            <w:r>
              <w:rPr>
                <w:sz w:val="22"/>
                <w:szCs w:val="22"/>
              </w:rPr>
              <w:t>50,000</w:t>
            </w:r>
          </w:p>
        </w:tc>
        <w:tc>
          <w:tcPr>
            <w:tcW w:w="1635" w:type="dxa"/>
          </w:tcPr>
          <w:p w14:paraId="1025EB8B" w14:textId="02E77DC3" w:rsidR="6631D956" w:rsidRDefault="5F57C20C" w:rsidP="6631D956">
            <w:pPr>
              <w:jc w:val="right"/>
              <w:rPr>
                <w:sz w:val="22"/>
                <w:szCs w:val="22"/>
              </w:rPr>
            </w:pPr>
            <w:r w:rsidRPr="2947B656">
              <w:rPr>
                <w:sz w:val="22"/>
                <w:szCs w:val="22"/>
              </w:rPr>
              <w:t>32</w:t>
            </w:r>
            <w:r w:rsidR="07CEC4C1" w:rsidRPr="2947B656">
              <w:rPr>
                <w:sz w:val="22"/>
                <w:szCs w:val="22"/>
              </w:rPr>
              <w:t>3</w:t>
            </w:r>
            <w:r w:rsidRPr="2947B656">
              <w:rPr>
                <w:sz w:val="22"/>
                <w:szCs w:val="22"/>
              </w:rPr>
              <w:t>,000</w:t>
            </w:r>
          </w:p>
        </w:tc>
        <w:tc>
          <w:tcPr>
            <w:tcW w:w="1635" w:type="dxa"/>
          </w:tcPr>
          <w:p w14:paraId="64091B0D" w14:textId="162CD8E9" w:rsidR="007D567F" w:rsidRDefault="007D567F" w:rsidP="007D567F">
            <w:pPr>
              <w:jc w:val="right"/>
              <w:rPr>
                <w:sz w:val="22"/>
                <w:szCs w:val="22"/>
              </w:rPr>
            </w:pPr>
            <w:r>
              <w:rPr>
                <w:sz w:val="22"/>
                <w:szCs w:val="22"/>
              </w:rPr>
              <w:t>605,000</w:t>
            </w:r>
          </w:p>
        </w:tc>
      </w:tr>
      <w:tr w:rsidR="007D567F" w14:paraId="2C4BFCAC" w14:textId="4C5FB0B1" w:rsidTr="2947B656">
        <w:trPr>
          <w:trHeight w:val="300"/>
        </w:trPr>
        <w:tc>
          <w:tcPr>
            <w:tcW w:w="1246" w:type="dxa"/>
          </w:tcPr>
          <w:p w14:paraId="4CD76034" w14:textId="00E70C04" w:rsidR="007D567F" w:rsidRPr="008F55EC" w:rsidRDefault="007D567F" w:rsidP="007D567F">
            <w:pPr>
              <w:rPr>
                <w:rFonts w:cs="Arial"/>
                <w:color w:val="000000"/>
                <w:sz w:val="22"/>
                <w:szCs w:val="22"/>
              </w:rPr>
            </w:pPr>
            <w:r>
              <w:rPr>
                <w:rFonts w:cs="Arial"/>
                <w:color w:val="000000"/>
                <w:sz w:val="22"/>
                <w:szCs w:val="22"/>
              </w:rPr>
              <w:t>2021</w:t>
            </w:r>
          </w:p>
        </w:tc>
        <w:tc>
          <w:tcPr>
            <w:tcW w:w="1992" w:type="dxa"/>
            <w:vAlign w:val="bottom"/>
          </w:tcPr>
          <w:p w14:paraId="7D929968" w14:textId="1587BF21" w:rsidR="007D567F" w:rsidRPr="008F55EC" w:rsidRDefault="007D567F" w:rsidP="007D567F">
            <w:pPr>
              <w:jc w:val="right"/>
              <w:rPr>
                <w:sz w:val="22"/>
                <w:szCs w:val="22"/>
              </w:rPr>
            </w:pPr>
            <w:r>
              <w:rPr>
                <w:sz w:val="22"/>
                <w:szCs w:val="22"/>
              </w:rPr>
              <w:t>88,000</w:t>
            </w:r>
          </w:p>
        </w:tc>
        <w:tc>
          <w:tcPr>
            <w:tcW w:w="1635" w:type="dxa"/>
          </w:tcPr>
          <w:p w14:paraId="6658C9BA" w14:textId="1EB347B3" w:rsidR="007D567F" w:rsidRDefault="007D567F" w:rsidP="007D567F">
            <w:pPr>
              <w:jc w:val="right"/>
              <w:rPr>
                <w:sz w:val="22"/>
                <w:szCs w:val="22"/>
              </w:rPr>
            </w:pPr>
            <w:r>
              <w:rPr>
                <w:sz w:val="22"/>
                <w:szCs w:val="22"/>
              </w:rPr>
              <w:t>125,000</w:t>
            </w:r>
          </w:p>
        </w:tc>
        <w:tc>
          <w:tcPr>
            <w:tcW w:w="1635" w:type="dxa"/>
          </w:tcPr>
          <w:p w14:paraId="3B5D1190" w14:textId="04881F46" w:rsidR="007D567F" w:rsidRDefault="007D567F" w:rsidP="007D567F">
            <w:pPr>
              <w:jc w:val="right"/>
              <w:rPr>
                <w:sz w:val="22"/>
                <w:szCs w:val="22"/>
              </w:rPr>
            </w:pPr>
            <w:r>
              <w:rPr>
                <w:sz w:val="22"/>
                <w:szCs w:val="22"/>
              </w:rPr>
              <w:t>44,000</w:t>
            </w:r>
          </w:p>
        </w:tc>
        <w:tc>
          <w:tcPr>
            <w:tcW w:w="1635" w:type="dxa"/>
          </w:tcPr>
          <w:p w14:paraId="0BCB4584" w14:textId="6EB15C8A" w:rsidR="6631D956" w:rsidRDefault="0D373C9D" w:rsidP="6631D956">
            <w:pPr>
              <w:jc w:val="right"/>
              <w:rPr>
                <w:sz w:val="22"/>
                <w:szCs w:val="22"/>
              </w:rPr>
            </w:pPr>
            <w:r w:rsidRPr="2947B656">
              <w:rPr>
                <w:sz w:val="22"/>
                <w:szCs w:val="22"/>
              </w:rPr>
              <w:t>322,000</w:t>
            </w:r>
          </w:p>
        </w:tc>
        <w:tc>
          <w:tcPr>
            <w:tcW w:w="1635" w:type="dxa"/>
          </w:tcPr>
          <w:p w14:paraId="0E0A5085" w14:textId="53A1F3C8" w:rsidR="007D567F" w:rsidRDefault="007D567F" w:rsidP="007D567F">
            <w:pPr>
              <w:jc w:val="right"/>
              <w:rPr>
                <w:sz w:val="22"/>
                <w:szCs w:val="22"/>
              </w:rPr>
            </w:pPr>
            <w:r>
              <w:rPr>
                <w:sz w:val="22"/>
                <w:szCs w:val="22"/>
              </w:rPr>
              <w:t>579,000</w:t>
            </w:r>
          </w:p>
        </w:tc>
      </w:tr>
      <w:tr w:rsidR="007D567F" w14:paraId="3713D7D2" w14:textId="3CBFA61B" w:rsidTr="2947B656">
        <w:trPr>
          <w:trHeight w:val="300"/>
        </w:trPr>
        <w:tc>
          <w:tcPr>
            <w:tcW w:w="1246" w:type="dxa"/>
          </w:tcPr>
          <w:p w14:paraId="7A292307" w14:textId="504A565A" w:rsidR="007D567F" w:rsidRDefault="007D567F" w:rsidP="007D567F">
            <w:pPr>
              <w:rPr>
                <w:rFonts w:cs="Arial"/>
                <w:color w:val="000000"/>
                <w:sz w:val="22"/>
                <w:szCs w:val="22"/>
              </w:rPr>
            </w:pPr>
            <w:r>
              <w:rPr>
                <w:rFonts w:cs="Arial"/>
                <w:color w:val="000000"/>
                <w:sz w:val="22"/>
                <w:szCs w:val="22"/>
              </w:rPr>
              <w:t>2020</w:t>
            </w:r>
          </w:p>
        </w:tc>
        <w:tc>
          <w:tcPr>
            <w:tcW w:w="1992" w:type="dxa"/>
            <w:vAlign w:val="bottom"/>
          </w:tcPr>
          <w:p w14:paraId="1731CDDD" w14:textId="697DC1CA" w:rsidR="007D567F" w:rsidRDefault="007D567F" w:rsidP="007D567F">
            <w:pPr>
              <w:jc w:val="right"/>
              <w:rPr>
                <w:sz w:val="22"/>
                <w:szCs w:val="22"/>
              </w:rPr>
            </w:pPr>
            <w:r>
              <w:rPr>
                <w:sz w:val="22"/>
                <w:szCs w:val="22"/>
              </w:rPr>
              <w:t>84,000</w:t>
            </w:r>
          </w:p>
        </w:tc>
        <w:tc>
          <w:tcPr>
            <w:tcW w:w="1635" w:type="dxa"/>
          </w:tcPr>
          <w:p w14:paraId="664A21BD" w14:textId="28D55461" w:rsidR="007D567F" w:rsidRDefault="007D567F" w:rsidP="007D567F">
            <w:pPr>
              <w:jc w:val="right"/>
              <w:rPr>
                <w:sz w:val="22"/>
                <w:szCs w:val="22"/>
              </w:rPr>
            </w:pPr>
            <w:r>
              <w:rPr>
                <w:sz w:val="22"/>
                <w:szCs w:val="22"/>
              </w:rPr>
              <w:t>126,000</w:t>
            </w:r>
          </w:p>
        </w:tc>
        <w:tc>
          <w:tcPr>
            <w:tcW w:w="1635" w:type="dxa"/>
          </w:tcPr>
          <w:p w14:paraId="11BC0D89" w14:textId="49F9558B" w:rsidR="007D567F" w:rsidRDefault="007D567F" w:rsidP="007D567F">
            <w:pPr>
              <w:jc w:val="right"/>
              <w:rPr>
                <w:sz w:val="22"/>
                <w:szCs w:val="22"/>
              </w:rPr>
            </w:pPr>
            <w:r>
              <w:rPr>
                <w:sz w:val="22"/>
                <w:szCs w:val="22"/>
              </w:rPr>
              <w:t>43,000</w:t>
            </w:r>
          </w:p>
        </w:tc>
        <w:tc>
          <w:tcPr>
            <w:tcW w:w="1635" w:type="dxa"/>
          </w:tcPr>
          <w:p w14:paraId="69A08C8D" w14:textId="3762DE5A" w:rsidR="6631D956" w:rsidRDefault="2B6DBD43" w:rsidP="6631D956">
            <w:pPr>
              <w:jc w:val="right"/>
              <w:rPr>
                <w:sz w:val="22"/>
                <w:szCs w:val="22"/>
              </w:rPr>
            </w:pPr>
            <w:r w:rsidRPr="2947B656">
              <w:rPr>
                <w:sz w:val="22"/>
                <w:szCs w:val="22"/>
              </w:rPr>
              <w:t>33</w:t>
            </w:r>
            <w:r w:rsidR="4C46433E" w:rsidRPr="2947B656">
              <w:rPr>
                <w:sz w:val="22"/>
                <w:szCs w:val="22"/>
              </w:rPr>
              <w:t>4</w:t>
            </w:r>
            <w:r w:rsidRPr="2947B656">
              <w:rPr>
                <w:sz w:val="22"/>
                <w:szCs w:val="22"/>
              </w:rPr>
              <w:t>,000</w:t>
            </w:r>
          </w:p>
        </w:tc>
        <w:tc>
          <w:tcPr>
            <w:tcW w:w="1635" w:type="dxa"/>
          </w:tcPr>
          <w:p w14:paraId="1F541E98" w14:textId="003D05A9" w:rsidR="007D567F" w:rsidRDefault="007D567F" w:rsidP="007D567F">
            <w:pPr>
              <w:jc w:val="right"/>
              <w:rPr>
                <w:sz w:val="22"/>
                <w:szCs w:val="22"/>
              </w:rPr>
            </w:pPr>
            <w:r>
              <w:rPr>
                <w:sz w:val="22"/>
                <w:szCs w:val="22"/>
              </w:rPr>
              <w:t>587,000</w:t>
            </w:r>
          </w:p>
        </w:tc>
      </w:tr>
      <w:tr w:rsidR="007D567F" w14:paraId="444BD0F8" w14:textId="79267D50" w:rsidTr="2947B656">
        <w:trPr>
          <w:trHeight w:val="300"/>
        </w:trPr>
        <w:tc>
          <w:tcPr>
            <w:tcW w:w="1246" w:type="dxa"/>
          </w:tcPr>
          <w:p w14:paraId="0F4B65A3" w14:textId="436279A3" w:rsidR="007D567F" w:rsidRDefault="007D567F" w:rsidP="007D567F">
            <w:pPr>
              <w:rPr>
                <w:rFonts w:cs="Arial"/>
                <w:color w:val="000000"/>
                <w:sz w:val="22"/>
                <w:szCs w:val="22"/>
              </w:rPr>
            </w:pPr>
            <w:r>
              <w:rPr>
                <w:rFonts w:cs="Arial"/>
                <w:color w:val="000000"/>
                <w:sz w:val="22"/>
                <w:szCs w:val="22"/>
              </w:rPr>
              <w:t>2019</w:t>
            </w:r>
          </w:p>
        </w:tc>
        <w:tc>
          <w:tcPr>
            <w:tcW w:w="1992" w:type="dxa"/>
            <w:vAlign w:val="bottom"/>
          </w:tcPr>
          <w:p w14:paraId="5A86E997" w14:textId="37269420" w:rsidR="007D567F" w:rsidRDefault="007D567F" w:rsidP="007D567F">
            <w:pPr>
              <w:jc w:val="right"/>
              <w:rPr>
                <w:sz w:val="22"/>
                <w:szCs w:val="22"/>
              </w:rPr>
            </w:pPr>
            <w:r>
              <w:rPr>
                <w:sz w:val="22"/>
                <w:szCs w:val="22"/>
              </w:rPr>
              <w:t>77,000</w:t>
            </w:r>
          </w:p>
        </w:tc>
        <w:tc>
          <w:tcPr>
            <w:tcW w:w="1635" w:type="dxa"/>
          </w:tcPr>
          <w:p w14:paraId="445DE96C" w14:textId="56591941" w:rsidR="007D567F" w:rsidRDefault="007D567F" w:rsidP="007D567F">
            <w:pPr>
              <w:jc w:val="right"/>
              <w:rPr>
                <w:sz w:val="22"/>
                <w:szCs w:val="22"/>
              </w:rPr>
            </w:pPr>
            <w:r>
              <w:rPr>
                <w:sz w:val="22"/>
                <w:szCs w:val="22"/>
              </w:rPr>
              <w:t>122,000</w:t>
            </w:r>
          </w:p>
        </w:tc>
        <w:tc>
          <w:tcPr>
            <w:tcW w:w="1635" w:type="dxa"/>
          </w:tcPr>
          <w:p w14:paraId="5B325AA9" w14:textId="1DADA635" w:rsidR="007D567F" w:rsidRDefault="007D567F" w:rsidP="007D567F">
            <w:pPr>
              <w:jc w:val="right"/>
              <w:rPr>
                <w:sz w:val="22"/>
                <w:szCs w:val="22"/>
              </w:rPr>
            </w:pPr>
            <w:r>
              <w:rPr>
                <w:sz w:val="22"/>
                <w:szCs w:val="22"/>
              </w:rPr>
              <w:t>42,000</w:t>
            </w:r>
          </w:p>
        </w:tc>
        <w:tc>
          <w:tcPr>
            <w:tcW w:w="1635" w:type="dxa"/>
          </w:tcPr>
          <w:p w14:paraId="32A1B94F" w14:textId="0FEB5EB4" w:rsidR="6631D956" w:rsidRDefault="04E3BF1E" w:rsidP="6631D956">
            <w:pPr>
              <w:jc w:val="right"/>
              <w:rPr>
                <w:sz w:val="22"/>
                <w:szCs w:val="22"/>
              </w:rPr>
            </w:pPr>
            <w:r w:rsidRPr="2947B656">
              <w:rPr>
                <w:sz w:val="22"/>
                <w:szCs w:val="22"/>
              </w:rPr>
              <w:t>339,000</w:t>
            </w:r>
          </w:p>
        </w:tc>
        <w:tc>
          <w:tcPr>
            <w:tcW w:w="1635" w:type="dxa"/>
          </w:tcPr>
          <w:p w14:paraId="54A26CEF" w14:textId="0924F1EB" w:rsidR="007D567F" w:rsidRDefault="007D567F" w:rsidP="007D567F">
            <w:pPr>
              <w:jc w:val="right"/>
              <w:rPr>
                <w:sz w:val="22"/>
                <w:szCs w:val="22"/>
              </w:rPr>
            </w:pPr>
            <w:r>
              <w:rPr>
                <w:sz w:val="22"/>
                <w:szCs w:val="22"/>
              </w:rPr>
              <w:t>580,000</w:t>
            </w:r>
          </w:p>
        </w:tc>
      </w:tr>
    </w:tbl>
    <w:p w14:paraId="607CA61C" w14:textId="19D6C4A4" w:rsidR="003F25BE" w:rsidRPr="00CF6F1F" w:rsidRDefault="007D567F" w:rsidP="00CF6F1F">
      <w:pPr>
        <w:pStyle w:val="ListParagraph"/>
        <w:numPr>
          <w:ilvl w:val="0"/>
          <w:numId w:val="24"/>
        </w:numPr>
      </w:pPr>
      <w:r w:rsidRPr="007D567F">
        <w:rPr>
          <w:lang w:val="en-AU"/>
        </w:rPr>
        <w:t xml:space="preserve">In 2019 these three key industries accounted for </w:t>
      </w:r>
      <w:r w:rsidRPr="007D567F">
        <w:rPr>
          <w:b/>
          <w:lang w:val="en-AU"/>
        </w:rPr>
        <w:t>42%</w:t>
      </w:r>
      <w:r w:rsidRPr="007D567F">
        <w:rPr>
          <w:lang w:val="en-AU"/>
        </w:rPr>
        <w:t xml:space="preserve"> of all local jobs in the municipality, this has </w:t>
      </w:r>
      <w:r w:rsidRPr="007D567F">
        <w:rPr>
          <w:b/>
          <w:lang w:val="en-AU"/>
        </w:rPr>
        <w:t>grown</w:t>
      </w:r>
      <w:r w:rsidRPr="007D567F">
        <w:rPr>
          <w:lang w:val="en-AU"/>
        </w:rPr>
        <w:t xml:space="preserve"> to now be almost </w:t>
      </w:r>
      <w:r w:rsidRPr="007D567F">
        <w:rPr>
          <w:b/>
          <w:lang w:val="en-AU"/>
        </w:rPr>
        <w:t>half</w:t>
      </w:r>
      <w:r w:rsidRPr="007D567F">
        <w:rPr>
          <w:lang w:val="en-AU"/>
        </w:rPr>
        <w:t xml:space="preserve"> (</w:t>
      </w:r>
      <w:r w:rsidRPr="007D567F">
        <w:rPr>
          <w:b/>
          <w:lang w:val="en-AU"/>
        </w:rPr>
        <w:t>46%</w:t>
      </w:r>
      <w:r w:rsidRPr="007D567F">
        <w:rPr>
          <w:lang w:val="en-AU"/>
        </w:rPr>
        <w:t>) in 2024.</w:t>
      </w:r>
    </w:p>
    <w:p w14:paraId="3CB3A149" w14:textId="77777777" w:rsidR="004679BC" w:rsidRDefault="004679BC">
      <w:pPr>
        <w:spacing w:after="0" w:line="240" w:lineRule="auto"/>
        <w:rPr>
          <w:rFonts w:ascii="Arial Bold" w:eastAsia="MS Gothic" w:hAnsi="Arial Bold" w:hint="eastAsia"/>
          <w:bCs/>
          <w:sz w:val="24"/>
          <w:szCs w:val="26"/>
          <w:lang w:val="en-US"/>
        </w:rPr>
      </w:pPr>
      <w:bookmarkStart w:id="12" w:name="_Toc182490810"/>
      <w:bookmarkStart w:id="13" w:name="_Toc204007186"/>
      <w:r>
        <w:rPr>
          <w:rFonts w:hint="eastAsia"/>
        </w:rPr>
        <w:br w:type="page"/>
      </w:r>
    </w:p>
    <w:p w14:paraId="3201BEDC" w14:textId="5AEC778F" w:rsidR="00772AEA" w:rsidRDefault="00772AEA" w:rsidP="00891621">
      <w:pPr>
        <w:pStyle w:val="Heading2"/>
        <w:rPr>
          <w:rFonts w:hint="eastAsia"/>
        </w:rPr>
      </w:pPr>
      <w:r>
        <w:lastRenderedPageBreak/>
        <w:t>Table 4</w:t>
      </w:r>
      <w:r w:rsidR="00BC4BD9">
        <w:t xml:space="preserve"> </w:t>
      </w:r>
      <w:r>
        <w:t xml:space="preserve">– </w:t>
      </w:r>
      <w:bookmarkEnd w:id="12"/>
      <w:r w:rsidR="007D567F">
        <w:t>Employment growth 2019 to 2014 by industry</w:t>
      </w:r>
      <w:bookmarkEnd w:id="13"/>
    </w:p>
    <w:tbl>
      <w:tblPr>
        <w:tblStyle w:val="TableGrid"/>
        <w:tblW w:w="5382" w:type="dxa"/>
        <w:tblLook w:val="04A0" w:firstRow="1" w:lastRow="0" w:firstColumn="1" w:lastColumn="0" w:noHBand="0" w:noVBand="1"/>
      </w:tblPr>
      <w:tblGrid>
        <w:gridCol w:w="2122"/>
        <w:gridCol w:w="3260"/>
      </w:tblGrid>
      <w:tr w:rsidR="00CF6F1F" w14:paraId="79CAC360" w14:textId="77777777" w:rsidTr="2947B656">
        <w:trPr>
          <w:trHeight w:val="415"/>
        </w:trPr>
        <w:tc>
          <w:tcPr>
            <w:tcW w:w="2122" w:type="dxa"/>
          </w:tcPr>
          <w:p w14:paraId="302AE69E" w14:textId="076E63CD" w:rsidR="00CF6F1F" w:rsidRPr="008F55EC" w:rsidRDefault="007D567F" w:rsidP="007713E0">
            <w:pPr>
              <w:rPr>
                <w:b/>
                <w:sz w:val="22"/>
                <w:szCs w:val="22"/>
              </w:rPr>
            </w:pPr>
            <w:r>
              <w:rPr>
                <w:b/>
                <w:sz w:val="22"/>
                <w:szCs w:val="22"/>
              </w:rPr>
              <w:t>Industry</w:t>
            </w:r>
          </w:p>
        </w:tc>
        <w:tc>
          <w:tcPr>
            <w:tcW w:w="3260" w:type="dxa"/>
          </w:tcPr>
          <w:p w14:paraId="78DE0DF7" w14:textId="4FA41260" w:rsidR="00CF6F1F" w:rsidRPr="008F55EC" w:rsidRDefault="007D567F" w:rsidP="007713E0">
            <w:pPr>
              <w:rPr>
                <w:b/>
                <w:sz w:val="22"/>
                <w:szCs w:val="22"/>
              </w:rPr>
            </w:pPr>
            <w:r>
              <w:rPr>
                <w:b/>
                <w:sz w:val="22"/>
                <w:szCs w:val="22"/>
              </w:rPr>
              <w:t>New jobs 2019 to 2024</w:t>
            </w:r>
          </w:p>
        </w:tc>
      </w:tr>
      <w:tr w:rsidR="00CF6F1F" w14:paraId="1198A35A" w14:textId="77777777" w:rsidTr="2947B656">
        <w:trPr>
          <w:trHeight w:val="415"/>
        </w:trPr>
        <w:tc>
          <w:tcPr>
            <w:tcW w:w="2122" w:type="dxa"/>
          </w:tcPr>
          <w:p w14:paraId="49DAAA84" w14:textId="338EDAFC" w:rsidR="00CF6F1F" w:rsidRPr="008F55EC" w:rsidRDefault="007D567F" w:rsidP="007713E0">
            <w:pPr>
              <w:rPr>
                <w:rFonts w:cs="Arial"/>
                <w:color w:val="000000"/>
                <w:sz w:val="22"/>
                <w:szCs w:val="22"/>
              </w:rPr>
            </w:pPr>
            <w:r>
              <w:rPr>
                <w:rFonts w:cs="Arial"/>
                <w:color w:val="000000"/>
                <w:sz w:val="22"/>
                <w:szCs w:val="22"/>
              </w:rPr>
              <w:t>Financial and Insurance Services</w:t>
            </w:r>
          </w:p>
        </w:tc>
        <w:tc>
          <w:tcPr>
            <w:tcW w:w="3260" w:type="dxa"/>
            <w:vAlign w:val="bottom"/>
          </w:tcPr>
          <w:p w14:paraId="64CC6DAE" w14:textId="1F78D40B" w:rsidR="00CF6F1F" w:rsidRPr="008F55EC" w:rsidRDefault="00CF6F1F" w:rsidP="007713E0">
            <w:pPr>
              <w:jc w:val="right"/>
              <w:rPr>
                <w:sz w:val="22"/>
                <w:szCs w:val="22"/>
              </w:rPr>
            </w:pPr>
            <w:r w:rsidRPr="2947B656">
              <w:rPr>
                <w:sz w:val="22"/>
                <w:szCs w:val="22"/>
              </w:rPr>
              <w:t>2</w:t>
            </w:r>
            <w:r w:rsidR="007D567F" w:rsidRPr="2947B656">
              <w:rPr>
                <w:sz w:val="22"/>
                <w:szCs w:val="22"/>
              </w:rPr>
              <w:t>5,</w:t>
            </w:r>
            <w:r w:rsidR="5D178A70" w:rsidRPr="2947B656">
              <w:rPr>
                <w:sz w:val="22"/>
                <w:szCs w:val="22"/>
              </w:rPr>
              <w:t>0</w:t>
            </w:r>
            <w:r w:rsidR="007D567F" w:rsidRPr="2947B656">
              <w:rPr>
                <w:sz w:val="22"/>
                <w:szCs w:val="22"/>
              </w:rPr>
              <w:t>00</w:t>
            </w:r>
          </w:p>
        </w:tc>
      </w:tr>
      <w:tr w:rsidR="00CF6F1F" w14:paraId="79278122" w14:textId="77777777" w:rsidTr="2947B656">
        <w:trPr>
          <w:trHeight w:val="415"/>
        </w:trPr>
        <w:tc>
          <w:tcPr>
            <w:tcW w:w="2122" w:type="dxa"/>
          </w:tcPr>
          <w:p w14:paraId="27BF5FD4" w14:textId="10F11CA6" w:rsidR="00CF6F1F" w:rsidRDefault="007D567F" w:rsidP="007713E0">
            <w:pPr>
              <w:rPr>
                <w:rFonts w:cs="Arial"/>
                <w:color w:val="000000"/>
                <w:sz w:val="22"/>
                <w:szCs w:val="22"/>
              </w:rPr>
            </w:pPr>
            <w:r>
              <w:rPr>
                <w:rFonts w:cs="Arial"/>
                <w:color w:val="000000"/>
                <w:sz w:val="22"/>
                <w:szCs w:val="22"/>
              </w:rPr>
              <w:t>Professional, Scientific and Technical Services</w:t>
            </w:r>
          </w:p>
        </w:tc>
        <w:tc>
          <w:tcPr>
            <w:tcW w:w="3260" w:type="dxa"/>
            <w:vAlign w:val="bottom"/>
          </w:tcPr>
          <w:p w14:paraId="73CC2154" w14:textId="48C63B09" w:rsidR="00CF6F1F" w:rsidRDefault="326AFF15" w:rsidP="007713E0">
            <w:pPr>
              <w:jc w:val="right"/>
              <w:rPr>
                <w:sz w:val="22"/>
                <w:szCs w:val="22"/>
              </w:rPr>
            </w:pPr>
            <w:r w:rsidRPr="2947B656">
              <w:rPr>
                <w:sz w:val="22"/>
                <w:szCs w:val="22"/>
              </w:rPr>
              <w:t>22</w:t>
            </w:r>
            <w:r w:rsidR="007D567F" w:rsidRPr="2947B656">
              <w:rPr>
                <w:sz w:val="22"/>
                <w:szCs w:val="22"/>
              </w:rPr>
              <w:t>,00</w:t>
            </w:r>
            <w:r w:rsidR="6C215360" w:rsidRPr="2947B656">
              <w:rPr>
                <w:sz w:val="22"/>
                <w:szCs w:val="22"/>
              </w:rPr>
              <w:t>0</w:t>
            </w:r>
          </w:p>
        </w:tc>
      </w:tr>
      <w:tr w:rsidR="00CF6F1F" w14:paraId="3C5E75BF" w14:textId="77777777" w:rsidTr="2947B656">
        <w:trPr>
          <w:trHeight w:val="415"/>
        </w:trPr>
        <w:tc>
          <w:tcPr>
            <w:tcW w:w="2122" w:type="dxa"/>
          </w:tcPr>
          <w:p w14:paraId="7B91EBA9" w14:textId="488AF1F9" w:rsidR="00CF6F1F" w:rsidRDefault="007D567F" w:rsidP="007713E0">
            <w:pPr>
              <w:rPr>
                <w:rFonts w:cs="Arial"/>
                <w:color w:val="000000"/>
                <w:sz w:val="22"/>
                <w:szCs w:val="22"/>
              </w:rPr>
            </w:pPr>
            <w:r>
              <w:rPr>
                <w:rFonts w:cs="Arial"/>
                <w:color w:val="000000"/>
                <w:sz w:val="22"/>
                <w:szCs w:val="22"/>
              </w:rPr>
              <w:t>Health Care and Social Assistance</w:t>
            </w:r>
          </w:p>
        </w:tc>
        <w:tc>
          <w:tcPr>
            <w:tcW w:w="3260" w:type="dxa"/>
            <w:vAlign w:val="bottom"/>
          </w:tcPr>
          <w:p w14:paraId="280AAB68" w14:textId="5F1D95B0" w:rsidR="00CF6F1F" w:rsidRDefault="00CF6F1F" w:rsidP="007713E0">
            <w:pPr>
              <w:jc w:val="right"/>
              <w:rPr>
                <w:sz w:val="22"/>
                <w:szCs w:val="22"/>
              </w:rPr>
            </w:pPr>
            <w:r w:rsidRPr="2947B656">
              <w:rPr>
                <w:sz w:val="22"/>
                <w:szCs w:val="22"/>
              </w:rPr>
              <w:t>1</w:t>
            </w:r>
            <w:r w:rsidR="72154A3A" w:rsidRPr="2947B656">
              <w:rPr>
                <w:sz w:val="22"/>
                <w:szCs w:val="22"/>
              </w:rPr>
              <w:t>5</w:t>
            </w:r>
            <w:r w:rsidR="007D567F" w:rsidRPr="2947B656">
              <w:rPr>
                <w:sz w:val="22"/>
                <w:szCs w:val="22"/>
              </w:rPr>
              <w:t>,</w:t>
            </w:r>
            <w:r w:rsidR="70C8BC8D" w:rsidRPr="2947B656">
              <w:rPr>
                <w:sz w:val="22"/>
                <w:szCs w:val="22"/>
              </w:rPr>
              <w:t>0</w:t>
            </w:r>
            <w:r w:rsidR="007D567F" w:rsidRPr="2947B656">
              <w:rPr>
                <w:sz w:val="22"/>
                <w:szCs w:val="22"/>
              </w:rPr>
              <w:t>00</w:t>
            </w:r>
          </w:p>
        </w:tc>
      </w:tr>
      <w:tr w:rsidR="6631D956" w14:paraId="3704DC3B" w14:textId="77777777" w:rsidTr="2947B656">
        <w:trPr>
          <w:trHeight w:val="300"/>
        </w:trPr>
        <w:tc>
          <w:tcPr>
            <w:tcW w:w="2122" w:type="dxa"/>
          </w:tcPr>
          <w:p w14:paraId="66F42325" w14:textId="498A33DE" w:rsidR="6631D956" w:rsidRDefault="780092EC" w:rsidP="6631D956">
            <w:pPr>
              <w:rPr>
                <w:rFonts w:cs="Arial"/>
                <w:color w:val="000000" w:themeColor="text1"/>
                <w:sz w:val="22"/>
                <w:szCs w:val="22"/>
              </w:rPr>
            </w:pPr>
            <w:r w:rsidRPr="2947B656">
              <w:rPr>
                <w:rFonts w:cs="Arial"/>
                <w:color w:val="000000" w:themeColor="text1"/>
                <w:sz w:val="22"/>
                <w:szCs w:val="22"/>
              </w:rPr>
              <w:t>Other Industries</w:t>
            </w:r>
          </w:p>
        </w:tc>
        <w:tc>
          <w:tcPr>
            <w:tcW w:w="3260" w:type="dxa"/>
            <w:vAlign w:val="bottom"/>
          </w:tcPr>
          <w:p w14:paraId="3AA19DD0" w14:textId="70734C4F" w:rsidR="6631D956" w:rsidRDefault="220DAF15" w:rsidP="6631D956">
            <w:pPr>
              <w:jc w:val="right"/>
              <w:rPr>
                <w:sz w:val="22"/>
                <w:szCs w:val="22"/>
              </w:rPr>
            </w:pPr>
            <w:r w:rsidRPr="2947B656">
              <w:rPr>
                <w:sz w:val="22"/>
                <w:szCs w:val="22"/>
              </w:rPr>
              <w:t>1</w:t>
            </w:r>
            <w:r w:rsidR="4530F247" w:rsidRPr="2947B656">
              <w:rPr>
                <w:sz w:val="22"/>
                <w:szCs w:val="22"/>
              </w:rPr>
              <w:t>0</w:t>
            </w:r>
            <w:r w:rsidRPr="2947B656">
              <w:rPr>
                <w:sz w:val="22"/>
                <w:szCs w:val="22"/>
              </w:rPr>
              <w:t>,</w:t>
            </w:r>
            <w:r w:rsidR="1C108893" w:rsidRPr="2947B656">
              <w:rPr>
                <w:sz w:val="22"/>
                <w:szCs w:val="22"/>
              </w:rPr>
              <w:t>0</w:t>
            </w:r>
            <w:r w:rsidRPr="2947B656">
              <w:rPr>
                <w:sz w:val="22"/>
                <w:szCs w:val="22"/>
              </w:rPr>
              <w:t>00</w:t>
            </w:r>
          </w:p>
        </w:tc>
      </w:tr>
      <w:tr w:rsidR="007D567F" w14:paraId="70F97C84" w14:textId="77777777" w:rsidTr="2947B656">
        <w:trPr>
          <w:trHeight w:val="415"/>
        </w:trPr>
        <w:tc>
          <w:tcPr>
            <w:tcW w:w="2122" w:type="dxa"/>
          </w:tcPr>
          <w:p w14:paraId="55CE54A6" w14:textId="65F471BC" w:rsidR="007D567F" w:rsidRDefault="007D567F" w:rsidP="007713E0">
            <w:pPr>
              <w:rPr>
                <w:rFonts w:cs="Arial"/>
                <w:color w:val="000000"/>
                <w:sz w:val="22"/>
                <w:szCs w:val="22"/>
              </w:rPr>
            </w:pPr>
            <w:r>
              <w:rPr>
                <w:rFonts w:cs="Arial"/>
                <w:color w:val="000000"/>
                <w:sz w:val="22"/>
                <w:szCs w:val="22"/>
              </w:rPr>
              <w:t>Total</w:t>
            </w:r>
          </w:p>
        </w:tc>
        <w:tc>
          <w:tcPr>
            <w:tcW w:w="3260" w:type="dxa"/>
            <w:vAlign w:val="bottom"/>
          </w:tcPr>
          <w:p w14:paraId="679241F7" w14:textId="28921505" w:rsidR="007D567F" w:rsidRDefault="007D567F" w:rsidP="007713E0">
            <w:pPr>
              <w:jc w:val="right"/>
              <w:rPr>
                <w:sz w:val="22"/>
                <w:szCs w:val="22"/>
              </w:rPr>
            </w:pPr>
            <w:r w:rsidRPr="2947B656">
              <w:rPr>
                <w:sz w:val="22"/>
                <w:szCs w:val="22"/>
              </w:rPr>
              <w:t>72,</w:t>
            </w:r>
            <w:r w:rsidR="60EA862F" w:rsidRPr="2947B656">
              <w:rPr>
                <w:sz w:val="22"/>
                <w:szCs w:val="22"/>
              </w:rPr>
              <w:t>0</w:t>
            </w:r>
            <w:r w:rsidRPr="2947B656">
              <w:rPr>
                <w:sz w:val="22"/>
                <w:szCs w:val="22"/>
              </w:rPr>
              <w:t>00</w:t>
            </w:r>
          </w:p>
        </w:tc>
      </w:tr>
    </w:tbl>
    <w:p w14:paraId="15DC666B" w14:textId="6BF7E0B3" w:rsidR="00E05E1C" w:rsidRPr="007D567F" w:rsidRDefault="007D567F" w:rsidP="007713E0">
      <w:pPr>
        <w:pStyle w:val="ListParagraph"/>
        <w:numPr>
          <w:ilvl w:val="0"/>
          <w:numId w:val="24"/>
        </w:numPr>
        <w:spacing w:after="0" w:line="240" w:lineRule="auto"/>
        <w:rPr>
          <w:rFonts w:ascii="Arial Bold" w:eastAsia="MS Gothic" w:hAnsi="Arial Bold" w:hint="eastAsia"/>
          <w:bCs/>
          <w:sz w:val="28"/>
          <w:szCs w:val="32"/>
        </w:rPr>
      </w:pPr>
      <w:r w:rsidRPr="007D567F">
        <w:rPr>
          <w:lang w:val="en-AU"/>
        </w:rPr>
        <w:t>These top three sectors have contributed a combined</w:t>
      </w:r>
      <w:r w:rsidRPr="007D567F">
        <w:rPr>
          <w:b/>
          <w:bCs/>
          <w:lang w:val="en-AU"/>
        </w:rPr>
        <w:t xml:space="preserve"> 61,700</w:t>
      </w:r>
      <w:r w:rsidRPr="007D567F">
        <w:rPr>
          <w:lang w:val="en-AU"/>
        </w:rPr>
        <w:t xml:space="preserve"> of the </w:t>
      </w:r>
      <w:r w:rsidRPr="007D567F">
        <w:rPr>
          <w:b/>
          <w:bCs/>
          <w:lang w:val="en-AU"/>
        </w:rPr>
        <w:t>72,000</w:t>
      </w:r>
      <w:r w:rsidRPr="007D567F">
        <w:rPr>
          <w:lang w:val="en-AU"/>
        </w:rPr>
        <w:t xml:space="preserve"> total new local jobs since 2019.</w:t>
      </w:r>
      <w:r w:rsidR="00E05E1C">
        <w:rPr>
          <w:rFonts w:hint="eastAsia"/>
        </w:rPr>
        <w:br w:type="page"/>
      </w:r>
    </w:p>
    <w:p w14:paraId="3D677209" w14:textId="06D78A2C" w:rsidR="000437C5" w:rsidRDefault="00E05E1C" w:rsidP="00F221E1">
      <w:pPr>
        <w:pStyle w:val="Heading1"/>
        <w:rPr>
          <w:rFonts w:hint="eastAsia"/>
        </w:rPr>
      </w:pPr>
      <w:bookmarkStart w:id="14" w:name="_Toc182490813"/>
      <w:bookmarkStart w:id="15" w:name="_Toc204007187"/>
      <w:proofErr w:type="spellStart"/>
      <w:r>
        <w:lastRenderedPageBreak/>
        <w:t>N</w:t>
      </w:r>
      <w:r w:rsidR="009F7577">
        <w:t>eighbourhood</w:t>
      </w:r>
      <w:proofErr w:type="spellEnd"/>
      <w:r w:rsidR="009F7577">
        <w:t xml:space="preserve"> Spend Trends</w:t>
      </w:r>
      <w:bookmarkEnd w:id="14"/>
      <w:bookmarkEnd w:id="15"/>
    </w:p>
    <w:p w14:paraId="14C7E7AC" w14:textId="77777777" w:rsidR="007D567F" w:rsidRDefault="007D567F" w:rsidP="00F221E1">
      <w:pPr>
        <w:pStyle w:val="Heading2"/>
        <w:rPr>
          <w:rFonts w:ascii="Arial" w:eastAsia="MS Mincho" w:hAnsi="Arial"/>
          <w:bCs w:val="0"/>
          <w:sz w:val="20"/>
          <w:szCs w:val="24"/>
          <w:lang w:val="en-AU"/>
        </w:rPr>
      </w:pPr>
      <w:bookmarkStart w:id="16" w:name="_Toc204007188"/>
      <w:bookmarkStart w:id="17" w:name="_Toc182490814"/>
      <w:r w:rsidRPr="007D567F">
        <w:rPr>
          <w:rFonts w:ascii="Arial" w:eastAsia="MS Mincho" w:hAnsi="Arial"/>
          <w:bCs w:val="0"/>
          <w:sz w:val="20"/>
          <w:szCs w:val="24"/>
          <w:lang w:val="en-AU"/>
        </w:rPr>
        <w:t xml:space="preserve">Explore your unique neighbourhood with our Neighbourhood Spend Trends. Understanding when people spend, what they're buying, and where they're coming from can help you work smarter and tailor </w:t>
      </w:r>
      <w:proofErr w:type="gramStart"/>
      <w:r w:rsidRPr="007D567F">
        <w:rPr>
          <w:rFonts w:ascii="Arial" w:eastAsia="MS Mincho" w:hAnsi="Arial"/>
          <w:bCs w:val="0"/>
          <w:sz w:val="20"/>
          <w:szCs w:val="24"/>
          <w:lang w:val="en-AU"/>
        </w:rPr>
        <w:t>your</w:t>
      </w:r>
      <w:proofErr w:type="gramEnd"/>
      <w:r w:rsidRPr="007D567F">
        <w:rPr>
          <w:rFonts w:ascii="Arial" w:eastAsia="MS Mincho" w:hAnsi="Arial"/>
          <w:bCs w:val="0"/>
          <w:sz w:val="20"/>
          <w:szCs w:val="24"/>
          <w:lang w:val="en-AU"/>
        </w:rPr>
        <w:t xml:space="preserve"> offering to boost your business.</w:t>
      </w:r>
      <w:bookmarkEnd w:id="16"/>
      <w:r w:rsidRPr="007D567F">
        <w:rPr>
          <w:rFonts w:ascii="Arial" w:eastAsia="MS Mincho" w:hAnsi="Arial"/>
          <w:bCs w:val="0"/>
          <w:sz w:val="20"/>
          <w:szCs w:val="24"/>
          <w:lang w:val="en-AU"/>
        </w:rPr>
        <w:t>  </w:t>
      </w:r>
    </w:p>
    <w:p w14:paraId="26A945E7" w14:textId="2699E65A" w:rsidR="009F7577" w:rsidRPr="009F7577" w:rsidRDefault="007D567F" w:rsidP="00F221E1">
      <w:pPr>
        <w:pStyle w:val="Heading2"/>
        <w:rPr>
          <w:rFonts w:hint="eastAsia"/>
        </w:rPr>
      </w:pPr>
      <w:bookmarkStart w:id="18" w:name="_Toc204007189"/>
      <w:bookmarkEnd w:id="17"/>
      <w:r>
        <w:t>Kensington</w:t>
      </w:r>
      <w:bookmarkEnd w:id="18"/>
    </w:p>
    <w:p w14:paraId="41A4505F" w14:textId="04669B71" w:rsidR="00723A75" w:rsidRDefault="0EF83AAF" w:rsidP="4E54D03C">
      <w:pPr>
        <w:pStyle w:val="Heading3"/>
        <w:rPr>
          <w:rFonts w:hint="eastAsia"/>
        </w:rPr>
      </w:pPr>
      <w:bookmarkStart w:id="19" w:name="_Toc182490815"/>
      <w:bookmarkStart w:id="20" w:name="_Toc204007190"/>
      <w:r>
        <w:t xml:space="preserve">Table </w:t>
      </w:r>
      <w:r w:rsidR="00891621">
        <w:t>5</w:t>
      </w:r>
      <w:r w:rsidR="6CA1FDE4">
        <w:t xml:space="preserve"> </w:t>
      </w:r>
      <w:r w:rsidR="009F7577">
        <w:t>–</w:t>
      </w:r>
      <w:r w:rsidR="6CA1FDE4">
        <w:t xml:space="preserve"> </w:t>
      </w:r>
      <w:r w:rsidR="009F7577">
        <w:t>Spending</w:t>
      </w:r>
      <w:r w:rsidR="00E84AAE">
        <w:t xml:space="preserve"> by</w:t>
      </w:r>
      <w:r w:rsidR="009F7577">
        <w:t xml:space="preserve"> </w:t>
      </w:r>
      <w:r w:rsidR="00F64925">
        <w:t>c</w:t>
      </w:r>
      <w:r w:rsidR="009F7577">
        <w:t>ategor</w:t>
      </w:r>
      <w:r w:rsidR="000F3A62">
        <w:t>y</w:t>
      </w:r>
      <w:r w:rsidR="009F7577">
        <w:t xml:space="preserve">, </w:t>
      </w:r>
      <w:commentRangeStart w:id="21"/>
      <w:r w:rsidR="009F7577">
        <w:t>Q</w:t>
      </w:r>
      <w:r w:rsidR="00FF01F8">
        <w:t>1</w:t>
      </w:r>
      <w:r w:rsidR="009F7577">
        <w:t xml:space="preserve"> 202</w:t>
      </w:r>
      <w:bookmarkEnd w:id="19"/>
      <w:bookmarkEnd w:id="20"/>
      <w:commentRangeEnd w:id="21"/>
      <w:r w:rsidR="00BC4BD9">
        <w:rPr>
          <w:rStyle w:val="CommentReference"/>
          <w:rFonts w:ascii="Arial" w:eastAsia="MS Mincho" w:hAnsi="Arial"/>
          <w:lang w:val="en-AU"/>
        </w:rPr>
        <w:commentReference w:id="21"/>
      </w:r>
      <w:r w:rsidR="00FF01F8">
        <w:t>5</w:t>
      </w:r>
    </w:p>
    <w:tbl>
      <w:tblPr>
        <w:tblStyle w:val="TableGrid"/>
        <w:tblW w:w="0" w:type="auto"/>
        <w:tblLook w:val="04A0" w:firstRow="1" w:lastRow="0" w:firstColumn="1" w:lastColumn="0" w:noHBand="0" w:noVBand="1"/>
      </w:tblPr>
      <w:tblGrid>
        <w:gridCol w:w="1980"/>
        <w:gridCol w:w="2977"/>
      </w:tblGrid>
      <w:tr w:rsidR="00F64925" w:rsidRPr="008F55EC" w14:paraId="26E5A4B1" w14:textId="77777777" w:rsidTr="2947B656">
        <w:tc>
          <w:tcPr>
            <w:tcW w:w="1980" w:type="dxa"/>
            <w:vAlign w:val="center"/>
          </w:tcPr>
          <w:p w14:paraId="2C98157F" w14:textId="6FA641CB" w:rsidR="00F64925" w:rsidRPr="00F64925" w:rsidRDefault="00F64925" w:rsidP="007713E0">
            <w:pPr>
              <w:rPr>
                <w:rFonts w:cs="Arial"/>
                <w:b/>
                <w:bCs/>
                <w:sz w:val="22"/>
                <w:szCs w:val="22"/>
                <w:lang w:val="en-US"/>
              </w:rPr>
            </w:pPr>
            <w:r w:rsidRPr="00F64925">
              <w:rPr>
                <w:rFonts w:cs="Arial"/>
                <w:b/>
                <w:bCs/>
                <w:sz w:val="22"/>
                <w:szCs w:val="22"/>
                <w:lang w:val="en-US"/>
              </w:rPr>
              <w:t>Category</w:t>
            </w:r>
          </w:p>
        </w:tc>
        <w:tc>
          <w:tcPr>
            <w:tcW w:w="2977" w:type="dxa"/>
            <w:vAlign w:val="center"/>
          </w:tcPr>
          <w:p w14:paraId="617D81B3" w14:textId="61FBE0AE" w:rsidR="00F64925" w:rsidRPr="008F55EC" w:rsidRDefault="00F64925" w:rsidP="007713E0">
            <w:pPr>
              <w:rPr>
                <w:rFonts w:cs="Arial"/>
                <w:sz w:val="22"/>
                <w:szCs w:val="22"/>
                <w:lang w:val="en-US"/>
              </w:rPr>
            </w:pPr>
            <w:r>
              <w:rPr>
                <w:rFonts w:cs="Arial"/>
                <w:b/>
                <w:bCs/>
                <w:color w:val="000000"/>
                <w:sz w:val="22"/>
                <w:szCs w:val="22"/>
              </w:rPr>
              <w:t>Adjusted Spend</w:t>
            </w:r>
          </w:p>
        </w:tc>
      </w:tr>
      <w:tr w:rsidR="00F64925" w:rsidRPr="008F55EC" w14:paraId="13108588" w14:textId="77777777" w:rsidTr="2947B656">
        <w:tc>
          <w:tcPr>
            <w:tcW w:w="1980" w:type="dxa"/>
            <w:vAlign w:val="center"/>
          </w:tcPr>
          <w:p w14:paraId="52EBED05" w14:textId="79A81BDB" w:rsidR="00F64925" w:rsidRPr="008F55EC" w:rsidRDefault="00894C2C" w:rsidP="007713E0">
            <w:pPr>
              <w:rPr>
                <w:rFonts w:cs="Arial"/>
                <w:sz w:val="22"/>
                <w:szCs w:val="22"/>
                <w:lang w:val="en-US"/>
              </w:rPr>
            </w:pPr>
            <w:r>
              <w:rPr>
                <w:rFonts w:cs="Arial"/>
                <w:sz w:val="22"/>
                <w:szCs w:val="22"/>
                <w:lang w:val="en-US"/>
              </w:rPr>
              <w:t>Commercial</w:t>
            </w:r>
          </w:p>
        </w:tc>
        <w:tc>
          <w:tcPr>
            <w:tcW w:w="2977" w:type="dxa"/>
            <w:vAlign w:val="center"/>
          </w:tcPr>
          <w:p w14:paraId="3FF0C709" w14:textId="6D6B5E5A" w:rsidR="00F64925" w:rsidRPr="008F55EC" w:rsidRDefault="000A53E6" w:rsidP="000A53E6">
            <w:pPr>
              <w:jc w:val="right"/>
              <w:rPr>
                <w:rFonts w:cs="Arial"/>
                <w:sz w:val="22"/>
                <w:szCs w:val="22"/>
                <w:lang w:val="en-US"/>
              </w:rPr>
            </w:pPr>
            <w:r>
              <w:rPr>
                <w:rFonts w:cs="Arial"/>
                <w:sz w:val="22"/>
                <w:szCs w:val="22"/>
                <w:lang w:val="en-US"/>
              </w:rPr>
              <w:t>$</w:t>
            </w:r>
            <w:r w:rsidR="00894C2C">
              <w:rPr>
                <w:rFonts w:cs="Arial"/>
                <w:sz w:val="22"/>
                <w:szCs w:val="22"/>
                <w:lang w:val="en-US"/>
              </w:rPr>
              <w:t>9,070,</w:t>
            </w:r>
            <w:r w:rsidR="003C0E71">
              <w:rPr>
                <w:rFonts w:cs="Arial"/>
                <w:sz w:val="22"/>
                <w:szCs w:val="22"/>
                <w:lang w:val="en-US"/>
              </w:rPr>
              <w:t>000</w:t>
            </w:r>
          </w:p>
        </w:tc>
      </w:tr>
      <w:tr w:rsidR="00F64925" w:rsidRPr="008F55EC" w14:paraId="1F9C9639" w14:textId="77777777" w:rsidTr="2947B656">
        <w:tc>
          <w:tcPr>
            <w:tcW w:w="1980" w:type="dxa"/>
            <w:vAlign w:val="center"/>
          </w:tcPr>
          <w:p w14:paraId="7BDF5D0A" w14:textId="5C0877AD" w:rsidR="00F64925" w:rsidRPr="008F55EC" w:rsidRDefault="000A53E6" w:rsidP="007713E0">
            <w:pPr>
              <w:rPr>
                <w:rFonts w:cs="Arial"/>
                <w:sz w:val="22"/>
                <w:szCs w:val="22"/>
                <w:lang w:val="en-US"/>
              </w:rPr>
            </w:pPr>
            <w:r>
              <w:rPr>
                <w:rFonts w:cs="Arial"/>
                <w:sz w:val="22"/>
                <w:szCs w:val="22"/>
                <w:lang w:val="en-US"/>
              </w:rPr>
              <w:t>Entertainment</w:t>
            </w:r>
          </w:p>
        </w:tc>
        <w:tc>
          <w:tcPr>
            <w:tcW w:w="2977" w:type="dxa"/>
            <w:vAlign w:val="center"/>
          </w:tcPr>
          <w:p w14:paraId="43013009" w14:textId="150912C7" w:rsidR="00F64925" w:rsidRPr="008F55EC" w:rsidRDefault="000A53E6" w:rsidP="000A53E6">
            <w:pPr>
              <w:jc w:val="right"/>
              <w:rPr>
                <w:rFonts w:cs="Arial"/>
                <w:sz w:val="22"/>
                <w:szCs w:val="22"/>
                <w:lang w:val="en-US"/>
              </w:rPr>
            </w:pPr>
            <w:r>
              <w:rPr>
                <w:rFonts w:cs="Arial"/>
                <w:sz w:val="22"/>
                <w:szCs w:val="22"/>
                <w:lang w:val="en-US"/>
              </w:rPr>
              <w:t>$</w:t>
            </w:r>
            <w:r w:rsidR="00894C2C">
              <w:rPr>
                <w:rFonts w:cs="Arial"/>
                <w:sz w:val="22"/>
                <w:szCs w:val="22"/>
                <w:lang w:val="en-US"/>
              </w:rPr>
              <w:t>6,772,</w:t>
            </w:r>
            <w:r w:rsidR="003C0E71">
              <w:rPr>
                <w:rFonts w:cs="Arial"/>
                <w:sz w:val="22"/>
                <w:szCs w:val="22"/>
                <w:lang w:val="en-US"/>
              </w:rPr>
              <w:t>000</w:t>
            </w:r>
          </w:p>
        </w:tc>
      </w:tr>
      <w:tr w:rsidR="00F64925" w:rsidRPr="008F55EC" w14:paraId="5C543805" w14:textId="77777777" w:rsidTr="2947B656">
        <w:tc>
          <w:tcPr>
            <w:tcW w:w="1980" w:type="dxa"/>
            <w:vAlign w:val="center"/>
          </w:tcPr>
          <w:p w14:paraId="5350B8E9" w14:textId="7B064EAF" w:rsidR="00F64925" w:rsidRDefault="00894C2C" w:rsidP="007713E0">
            <w:pPr>
              <w:rPr>
                <w:rFonts w:cs="Arial"/>
                <w:color w:val="000000"/>
                <w:sz w:val="22"/>
                <w:szCs w:val="22"/>
              </w:rPr>
            </w:pPr>
            <w:r>
              <w:rPr>
                <w:rFonts w:cs="Arial"/>
                <w:color w:val="000000"/>
                <w:sz w:val="22"/>
                <w:szCs w:val="22"/>
              </w:rPr>
              <w:t>Retail</w:t>
            </w:r>
          </w:p>
        </w:tc>
        <w:tc>
          <w:tcPr>
            <w:tcW w:w="2977" w:type="dxa"/>
            <w:vAlign w:val="center"/>
          </w:tcPr>
          <w:p w14:paraId="5AD29969" w14:textId="39D8DD7E" w:rsidR="00F64925" w:rsidRPr="008F55EC" w:rsidRDefault="000A53E6" w:rsidP="000A53E6">
            <w:pPr>
              <w:jc w:val="right"/>
              <w:rPr>
                <w:rFonts w:cs="Arial"/>
                <w:sz w:val="22"/>
                <w:szCs w:val="22"/>
                <w:lang w:val="en-US"/>
              </w:rPr>
            </w:pPr>
            <w:r>
              <w:rPr>
                <w:rFonts w:cs="Arial"/>
                <w:sz w:val="22"/>
                <w:szCs w:val="22"/>
                <w:lang w:val="en-US"/>
              </w:rPr>
              <w:t>$</w:t>
            </w:r>
            <w:r w:rsidR="00894C2C">
              <w:rPr>
                <w:rFonts w:cs="Arial"/>
                <w:sz w:val="22"/>
                <w:szCs w:val="22"/>
                <w:lang w:val="en-US"/>
              </w:rPr>
              <w:t>6,571,</w:t>
            </w:r>
            <w:r w:rsidR="003C0E71">
              <w:rPr>
                <w:rFonts w:cs="Arial"/>
                <w:sz w:val="22"/>
                <w:szCs w:val="22"/>
                <w:lang w:val="en-US"/>
              </w:rPr>
              <w:t>000</w:t>
            </w:r>
            <w:r w:rsidR="00EC303C">
              <w:rPr>
                <w:rFonts w:cs="Arial"/>
                <w:sz w:val="22"/>
                <w:szCs w:val="22"/>
                <w:lang w:val="en-US"/>
              </w:rPr>
              <w:t xml:space="preserve">  </w:t>
            </w:r>
          </w:p>
        </w:tc>
      </w:tr>
      <w:tr w:rsidR="00F64925" w:rsidRPr="008F55EC" w14:paraId="0FA24A07" w14:textId="77777777" w:rsidTr="2947B656">
        <w:tc>
          <w:tcPr>
            <w:tcW w:w="1980" w:type="dxa"/>
            <w:vAlign w:val="center"/>
          </w:tcPr>
          <w:p w14:paraId="60F975CD" w14:textId="4A5802A3" w:rsidR="00F64925" w:rsidRDefault="000A53E6" w:rsidP="007713E0">
            <w:pPr>
              <w:rPr>
                <w:rFonts w:cs="Arial"/>
                <w:color w:val="000000"/>
                <w:sz w:val="22"/>
                <w:szCs w:val="22"/>
              </w:rPr>
            </w:pPr>
            <w:r>
              <w:rPr>
                <w:rFonts w:cs="Arial"/>
                <w:color w:val="000000"/>
                <w:sz w:val="22"/>
                <w:szCs w:val="22"/>
              </w:rPr>
              <w:t>Tourism</w:t>
            </w:r>
          </w:p>
        </w:tc>
        <w:tc>
          <w:tcPr>
            <w:tcW w:w="2977" w:type="dxa"/>
            <w:vAlign w:val="center"/>
          </w:tcPr>
          <w:p w14:paraId="5D292CA3" w14:textId="2DE35D2C" w:rsidR="00F64925" w:rsidRPr="008F55EC" w:rsidRDefault="2AC0B8FB" w:rsidP="2947B656">
            <w:pPr>
              <w:jc w:val="right"/>
            </w:pPr>
            <w:r w:rsidRPr="2947B656">
              <w:rPr>
                <w:rFonts w:cs="Arial"/>
                <w:sz w:val="22"/>
                <w:szCs w:val="22"/>
                <w:lang w:val="en-US"/>
              </w:rPr>
              <w:t>Less than $100,000</w:t>
            </w:r>
          </w:p>
        </w:tc>
      </w:tr>
    </w:tbl>
    <w:p w14:paraId="30D90A39" w14:textId="74EE36A5" w:rsidR="009F7577" w:rsidRDefault="009F7577" w:rsidP="009F7577">
      <w:pPr>
        <w:pStyle w:val="Heading3"/>
        <w:rPr>
          <w:rFonts w:hint="eastAsia"/>
        </w:rPr>
      </w:pPr>
      <w:bookmarkStart w:id="22" w:name="_Toc182490816"/>
      <w:bookmarkStart w:id="23" w:name="_Toc204007191"/>
      <w:r>
        <w:t xml:space="preserve">Table </w:t>
      </w:r>
      <w:r w:rsidR="00891621">
        <w:t>6</w:t>
      </w:r>
      <w:r>
        <w:t xml:space="preserve"> – Work </w:t>
      </w:r>
      <w:r w:rsidR="00F64925">
        <w:t>h</w:t>
      </w:r>
      <w:r>
        <w:t xml:space="preserve">ours and </w:t>
      </w:r>
      <w:r w:rsidR="00F64925">
        <w:t>n</w:t>
      </w:r>
      <w:r>
        <w:t xml:space="preserve">on-work </w:t>
      </w:r>
      <w:r w:rsidR="00F64925">
        <w:t>h</w:t>
      </w:r>
      <w:r>
        <w:t xml:space="preserve">ours </w:t>
      </w:r>
      <w:r w:rsidR="00F64925">
        <w:t>s</w:t>
      </w:r>
      <w:r>
        <w:t>pend</w:t>
      </w:r>
      <w:r w:rsidR="00CA203B">
        <w:t>ing</w:t>
      </w:r>
      <w:r w:rsidR="00B776A9">
        <w:t xml:space="preserve"> in </w:t>
      </w:r>
      <w:r w:rsidR="00894C2C">
        <w:t>Kensington</w:t>
      </w:r>
      <w:r>
        <w:t>, Q</w:t>
      </w:r>
      <w:r w:rsidR="00894C2C">
        <w:t>1</w:t>
      </w:r>
      <w:r>
        <w:t xml:space="preserve"> 202</w:t>
      </w:r>
      <w:bookmarkEnd w:id="22"/>
      <w:r w:rsidR="00894C2C">
        <w:t>5</w:t>
      </w:r>
      <w:bookmarkEnd w:id="23"/>
    </w:p>
    <w:tbl>
      <w:tblPr>
        <w:tblStyle w:val="TableGrid"/>
        <w:tblW w:w="0" w:type="auto"/>
        <w:tblLook w:val="04A0" w:firstRow="1" w:lastRow="0" w:firstColumn="1" w:lastColumn="0" w:noHBand="0" w:noVBand="1"/>
      </w:tblPr>
      <w:tblGrid>
        <w:gridCol w:w="2689"/>
        <w:gridCol w:w="2268"/>
        <w:gridCol w:w="3118"/>
      </w:tblGrid>
      <w:tr w:rsidR="00F64925" w:rsidRPr="008F55EC" w14:paraId="4CEE8B83" w14:textId="04A459C0" w:rsidTr="00F64925">
        <w:tc>
          <w:tcPr>
            <w:tcW w:w="2689" w:type="dxa"/>
            <w:vAlign w:val="center"/>
          </w:tcPr>
          <w:p w14:paraId="4E87028C" w14:textId="28FD47F2" w:rsidR="00F64925" w:rsidRPr="00F64925" w:rsidRDefault="00F64925" w:rsidP="007713E0">
            <w:pPr>
              <w:rPr>
                <w:rFonts w:cs="Arial"/>
                <w:b/>
                <w:bCs/>
                <w:sz w:val="22"/>
                <w:szCs w:val="22"/>
                <w:lang w:val="en-US"/>
              </w:rPr>
            </w:pPr>
            <w:r>
              <w:rPr>
                <w:rFonts w:cs="Arial"/>
                <w:b/>
                <w:bCs/>
                <w:sz w:val="22"/>
                <w:szCs w:val="22"/>
                <w:lang w:val="en-US"/>
              </w:rPr>
              <w:t>Time Period</w:t>
            </w:r>
          </w:p>
        </w:tc>
        <w:tc>
          <w:tcPr>
            <w:tcW w:w="2268" w:type="dxa"/>
            <w:vAlign w:val="center"/>
          </w:tcPr>
          <w:p w14:paraId="2C7984F6" w14:textId="16AFE991" w:rsidR="00F64925" w:rsidRPr="008F55EC" w:rsidRDefault="00F64925" w:rsidP="007713E0">
            <w:pPr>
              <w:rPr>
                <w:rFonts w:cs="Arial"/>
                <w:sz w:val="22"/>
                <w:szCs w:val="22"/>
                <w:lang w:val="en-US"/>
              </w:rPr>
            </w:pPr>
            <w:r>
              <w:rPr>
                <w:rFonts w:cs="Arial"/>
                <w:b/>
                <w:bCs/>
                <w:color w:val="000000"/>
                <w:sz w:val="22"/>
                <w:szCs w:val="22"/>
              </w:rPr>
              <w:t>Adjusted Spend</w:t>
            </w:r>
          </w:p>
        </w:tc>
        <w:tc>
          <w:tcPr>
            <w:tcW w:w="3118" w:type="dxa"/>
          </w:tcPr>
          <w:p w14:paraId="3013D9C4" w14:textId="342EDAC2" w:rsidR="00F64925" w:rsidRDefault="00F64925" w:rsidP="007713E0">
            <w:pPr>
              <w:rPr>
                <w:rFonts w:cs="Arial"/>
                <w:b/>
                <w:bCs/>
                <w:color w:val="000000"/>
                <w:sz w:val="22"/>
                <w:szCs w:val="22"/>
              </w:rPr>
            </w:pPr>
            <w:r>
              <w:rPr>
                <w:rFonts w:cs="Arial"/>
                <w:b/>
                <w:bCs/>
                <w:color w:val="000000"/>
                <w:sz w:val="22"/>
                <w:szCs w:val="22"/>
              </w:rPr>
              <w:t>Percent of Average Spend</w:t>
            </w:r>
          </w:p>
        </w:tc>
      </w:tr>
      <w:tr w:rsidR="00C55B65" w:rsidRPr="008F55EC" w14:paraId="722E7603" w14:textId="049604D4" w:rsidTr="00F64925">
        <w:tc>
          <w:tcPr>
            <w:tcW w:w="2689" w:type="dxa"/>
            <w:vAlign w:val="center"/>
          </w:tcPr>
          <w:p w14:paraId="766AF8A1" w14:textId="6F54513D" w:rsidR="00C55B65" w:rsidRPr="008F55EC" w:rsidRDefault="00C55B65" w:rsidP="00C55B65">
            <w:pPr>
              <w:rPr>
                <w:rFonts w:cs="Arial"/>
                <w:sz w:val="22"/>
                <w:szCs w:val="22"/>
                <w:lang w:val="en-US"/>
              </w:rPr>
            </w:pPr>
            <w:r>
              <w:rPr>
                <w:rFonts w:cs="Arial"/>
                <w:color w:val="000000"/>
                <w:sz w:val="22"/>
                <w:szCs w:val="22"/>
              </w:rPr>
              <w:t>Work hours</w:t>
            </w:r>
          </w:p>
        </w:tc>
        <w:tc>
          <w:tcPr>
            <w:tcW w:w="2268" w:type="dxa"/>
            <w:vAlign w:val="center"/>
          </w:tcPr>
          <w:p w14:paraId="00D122BE" w14:textId="6A59B67A" w:rsidR="00C55B65" w:rsidRPr="008F55EC" w:rsidRDefault="000A53E6" w:rsidP="000A53E6">
            <w:pPr>
              <w:jc w:val="right"/>
              <w:rPr>
                <w:rFonts w:cs="Arial"/>
                <w:sz w:val="22"/>
                <w:szCs w:val="22"/>
                <w:lang w:val="en-US"/>
              </w:rPr>
            </w:pPr>
            <w:r>
              <w:rPr>
                <w:rFonts w:cs="Arial"/>
                <w:sz w:val="22"/>
                <w:szCs w:val="22"/>
                <w:lang w:val="en-US"/>
              </w:rPr>
              <w:t>$</w:t>
            </w:r>
            <w:r w:rsidR="00894C2C">
              <w:rPr>
                <w:rFonts w:cs="Arial"/>
                <w:sz w:val="22"/>
                <w:szCs w:val="22"/>
                <w:lang w:val="en-US"/>
              </w:rPr>
              <w:t>10,000,000</w:t>
            </w:r>
          </w:p>
        </w:tc>
        <w:tc>
          <w:tcPr>
            <w:tcW w:w="3118" w:type="dxa"/>
          </w:tcPr>
          <w:p w14:paraId="0A43FD94" w14:textId="1B478A8B" w:rsidR="00C55B65" w:rsidRPr="008F55EC" w:rsidRDefault="000A53E6" w:rsidP="000A53E6">
            <w:pPr>
              <w:jc w:val="right"/>
              <w:rPr>
                <w:rFonts w:cs="Arial"/>
                <w:sz w:val="22"/>
                <w:szCs w:val="22"/>
                <w:lang w:val="en-US"/>
              </w:rPr>
            </w:pPr>
            <w:r>
              <w:rPr>
                <w:rFonts w:cs="Arial"/>
                <w:sz w:val="22"/>
                <w:szCs w:val="22"/>
                <w:lang w:val="en-US"/>
              </w:rPr>
              <w:t>5</w:t>
            </w:r>
            <w:r w:rsidR="00894C2C">
              <w:rPr>
                <w:rFonts w:cs="Arial"/>
                <w:sz w:val="22"/>
                <w:szCs w:val="22"/>
                <w:lang w:val="en-US"/>
              </w:rPr>
              <w:t>0</w:t>
            </w:r>
            <w:r>
              <w:rPr>
                <w:rFonts w:cs="Arial"/>
                <w:sz w:val="22"/>
                <w:szCs w:val="22"/>
                <w:lang w:val="en-US"/>
              </w:rPr>
              <w:t>%</w:t>
            </w:r>
          </w:p>
        </w:tc>
      </w:tr>
      <w:tr w:rsidR="00C55B65" w:rsidRPr="008F55EC" w14:paraId="71CF9BA6" w14:textId="6D63D1F5" w:rsidTr="00F64925">
        <w:tc>
          <w:tcPr>
            <w:tcW w:w="2689" w:type="dxa"/>
            <w:vAlign w:val="center"/>
          </w:tcPr>
          <w:p w14:paraId="7B724A9F" w14:textId="10BD9569" w:rsidR="00C55B65" w:rsidRPr="008F55EC" w:rsidRDefault="00C55B65" w:rsidP="00C55B65">
            <w:pPr>
              <w:rPr>
                <w:rFonts w:cs="Arial"/>
                <w:sz w:val="22"/>
                <w:szCs w:val="22"/>
                <w:lang w:val="en-US"/>
              </w:rPr>
            </w:pPr>
            <w:r>
              <w:rPr>
                <w:rFonts w:cs="Arial"/>
                <w:color w:val="000000"/>
                <w:sz w:val="22"/>
                <w:szCs w:val="22"/>
              </w:rPr>
              <w:t>Non-work hours</w:t>
            </w:r>
          </w:p>
        </w:tc>
        <w:tc>
          <w:tcPr>
            <w:tcW w:w="2268" w:type="dxa"/>
            <w:vAlign w:val="center"/>
          </w:tcPr>
          <w:p w14:paraId="6AA5B2F7" w14:textId="18EBC543" w:rsidR="00C55B65" w:rsidRPr="008F55EC" w:rsidRDefault="00894C2C" w:rsidP="000A53E6">
            <w:pPr>
              <w:jc w:val="right"/>
              <w:rPr>
                <w:rFonts w:cs="Arial"/>
                <w:sz w:val="22"/>
                <w:szCs w:val="22"/>
                <w:lang w:val="en-US"/>
              </w:rPr>
            </w:pPr>
            <w:r>
              <w:rPr>
                <w:rFonts w:cs="Arial"/>
                <w:sz w:val="22"/>
                <w:szCs w:val="22"/>
                <w:lang w:val="en-US"/>
              </w:rPr>
              <w:t>$10,000,000</w:t>
            </w:r>
          </w:p>
        </w:tc>
        <w:tc>
          <w:tcPr>
            <w:tcW w:w="3118" w:type="dxa"/>
          </w:tcPr>
          <w:p w14:paraId="297A90E0" w14:textId="2A065482" w:rsidR="00C55B65" w:rsidRPr="008F55EC" w:rsidRDefault="00894C2C" w:rsidP="000A53E6">
            <w:pPr>
              <w:jc w:val="right"/>
              <w:rPr>
                <w:rFonts w:cs="Arial"/>
                <w:sz w:val="22"/>
                <w:szCs w:val="22"/>
                <w:lang w:val="en-US"/>
              </w:rPr>
            </w:pPr>
            <w:r>
              <w:rPr>
                <w:rFonts w:cs="Arial"/>
                <w:sz w:val="22"/>
                <w:szCs w:val="22"/>
                <w:lang w:val="en-US"/>
              </w:rPr>
              <w:t>50</w:t>
            </w:r>
            <w:r w:rsidR="000A53E6">
              <w:rPr>
                <w:rFonts w:cs="Arial"/>
                <w:sz w:val="22"/>
                <w:szCs w:val="22"/>
                <w:lang w:val="en-US"/>
              </w:rPr>
              <w:t>%</w:t>
            </w:r>
          </w:p>
        </w:tc>
      </w:tr>
    </w:tbl>
    <w:p w14:paraId="2D6CEC97" w14:textId="1492CCD4" w:rsidR="004B0A87" w:rsidRDefault="004B0A87" w:rsidP="004B0A87">
      <w:pPr>
        <w:pStyle w:val="ListParagraph"/>
        <w:numPr>
          <w:ilvl w:val="0"/>
          <w:numId w:val="21"/>
        </w:numPr>
      </w:pPr>
      <w:r w:rsidRPr="005B476C">
        <w:t>Work hours are 8am to 6pm, Monday to Friday.</w:t>
      </w:r>
    </w:p>
    <w:p w14:paraId="66538CCA" w14:textId="1951321C" w:rsidR="002031FC" w:rsidRDefault="002031FC" w:rsidP="002031FC">
      <w:pPr>
        <w:pStyle w:val="Heading3"/>
        <w:rPr>
          <w:rFonts w:hint="eastAsia"/>
        </w:rPr>
      </w:pPr>
      <w:bookmarkStart w:id="24" w:name="_Toc182490817"/>
      <w:bookmarkStart w:id="25" w:name="_Toc204007192"/>
      <w:r>
        <w:t xml:space="preserve">Table </w:t>
      </w:r>
      <w:r w:rsidR="00891621">
        <w:t>7</w:t>
      </w:r>
      <w:r>
        <w:t xml:space="preserve"> – </w:t>
      </w:r>
      <w:r w:rsidRPr="002031FC">
        <w:t>Weekday and weekend spend</w:t>
      </w:r>
      <w:r w:rsidR="00CA203B">
        <w:t>ing</w:t>
      </w:r>
      <w:r w:rsidRPr="002031FC">
        <w:t xml:space="preserve"> in </w:t>
      </w:r>
      <w:r w:rsidR="003C0E71">
        <w:t>Kensington</w:t>
      </w:r>
      <w:r w:rsidRPr="002031FC">
        <w:t>, Q</w:t>
      </w:r>
      <w:r w:rsidR="003C0E71">
        <w:t>1</w:t>
      </w:r>
      <w:r w:rsidRPr="002031FC">
        <w:t xml:space="preserve"> 202</w:t>
      </w:r>
      <w:bookmarkEnd w:id="24"/>
      <w:r w:rsidR="003C0E71">
        <w:t>5</w:t>
      </w:r>
      <w:bookmarkEnd w:id="25"/>
    </w:p>
    <w:tbl>
      <w:tblPr>
        <w:tblStyle w:val="TableGrid"/>
        <w:tblW w:w="0" w:type="auto"/>
        <w:tblLook w:val="04A0" w:firstRow="1" w:lastRow="0" w:firstColumn="1" w:lastColumn="0" w:noHBand="0" w:noVBand="1"/>
      </w:tblPr>
      <w:tblGrid>
        <w:gridCol w:w="2689"/>
        <w:gridCol w:w="2268"/>
        <w:gridCol w:w="3118"/>
      </w:tblGrid>
      <w:tr w:rsidR="00C55B65" w:rsidRPr="008F55EC" w14:paraId="17F54338" w14:textId="77777777" w:rsidTr="007713E0">
        <w:tc>
          <w:tcPr>
            <w:tcW w:w="2689" w:type="dxa"/>
            <w:vAlign w:val="center"/>
          </w:tcPr>
          <w:p w14:paraId="2E4CFDFF" w14:textId="6FDE38F0" w:rsidR="00C55B65" w:rsidRPr="00F64925" w:rsidRDefault="00C55B65" w:rsidP="00C55B65">
            <w:pPr>
              <w:rPr>
                <w:rFonts w:cs="Arial"/>
                <w:b/>
                <w:bCs/>
                <w:sz w:val="22"/>
                <w:szCs w:val="22"/>
                <w:lang w:val="en-US"/>
              </w:rPr>
            </w:pPr>
            <w:r>
              <w:rPr>
                <w:rFonts w:cs="Arial"/>
                <w:b/>
                <w:bCs/>
                <w:sz w:val="22"/>
                <w:szCs w:val="22"/>
                <w:lang w:val="en-US"/>
              </w:rPr>
              <w:t>Time Period</w:t>
            </w:r>
          </w:p>
        </w:tc>
        <w:tc>
          <w:tcPr>
            <w:tcW w:w="2268" w:type="dxa"/>
            <w:vAlign w:val="center"/>
          </w:tcPr>
          <w:p w14:paraId="5AB8E698" w14:textId="3B3B5097" w:rsidR="00C55B65" w:rsidRPr="008F55EC" w:rsidRDefault="00C55B65" w:rsidP="00C55B65">
            <w:pPr>
              <w:rPr>
                <w:rFonts w:cs="Arial"/>
                <w:sz w:val="22"/>
                <w:szCs w:val="22"/>
                <w:lang w:val="en-US"/>
              </w:rPr>
            </w:pPr>
            <w:r>
              <w:rPr>
                <w:rFonts w:cs="Arial"/>
                <w:b/>
                <w:bCs/>
                <w:color w:val="000000"/>
                <w:sz w:val="22"/>
                <w:szCs w:val="22"/>
              </w:rPr>
              <w:t>Adjusted Spend</w:t>
            </w:r>
          </w:p>
        </w:tc>
        <w:tc>
          <w:tcPr>
            <w:tcW w:w="3118" w:type="dxa"/>
          </w:tcPr>
          <w:p w14:paraId="02732F96" w14:textId="6D8F7F01" w:rsidR="00C55B65" w:rsidRDefault="00C55B65" w:rsidP="00C55B65">
            <w:pPr>
              <w:rPr>
                <w:rFonts w:cs="Arial"/>
                <w:b/>
                <w:bCs/>
                <w:color w:val="000000"/>
                <w:sz w:val="22"/>
                <w:szCs w:val="22"/>
              </w:rPr>
            </w:pPr>
            <w:r>
              <w:rPr>
                <w:rFonts w:cs="Arial"/>
                <w:b/>
                <w:bCs/>
                <w:color w:val="000000"/>
                <w:sz w:val="22"/>
                <w:szCs w:val="22"/>
              </w:rPr>
              <w:t>Percent of Average Spend</w:t>
            </w:r>
          </w:p>
        </w:tc>
      </w:tr>
      <w:tr w:rsidR="00C55B65" w:rsidRPr="008F55EC" w14:paraId="3CFC5ABF" w14:textId="77777777" w:rsidTr="007713E0">
        <w:tc>
          <w:tcPr>
            <w:tcW w:w="2689" w:type="dxa"/>
            <w:vAlign w:val="center"/>
          </w:tcPr>
          <w:p w14:paraId="372077E4" w14:textId="4D3E99DA" w:rsidR="00C55B65" w:rsidRPr="008F55EC" w:rsidRDefault="00C55B65" w:rsidP="00C55B65">
            <w:pPr>
              <w:rPr>
                <w:rFonts w:cs="Arial"/>
                <w:sz w:val="22"/>
                <w:szCs w:val="22"/>
                <w:lang w:val="en-US"/>
              </w:rPr>
            </w:pPr>
            <w:r>
              <w:rPr>
                <w:rFonts w:cs="Arial"/>
                <w:color w:val="000000"/>
                <w:sz w:val="22"/>
                <w:szCs w:val="22"/>
              </w:rPr>
              <w:t>Weekdays</w:t>
            </w:r>
          </w:p>
        </w:tc>
        <w:tc>
          <w:tcPr>
            <w:tcW w:w="2268" w:type="dxa"/>
            <w:vAlign w:val="center"/>
          </w:tcPr>
          <w:p w14:paraId="73A42750" w14:textId="2B220E0C" w:rsidR="00C55B65"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16,000,000</w:t>
            </w:r>
          </w:p>
        </w:tc>
        <w:tc>
          <w:tcPr>
            <w:tcW w:w="3118" w:type="dxa"/>
          </w:tcPr>
          <w:p w14:paraId="7B851ED2" w14:textId="3DB692E7" w:rsidR="00C55B65" w:rsidRPr="008F55EC" w:rsidRDefault="00CF6F1F" w:rsidP="000A53E6">
            <w:pPr>
              <w:jc w:val="right"/>
              <w:rPr>
                <w:rFonts w:cs="Arial"/>
                <w:sz w:val="22"/>
                <w:szCs w:val="22"/>
                <w:lang w:val="en-US"/>
              </w:rPr>
            </w:pPr>
            <w:r>
              <w:rPr>
                <w:rFonts w:cs="Arial"/>
                <w:sz w:val="22"/>
                <w:szCs w:val="22"/>
                <w:lang w:val="en-US"/>
              </w:rPr>
              <w:t>7</w:t>
            </w:r>
            <w:r w:rsidR="003C0E71">
              <w:rPr>
                <w:rFonts w:cs="Arial"/>
                <w:sz w:val="22"/>
                <w:szCs w:val="22"/>
                <w:lang w:val="en-US"/>
              </w:rPr>
              <w:t>2</w:t>
            </w:r>
            <w:r w:rsidR="000A53E6">
              <w:rPr>
                <w:rFonts w:cs="Arial"/>
                <w:sz w:val="22"/>
                <w:szCs w:val="22"/>
                <w:lang w:val="en-US"/>
              </w:rPr>
              <w:t>%</w:t>
            </w:r>
          </w:p>
        </w:tc>
      </w:tr>
      <w:tr w:rsidR="00C55B65" w:rsidRPr="008F55EC" w14:paraId="0B046565" w14:textId="77777777" w:rsidTr="007713E0">
        <w:tc>
          <w:tcPr>
            <w:tcW w:w="2689" w:type="dxa"/>
            <w:vAlign w:val="center"/>
          </w:tcPr>
          <w:p w14:paraId="38321FFD" w14:textId="75A13036" w:rsidR="00C55B65" w:rsidRPr="008F55EC" w:rsidRDefault="00C55B65" w:rsidP="00C55B65">
            <w:pPr>
              <w:rPr>
                <w:rFonts w:cs="Arial"/>
                <w:sz w:val="22"/>
                <w:szCs w:val="22"/>
                <w:lang w:val="en-US"/>
              </w:rPr>
            </w:pPr>
            <w:r>
              <w:rPr>
                <w:rFonts w:cs="Arial"/>
                <w:color w:val="000000"/>
                <w:sz w:val="22"/>
                <w:szCs w:val="22"/>
              </w:rPr>
              <w:t>Weekends</w:t>
            </w:r>
          </w:p>
        </w:tc>
        <w:tc>
          <w:tcPr>
            <w:tcW w:w="2268" w:type="dxa"/>
            <w:vAlign w:val="center"/>
          </w:tcPr>
          <w:p w14:paraId="7601F523" w14:textId="7F618654" w:rsidR="00C55B65"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6,000,000</w:t>
            </w:r>
          </w:p>
        </w:tc>
        <w:tc>
          <w:tcPr>
            <w:tcW w:w="3118" w:type="dxa"/>
          </w:tcPr>
          <w:p w14:paraId="442643D0" w14:textId="2B660A9A" w:rsidR="00C55B65" w:rsidRPr="008F55EC" w:rsidRDefault="003C0E71" w:rsidP="000A53E6">
            <w:pPr>
              <w:jc w:val="right"/>
              <w:rPr>
                <w:rFonts w:cs="Arial"/>
                <w:sz w:val="22"/>
                <w:szCs w:val="22"/>
                <w:lang w:val="en-US"/>
              </w:rPr>
            </w:pPr>
            <w:r>
              <w:rPr>
                <w:rFonts w:cs="Arial"/>
                <w:sz w:val="22"/>
                <w:szCs w:val="22"/>
                <w:lang w:val="en-US"/>
              </w:rPr>
              <w:t>28</w:t>
            </w:r>
            <w:r w:rsidR="000A53E6">
              <w:rPr>
                <w:rFonts w:cs="Arial"/>
                <w:sz w:val="22"/>
                <w:szCs w:val="22"/>
                <w:lang w:val="en-US"/>
              </w:rPr>
              <w:t>%</w:t>
            </w:r>
          </w:p>
        </w:tc>
      </w:tr>
    </w:tbl>
    <w:p w14:paraId="0BEFA9AD" w14:textId="7749F29D" w:rsidR="009F7577" w:rsidRDefault="009F7577" w:rsidP="009F7577">
      <w:pPr>
        <w:pStyle w:val="Heading3"/>
        <w:rPr>
          <w:rFonts w:hint="eastAsia"/>
        </w:rPr>
      </w:pPr>
      <w:bookmarkStart w:id="26" w:name="_Toc182490818"/>
      <w:bookmarkStart w:id="27" w:name="_Toc204007193"/>
      <w:r>
        <w:t xml:space="preserve">Table </w:t>
      </w:r>
      <w:r w:rsidR="00891621">
        <w:t>8</w:t>
      </w:r>
      <w:r w:rsidR="002031FC">
        <w:t>.</w:t>
      </w:r>
      <w:r w:rsidR="002F4DE8">
        <w:t>a</w:t>
      </w:r>
      <w:r>
        <w:t xml:space="preserve"> – </w:t>
      </w:r>
      <w:r w:rsidR="000F3A62" w:rsidRPr="000F3A62">
        <w:t xml:space="preserve">Where spending in </w:t>
      </w:r>
      <w:bookmarkEnd w:id="26"/>
      <w:r w:rsidR="003C0E71">
        <w:t>Kensington</w:t>
      </w:r>
      <w:r w:rsidR="00EC303C">
        <w:t xml:space="preserve"> came from</w:t>
      </w:r>
      <w:r w:rsidR="003C0E71" w:rsidRPr="002031FC">
        <w:t>, Q</w:t>
      </w:r>
      <w:r w:rsidR="003C0E71">
        <w:t>1</w:t>
      </w:r>
      <w:r w:rsidR="003C0E71" w:rsidRPr="002031FC">
        <w:t xml:space="preserve"> 202</w:t>
      </w:r>
      <w:r w:rsidR="003C0E71">
        <w:t>5</w:t>
      </w:r>
      <w:bookmarkEnd w:id="27"/>
    </w:p>
    <w:tbl>
      <w:tblPr>
        <w:tblStyle w:val="TableGrid"/>
        <w:tblW w:w="0" w:type="auto"/>
        <w:tblLook w:val="04A0" w:firstRow="1" w:lastRow="0" w:firstColumn="1" w:lastColumn="0" w:noHBand="0" w:noVBand="1"/>
      </w:tblPr>
      <w:tblGrid>
        <w:gridCol w:w="2972"/>
        <w:gridCol w:w="1985"/>
        <w:gridCol w:w="3118"/>
      </w:tblGrid>
      <w:tr w:rsidR="00BA5216" w:rsidRPr="008F55EC" w14:paraId="225C4378" w14:textId="77777777" w:rsidTr="007713E0">
        <w:tc>
          <w:tcPr>
            <w:tcW w:w="2972" w:type="dxa"/>
            <w:vAlign w:val="center"/>
          </w:tcPr>
          <w:p w14:paraId="6CDF0906" w14:textId="77777777" w:rsidR="00BA5216" w:rsidRPr="00F64925" w:rsidRDefault="00BA5216" w:rsidP="007713E0">
            <w:pPr>
              <w:rPr>
                <w:rFonts w:cs="Arial"/>
                <w:b/>
                <w:bCs/>
                <w:sz w:val="22"/>
                <w:szCs w:val="22"/>
                <w:lang w:val="en-US"/>
              </w:rPr>
            </w:pPr>
            <w:r>
              <w:rPr>
                <w:rFonts w:cs="Arial"/>
                <w:b/>
                <w:bCs/>
                <w:sz w:val="22"/>
                <w:szCs w:val="22"/>
                <w:lang w:val="en-US"/>
              </w:rPr>
              <w:t>Customer Type</w:t>
            </w:r>
          </w:p>
        </w:tc>
        <w:tc>
          <w:tcPr>
            <w:tcW w:w="1985" w:type="dxa"/>
            <w:vAlign w:val="center"/>
          </w:tcPr>
          <w:p w14:paraId="436A0B3D" w14:textId="77777777" w:rsidR="00BA5216" w:rsidRPr="008F55EC" w:rsidRDefault="00BA5216" w:rsidP="007713E0">
            <w:pPr>
              <w:rPr>
                <w:rFonts w:cs="Arial"/>
                <w:sz w:val="22"/>
                <w:szCs w:val="22"/>
                <w:lang w:val="en-US"/>
              </w:rPr>
            </w:pPr>
            <w:r>
              <w:rPr>
                <w:rFonts w:cs="Arial"/>
                <w:b/>
                <w:bCs/>
                <w:color w:val="000000"/>
                <w:sz w:val="22"/>
                <w:szCs w:val="22"/>
              </w:rPr>
              <w:t>Adjusted Spend</w:t>
            </w:r>
          </w:p>
        </w:tc>
        <w:tc>
          <w:tcPr>
            <w:tcW w:w="3118" w:type="dxa"/>
          </w:tcPr>
          <w:p w14:paraId="563DF7E7" w14:textId="77777777" w:rsidR="00BA5216" w:rsidRDefault="00BA5216" w:rsidP="007713E0">
            <w:pPr>
              <w:rPr>
                <w:rFonts w:cs="Arial"/>
                <w:b/>
                <w:bCs/>
                <w:color w:val="000000"/>
                <w:sz w:val="22"/>
                <w:szCs w:val="22"/>
              </w:rPr>
            </w:pPr>
            <w:r>
              <w:rPr>
                <w:rFonts w:cs="Arial"/>
                <w:b/>
                <w:bCs/>
                <w:color w:val="000000"/>
                <w:sz w:val="22"/>
                <w:szCs w:val="22"/>
              </w:rPr>
              <w:t>Percent of Average Spend</w:t>
            </w:r>
          </w:p>
        </w:tc>
      </w:tr>
      <w:tr w:rsidR="00BA5216" w:rsidRPr="008F55EC" w14:paraId="7561685D" w14:textId="77777777" w:rsidTr="007713E0">
        <w:tc>
          <w:tcPr>
            <w:tcW w:w="2972" w:type="dxa"/>
            <w:vAlign w:val="center"/>
          </w:tcPr>
          <w:p w14:paraId="4895114F" w14:textId="77777777" w:rsidR="00BA5216" w:rsidRPr="008F55EC" w:rsidRDefault="00BA5216" w:rsidP="007713E0">
            <w:pPr>
              <w:rPr>
                <w:rFonts w:cs="Arial"/>
                <w:sz w:val="22"/>
                <w:szCs w:val="22"/>
                <w:lang w:val="en-US"/>
              </w:rPr>
            </w:pPr>
            <w:r>
              <w:rPr>
                <w:rFonts w:cs="Arial"/>
                <w:sz w:val="22"/>
                <w:szCs w:val="22"/>
                <w:lang w:val="en-US"/>
              </w:rPr>
              <w:t>City of Melbourne residents</w:t>
            </w:r>
          </w:p>
        </w:tc>
        <w:tc>
          <w:tcPr>
            <w:tcW w:w="1985" w:type="dxa"/>
            <w:vAlign w:val="center"/>
          </w:tcPr>
          <w:p w14:paraId="19C5DED1" w14:textId="766D03E6" w:rsidR="00BA5216"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4,000,000</w:t>
            </w:r>
          </w:p>
        </w:tc>
        <w:tc>
          <w:tcPr>
            <w:tcW w:w="3118" w:type="dxa"/>
          </w:tcPr>
          <w:p w14:paraId="5701A69B" w14:textId="5A9AA8D5" w:rsidR="00BA5216" w:rsidRPr="008F55EC" w:rsidRDefault="003C0E71" w:rsidP="000A53E6">
            <w:pPr>
              <w:jc w:val="right"/>
              <w:rPr>
                <w:rFonts w:cs="Arial"/>
                <w:sz w:val="22"/>
                <w:szCs w:val="22"/>
                <w:lang w:val="en-US"/>
              </w:rPr>
            </w:pPr>
            <w:r>
              <w:rPr>
                <w:rFonts w:cs="Arial"/>
                <w:sz w:val="22"/>
                <w:szCs w:val="22"/>
                <w:lang w:val="en-US"/>
              </w:rPr>
              <w:t>18</w:t>
            </w:r>
            <w:r w:rsidR="000A53E6">
              <w:rPr>
                <w:rFonts w:cs="Arial"/>
                <w:sz w:val="22"/>
                <w:szCs w:val="22"/>
                <w:lang w:val="en-US"/>
              </w:rPr>
              <w:t>%</w:t>
            </w:r>
          </w:p>
        </w:tc>
      </w:tr>
      <w:tr w:rsidR="00BA5216" w:rsidRPr="008F55EC" w14:paraId="1F7EF73E" w14:textId="77777777" w:rsidTr="007713E0">
        <w:tc>
          <w:tcPr>
            <w:tcW w:w="2972" w:type="dxa"/>
            <w:vAlign w:val="center"/>
          </w:tcPr>
          <w:p w14:paraId="34EDB2BE" w14:textId="77777777" w:rsidR="00BA5216" w:rsidRPr="008F55EC" w:rsidRDefault="00BA5216" w:rsidP="007713E0">
            <w:pPr>
              <w:rPr>
                <w:rFonts w:cs="Arial"/>
                <w:sz w:val="22"/>
                <w:szCs w:val="22"/>
                <w:lang w:val="en-US"/>
              </w:rPr>
            </w:pPr>
            <w:r>
              <w:rPr>
                <w:rFonts w:cs="Arial"/>
                <w:color w:val="000000"/>
                <w:sz w:val="22"/>
                <w:szCs w:val="22"/>
              </w:rPr>
              <w:t>Visitors</w:t>
            </w:r>
          </w:p>
        </w:tc>
        <w:tc>
          <w:tcPr>
            <w:tcW w:w="1985" w:type="dxa"/>
            <w:vAlign w:val="center"/>
          </w:tcPr>
          <w:p w14:paraId="1DEEFFB6" w14:textId="5608D893" w:rsidR="00BA5216"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16,000,000</w:t>
            </w:r>
          </w:p>
        </w:tc>
        <w:tc>
          <w:tcPr>
            <w:tcW w:w="3118" w:type="dxa"/>
          </w:tcPr>
          <w:p w14:paraId="74D4B70A" w14:textId="2B361FEA" w:rsidR="00BA5216" w:rsidRPr="008F55EC" w:rsidRDefault="003C0E71" w:rsidP="000A53E6">
            <w:pPr>
              <w:jc w:val="right"/>
              <w:rPr>
                <w:rFonts w:cs="Arial"/>
                <w:sz w:val="22"/>
                <w:szCs w:val="22"/>
                <w:lang w:val="en-US"/>
              </w:rPr>
            </w:pPr>
            <w:r>
              <w:rPr>
                <w:rFonts w:cs="Arial"/>
                <w:sz w:val="22"/>
                <w:szCs w:val="22"/>
                <w:lang w:val="en-US"/>
              </w:rPr>
              <w:t>82</w:t>
            </w:r>
            <w:r w:rsidR="000A53E6">
              <w:rPr>
                <w:rFonts w:cs="Arial"/>
                <w:sz w:val="22"/>
                <w:szCs w:val="22"/>
                <w:lang w:val="en-US"/>
              </w:rPr>
              <w:t>%</w:t>
            </w:r>
          </w:p>
        </w:tc>
      </w:tr>
    </w:tbl>
    <w:p w14:paraId="1195A177" w14:textId="2BF0DCB7" w:rsidR="009F7577" w:rsidRDefault="009F7577" w:rsidP="009F7577">
      <w:pPr>
        <w:pStyle w:val="Heading3"/>
        <w:rPr>
          <w:rFonts w:hint="eastAsia"/>
        </w:rPr>
      </w:pPr>
      <w:bookmarkStart w:id="28" w:name="_Toc182490819"/>
      <w:bookmarkStart w:id="29" w:name="_Toc204007194"/>
      <w:r>
        <w:lastRenderedPageBreak/>
        <w:t xml:space="preserve">Table </w:t>
      </w:r>
      <w:r w:rsidR="00891621">
        <w:t>8</w:t>
      </w:r>
      <w:r w:rsidR="002031FC">
        <w:t>.</w:t>
      </w:r>
      <w:r w:rsidR="002F4DE8">
        <w:t>b</w:t>
      </w:r>
      <w:r>
        <w:t xml:space="preserve"> – </w:t>
      </w:r>
      <w:r w:rsidR="002031FC" w:rsidRPr="000F3A62">
        <w:t xml:space="preserve">Where spending in </w:t>
      </w:r>
      <w:bookmarkEnd w:id="28"/>
      <w:r w:rsidR="003C0E71">
        <w:t>Kensington</w:t>
      </w:r>
      <w:r w:rsidR="00450D63">
        <w:t xml:space="preserve"> came from</w:t>
      </w:r>
      <w:r w:rsidR="003C0E71" w:rsidRPr="002031FC">
        <w:t>, Q</w:t>
      </w:r>
      <w:r w:rsidR="003C0E71">
        <w:t>1</w:t>
      </w:r>
      <w:r w:rsidR="003C0E71" w:rsidRPr="002031FC">
        <w:t xml:space="preserve"> 202</w:t>
      </w:r>
      <w:r w:rsidR="003C0E71">
        <w:t>5</w:t>
      </w:r>
      <w:bookmarkEnd w:id="29"/>
    </w:p>
    <w:tbl>
      <w:tblPr>
        <w:tblStyle w:val="TableGrid"/>
        <w:tblW w:w="0" w:type="auto"/>
        <w:tblLook w:val="04A0" w:firstRow="1" w:lastRow="0" w:firstColumn="1" w:lastColumn="0" w:noHBand="0" w:noVBand="1"/>
      </w:tblPr>
      <w:tblGrid>
        <w:gridCol w:w="2972"/>
        <w:gridCol w:w="1985"/>
      </w:tblGrid>
      <w:tr w:rsidR="0009455A" w:rsidRPr="008F55EC" w14:paraId="347534B0" w14:textId="77777777" w:rsidTr="2947B656">
        <w:tc>
          <w:tcPr>
            <w:tcW w:w="2972" w:type="dxa"/>
            <w:vAlign w:val="center"/>
          </w:tcPr>
          <w:p w14:paraId="65AB01C5" w14:textId="40C02B48" w:rsidR="0009455A" w:rsidRPr="00F64925" w:rsidRDefault="009B4DE8" w:rsidP="007713E0">
            <w:pPr>
              <w:rPr>
                <w:rFonts w:cs="Arial"/>
                <w:b/>
                <w:bCs/>
                <w:sz w:val="22"/>
                <w:szCs w:val="22"/>
                <w:lang w:val="en-US"/>
              </w:rPr>
            </w:pPr>
            <w:r w:rsidRPr="2947B656">
              <w:rPr>
                <w:rFonts w:cs="Arial"/>
                <w:b/>
                <w:bCs/>
                <w:sz w:val="22"/>
                <w:szCs w:val="22"/>
                <w:lang w:val="en-US"/>
              </w:rPr>
              <w:t>Area</w:t>
            </w:r>
          </w:p>
        </w:tc>
        <w:tc>
          <w:tcPr>
            <w:tcW w:w="1985" w:type="dxa"/>
            <w:vAlign w:val="center"/>
          </w:tcPr>
          <w:p w14:paraId="6C6FC5FE" w14:textId="50F63F6D" w:rsidR="0009455A" w:rsidRPr="008F55EC" w:rsidRDefault="0009455A" w:rsidP="007713E0">
            <w:pPr>
              <w:rPr>
                <w:rFonts w:cs="Arial"/>
                <w:sz w:val="22"/>
                <w:szCs w:val="22"/>
                <w:lang w:val="en-US"/>
              </w:rPr>
            </w:pPr>
            <w:r>
              <w:rPr>
                <w:rFonts w:cs="Arial"/>
                <w:b/>
                <w:bCs/>
                <w:color w:val="000000"/>
                <w:sz w:val="22"/>
                <w:szCs w:val="22"/>
              </w:rPr>
              <w:t>Adjusted Spend</w:t>
            </w:r>
          </w:p>
        </w:tc>
      </w:tr>
      <w:tr w:rsidR="0009455A" w:rsidRPr="008F55EC" w14:paraId="657AB0E9" w14:textId="77777777" w:rsidTr="2947B656">
        <w:tc>
          <w:tcPr>
            <w:tcW w:w="2972" w:type="dxa"/>
            <w:vAlign w:val="center"/>
          </w:tcPr>
          <w:p w14:paraId="0F730355" w14:textId="17BF46EE" w:rsidR="0009455A" w:rsidRPr="008F55EC" w:rsidRDefault="003C0E71" w:rsidP="007713E0">
            <w:pPr>
              <w:rPr>
                <w:rFonts w:cs="Arial"/>
                <w:sz w:val="22"/>
                <w:szCs w:val="22"/>
                <w:lang w:val="en-US"/>
              </w:rPr>
            </w:pPr>
            <w:r>
              <w:rPr>
                <w:rFonts w:cs="Arial"/>
                <w:sz w:val="22"/>
                <w:szCs w:val="22"/>
                <w:lang w:val="en-US"/>
              </w:rPr>
              <w:t>Essendon</w:t>
            </w:r>
          </w:p>
        </w:tc>
        <w:tc>
          <w:tcPr>
            <w:tcW w:w="1985" w:type="dxa"/>
            <w:vAlign w:val="center"/>
          </w:tcPr>
          <w:p w14:paraId="4A537A9E" w14:textId="24545DCC" w:rsidR="0009455A"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1,93</w:t>
            </w:r>
            <w:r w:rsidR="00F847DD">
              <w:rPr>
                <w:rFonts w:cs="Arial"/>
                <w:sz w:val="22"/>
                <w:szCs w:val="22"/>
                <w:lang w:val="en-US"/>
              </w:rPr>
              <w:t>5</w:t>
            </w:r>
            <w:r w:rsidR="003C0E71">
              <w:rPr>
                <w:rFonts w:cs="Arial"/>
                <w:sz w:val="22"/>
                <w:szCs w:val="22"/>
                <w:lang w:val="en-US"/>
              </w:rPr>
              <w:t>,000</w:t>
            </w:r>
          </w:p>
        </w:tc>
      </w:tr>
      <w:tr w:rsidR="0009455A" w:rsidRPr="008F55EC" w14:paraId="69C0E613" w14:textId="77777777" w:rsidTr="2947B656">
        <w:tc>
          <w:tcPr>
            <w:tcW w:w="2972" w:type="dxa"/>
            <w:vAlign w:val="center"/>
          </w:tcPr>
          <w:p w14:paraId="2EE1B5FC" w14:textId="5C3AC068" w:rsidR="0009455A" w:rsidRPr="008F55EC" w:rsidRDefault="003C0E71" w:rsidP="007713E0">
            <w:pPr>
              <w:rPr>
                <w:rFonts w:cs="Arial"/>
                <w:sz w:val="22"/>
                <w:szCs w:val="22"/>
                <w:lang w:val="en-US"/>
              </w:rPr>
            </w:pPr>
            <w:proofErr w:type="spellStart"/>
            <w:r>
              <w:rPr>
                <w:rFonts w:cs="Arial"/>
                <w:sz w:val="22"/>
                <w:szCs w:val="22"/>
                <w:lang w:val="en-US"/>
              </w:rPr>
              <w:t>Maribyrong</w:t>
            </w:r>
            <w:proofErr w:type="spellEnd"/>
          </w:p>
        </w:tc>
        <w:tc>
          <w:tcPr>
            <w:tcW w:w="1985" w:type="dxa"/>
            <w:vAlign w:val="center"/>
          </w:tcPr>
          <w:p w14:paraId="240F4822" w14:textId="1C46E338" w:rsidR="0009455A"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702,000</w:t>
            </w:r>
          </w:p>
        </w:tc>
      </w:tr>
      <w:tr w:rsidR="0009455A" w:rsidRPr="008F55EC" w14:paraId="505FC20A" w14:textId="77777777" w:rsidTr="2947B656">
        <w:tc>
          <w:tcPr>
            <w:tcW w:w="2972" w:type="dxa"/>
            <w:vAlign w:val="center"/>
          </w:tcPr>
          <w:p w14:paraId="28475F50" w14:textId="2868FDC9" w:rsidR="0009455A" w:rsidRPr="008F55EC" w:rsidRDefault="003C0E71" w:rsidP="007713E0">
            <w:pPr>
              <w:rPr>
                <w:rFonts w:cs="Arial"/>
                <w:sz w:val="22"/>
                <w:szCs w:val="22"/>
                <w:lang w:val="en-US"/>
              </w:rPr>
            </w:pPr>
            <w:r>
              <w:rPr>
                <w:rFonts w:cs="Arial"/>
                <w:sz w:val="22"/>
                <w:szCs w:val="22"/>
                <w:lang w:val="en-US"/>
              </w:rPr>
              <w:t>Hobsons Bay</w:t>
            </w:r>
          </w:p>
        </w:tc>
        <w:tc>
          <w:tcPr>
            <w:tcW w:w="1985" w:type="dxa"/>
            <w:vAlign w:val="center"/>
          </w:tcPr>
          <w:p w14:paraId="552055EE" w14:textId="280C378C" w:rsidR="0009455A"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389,000</w:t>
            </w:r>
          </w:p>
        </w:tc>
      </w:tr>
      <w:tr w:rsidR="0009455A" w:rsidRPr="008F55EC" w14:paraId="12BEB79F" w14:textId="77777777" w:rsidTr="2947B656">
        <w:tc>
          <w:tcPr>
            <w:tcW w:w="2972" w:type="dxa"/>
            <w:vAlign w:val="center"/>
          </w:tcPr>
          <w:p w14:paraId="04A3DA5F" w14:textId="06BF1E25" w:rsidR="0009455A" w:rsidRPr="008F55EC" w:rsidRDefault="003C0E71" w:rsidP="007713E0">
            <w:pPr>
              <w:rPr>
                <w:rFonts w:cs="Arial"/>
                <w:sz w:val="22"/>
                <w:szCs w:val="22"/>
                <w:lang w:val="en-US"/>
              </w:rPr>
            </w:pPr>
            <w:r>
              <w:rPr>
                <w:rFonts w:cs="Arial"/>
                <w:sz w:val="22"/>
                <w:szCs w:val="22"/>
                <w:lang w:val="en-US"/>
              </w:rPr>
              <w:t>Brunswick – Coburg</w:t>
            </w:r>
          </w:p>
        </w:tc>
        <w:tc>
          <w:tcPr>
            <w:tcW w:w="1985" w:type="dxa"/>
            <w:vAlign w:val="center"/>
          </w:tcPr>
          <w:p w14:paraId="1CFD0EBC" w14:textId="29EAC150" w:rsidR="0009455A"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342,000</w:t>
            </w:r>
          </w:p>
        </w:tc>
      </w:tr>
      <w:tr w:rsidR="0009455A" w:rsidRPr="008F55EC" w14:paraId="60C50255" w14:textId="77777777" w:rsidTr="2947B656">
        <w:tc>
          <w:tcPr>
            <w:tcW w:w="2972" w:type="dxa"/>
            <w:vAlign w:val="center"/>
          </w:tcPr>
          <w:p w14:paraId="3997096E" w14:textId="45C7C40F" w:rsidR="0009455A" w:rsidRPr="008F55EC" w:rsidRDefault="003C0E71" w:rsidP="007713E0">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7251A36A" w14:textId="49A9B720" w:rsidR="0009455A" w:rsidRPr="008F55EC" w:rsidRDefault="000A53E6" w:rsidP="000A53E6">
            <w:pPr>
              <w:jc w:val="right"/>
              <w:rPr>
                <w:rFonts w:cs="Arial"/>
                <w:sz w:val="22"/>
                <w:szCs w:val="22"/>
                <w:lang w:val="en-US"/>
              </w:rPr>
            </w:pPr>
            <w:r>
              <w:rPr>
                <w:rFonts w:cs="Arial"/>
                <w:sz w:val="22"/>
                <w:szCs w:val="22"/>
                <w:lang w:val="en-US"/>
              </w:rPr>
              <w:t>$</w:t>
            </w:r>
            <w:r w:rsidR="003C0E71">
              <w:rPr>
                <w:rFonts w:cs="Arial"/>
                <w:sz w:val="22"/>
                <w:szCs w:val="22"/>
                <w:lang w:val="en-US"/>
              </w:rPr>
              <w:t>191,000</w:t>
            </w:r>
          </w:p>
        </w:tc>
      </w:tr>
    </w:tbl>
    <w:p w14:paraId="162E34AB" w14:textId="5620C03D" w:rsidR="009B2762" w:rsidRPr="009F7577" w:rsidRDefault="003C0E71" w:rsidP="009B2762">
      <w:pPr>
        <w:pStyle w:val="Heading2"/>
        <w:rPr>
          <w:rFonts w:hint="eastAsia"/>
        </w:rPr>
      </w:pPr>
      <w:bookmarkStart w:id="30" w:name="_Toc204007195"/>
      <w:r>
        <w:t>Carlton</w:t>
      </w:r>
      <w:bookmarkEnd w:id="30"/>
    </w:p>
    <w:p w14:paraId="594C2F00" w14:textId="6DC15DD5" w:rsidR="00F64925" w:rsidRDefault="00F64925" w:rsidP="00F64925">
      <w:pPr>
        <w:pStyle w:val="Heading3"/>
        <w:rPr>
          <w:rFonts w:hint="eastAsia"/>
        </w:rPr>
      </w:pPr>
      <w:bookmarkStart w:id="31" w:name="_Toc182490821"/>
      <w:bookmarkStart w:id="32" w:name="_Toc204007196"/>
      <w:r>
        <w:t>Table 1</w:t>
      </w:r>
      <w:r w:rsidR="00891621">
        <w:t>0</w:t>
      </w:r>
      <w:r>
        <w:t xml:space="preserve"> – Spending</w:t>
      </w:r>
      <w:r w:rsidR="000F3A62">
        <w:t xml:space="preserve"> by</w:t>
      </w:r>
      <w:r>
        <w:t xml:space="preserve"> categor</w:t>
      </w:r>
      <w:r w:rsidR="000F3A62">
        <w:t>y</w:t>
      </w:r>
      <w:r>
        <w:t>, Q</w:t>
      </w:r>
      <w:bookmarkEnd w:id="31"/>
      <w:r w:rsidR="003C0E71">
        <w:t>1 2025</w:t>
      </w:r>
      <w:bookmarkEnd w:id="32"/>
    </w:p>
    <w:tbl>
      <w:tblPr>
        <w:tblStyle w:val="TableGrid"/>
        <w:tblW w:w="0" w:type="auto"/>
        <w:tblLook w:val="04A0" w:firstRow="1" w:lastRow="0" w:firstColumn="1" w:lastColumn="0" w:noHBand="0" w:noVBand="1"/>
      </w:tblPr>
      <w:tblGrid>
        <w:gridCol w:w="1980"/>
        <w:gridCol w:w="2977"/>
      </w:tblGrid>
      <w:tr w:rsidR="00F1256F" w:rsidRPr="008F55EC" w14:paraId="552FD9E6" w14:textId="77777777" w:rsidTr="2947B656">
        <w:tc>
          <w:tcPr>
            <w:tcW w:w="1980" w:type="dxa"/>
            <w:vAlign w:val="center"/>
          </w:tcPr>
          <w:p w14:paraId="32602796" w14:textId="77777777" w:rsidR="00F1256F" w:rsidRPr="00F64925" w:rsidRDefault="00F1256F" w:rsidP="007713E0">
            <w:pPr>
              <w:rPr>
                <w:rFonts w:cs="Arial"/>
                <w:b/>
                <w:bCs/>
                <w:sz w:val="22"/>
                <w:szCs w:val="22"/>
                <w:lang w:val="en-US"/>
              </w:rPr>
            </w:pPr>
            <w:r w:rsidRPr="00F64925">
              <w:rPr>
                <w:rFonts w:cs="Arial"/>
                <w:b/>
                <w:bCs/>
                <w:sz w:val="22"/>
                <w:szCs w:val="22"/>
                <w:lang w:val="en-US"/>
              </w:rPr>
              <w:t>Category</w:t>
            </w:r>
          </w:p>
        </w:tc>
        <w:tc>
          <w:tcPr>
            <w:tcW w:w="2977" w:type="dxa"/>
            <w:vAlign w:val="center"/>
          </w:tcPr>
          <w:p w14:paraId="2DDB67F4" w14:textId="77777777" w:rsidR="00F1256F" w:rsidRPr="008F55EC" w:rsidRDefault="00F1256F" w:rsidP="007713E0">
            <w:pPr>
              <w:rPr>
                <w:rFonts w:cs="Arial"/>
                <w:sz w:val="22"/>
                <w:szCs w:val="22"/>
                <w:lang w:val="en-US"/>
              </w:rPr>
            </w:pPr>
            <w:r>
              <w:rPr>
                <w:rFonts w:cs="Arial"/>
                <w:b/>
                <w:bCs/>
                <w:color w:val="000000"/>
                <w:sz w:val="22"/>
                <w:szCs w:val="22"/>
              </w:rPr>
              <w:t>Adjusted Spend</w:t>
            </w:r>
          </w:p>
        </w:tc>
      </w:tr>
      <w:tr w:rsidR="003C0E71" w:rsidRPr="008F55EC" w14:paraId="59DBFAF7" w14:textId="77777777" w:rsidTr="2947B656">
        <w:tc>
          <w:tcPr>
            <w:tcW w:w="1980" w:type="dxa"/>
            <w:vAlign w:val="center"/>
          </w:tcPr>
          <w:p w14:paraId="27C739BA" w14:textId="10D31AB2" w:rsidR="003C0E71" w:rsidRPr="008F55EC" w:rsidRDefault="003C0E71" w:rsidP="003C0E71">
            <w:pPr>
              <w:rPr>
                <w:rFonts w:cs="Arial"/>
                <w:sz w:val="22"/>
                <w:szCs w:val="22"/>
                <w:lang w:val="en-US"/>
              </w:rPr>
            </w:pPr>
            <w:r>
              <w:rPr>
                <w:rFonts w:cs="Arial"/>
                <w:sz w:val="22"/>
                <w:szCs w:val="22"/>
                <w:lang w:val="en-US"/>
              </w:rPr>
              <w:t>Entertainment</w:t>
            </w:r>
          </w:p>
        </w:tc>
        <w:tc>
          <w:tcPr>
            <w:tcW w:w="2977" w:type="dxa"/>
            <w:vAlign w:val="center"/>
          </w:tcPr>
          <w:p w14:paraId="20FE6100" w14:textId="539F340C" w:rsidR="003C0E71" w:rsidRPr="008F55EC" w:rsidRDefault="003C0E71" w:rsidP="003C0E71">
            <w:pPr>
              <w:jc w:val="right"/>
              <w:rPr>
                <w:rFonts w:cs="Arial"/>
                <w:sz w:val="22"/>
                <w:szCs w:val="22"/>
                <w:lang w:val="en-US"/>
              </w:rPr>
            </w:pPr>
            <w:r>
              <w:rPr>
                <w:rFonts w:cs="Arial"/>
                <w:sz w:val="22"/>
                <w:szCs w:val="22"/>
                <w:lang w:val="en-US"/>
              </w:rPr>
              <w:t>$52,93</w:t>
            </w:r>
            <w:r w:rsidR="00F847DD">
              <w:rPr>
                <w:rFonts w:cs="Arial"/>
                <w:sz w:val="22"/>
                <w:szCs w:val="22"/>
                <w:lang w:val="en-US"/>
              </w:rPr>
              <w:t>5</w:t>
            </w:r>
            <w:r>
              <w:rPr>
                <w:rFonts w:cs="Arial"/>
                <w:sz w:val="22"/>
                <w:szCs w:val="22"/>
                <w:lang w:val="en-US"/>
              </w:rPr>
              <w:t>,</w:t>
            </w:r>
            <w:r w:rsidR="00EC303C">
              <w:rPr>
                <w:rFonts w:cs="Arial"/>
                <w:sz w:val="22"/>
                <w:szCs w:val="22"/>
                <w:lang w:val="en-US"/>
              </w:rPr>
              <w:t>000</w:t>
            </w:r>
          </w:p>
        </w:tc>
      </w:tr>
      <w:tr w:rsidR="003C0E71" w:rsidRPr="008F55EC" w14:paraId="25A21A5F" w14:textId="77777777" w:rsidTr="2947B656">
        <w:tc>
          <w:tcPr>
            <w:tcW w:w="1980" w:type="dxa"/>
            <w:vAlign w:val="center"/>
          </w:tcPr>
          <w:p w14:paraId="6737B7E2" w14:textId="4BF86FE2" w:rsidR="003C0E71" w:rsidRPr="008F55EC" w:rsidRDefault="003C0E71" w:rsidP="003C0E71">
            <w:pPr>
              <w:rPr>
                <w:rFonts w:cs="Arial"/>
                <w:sz w:val="22"/>
                <w:szCs w:val="22"/>
                <w:lang w:val="en-US"/>
              </w:rPr>
            </w:pPr>
            <w:r>
              <w:rPr>
                <w:rFonts w:cs="Arial"/>
                <w:sz w:val="22"/>
                <w:szCs w:val="22"/>
                <w:lang w:val="en-US"/>
              </w:rPr>
              <w:t>Retail</w:t>
            </w:r>
          </w:p>
        </w:tc>
        <w:tc>
          <w:tcPr>
            <w:tcW w:w="2977" w:type="dxa"/>
            <w:vAlign w:val="center"/>
          </w:tcPr>
          <w:p w14:paraId="5F96575B" w14:textId="3ADA8D1B" w:rsidR="003C0E71" w:rsidRPr="008F55EC" w:rsidRDefault="003C0E71" w:rsidP="003C0E71">
            <w:pPr>
              <w:jc w:val="right"/>
              <w:rPr>
                <w:rFonts w:cs="Arial"/>
                <w:sz w:val="22"/>
                <w:szCs w:val="22"/>
                <w:lang w:val="en-US"/>
              </w:rPr>
            </w:pPr>
            <w:r>
              <w:rPr>
                <w:rFonts w:cs="Arial"/>
                <w:sz w:val="22"/>
                <w:szCs w:val="22"/>
                <w:lang w:val="en-US"/>
              </w:rPr>
              <w:t>$43,660,</w:t>
            </w:r>
            <w:r w:rsidR="00EC303C">
              <w:rPr>
                <w:rFonts w:cs="Arial"/>
                <w:sz w:val="22"/>
                <w:szCs w:val="22"/>
                <w:lang w:val="en-US"/>
              </w:rPr>
              <w:t>000</w:t>
            </w:r>
          </w:p>
        </w:tc>
      </w:tr>
      <w:tr w:rsidR="003C0E71" w:rsidRPr="008F55EC" w14:paraId="1C6BB9C9" w14:textId="77777777" w:rsidTr="2947B656">
        <w:tc>
          <w:tcPr>
            <w:tcW w:w="1980" w:type="dxa"/>
            <w:vAlign w:val="center"/>
          </w:tcPr>
          <w:p w14:paraId="56DA7FF5" w14:textId="43F8351E" w:rsidR="003C0E71" w:rsidRDefault="003C0E71" w:rsidP="003C0E71">
            <w:pPr>
              <w:rPr>
                <w:rFonts w:cs="Arial"/>
                <w:color w:val="000000"/>
                <w:sz w:val="22"/>
                <w:szCs w:val="22"/>
              </w:rPr>
            </w:pPr>
            <w:r>
              <w:rPr>
                <w:rFonts w:cs="Arial"/>
                <w:color w:val="000000"/>
                <w:sz w:val="22"/>
                <w:szCs w:val="22"/>
              </w:rPr>
              <w:t>Commercial</w:t>
            </w:r>
          </w:p>
        </w:tc>
        <w:tc>
          <w:tcPr>
            <w:tcW w:w="2977" w:type="dxa"/>
            <w:vAlign w:val="center"/>
          </w:tcPr>
          <w:p w14:paraId="176BC4DB" w14:textId="1D9CA181" w:rsidR="003C0E71" w:rsidRPr="008F55EC" w:rsidRDefault="003C0E71" w:rsidP="003C0E71">
            <w:pPr>
              <w:jc w:val="right"/>
              <w:rPr>
                <w:rFonts w:cs="Arial"/>
                <w:sz w:val="22"/>
                <w:szCs w:val="22"/>
                <w:lang w:val="en-US"/>
              </w:rPr>
            </w:pPr>
            <w:r>
              <w:rPr>
                <w:rFonts w:cs="Arial"/>
                <w:sz w:val="22"/>
                <w:szCs w:val="22"/>
                <w:lang w:val="en-US"/>
              </w:rPr>
              <w:t>$17,60</w:t>
            </w:r>
            <w:r w:rsidR="00F847DD">
              <w:rPr>
                <w:rFonts w:cs="Arial"/>
                <w:sz w:val="22"/>
                <w:szCs w:val="22"/>
                <w:lang w:val="en-US"/>
              </w:rPr>
              <w:t>4</w:t>
            </w:r>
            <w:r>
              <w:rPr>
                <w:rFonts w:cs="Arial"/>
                <w:sz w:val="22"/>
                <w:szCs w:val="22"/>
                <w:lang w:val="en-US"/>
              </w:rPr>
              <w:t>,</w:t>
            </w:r>
            <w:r w:rsidR="00EC303C">
              <w:rPr>
                <w:rFonts w:cs="Arial"/>
                <w:sz w:val="22"/>
                <w:szCs w:val="22"/>
                <w:lang w:val="en-US"/>
              </w:rPr>
              <w:t>000</w:t>
            </w:r>
          </w:p>
        </w:tc>
      </w:tr>
      <w:tr w:rsidR="003C0E71" w:rsidRPr="008F55EC" w14:paraId="1C3D02E2" w14:textId="77777777" w:rsidTr="2947B656">
        <w:tc>
          <w:tcPr>
            <w:tcW w:w="1980" w:type="dxa"/>
            <w:vAlign w:val="center"/>
          </w:tcPr>
          <w:p w14:paraId="6BC31EA5" w14:textId="37EFBDC3" w:rsidR="003C0E71" w:rsidRDefault="003C0E71" w:rsidP="003C0E71">
            <w:pPr>
              <w:rPr>
                <w:rFonts w:cs="Arial"/>
                <w:color w:val="000000"/>
                <w:sz w:val="22"/>
                <w:szCs w:val="22"/>
              </w:rPr>
            </w:pPr>
            <w:r>
              <w:rPr>
                <w:rFonts w:cs="Arial"/>
                <w:color w:val="000000"/>
                <w:sz w:val="22"/>
                <w:szCs w:val="22"/>
              </w:rPr>
              <w:t>Tourism</w:t>
            </w:r>
          </w:p>
        </w:tc>
        <w:tc>
          <w:tcPr>
            <w:tcW w:w="2977" w:type="dxa"/>
            <w:vAlign w:val="center"/>
          </w:tcPr>
          <w:p w14:paraId="377B9CD9" w14:textId="43848F0D" w:rsidR="003C0E71" w:rsidRPr="008F55EC" w:rsidRDefault="003C0E71" w:rsidP="003C0E71">
            <w:pPr>
              <w:jc w:val="right"/>
              <w:rPr>
                <w:rFonts w:cs="Arial"/>
                <w:sz w:val="22"/>
                <w:szCs w:val="22"/>
                <w:lang w:val="en-US"/>
              </w:rPr>
            </w:pPr>
            <w:r w:rsidRPr="2947B656">
              <w:rPr>
                <w:rFonts w:cs="Arial"/>
                <w:sz w:val="22"/>
                <w:szCs w:val="22"/>
                <w:lang w:val="en-US"/>
              </w:rPr>
              <w:t>$4,</w:t>
            </w:r>
            <w:r w:rsidR="00EC303C" w:rsidRPr="2947B656">
              <w:rPr>
                <w:rFonts w:cs="Arial"/>
                <w:sz w:val="22"/>
                <w:szCs w:val="22"/>
                <w:lang w:val="en-US"/>
              </w:rPr>
              <w:t>888</w:t>
            </w:r>
            <w:r w:rsidR="51F6C4D2" w:rsidRPr="2947B656">
              <w:rPr>
                <w:rFonts w:cs="Arial"/>
                <w:sz w:val="22"/>
                <w:szCs w:val="22"/>
                <w:lang w:val="en-US"/>
              </w:rPr>
              <w:t>,000</w:t>
            </w:r>
          </w:p>
        </w:tc>
      </w:tr>
    </w:tbl>
    <w:p w14:paraId="5AB3FD66" w14:textId="4E2B6D4D" w:rsidR="00F64925" w:rsidRDefault="00F64925" w:rsidP="00F64925">
      <w:pPr>
        <w:pStyle w:val="Heading3"/>
        <w:rPr>
          <w:rFonts w:hint="eastAsia"/>
        </w:rPr>
      </w:pPr>
      <w:bookmarkStart w:id="33" w:name="_Toc182490822"/>
      <w:bookmarkStart w:id="34" w:name="_Toc204007197"/>
      <w:r>
        <w:t>Table 1</w:t>
      </w:r>
      <w:r w:rsidR="00891621">
        <w:t>1</w:t>
      </w:r>
      <w:r>
        <w:t xml:space="preserve"> – Work hours and non-work hours spend</w:t>
      </w:r>
      <w:r w:rsidR="00CA203B">
        <w:t>ing</w:t>
      </w:r>
      <w:r w:rsidR="00B776A9">
        <w:t xml:space="preserve"> </w:t>
      </w:r>
      <w:r w:rsidR="00B776A9" w:rsidRPr="002031FC">
        <w:t xml:space="preserve">in </w:t>
      </w:r>
      <w:bookmarkEnd w:id="33"/>
      <w:r w:rsidR="00EC303C">
        <w:t>Carlton, Q1 2025</w:t>
      </w:r>
      <w:bookmarkEnd w:id="34"/>
    </w:p>
    <w:tbl>
      <w:tblPr>
        <w:tblStyle w:val="TableGrid"/>
        <w:tblW w:w="0" w:type="auto"/>
        <w:tblLook w:val="04A0" w:firstRow="1" w:lastRow="0" w:firstColumn="1" w:lastColumn="0" w:noHBand="0" w:noVBand="1"/>
      </w:tblPr>
      <w:tblGrid>
        <w:gridCol w:w="2972"/>
        <w:gridCol w:w="1985"/>
        <w:gridCol w:w="3118"/>
      </w:tblGrid>
      <w:tr w:rsidR="00BA5216" w:rsidRPr="008F55EC" w14:paraId="1E14B8A4" w14:textId="77777777" w:rsidTr="00BA5216">
        <w:tc>
          <w:tcPr>
            <w:tcW w:w="2972" w:type="dxa"/>
            <w:vAlign w:val="center"/>
          </w:tcPr>
          <w:p w14:paraId="3B41BC8E" w14:textId="77777777" w:rsidR="00F64925" w:rsidRPr="00F64925" w:rsidRDefault="00F64925" w:rsidP="007713E0">
            <w:pPr>
              <w:rPr>
                <w:rFonts w:cs="Arial"/>
                <w:b/>
                <w:bCs/>
                <w:sz w:val="22"/>
                <w:szCs w:val="22"/>
                <w:lang w:val="en-US"/>
              </w:rPr>
            </w:pPr>
            <w:r>
              <w:rPr>
                <w:rFonts w:cs="Arial"/>
                <w:b/>
                <w:bCs/>
                <w:sz w:val="22"/>
                <w:szCs w:val="22"/>
                <w:lang w:val="en-US"/>
              </w:rPr>
              <w:t>Time Period</w:t>
            </w:r>
          </w:p>
        </w:tc>
        <w:tc>
          <w:tcPr>
            <w:tcW w:w="1985" w:type="dxa"/>
            <w:vAlign w:val="center"/>
          </w:tcPr>
          <w:p w14:paraId="63EB6255" w14:textId="77777777" w:rsidR="00F64925" w:rsidRPr="008F55EC" w:rsidRDefault="00F64925" w:rsidP="007713E0">
            <w:pPr>
              <w:rPr>
                <w:rFonts w:cs="Arial"/>
                <w:sz w:val="22"/>
                <w:szCs w:val="22"/>
                <w:lang w:val="en-US"/>
              </w:rPr>
            </w:pPr>
            <w:r>
              <w:rPr>
                <w:rFonts w:cs="Arial"/>
                <w:b/>
                <w:bCs/>
                <w:color w:val="000000"/>
                <w:sz w:val="22"/>
                <w:szCs w:val="22"/>
              </w:rPr>
              <w:t>Adjusted Spend</w:t>
            </w:r>
          </w:p>
        </w:tc>
        <w:tc>
          <w:tcPr>
            <w:tcW w:w="3118" w:type="dxa"/>
          </w:tcPr>
          <w:p w14:paraId="58285369" w14:textId="77777777" w:rsidR="00F64925" w:rsidRDefault="00F64925" w:rsidP="007713E0">
            <w:pPr>
              <w:rPr>
                <w:rFonts w:cs="Arial"/>
                <w:b/>
                <w:bCs/>
                <w:color w:val="000000"/>
                <w:sz w:val="22"/>
                <w:szCs w:val="22"/>
              </w:rPr>
            </w:pPr>
            <w:r>
              <w:rPr>
                <w:rFonts w:cs="Arial"/>
                <w:b/>
                <w:bCs/>
                <w:color w:val="000000"/>
                <w:sz w:val="22"/>
                <w:szCs w:val="22"/>
              </w:rPr>
              <w:t>Percent of Average Spend</w:t>
            </w:r>
          </w:p>
        </w:tc>
      </w:tr>
      <w:tr w:rsidR="00BA5216" w:rsidRPr="008F55EC" w14:paraId="445B3108" w14:textId="77777777" w:rsidTr="00BA5216">
        <w:tc>
          <w:tcPr>
            <w:tcW w:w="2972" w:type="dxa"/>
            <w:vAlign w:val="center"/>
          </w:tcPr>
          <w:p w14:paraId="1BFC28B9" w14:textId="77777777" w:rsidR="00F64925" w:rsidRPr="008F55EC" w:rsidRDefault="00F64925" w:rsidP="007713E0">
            <w:pPr>
              <w:rPr>
                <w:rFonts w:cs="Arial"/>
                <w:sz w:val="22"/>
                <w:szCs w:val="22"/>
                <w:lang w:val="en-US"/>
              </w:rPr>
            </w:pPr>
            <w:r>
              <w:rPr>
                <w:rFonts w:cs="Arial"/>
                <w:color w:val="000000"/>
                <w:sz w:val="22"/>
                <w:szCs w:val="22"/>
              </w:rPr>
              <w:t>Work hours</w:t>
            </w:r>
          </w:p>
        </w:tc>
        <w:tc>
          <w:tcPr>
            <w:tcW w:w="1985" w:type="dxa"/>
            <w:vAlign w:val="center"/>
          </w:tcPr>
          <w:p w14:paraId="33B2FD13" w14:textId="09D6DC6B" w:rsidR="00F64925" w:rsidRPr="008F55EC" w:rsidRDefault="00387840" w:rsidP="00387840">
            <w:pPr>
              <w:jc w:val="right"/>
              <w:rPr>
                <w:rFonts w:cs="Arial"/>
                <w:sz w:val="22"/>
                <w:szCs w:val="22"/>
                <w:lang w:val="en-US"/>
              </w:rPr>
            </w:pPr>
            <w:r>
              <w:rPr>
                <w:rFonts w:cs="Arial"/>
                <w:sz w:val="22"/>
                <w:szCs w:val="22"/>
                <w:lang w:val="en-US"/>
              </w:rPr>
              <w:t>$</w:t>
            </w:r>
            <w:r w:rsidR="00EC303C">
              <w:rPr>
                <w:rFonts w:cs="Arial"/>
                <w:sz w:val="22"/>
                <w:szCs w:val="22"/>
                <w:lang w:val="en-US"/>
              </w:rPr>
              <w:t>63,000,000</w:t>
            </w:r>
          </w:p>
        </w:tc>
        <w:tc>
          <w:tcPr>
            <w:tcW w:w="3118" w:type="dxa"/>
          </w:tcPr>
          <w:p w14:paraId="74A3A0C2" w14:textId="7ADC4F00" w:rsidR="00F64925" w:rsidRPr="008F55EC" w:rsidRDefault="00EC303C" w:rsidP="00387840">
            <w:pPr>
              <w:jc w:val="right"/>
              <w:rPr>
                <w:rFonts w:cs="Arial"/>
                <w:sz w:val="22"/>
                <w:szCs w:val="22"/>
                <w:lang w:val="en-US"/>
              </w:rPr>
            </w:pPr>
            <w:r>
              <w:rPr>
                <w:rFonts w:cs="Arial"/>
                <w:sz w:val="22"/>
                <w:szCs w:val="22"/>
                <w:lang w:val="en-US"/>
              </w:rPr>
              <w:t>54</w:t>
            </w:r>
            <w:r w:rsidR="00387840">
              <w:rPr>
                <w:rFonts w:cs="Arial"/>
                <w:sz w:val="22"/>
                <w:szCs w:val="22"/>
                <w:lang w:val="en-US"/>
              </w:rPr>
              <w:t>%</w:t>
            </w:r>
          </w:p>
        </w:tc>
      </w:tr>
      <w:tr w:rsidR="00BA5216" w:rsidRPr="008F55EC" w14:paraId="0E667ED7" w14:textId="77777777" w:rsidTr="00BA5216">
        <w:tc>
          <w:tcPr>
            <w:tcW w:w="2972" w:type="dxa"/>
            <w:vAlign w:val="center"/>
          </w:tcPr>
          <w:p w14:paraId="7974D1CD" w14:textId="77777777" w:rsidR="00F64925" w:rsidRPr="008F55EC" w:rsidRDefault="00F64925" w:rsidP="007713E0">
            <w:pPr>
              <w:rPr>
                <w:rFonts w:cs="Arial"/>
                <w:sz w:val="22"/>
                <w:szCs w:val="22"/>
                <w:lang w:val="en-US"/>
              </w:rPr>
            </w:pPr>
            <w:r>
              <w:rPr>
                <w:rFonts w:cs="Arial"/>
                <w:color w:val="000000"/>
                <w:sz w:val="22"/>
                <w:szCs w:val="22"/>
              </w:rPr>
              <w:t>Non-work hours</w:t>
            </w:r>
          </w:p>
        </w:tc>
        <w:tc>
          <w:tcPr>
            <w:tcW w:w="1985" w:type="dxa"/>
            <w:vAlign w:val="center"/>
          </w:tcPr>
          <w:p w14:paraId="11A193C5" w14:textId="686B7AC6" w:rsidR="00F64925" w:rsidRPr="008F55EC" w:rsidRDefault="00387840" w:rsidP="00387840">
            <w:pPr>
              <w:jc w:val="right"/>
              <w:rPr>
                <w:rFonts w:cs="Arial"/>
                <w:sz w:val="22"/>
                <w:szCs w:val="22"/>
                <w:lang w:val="en-US"/>
              </w:rPr>
            </w:pPr>
            <w:r>
              <w:rPr>
                <w:rFonts w:cs="Arial"/>
                <w:sz w:val="22"/>
                <w:szCs w:val="22"/>
                <w:lang w:val="en-US"/>
              </w:rPr>
              <w:t>$</w:t>
            </w:r>
            <w:r w:rsidR="00EC303C">
              <w:rPr>
                <w:rFonts w:cs="Arial"/>
                <w:sz w:val="22"/>
                <w:szCs w:val="22"/>
                <w:lang w:val="en-US"/>
              </w:rPr>
              <w:t>55,000,000</w:t>
            </w:r>
          </w:p>
        </w:tc>
        <w:tc>
          <w:tcPr>
            <w:tcW w:w="3118" w:type="dxa"/>
          </w:tcPr>
          <w:p w14:paraId="7EAEAE6D" w14:textId="66CB92AC" w:rsidR="00F64925" w:rsidRPr="008F55EC" w:rsidRDefault="00EC303C" w:rsidP="00387840">
            <w:pPr>
              <w:jc w:val="right"/>
              <w:rPr>
                <w:rFonts w:cs="Arial"/>
                <w:sz w:val="22"/>
                <w:szCs w:val="22"/>
                <w:lang w:val="en-US"/>
              </w:rPr>
            </w:pPr>
            <w:r>
              <w:rPr>
                <w:rFonts w:cs="Arial"/>
                <w:sz w:val="22"/>
                <w:szCs w:val="22"/>
                <w:lang w:val="en-US"/>
              </w:rPr>
              <w:t>46</w:t>
            </w:r>
            <w:r w:rsidR="00387840">
              <w:rPr>
                <w:rFonts w:cs="Arial"/>
                <w:sz w:val="22"/>
                <w:szCs w:val="22"/>
                <w:lang w:val="en-US"/>
              </w:rPr>
              <w:t>%</w:t>
            </w:r>
          </w:p>
        </w:tc>
      </w:tr>
    </w:tbl>
    <w:p w14:paraId="53D041BE" w14:textId="5071B057" w:rsidR="009B4DE8" w:rsidRDefault="009B4DE8" w:rsidP="009B4DE8">
      <w:pPr>
        <w:pStyle w:val="Heading3"/>
        <w:rPr>
          <w:rFonts w:hint="eastAsia"/>
        </w:rPr>
      </w:pPr>
      <w:bookmarkStart w:id="35" w:name="_Toc182490823"/>
      <w:bookmarkStart w:id="36" w:name="_Toc204007198"/>
      <w:r>
        <w:t>Table 1</w:t>
      </w:r>
      <w:r w:rsidR="00891621">
        <w:t>2</w:t>
      </w:r>
      <w:r>
        <w:t xml:space="preserve"> – </w:t>
      </w:r>
      <w:r w:rsidRPr="002031FC">
        <w:t>Weekday and weekend spend</w:t>
      </w:r>
      <w:r w:rsidR="00CA203B">
        <w:t>ing</w:t>
      </w:r>
      <w:r w:rsidRPr="002031FC">
        <w:t xml:space="preserve"> in </w:t>
      </w:r>
      <w:bookmarkEnd w:id="35"/>
      <w:r w:rsidR="00EC303C">
        <w:t>Carlton, Q1 2025</w:t>
      </w:r>
      <w:bookmarkEnd w:id="36"/>
    </w:p>
    <w:tbl>
      <w:tblPr>
        <w:tblStyle w:val="TableGrid"/>
        <w:tblW w:w="0" w:type="auto"/>
        <w:tblLook w:val="04A0" w:firstRow="1" w:lastRow="0" w:firstColumn="1" w:lastColumn="0" w:noHBand="0" w:noVBand="1"/>
      </w:tblPr>
      <w:tblGrid>
        <w:gridCol w:w="2689"/>
        <w:gridCol w:w="2268"/>
        <w:gridCol w:w="3118"/>
      </w:tblGrid>
      <w:tr w:rsidR="009B4DE8" w:rsidRPr="008F55EC" w14:paraId="0D8C98E4" w14:textId="77777777" w:rsidTr="007713E0">
        <w:tc>
          <w:tcPr>
            <w:tcW w:w="2689" w:type="dxa"/>
            <w:vAlign w:val="center"/>
          </w:tcPr>
          <w:p w14:paraId="7776F807" w14:textId="77777777" w:rsidR="009B4DE8" w:rsidRPr="00F64925" w:rsidRDefault="009B4DE8" w:rsidP="007713E0">
            <w:pPr>
              <w:rPr>
                <w:rFonts w:cs="Arial"/>
                <w:b/>
                <w:bCs/>
                <w:sz w:val="22"/>
                <w:szCs w:val="22"/>
                <w:lang w:val="en-US"/>
              </w:rPr>
            </w:pPr>
            <w:r>
              <w:rPr>
                <w:rFonts w:cs="Arial"/>
                <w:b/>
                <w:bCs/>
                <w:sz w:val="22"/>
                <w:szCs w:val="22"/>
                <w:lang w:val="en-US"/>
              </w:rPr>
              <w:t>Time Period</w:t>
            </w:r>
          </w:p>
        </w:tc>
        <w:tc>
          <w:tcPr>
            <w:tcW w:w="2268" w:type="dxa"/>
            <w:vAlign w:val="center"/>
          </w:tcPr>
          <w:p w14:paraId="2A1614DD" w14:textId="77777777" w:rsidR="009B4DE8" w:rsidRPr="008F55EC" w:rsidRDefault="009B4DE8" w:rsidP="007713E0">
            <w:pPr>
              <w:rPr>
                <w:rFonts w:cs="Arial"/>
                <w:sz w:val="22"/>
                <w:szCs w:val="22"/>
                <w:lang w:val="en-US"/>
              </w:rPr>
            </w:pPr>
            <w:r>
              <w:rPr>
                <w:rFonts w:cs="Arial"/>
                <w:b/>
                <w:bCs/>
                <w:color w:val="000000"/>
                <w:sz w:val="22"/>
                <w:szCs w:val="22"/>
              </w:rPr>
              <w:t>Adjusted Spend</w:t>
            </w:r>
          </w:p>
        </w:tc>
        <w:tc>
          <w:tcPr>
            <w:tcW w:w="3118" w:type="dxa"/>
          </w:tcPr>
          <w:p w14:paraId="2C2B208D" w14:textId="77777777" w:rsidR="009B4DE8" w:rsidRDefault="009B4DE8" w:rsidP="007713E0">
            <w:pPr>
              <w:rPr>
                <w:rFonts w:cs="Arial"/>
                <w:b/>
                <w:bCs/>
                <w:color w:val="000000"/>
                <w:sz w:val="22"/>
                <w:szCs w:val="22"/>
              </w:rPr>
            </w:pPr>
            <w:r>
              <w:rPr>
                <w:rFonts w:cs="Arial"/>
                <w:b/>
                <w:bCs/>
                <w:color w:val="000000"/>
                <w:sz w:val="22"/>
                <w:szCs w:val="22"/>
              </w:rPr>
              <w:t>Percent of Average Spend</w:t>
            </w:r>
          </w:p>
        </w:tc>
      </w:tr>
      <w:tr w:rsidR="009B4DE8" w:rsidRPr="008F55EC" w14:paraId="6C49F10F" w14:textId="77777777" w:rsidTr="007713E0">
        <w:tc>
          <w:tcPr>
            <w:tcW w:w="2689" w:type="dxa"/>
            <w:vAlign w:val="center"/>
          </w:tcPr>
          <w:p w14:paraId="65D22A3C" w14:textId="77777777" w:rsidR="009B4DE8" w:rsidRPr="008F55EC" w:rsidRDefault="009B4DE8" w:rsidP="007713E0">
            <w:pPr>
              <w:rPr>
                <w:rFonts w:cs="Arial"/>
                <w:sz w:val="22"/>
                <w:szCs w:val="22"/>
                <w:lang w:val="en-US"/>
              </w:rPr>
            </w:pPr>
            <w:r>
              <w:rPr>
                <w:rFonts w:cs="Arial"/>
                <w:color w:val="000000"/>
                <w:sz w:val="22"/>
                <w:szCs w:val="22"/>
              </w:rPr>
              <w:t>Weekdays</w:t>
            </w:r>
          </w:p>
        </w:tc>
        <w:tc>
          <w:tcPr>
            <w:tcW w:w="2268" w:type="dxa"/>
            <w:vAlign w:val="center"/>
          </w:tcPr>
          <w:p w14:paraId="4AAB1D9B" w14:textId="33EB04ED" w:rsidR="009B4DE8" w:rsidRPr="008F55EC" w:rsidRDefault="00387840" w:rsidP="00387840">
            <w:pPr>
              <w:jc w:val="right"/>
              <w:rPr>
                <w:rFonts w:cs="Arial"/>
                <w:sz w:val="22"/>
                <w:szCs w:val="22"/>
                <w:lang w:val="en-US"/>
              </w:rPr>
            </w:pPr>
            <w:r>
              <w:rPr>
                <w:rFonts w:cs="Arial"/>
                <w:sz w:val="22"/>
                <w:szCs w:val="22"/>
                <w:lang w:val="en-US"/>
              </w:rPr>
              <w:t>$</w:t>
            </w:r>
            <w:r w:rsidR="00EC303C">
              <w:rPr>
                <w:rFonts w:cs="Arial"/>
                <w:sz w:val="22"/>
                <w:szCs w:val="22"/>
                <w:lang w:val="en-US"/>
              </w:rPr>
              <w:t>85</w:t>
            </w:r>
            <w:r w:rsidR="002F341E">
              <w:rPr>
                <w:rFonts w:cs="Arial"/>
                <w:sz w:val="22"/>
                <w:szCs w:val="22"/>
                <w:lang w:val="en-US"/>
              </w:rPr>
              <w:t>,000,000</w:t>
            </w:r>
          </w:p>
        </w:tc>
        <w:tc>
          <w:tcPr>
            <w:tcW w:w="3118" w:type="dxa"/>
          </w:tcPr>
          <w:p w14:paraId="219BAD09" w14:textId="6C26A50F" w:rsidR="009B4DE8" w:rsidRPr="008F55EC" w:rsidRDefault="00EC303C" w:rsidP="00387840">
            <w:pPr>
              <w:jc w:val="right"/>
              <w:rPr>
                <w:rFonts w:cs="Arial"/>
                <w:sz w:val="22"/>
                <w:szCs w:val="22"/>
                <w:lang w:val="en-US"/>
              </w:rPr>
            </w:pPr>
            <w:r>
              <w:rPr>
                <w:rFonts w:cs="Arial"/>
                <w:sz w:val="22"/>
                <w:szCs w:val="22"/>
                <w:lang w:val="en-US"/>
              </w:rPr>
              <w:t>71</w:t>
            </w:r>
            <w:r w:rsidR="00387840">
              <w:rPr>
                <w:rFonts w:cs="Arial"/>
                <w:sz w:val="22"/>
                <w:szCs w:val="22"/>
                <w:lang w:val="en-US"/>
              </w:rPr>
              <w:t>%</w:t>
            </w:r>
          </w:p>
        </w:tc>
      </w:tr>
      <w:tr w:rsidR="009B4DE8" w:rsidRPr="008F55EC" w14:paraId="1AA10B1D" w14:textId="77777777" w:rsidTr="007713E0">
        <w:tc>
          <w:tcPr>
            <w:tcW w:w="2689" w:type="dxa"/>
            <w:vAlign w:val="center"/>
          </w:tcPr>
          <w:p w14:paraId="6BB1AE87" w14:textId="77777777" w:rsidR="009B4DE8" w:rsidRPr="008F55EC" w:rsidRDefault="009B4DE8" w:rsidP="007713E0">
            <w:pPr>
              <w:rPr>
                <w:rFonts w:cs="Arial"/>
                <w:sz w:val="22"/>
                <w:szCs w:val="22"/>
                <w:lang w:val="en-US"/>
              </w:rPr>
            </w:pPr>
            <w:r>
              <w:rPr>
                <w:rFonts w:cs="Arial"/>
                <w:color w:val="000000"/>
                <w:sz w:val="22"/>
                <w:szCs w:val="22"/>
              </w:rPr>
              <w:t>Weekends</w:t>
            </w:r>
          </w:p>
        </w:tc>
        <w:tc>
          <w:tcPr>
            <w:tcW w:w="2268" w:type="dxa"/>
            <w:vAlign w:val="center"/>
          </w:tcPr>
          <w:p w14:paraId="1A816868" w14:textId="4E669132" w:rsidR="009B4DE8" w:rsidRPr="008F55EC" w:rsidRDefault="00387840" w:rsidP="00387840">
            <w:pPr>
              <w:jc w:val="right"/>
              <w:rPr>
                <w:rFonts w:cs="Arial"/>
                <w:sz w:val="22"/>
                <w:szCs w:val="22"/>
                <w:lang w:val="en-US"/>
              </w:rPr>
            </w:pPr>
            <w:r>
              <w:rPr>
                <w:rFonts w:cs="Arial"/>
                <w:sz w:val="22"/>
                <w:szCs w:val="22"/>
                <w:lang w:val="en-US"/>
              </w:rPr>
              <w:t>$</w:t>
            </w:r>
            <w:r w:rsidR="00EC303C">
              <w:rPr>
                <w:rFonts w:cs="Arial"/>
                <w:sz w:val="22"/>
                <w:szCs w:val="22"/>
                <w:lang w:val="en-US"/>
              </w:rPr>
              <w:t>35</w:t>
            </w:r>
            <w:r w:rsidR="002F341E">
              <w:rPr>
                <w:rFonts w:cs="Arial"/>
                <w:sz w:val="22"/>
                <w:szCs w:val="22"/>
                <w:lang w:val="en-US"/>
              </w:rPr>
              <w:t>,000,000</w:t>
            </w:r>
          </w:p>
        </w:tc>
        <w:tc>
          <w:tcPr>
            <w:tcW w:w="3118" w:type="dxa"/>
          </w:tcPr>
          <w:p w14:paraId="718F1EE4" w14:textId="604322BC" w:rsidR="009B4DE8" w:rsidRPr="008F55EC" w:rsidRDefault="00EC303C" w:rsidP="00387840">
            <w:pPr>
              <w:jc w:val="right"/>
              <w:rPr>
                <w:rFonts w:cs="Arial"/>
                <w:sz w:val="22"/>
                <w:szCs w:val="22"/>
                <w:lang w:val="en-US"/>
              </w:rPr>
            </w:pPr>
            <w:r>
              <w:rPr>
                <w:rFonts w:cs="Arial"/>
                <w:sz w:val="22"/>
                <w:szCs w:val="22"/>
                <w:lang w:val="en-US"/>
              </w:rPr>
              <w:t>29</w:t>
            </w:r>
            <w:r w:rsidR="00387840">
              <w:rPr>
                <w:rFonts w:cs="Arial"/>
                <w:sz w:val="22"/>
                <w:szCs w:val="22"/>
                <w:lang w:val="en-US"/>
              </w:rPr>
              <w:t>%</w:t>
            </w:r>
          </w:p>
        </w:tc>
      </w:tr>
    </w:tbl>
    <w:p w14:paraId="07FC2F31" w14:textId="77777777" w:rsidR="004679BC" w:rsidRDefault="004679BC">
      <w:pPr>
        <w:spacing w:after="0" w:line="240" w:lineRule="auto"/>
        <w:rPr>
          <w:rFonts w:ascii="Arial Bold" w:eastAsia="MS Gothic" w:hAnsi="Arial Bold" w:hint="eastAsia"/>
          <w:sz w:val="22"/>
          <w:szCs w:val="26"/>
          <w:lang w:val="en-US"/>
        </w:rPr>
      </w:pPr>
      <w:bookmarkStart w:id="37" w:name="_Toc182490824"/>
      <w:bookmarkStart w:id="38" w:name="_Toc204007199"/>
      <w:r>
        <w:rPr>
          <w:rFonts w:hint="eastAsia"/>
        </w:rPr>
        <w:br w:type="page"/>
      </w:r>
    </w:p>
    <w:p w14:paraId="460D0932" w14:textId="1A0D36CE" w:rsidR="00F64925" w:rsidRDefault="00F64925" w:rsidP="00F64925">
      <w:pPr>
        <w:pStyle w:val="Heading3"/>
        <w:rPr>
          <w:rFonts w:hint="eastAsia"/>
        </w:rPr>
      </w:pPr>
      <w:r>
        <w:lastRenderedPageBreak/>
        <w:t>Table 1</w:t>
      </w:r>
      <w:r w:rsidR="00891621">
        <w:t>3</w:t>
      </w:r>
      <w:r w:rsidR="009B4DE8">
        <w:t>.</w:t>
      </w:r>
      <w:r w:rsidR="002F4DE8">
        <w:t>a</w:t>
      </w:r>
      <w:r>
        <w:t xml:space="preserve"> – </w:t>
      </w:r>
      <w:r w:rsidR="009B4DE8" w:rsidRPr="009B4DE8">
        <w:t xml:space="preserve">Where spending in </w:t>
      </w:r>
      <w:bookmarkEnd w:id="37"/>
      <w:r w:rsidR="00EC303C">
        <w:t>Carlton came from, Q1 2025</w:t>
      </w:r>
      <w:bookmarkEnd w:id="38"/>
    </w:p>
    <w:tbl>
      <w:tblPr>
        <w:tblStyle w:val="TableGrid"/>
        <w:tblW w:w="0" w:type="auto"/>
        <w:tblLook w:val="04A0" w:firstRow="1" w:lastRow="0" w:firstColumn="1" w:lastColumn="0" w:noHBand="0" w:noVBand="1"/>
      </w:tblPr>
      <w:tblGrid>
        <w:gridCol w:w="2972"/>
        <w:gridCol w:w="1985"/>
        <w:gridCol w:w="3118"/>
      </w:tblGrid>
      <w:tr w:rsidR="00F64925" w:rsidRPr="008F55EC" w14:paraId="78F0521C" w14:textId="77777777" w:rsidTr="00BA5216">
        <w:tc>
          <w:tcPr>
            <w:tcW w:w="2972" w:type="dxa"/>
            <w:vAlign w:val="center"/>
          </w:tcPr>
          <w:p w14:paraId="22FDE77B" w14:textId="4BB53821" w:rsidR="00F64925" w:rsidRPr="00F64925" w:rsidRDefault="00F64925" w:rsidP="007713E0">
            <w:pPr>
              <w:rPr>
                <w:rFonts w:cs="Arial"/>
                <w:b/>
                <w:bCs/>
                <w:sz w:val="22"/>
                <w:szCs w:val="22"/>
                <w:lang w:val="en-US"/>
              </w:rPr>
            </w:pPr>
            <w:bookmarkStart w:id="39" w:name="_Hlk167445344"/>
            <w:r>
              <w:rPr>
                <w:rFonts w:cs="Arial"/>
                <w:b/>
                <w:bCs/>
                <w:sz w:val="22"/>
                <w:szCs w:val="22"/>
                <w:lang w:val="en-US"/>
              </w:rPr>
              <w:t>Customer Type</w:t>
            </w:r>
          </w:p>
        </w:tc>
        <w:tc>
          <w:tcPr>
            <w:tcW w:w="1985" w:type="dxa"/>
            <w:vAlign w:val="center"/>
          </w:tcPr>
          <w:p w14:paraId="01A60F30" w14:textId="77777777" w:rsidR="00F64925" w:rsidRPr="008F55EC" w:rsidRDefault="00F64925" w:rsidP="007713E0">
            <w:pPr>
              <w:rPr>
                <w:rFonts w:cs="Arial"/>
                <w:sz w:val="22"/>
                <w:szCs w:val="22"/>
                <w:lang w:val="en-US"/>
              </w:rPr>
            </w:pPr>
            <w:r>
              <w:rPr>
                <w:rFonts w:cs="Arial"/>
                <w:b/>
                <w:bCs/>
                <w:color w:val="000000"/>
                <w:sz w:val="22"/>
                <w:szCs w:val="22"/>
              </w:rPr>
              <w:t>Adjusted Spend</w:t>
            </w:r>
          </w:p>
        </w:tc>
        <w:tc>
          <w:tcPr>
            <w:tcW w:w="3118" w:type="dxa"/>
          </w:tcPr>
          <w:p w14:paraId="5AA14C13" w14:textId="77777777" w:rsidR="00F64925" w:rsidRDefault="00F64925" w:rsidP="007713E0">
            <w:pPr>
              <w:rPr>
                <w:rFonts w:cs="Arial"/>
                <w:b/>
                <w:bCs/>
                <w:color w:val="000000"/>
                <w:sz w:val="22"/>
                <w:szCs w:val="22"/>
              </w:rPr>
            </w:pPr>
            <w:r>
              <w:rPr>
                <w:rFonts w:cs="Arial"/>
                <w:b/>
                <w:bCs/>
                <w:color w:val="000000"/>
                <w:sz w:val="22"/>
                <w:szCs w:val="22"/>
              </w:rPr>
              <w:t>Percent of Average Spend</w:t>
            </w:r>
          </w:p>
        </w:tc>
      </w:tr>
      <w:tr w:rsidR="00F64925" w:rsidRPr="008F55EC" w14:paraId="35D4D472" w14:textId="77777777" w:rsidTr="00BA5216">
        <w:tc>
          <w:tcPr>
            <w:tcW w:w="2972" w:type="dxa"/>
            <w:vAlign w:val="center"/>
          </w:tcPr>
          <w:p w14:paraId="368B0657" w14:textId="38C67887" w:rsidR="00F64925" w:rsidRPr="008F55EC" w:rsidRDefault="00F64925" w:rsidP="007713E0">
            <w:pPr>
              <w:rPr>
                <w:rFonts w:cs="Arial"/>
                <w:sz w:val="22"/>
                <w:szCs w:val="22"/>
                <w:lang w:val="en-US"/>
              </w:rPr>
            </w:pPr>
            <w:r>
              <w:rPr>
                <w:rFonts w:cs="Arial"/>
                <w:sz w:val="22"/>
                <w:szCs w:val="22"/>
                <w:lang w:val="en-US"/>
              </w:rPr>
              <w:t>City of Melbourne residents</w:t>
            </w:r>
          </w:p>
        </w:tc>
        <w:tc>
          <w:tcPr>
            <w:tcW w:w="1985" w:type="dxa"/>
            <w:vAlign w:val="center"/>
          </w:tcPr>
          <w:p w14:paraId="0E7F0F5A" w14:textId="7BB43DBA" w:rsidR="00F64925" w:rsidRPr="008F55EC" w:rsidRDefault="00387840" w:rsidP="00387840">
            <w:pPr>
              <w:jc w:val="right"/>
              <w:rPr>
                <w:rFonts w:cs="Arial"/>
                <w:sz w:val="22"/>
                <w:szCs w:val="22"/>
                <w:lang w:val="en-US"/>
              </w:rPr>
            </w:pPr>
            <w:r>
              <w:rPr>
                <w:rFonts w:cs="Arial"/>
                <w:sz w:val="22"/>
                <w:szCs w:val="22"/>
                <w:lang w:val="en-US"/>
              </w:rPr>
              <w:t>$</w:t>
            </w:r>
            <w:r w:rsidR="00DC5798">
              <w:rPr>
                <w:rFonts w:cs="Arial"/>
                <w:sz w:val="22"/>
                <w:szCs w:val="22"/>
                <w:lang w:val="en-US"/>
              </w:rPr>
              <w:t>16</w:t>
            </w:r>
            <w:r>
              <w:rPr>
                <w:rFonts w:cs="Arial"/>
                <w:sz w:val="22"/>
                <w:szCs w:val="22"/>
                <w:lang w:val="en-US"/>
              </w:rPr>
              <w:t>,000,000</w:t>
            </w:r>
          </w:p>
        </w:tc>
        <w:tc>
          <w:tcPr>
            <w:tcW w:w="3118" w:type="dxa"/>
          </w:tcPr>
          <w:p w14:paraId="3B7C97B5" w14:textId="4CB0FEE2" w:rsidR="00F64925" w:rsidRPr="008F55EC" w:rsidRDefault="00DC5798" w:rsidP="00387840">
            <w:pPr>
              <w:jc w:val="right"/>
              <w:rPr>
                <w:rFonts w:cs="Arial"/>
                <w:sz w:val="22"/>
                <w:szCs w:val="22"/>
                <w:lang w:val="en-US"/>
              </w:rPr>
            </w:pPr>
            <w:r>
              <w:rPr>
                <w:rFonts w:cs="Arial"/>
                <w:sz w:val="22"/>
                <w:szCs w:val="22"/>
                <w:lang w:val="en-US"/>
              </w:rPr>
              <w:t>13</w:t>
            </w:r>
            <w:r w:rsidR="00387840">
              <w:rPr>
                <w:rFonts w:cs="Arial"/>
                <w:sz w:val="22"/>
                <w:szCs w:val="22"/>
                <w:lang w:val="en-US"/>
              </w:rPr>
              <w:t>%</w:t>
            </w:r>
          </w:p>
        </w:tc>
      </w:tr>
      <w:tr w:rsidR="00F64925" w:rsidRPr="008F55EC" w14:paraId="465D5834" w14:textId="77777777" w:rsidTr="00BA5216">
        <w:tc>
          <w:tcPr>
            <w:tcW w:w="2972" w:type="dxa"/>
            <w:vAlign w:val="center"/>
          </w:tcPr>
          <w:p w14:paraId="40E6DD26" w14:textId="4645EA6C" w:rsidR="00F64925" w:rsidRPr="008F55EC" w:rsidRDefault="00F64925" w:rsidP="007713E0">
            <w:pPr>
              <w:rPr>
                <w:rFonts w:cs="Arial"/>
                <w:sz w:val="22"/>
                <w:szCs w:val="22"/>
                <w:lang w:val="en-US"/>
              </w:rPr>
            </w:pPr>
            <w:r>
              <w:rPr>
                <w:rFonts w:cs="Arial"/>
                <w:color w:val="000000"/>
                <w:sz w:val="22"/>
                <w:szCs w:val="22"/>
              </w:rPr>
              <w:t>Visitors</w:t>
            </w:r>
          </w:p>
        </w:tc>
        <w:tc>
          <w:tcPr>
            <w:tcW w:w="1985" w:type="dxa"/>
            <w:vAlign w:val="center"/>
          </w:tcPr>
          <w:p w14:paraId="73BEDC6F" w14:textId="3D2EF6BF" w:rsidR="00F64925" w:rsidRPr="008F55EC" w:rsidRDefault="00387840" w:rsidP="00387840">
            <w:pPr>
              <w:jc w:val="right"/>
              <w:rPr>
                <w:rFonts w:cs="Arial"/>
                <w:sz w:val="22"/>
                <w:szCs w:val="22"/>
                <w:lang w:val="en-US"/>
              </w:rPr>
            </w:pPr>
            <w:r>
              <w:rPr>
                <w:rFonts w:cs="Arial"/>
                <w:sz w:val="22"/>
                <w:szCs w:val="22"/>
                <w:lang w:val="en-US"/>
              </w:rPr>
              <w:t>$</w:t>
            </w:r>
            <w:r w:rsidR="00DC5798">
              <w:rPr>
                <w:rFonts w:cs="Arial"/>
                <w:sz w:val="22"/>
                <w:szCs w:val="22"/>
                <w:lang w:val="en-US"/>
              </w:rPr>
              <w:t>102</w:t>
            </w:r>
            <w:r w:rsidR="001C48D7">
              <w:rPr>
                <w:rFonts w:cs="Arial"/>
                <w:sz w:val="22"/>
                <w:szCs w:val="22"/>
                <w:lang w:val="en-US"/>
              </w:rPr>
              <w:t>,000,000</w:t>
            </w:r>
          </w:p>
        </w:tc>
        <w:tc>
          <w:tcPr>
            <w:tcW w:w="3118" w:type="dxa"/>
          </w:tcPr>
          <w:p w14:paraId="7C1B8229" w14:textId="4DBCE4A3" w:rsidR="00F64925" w:rsidRPr="008F55EC" w:rsidRDefault="00DC5798" w:rsidP="00387840">
            <w:pPr>
              <w:jc w:val="right"/>
              <w:rPr>
                <w:rFonts w:cs="Arial"/>
                <w:sz w:val="22"/>
                <w:szCs w:val="22"/>
                <w:lang w:val="en-US"/>
              </w:rPr>
            </w:pPr>
            <w:r>
              <w:rPr>
                <w:rFonts w:cs="Arial"/>
                <w:sz w:val="22"/>
                <w:szCs w:val="22"/>
                <w:lang w:val="en-US"/>
              </w:rPr>
              <w:t>87</w:t>
            </w:r>
            <w:r w:rsidR="00387840">
              <w:rPr>
                <w:rFonts w:cs="Arial"/>
                <w:sz w:val="22"/>
                <w:szCs w:val="22"/>
                <w:lang w:val="en-US"/>
              </w:rPr>
              <w:t>%</w:t>
            </w:r>
          </w:p>
        </w:tc>
      </w:tr>
    </w:tbl>
    <w:p w14:paraId="7D26A684" w14:textId="1962C874" w:rsidR="00F64925" w:rsidRDefault="00F64925" w:rsidP="00F64925">
      <w:pPr>
        <w:pStyle w:val="Heading3"/>
        <w:rPr>
          <w:rFonts w:hint="eastAsia"/>
        </w:rPr>
      </w:pPr>
      <w:bookmarkStart w:id="40" w:name="_Toc182490825"/>
      <w:bookmarkStart w:id="41" w:name="_Toc204007200"/>
      <w:bookmarkEnd w:id="39"/>
      <w:commentRangeStart w:id="42"/>
      <w:commentRangeStart w:id="43"/>
      <w:commentRangeStart w:id="44"/>
      <w:r>
        <w:t>Table 1</w:t>
      </w:r>
      <w:r w:rsidR="00891621">
        <w:t>3</w:t>
      </w:r>
      <w:r w:rsidR="009B4DE8">
        <w:t>.</w:t>
      </w:r>
      <w:r w:rsidR="002F4DE8">
        <w:t>b</w:t>
      </w:r>
      <w:r>
        <w:t xml:space="preserve"> – </w:t>
      </w:r>
      <w:r w:rsidR="004D4548" w:rsidRPr="004D4548">
        <w:t>Where spending in Carlton came from, Q1 2025</w:t>
      </w:r>
      <w:bookmarkEnd w:id="40"/>
      <w:bookmarkEnd w:id="41"/>
    </w:p>
    <w:tbl>
      <w:tblPr>
        <w:tblStyle w:val="TableGrid"/>
        <w:tblW w:w="0" w:type="auto"/>
        <w:tblLook w:val="04A0" w:firstRow="1" w:lastRow="0" w:firstColumn="1" w:lastColumn="0" w:noHBand="0" w:noVBand="1"/>
      </w:tblPr>
      <w:tblGrid>
        <w:gridCol w:w="2972"/>
        <w:gridCol w:w="1985"/>
      </w:tblGrid>
      <w:tr w:rsidR="0009455A" w:rsidRPr="008F55EC" w14:paraId="33A336EC" w14:textId="77777777" w:rsidTr="2947B656">
        <w:tc>
          <w:tcPr>
            <w:tcW w:w="2972" w:type="dxa"/>
            <w:vAlign w:val="center"/>
          </w:tcPr>
          <w:p w14:paraId="0753FC37" w14:textId="6C618170" w:rsidR="0009455A" w:rsidRPr="00F64925" w:rsidRDefault="009B4DE8" w:rsidP="007713E0">
            <w:pPr>
              <w:rPr>
                <w:rFonts w:cs="Arial"/>
                <w:b/>
                <w:bCs/>
                <w:sz w:val="22"/>
                <w:szCs w:val="22"/>
                <w:lang w:val="en-US"/>
              </w:rPr>
            </w:pPr>
            <w:r w:rsidRPr="2947B656">
              <w:rPr>
                <w:rFonts w:cs="Arial"/>
                <w:b/>
                <w:bCs/>
                <w:sz w:val="22"/>
                <w:szCs w:val="22"/>
                <w:lang w:val="en-US"/>
              </w:rPr>
              <w:t>Area</w:t>
            </w:r>
          </w:p>
        </w:tc>
        <w:tc>
          <w:tcPr>
            <w:tcW w:w="1985" w:type="dxa"/>
            <w:vAlign w:val="center"/>
          </w:tcPr>
          <w:p w14:paraId="3BFF725E" w14:textId="77777777" w:rsidR="0009455A" w:rsidRPr="008F55EC" w:rsidRDefault="0009455A" w:rsidP="007713E0">
            <w:pPr>
              <w:rPr>
                <w:rFonts w:cs="Arial"/>
                <w:sz w:val="22"/>
                <w:szCs w:val="22"/>
                <w:lang w:val="en-US"/>
              </w:rPr>
            </w:pPr>
            <w:r>
              <w:rPr>
                <w:rFonts w:cs="Arial"/>
                <w:b/>
                <w:bCs/>
                <w:color w:val="000000"/>
                <w:sz w:val="22"/>
                <w:szCs w:val="22"/>
              </w:rPr>
              <w:t>Adjusted Spend</w:t>
            </w:r>
          </w:p>
        </w:tc>
      </w:tr>
      <w:tr w:rsidR="003F09EC" w:rsidRPr="008F55EC" w14:paraId="5F7F41F6" w14:textId="77777777" w:rsidTr="2947B656">
        <w:tc>
          <w:tcPr>
            <w:tcW w:w="2972" w:type="dxa"/>
            <w:vAlign w:val="center"/>
          </w:tcPr>
          <w:p w14:paraId="177EB8E1" w14:textId="629C2697" w:rsidR="003F09EC" w:rsidRPr="008F55EC" w:rsidRDefault="00DC5798" w:rsidP="003F09EC">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73874B9A" w14:textId="4E2CD407" w:rsidR="003F09EC" w:rsidRPr="008F55EC" w:rsidRDefault="003F09EC" w:rsidP="003F09EC">
            <w:pPr>
              <w:jc w:val="right"/>
              <w:rPr>
                <w:rFonts w:cs="Arial"/>
                <w:sz w:val="22"/>
                <w:szCs w:val="22"/>
                <w:lang w:val="en-US"/>
              </w:rPr>
            </w:pPr>
            <w:r>
              <w:rPr>
                <w:rFonts w:cs="Arial"/>
                <w:sz w:val="22"/>
                <w:szCs w:val="22"/>
                <w:lang w:val="en-US"/>
              </w:rPr>
              <w:t>$</w:t>
            </w:r>
            <w:r w:rsidR="00DC5798">
              <w:rPr>
                <w:rFonts w:cs="Arial"/>
                <w:sz w:val="22"/>
                <w:szCs w:val="22"/>
                <w:lang w:val="en-US"/>
              </w:rPr>
              <w:t>9</w:t>
            </w:r>
            <w:r w:rsidR="001C48D7">
              <w:rPr>
                <w:rFonts w:cs="Arial"/>
                <w:sz w:val="22"/>
                <w:szCs w:val="22"/>
                <w:lang w:val="en-US"/>
              </w:rPr>
              <w:t>,</w:t>
            </w:r>
            <w:r w:rsidR="00DC5798">
              <w:rPr>
                <w:rFonts w:cs="Arial"/>
                <w:sz w:val="22"/>
                <w:szCs w:val="22"/>
                <w:lang w:val="en-US"/>
              </w:rPr>
              <w:t>122</w:t>
            </w:r>
            <w:r w:rsidR="001C48D7">
              <w:rPr>
                <w:rFonts w:cs="Arial"/>
                <w:sz w:val="22"/>
                <w:szCs w:val="22"/>
                <w:lang w:val="en-US"/>
              </w:rPr>
              <w:t>,000</w:t>
            </w:r>
          </w:p>
        </w:tc>
      </w:tr>
      <w:tr w:rsidR="003F09EC" w:rsidRPr="008F55EC" w14:paraId="008E08A8" w14:textId="77777777" w:rsidTr="2947B656">
        <w:tc>
          <w:tcPr>
            <w:tcW w:w="2972" w:type="dxa"/>
            <w:vAlign w:val="center"/>
          </w:tcPr>
          <w:p w14:paraId="30125A20" w14:textId="28CEF21A" w:rsidR="003F09EC" w:rsidRPr="008F55EC" w:rsidRDefault="00DC5798" w:rsidP="003F09EC">
            <w:pPr>
              <w:rPr>
                <w:rFonts w:cs="Arial"/>
                <w:sz w:val="22"/>
                <w:szCs w:val="22"/>
                <w:lang w:val="en-US"/>
              </w:rPr>
            </w:pPr>
            <w:r>
              <w:rPr>
                <w:rFonts w:cs="Arial"/>
                <w:sz w:val="22"/>
                <w:szCs w:val="22"/>
                <w:lang w:val="en-US"/>
              </w:rPr>
              <w:t>Brunswick-Coburg</w:t>
            </w:r>
          </w:p>
        </w:tc>
        <w:tc>
          <w:tcPr>
            <w:tcW w:w="1985" w:type="dxa"/>
            <w:vAlign w:val="center"/>
          </w:tcPr>
          <w:p w14:paraId="4B185CB5" w14:textId="4AC7888F" w:rsidR="003F09EC" w:rsidRPr="008F55EC" w:rsidRDefault="003F09EC" w:rsidP="003F09EC">
            <w:pPr>
              <w:jc w:val="right"/>
              <w:rPr>
                <w:rFonts w:cs="Arial"/>
                <w:sz w:val="22"/>
                <w:szCs w:val="22"/>
                <w:lang w:val="en-US"/>
              </w:rPr>
            </w:pPr>
            <w:r>
              <w:rPr>
                <w:rFonts w:cs="Arial"/>
                <w:sz w:val="22"/>
                <w:szCs w:val="22"/>
                <w:lang w:val="en-US"/>
              </w:rPr>
              <w:t>$</w:t>
            </w:r>
            <w:r w:rsidR="00DC5798">
              <w:rPr>
                <w:rFonts w:cs="Arial"/>
                <w:sz w:val="22"/>
                <w:szCs w:val="22"/>
                <w:lang w:val="en-US"/>
              </w:rPr>
              <w:t>5,654</w:t>
            </w:r>
            <w:r w:rsidR="001C48D7">
              <w:rPr>
                <w:rFonts w:cs="Arial"/>
                <w:sz w:val="22"/>
                <w:szCs w:val="22"/>
                <w:lang w:val="en-US"/>
              </w:rPr>
              <w:t>,000</w:t>
            </w:r>
          </w:p>
        </w:tc>
      </w:tr>
      <w:tr w:rsidR="003F09EC" w:rsidRPr="008F55EC" w14:paraId="508B4388" w14:textId="77777777" w:rsidTr="2947B656">
        <w:tc>
          <w:tcPr>
            <w:tcW w:w="2972" w:type="dxa"/>
            <w:vAlign w:val="center"/>
          </w:tcPr>
          <w:p w14:paraId="63EED71E" w14:textId="63CEA466" w:rsidR="003F09EC" w:rsidRPr="008F55EC" w:rsidRDefault="00DC5798" w:rsidP="003F09EC">
            <w:pPr>
              <w:rPr>
                <w:rFonts w:cs="Arial"/>
                <w:sz w:val="22"/>
                <w:szCs w:val="22"/>
                <w:lang w:val="en-US"/>
              </w:rPr>
            </w:pPr>
            <w:r>
              <w:rPr>
                <w:rFonts w:cs="Arial"/>
                <w:sz w:val="22"/>
                <w:szCs w:val="22"/>
                <w:lang w:val="en-US"/>
              </w:rPr>
              <w:t>Boroondara</w:t>
            </w:r>
          </w:p>
        </w:tc>
        <w:tc>
          <w:tcPr>
            <w:tcW w:w="1985" w:type="dxa"/>
            <w:vAlign w:val="center"/>
          </w:tcPr>
          <w:p w14:paraId="5CBF872D" w14:textId="0985BDB7" w:rsidR="003F09EC" w:rsidRPr="008F55EC" w:rsidRDefault="003F09EC" w:rsidP="003F09EC">
            <w:pPr>
              <w:jc w:val="right"/>
              <w:rPr>
                <w:rFonts w:cs="Arial"/>
                <w:sz w:val="22"/>
                <w:szCs w:val="22"/>
                <w:lang w:val="en-US"/>
              </w:rPr>
            </w:pPr>
            <w:r>
              <w:rPr>
                <w:rFonts w:cs="Arial"/>
                <w:sz w:val="22"/>
                <w:szCs w:val="22"/>
                <w:lang w:val="en-US"/>
              </w:rPr>
              <w:t>$</w:t>
            </w:r>
            <w:r w:rsidR="00DC5798">
              <w:rPr>
                <w:rFonts w:cs="Arial"/>
                <w:sz w:val="22"/>
                <w:szCs w:val="22"/>
                <w:lang w:val="en-US"/>
              </w:rPr>
              <w:t>4,242</w:t>
            </w:r>
            <w:r w:rsidR="001C48D7">
              <w:rPr>
                <w:rFonts w:cs="Arial"/>
                <w:sz w:val="22"/>
                <w:szCs w:val="22"/>
                <w:lang w:val="en-US"/>
              </w:rPr>
              <w:t>,000</w:t>
            </w:r>
          </w:p>
        </w:tc>
      </w:tr>
      <w:tr w:rsidR="003F09EC" w:rsidRPr="008F55EC" w14:paraId="1AD9930A" w14:textId="77777777" w:rsidTr="2947B656">
        <w:tc>
          <w:tcPr>
            <w:tcW w:w="2972" w:type="dxa"/>
            <w:vAlign w:val="center"/>
          </w:tcPr>
          <w:p w14:paraId="09AAAB6D" w14:textId="6ACBD518" w:rsidR="003F09EC" w:rsidRPr="008F55EC" w:rsidRDefault="00DC5798" w:rsidP="003F09EC">
            <w:pPr>
              <w:rPr>
                <w:rFonts w:cs="Arial"/>
                <w:sz w:val="22"/>
                <w:szCs w:val="22"/>
                <w:lang w:val="en-US"/>
              </w:rPr>
            </w:pPr>
            <w:r>
              <w:rPr>
                <w:rFonts w:cs="Arial"/>
                <w:sz w:val="22"/>
                <w:szCs w:val="22"/>
                <w:lang w:val="en-US"/>
              </w:rPr>
              <w:t>Port Phillip</w:t>
            </w:r>
          </w:p>
        </w:tc>
        <w:tc>
          <w:tcPr>
            <w:tcW w:w="1985" w:type="dxa"/>
            <w:vAlign w:val="center"/>
          </w:tcPr>
          <w:p w14:paraId="737F211A" w14:textId="28BADBBA" w:rsidR="003F09EC" w:rsidRPr="008F55EC" w:rsidRDefault="003F09EC" w:rsidP="003F09EC">
            <w:pPr>
              <w:jc w:val="right"/>
              <w:rPr>
                <w:rFonts w:cs="Arial"/>
                <w:sz w:val="22"/>
                <w:szCs w:val="22"/>
                <w:lang w:val="en-US"/>
              </w:rPr>
            </w:pPr>
            <w:r>
              <w:rPr>
                <w:rFonts w:cs="Arial"/>
                <w:sz w:val="22"/>
                <w:szCs w:val="22"/>
                <w:lang w:val="en-US"/>
              </w:rPr>
              <w:t>$</w:t>
            </w:r>
            <w:r w:rsidR="00DC5798">
              <w:rPr>
                <w:rFonts w:cs="Arial"/>
                <w:sz w:val="22"/>
                <w:szCs w:val="22"/>
                <w:lang w:val="en-US"/>
              </w:rPr>
              <w:t>2,571</w:t>
            </w:r>
            <w:r w:rsidR="001C48D7">
              <w:rPr>
                <w:rFonts w:cs="Arial"/>
                <w:sz w:val="22"/>
                <w:szCs w:val="22"/>
                <w:lang w:val="en-US"/>
              </w:rPr>
              <w:t>,000</w:t>
            </w:r>
          </w:p>
        </w:tc>
      </w:tr>
      <w:tr w:rsidR="003F09EC" w:rsidRPr="008F55EC" w14:paraId="0D0FBB63" w14:textId="77777777" w:rsidTr="2947B656">
        <w:tc>
          <w:tcPr>
            <w:tcW w:w="2972" w:type="dxa"/>
            <w:vAlign w:val="center"/>
          </w:tcPr>
          <w:p w14:paraId="27EA9910" w14:textId="238C3887" w:rsidR="003F09EC" w:rsidRPr="008F55EC" w:rsidRDefault="00DC5798" w:rsidP="003F09EC">
            <w:pPr>
              <w:rPr>
                <w:rFonts w:cs="Arial"/>
                <w:sz w:val="22"/>
                <w:szCs w:val="22"/>
                <w:lang w:val="en-US"/>
              </w:rPr>
            </w:pPr>
            <w:r>
              <w:rPr>
                <w:rFonts w:cs="Arial"/>
                <w:sz w:val="22"/>
                <w:szCs w:val="22"/>
                <w:lang w:val="en-US"/>
              </w:rPr>
              <w:t>Darebin - South</w:t>
            </w:r>
          </w:p>
        </w:tc>
        <w:tc>
          <w:tcPr>
            <w:tcW w:w="1985" w:type="dxa"/>
            <w:vAlign w:val="center"/>
          </w:tcPr>
          <w:p w14:paraId="6DFEB7A7" w14:textId="5561513C" w:rsidR="003F09EC" w:rsidRPr="008F55EC" w:rsidRDefault="003F09EC" w:rsidP="003F09EC">
            <w:pPr>
              <w:jc w:val="right"/>
              <w:rPr>
                <w:rFonts w:cs="Arial"/>
                <w:sz w:val="22"/>
                <w:szCs w:val="22"/>
                <w:lang w:val="en-US"/>
              </w:rPr>
            </w:pPr>
            <w:r>
              <w:rPr>
                <w:rFonts w:cs="Arial"/>
                <w:sz w:val="22"/>
                <w:szCs w:val="22"/>
                <w:lang w:val="en-US"/>
              </w:rPr>
              <w:t>$</w:t>
            </w:r>
            <w:r w:rsidR="00DC5798">
              <w:rPr>
                <w:rFonts w:cs="Arial"/>
                <w:sz w:val="22"/>
                <w:szCs w:val="22"/>
                <w:lang w:val="en-US"/>
              </w:rPr>
              <w:t>2,455</w:t>
            </w:r>
            <w:r w:rsidR="001C48D7">
              <w:rPr>
                <w:rFonts w:cs="Arial"/>
                <w:sz w:val="22"/>
                <w:szCs w:val="22"/>
                <w:lang w:val="en-US"/>
              </w:rPr>
              <w:t>,000</w:t>
            </w:r>
          </w:p>
        </w:tc>
      </w:tr>
    </w:tbl>
    <w:p w14:paraId="4F0B8CDB" w14:textId="3EE5208F" w:rsidR="009B2762" w:rsidRPr="009B2762" w:rsidRDefault="00450D63" w:rsidP="009B2762">
      <w:pPr>
        <w:pStyle w:val="Heading2"/>
        <w:rPr>
          <w:rFonts w:hint="eastAsia"/>
        </w:rPr>
      </w:pPr>
      <w:bookmarkStart w:id="45" w:name="_Toc204007201"/>
      <w:commentRangeEnd w:id="42"/>
      <w:r>
        <w:rPr>
          <w:rStyle w:val="CommentReference"/>
          <w:rFonts w:ascii="Arial" w:eastAsia="MS Mincho" w:hAnsi="Arial"/>
          <w:bCs w:val="0"/>
          <w:lang w:val="en-AU"/>
        </w:rPr>
        <w:commentReference w:id="42"/>
      </w:r>
      <w:commentRangeEnd w:id="43"/>
      <w:r>
        <w:rPr>
          <w:rStyle w:val="CommentReference"/>
          <w:rFonts w:ascii="Arial" w:eastAsia="MS Mincho" w:hAnsi="Arial"/>
          <w:bCs w:val="0"/>
          <w:lang w:val="en-AU"/>
        </w:rPr>
        <w:commentReference w:id="43"/>
      </w:r>
      <w:commentRangeEnd w:id="44"/>
      <w:r>
        <w:rPr>
          <w:rStyle w:val="CommentReference"/>
          <w:rFonts w:ascii="Arial" w:eastAsia="MS Mincho" w:hAnsi="Arial"/>
          <w:bCs w:val="0"/>
          <w:lang w:val="en-AU"/>
        </w:rPr>
        <w:commentReference w:id="44"/>
      </w:r>
      <w:r w:rsidR="006760D0">
        <w:t>East Melbourne</w:t>
      </w:r>
      <w:bookmarkEnd w:id="45"/>
    </w:p>
    <w:p w14:paraId="3C684FE7" w14:textId="0599441A" w:rsidR="00F64925" w:rsidRDefault="00F64925" w:rsidP="00F64925">
      <w:pPr>
        <w:pStyle w:val="Heading3"/>
        <w:rPr>
          <w:rFonts w:hint="eastAsia"/>
        </w:rPr>
      </w:pPr>
      <w:bookmarkStart w:id="46" w:name="_Toc182490827"/>
      <w:bookmarkStart w:id="47" w:name="_Toc204007202"/>
      <w:r>
        <w:t>Table 1</w:t>
      </w:r>
      <w:r w:rsidR="00891621">
        <w:t>4</w:t>
      </w:r>
      <w:r>
        <w:t xml:space="preserve"> – Spending </w:t>
      </w:r>
      <w:r w:rsidR="000F3A62">
        <w:t xml:space="preserve">by </w:t>
      </w:r>
      <w:r>
        <w:t>categor</w:t>
      </w:r>
      <w:r w:rsidR="000F3A62">
        <w:t>y</w:t>
      </w:r>
      <w:r>
        <w:t>, Q</w:t>
      </w:r>
      <w:bookmarkEnd w:id="46"/>
      <w:r w:rsidR="006760D0">
        <w:t>1 2025</w:t>
      </w:r>
      <w:bookmarkEnd w:id="47"/>
    </w:p>
    <w:tbl>
      <w:tblPr>
        <w:tblStyle w:val="TableGrid"/>
        <w:tblW w:w="0" w:type="auto"/>
        <w:tblLook w:val="04A0" w:firstRow="1" w:lastRow="0" w:firstColumn="1" w:lastColumn="0" w:noHBand="0" w:noVBand="1"/>
      </w:tblPr>
      <w:tblGrid>
        <w:gridCol w:w="1980"/>
        <w:gridCol w:w="2977"/>
      </w:tblGrid>
      <w:tr w:rsidR="00F1256F" w:rsidRPr="008F55EC" w14:paraId="18783BF3" w14:textId="77777777" w:rsidTr="000C7E20">
        <w:tc>
          <w:tcPr>
            <w:tcW w:w="1980" w:type="dxa"/>
            <w:vAlign w:val="center"/>
          </w:tcPr>
          <w:p w14:paraId="6BA4479B" w14:textId="77777777" w:rsidR="00F1256F" w:rsidRPr="00F64925" w:rsidRDefault="00F1256F" w:rsidP="007713E0">
            <w:pPr>
              <w:rPr>
                <w:rFonts w:cs="Arial"/>
                <w:b/>
                <w:bCs/>
                <w:sz w:val="22"/>
                <w:szCs w:val="22"/>
                <w:lang w:val="en-US"/>
              </w:rPr>
            </w:pPr>
            <w:r w:rsidRPr="00F64925">
              <w:rPr>
                <w:rFonts w:cs="Arial"/>
                <w:b/>
                <w:bCs/>
                <w:sz w:val="22"/>
                <w:szCs w:val="22"/>
                <w:lang w:val="en-US"/>
              </w:rPr>
              <w:t>Category</w:t>
            </w:r>
          </w:p>
        </w:tc>
        <w:tc>
          <w:tcPr>
            <w:tcW w:w="2977" w:type="dxa"/>
            <w:vAlign w:val="center"/>
          </w:tcPr>
          <w:p w14:paraId="185BE54B" w14:textId="77777777" w:rsidR="00F1256F" w:rsidRPr="008F55EC" w:rsidRDefault="00F1256F" w:rsidP="007713E0">
            <w:pPr>
              <w:rPr>
                <w:rFonts w:cs="Arial"/>
                <w:sz w:val="22"/>
                <w:szCs w:val="22"/>
                <w:lang w:val="en-US"/>
              </w:rPr>
            </w:pPr>
            <w:r>
              <w:rPr>
                <w:rFonts w:cs="Arial"/>
                <w:b/>
                <w:bCs/>
                <w:color w:val="000000"/>
                <w:sz w:val="22"/>
                <w:szCs w:val="22"/>
              </w:rPr>
              <w:t>Adjusted Spend</w:t>
            </w:r>
          </w:p>
        </w:tc>
      </w:tr>
      <w:tr w:rsidR="00F1256F" w:rsidRPr="008F55EC" w14:paraId="24AF132F" w14:textId="77777777" w:rsidTr="000C7E20">
        <w:tc>
          <w:tcPr>
            <w:tcW w:w="1980" w:type="dxa"/>
            <w:vAlign w:val="center"/>
          </w:tcPr>
          <w:p w14:paraId="57A09A9D" w14:textId="10643011" w:rsidR="00F1256F" w:rsidRPr="008F55EC" w:rsidRDefault="006760D0" w:rsidP="007713E0">
            <w:pPr>
              <w:rPr>
                <w:rFonts w:cs="Arial"/>
                <w:sz w:val="22"/>
                <w:szCs w:val="22"/>
                <w:lang w:val="en-US"/>
              </w:rPr>
            </w:pPr>
            <w:r>
              <w:rPr>
                <w:rFonts w:cs="Arial"/>
                <w:color w:val="000000"/>
                <w:sz w:val="22"/>
                <w:szCs w:val="22"/>
              </w:rPr>
              <w:t>Commercial</w:t>
            </w:r>
          </w:p>
        </w:tc>
        <w:tc>
          <w:tcPr>
            <w:tcW w:w="2977" w:type="dxa"/>
            <w:vAlign w:val="center"/>
          </w:tcPr>
          <w:p w14:paraId="475861DC" w14:textId="3A5C59EA" w:rsidR="00F1256F" w:rsidRPr="008F55EC" w:rsidRDefault="00B95A9B" w:rsidP="00B95A9B">
            <w:pPr>
              <w:jc w:val="right"/>
              <w:rPr>
                <w:rFonts w:cs="Arial"/>
                <w:sz w:val="22"/>
                <w:szCs w:val="22"/>
                <w:lang w:val="en-US"/>
              </w:rPr>
            </w:pPr>
            <w:r>
              <w:rPr>
                <w:rFonts w:cs="Arial"/>
                <w:sz w:val="22"/>
                <w:szCs w:val="22"/>
                <w:lang w:val="en-US"/>
              </w:rPr>
              <w:t>$</w:t>
            </w:r>
            <w:r w:rsidR="00DC5798">
              <w:rPr>
                <w:rFonts w:cs="Arial"/>
                <w:sz w:val="22"/>
                <w:szCs w:val="22"/>
                <w:lang w:val="en-US"/>
              </w:rPr>
              <w:t>79</w:t>
            </w:r>
            <w:r w:rsidR="000C7E20">
              <w:rPr>
                <w:rFonts w:cs="Arial"/>
                <w:sz w:val="22"/>
                <w:szCs w:val="22"/>
                <w:lang w:val="en-US"/>
              </w:rPr>
              <w:t>,</w:t>
            </w:r>
            <w:r w:rsidR="00DC5798">
              <w:rPr>
                <w:rFonts w:cs="Arial"/>
                <w:sz w:val="22"/>
                <w:szCs w:val="22"/>
                <w:lang w:val="en-US"/>
              </w:rPr>
              <w:t>20</w:t>
            </w:r>
            <w:r w:rsidR="00D10CB2">
              <w:rPr>
                <w:rFonts w:cs="Arial"/>
                <w:sz w:val="22"/>
                <w:szCs w:val="22"/>
                <w:lang w:val="en-US"/>
              </w:rPr>
              <w:t>1</w:t>
            </w:r>
            <w:r w:rsidR="000C7E20">
              <w:rPr>
                <w:rFonts w:cs="Arial"/>
                <w:sz w:val="22"/>
                <w:szCs w:val="22"/>
                <w:lang w:val="en-US"/>
              </w:rPr>
              <w:t>,</w:t>
            </w:r>
            <w:r w:rsidR="00D10CB2">
              <w:rPr>
                <w:rFonts w:cs="Arial"/>
                <w:sz w:val="22"/>
                <w:szCs w:val="22"/>
                <w:lang w:val="en-US"/>
              </w:rPr>
              <w:t>0</w:t>
            </w:r>
            <w:r w:rsidR="000C7E20">
              <w:rPr>
                <w:rFonts w:cs="Arial"/>
                <w:sz w:val="22"/>
                <w:szCs w:val="22"/>
                <w:lang w:val="en-US"/>
              </w:rPr>
              <w:t>00</w:t>
            </w:r>
          </w:p>
        </w:tc>
      </w:tr>
      <w:tr w:rsidR="00F1256F" w:rsidRPr="008F55EC" w14:paraId="6270595F" w14:textId="77777777" w:rsidTr="000C7E20">
        <w:tc>
          <w:tcPr>
            <w:tcW w:w="1980" w:type="dxa"/>
            <w:vAlign w:val="center"/>
          </w:tcPr>
          <w:p w14:paraId="6B7FB8E1" w14:textId="5B526BF1" w:rsidR="00F1256F" w:rsidRPr="008F55EC" w:rsidRDefault="00B95A9B" w:rsidP="007713E0">
            <w:pPr>
              <w:rPr>
                <w:rFonts w:cs="Arial"/>
                <w:sz w:val="22"/>
                <w:szCs w:val="22"/>
                <w:lang w:val="en-US"/>
              </w:rPr>
            </w:pPr>
            <w:r>
              <w:rPr>
                <w:rFonts w:cs="Arial"/>
                <w:sz w:val="22"/>
                <w:szCs w:val="22"/>
                <w:lang w:val="en-US"/>
              </w:rPr>
              <w:t>Entertainment</w:t>
            </w:r>
          </w:p>
        </w:tc>
        <w:tc>
          <w:tcPr>
            <w:tcW w:w="2977" w:type="dxa"/>
            <w:vAlign w:val="center"/>
          </w:tcPr>
          <w:p w14:paraId="1DE48288" w14:textId="7E014B17" w:rsidR="00F1256F" w:rsidRPr="008F55EC" w:rsidRDefault="00B95A9B" w:rsidP="00B95A9B">
            <w:pPr>
              <w:jc w:val="right"/>
              <w:rPr>
                <w:rFonts w:cs="Arial"/>
                <w:sz w:val="22"/>
                <w:szCs w:val="22"/>
                <w:lang w:val="en-US"/>
              </w:rPr>
            </w:pPr>
            <w:r>
              <w:rPr>
                <w:rFonts w:cs="Arial"/>
                <w:sz w:val="22"/>
                <w:szCs w:val="22"/>
                <w:lang w:val="en-US"/>
              </w:rPr>
              <w:t>$</w:t>
            </w:r>
            <w:r w:rsidR="00DC5798">
              <w:rPr>
                <w:rFonts w:cs="Arial"/>
                <w:sz w:val="22"/>
                <w:szCs w:val="22"/>
                <w:lang w:val="en-US"/>
              </w:rPr>
              <w:t>66</w:t>
            </w:r>
            <w:r w:rsidR="000C7E20">
              <w:rPr>
                <w:rFonts w:cs="Arial"/>
                <w:sz w:val="22"/>
                <w:szCs w:val="22"/>
                <w:lang w:val="en-US"/>
              </w:rPr>
              <w:t>,</w:t>
            </w:r>
            <w:r w:rsidR="00DC5798">
              <w:rPr>
                <w:rFonts w:cs="Arial"/>
                <w:sz w:val="22"/>
                <w:szCs w:val="22"/>
                <w:lang w:val="en-US"/>
              </w:rPr>
              <w:t>69</w:t>
            </w:r>
            <w:r w:rsidR="00D10CB2">
              <w:rPr>
                <w:rFonts w:cs="Arial"/>
                <w:sz w:val="22"/>
                <w:szCs w:val="22"/>
                <w:lang w:val="en-US"/>
              </w:rPr>
              <w:t>6</w:t>
            </w:r>
            <w:r w:rsidR="000C7E20">
              <w:rPr>
                <w:rFonts w:cs="Arial"/>
                <w:sz w:val="22"/>
                <w:szCs w:val="22"/>
                <w:lang w:val="en-US"/>
              </w:rPr>
              <w:t>,</w:t>
            </w:r>
            <w:r w:rsidR="00D10CB2">
              <w:rPr>
                <w:rFonts w:cs="Arial"/>
                <w:sz w:val="22"/>
                <w:szCs w:val="22"/>
                <w:lang w:val="en-US"/>
              </w:rPr>
              <w:t>0</w:t>
            </w:r>
            <w:r w:rsidR="000F782B">
              <w:rPr>
                <w:rFonts w:cs="Arial"/>
                <w:sz w:val="22"/>
                <w:szCs w:val="22"/>
                <w:lang w:val="en-US"/>
              </w:rPr>
              <w:t>00</w:t>
            </w:r>
          </w:p>
        </w:tc>
      </w:tr>
      <w:tr w:rsidR="00F1256F" w:rsidRPr="008F55EC" w14:paraId="6A013266" w14:textId="77777777" w:rsidTr="000C7E20">
        <w:tc>
          <w:tcPr>
            <w:tcW w:w="1980" w:type="dxa"/>
            <w:vAlign w:val="center"/>
          </w:tcPr>
          <w:p w14:paraId="0B2173AC" w14:textId="0442EEF2" w:rsidR="00F1256F" w:rsidRDefault="006760D0" w:rsidP="007713E0">
            <w:pPr>
              <w:rPr>
                <w:rFonts w:cs="Arial"/>
                <w:color w:val="000000"/>
                <w:sz w:val="22"/>
                <w:szCs w:val="22"/>
              </w:rPr>
            </w:pPr>
            <w:r>
              <w:rPr>
                <w:rFonts w:cs="Arial"/>
                <w:color w:val="000000"/>
                <w:sz w:val="22"/>
                <w:szCs w:val="22"/>
              </w:rPr>
              <w:t>Retail</w:t>
            </w:r>
          </w:p>
        </w:tc>
        <w:tc>
          <w:tcPr>
            <w:tcW w:w="2977" w:type="dxa"/>
            <w:vAlign w:val="center"/>
          </w:tcPr>
          <w:p w14:paraId="1D5F3F04" w14:textId="12AAA220" w:rsidR="00F1256F" w:rsidRPr="008F55EC" w:rsidRDefault="00B95A9B" w:rsidP="00B95A9B">
            <w:pPr>
              <w:jc w:val="right"/>
              <w:rPr>
                <w:rFonts w:cs="Arial"/>
                <w:sz w:val="22"/>
                <w:szCs w:val="22"/>
                <w:lang w:val="en-US"/>
              </w:rPr>
            </w:pPr>
            <w:r>
              <w:rPr>
                <w:rFonts w:cs="Arial"/>
                <w:sz w:val="22"/>
                <w:szCs w:val="22"/>
                <w:lang w:val="en-US"/>
              </w:rPr>
              <w:t>$</w:t>
            </w:r>
            <w:r w:rsidR="000F782B">
              <w:rPr>
                <w:rFonts w:cs="Arial"/>
                <w:sz w:val="22"/>
                <w:szCs w:val="22"/>
                <w:lang w:val="en-US"/>
              </w:rPr>
              <w:t>32</w:t>
            </w:r>
            <w:r w:rsidR="000C7E20">
              <w:rPr>
                <w:rFonts w:cs="Arial"/>
                <w:sz w:val="22"/>
                <w:szCs w:val="22"/>
                <w:lang w:val="en-US"/>
              </w:rPr>
              <w:t>,</w:t>
            </w:r>
            <w:r w:rsidR="000F782B">
              <w:rPr>
                <w:rFonts w:cs="Arial"/>
                <w:sz w:val="22"/>
                <w:szCs w:val="22"/>
                <w:lang w:val="en-US"/>
              </w:rPr>
              <w:t>390</w:t>
            </w:r>
            <w:r w:rsidR="000C7E20">
              <w:rPr>
                <w:rFonts w:cs="Arial"/>
                <w:sz w:val="22"/>
                <w:szCs w:val="22"/>
                <w:lang w:val="en-US"/>
              </w:rPr>
              <w:t>,</w:t>
            </w:r>
            <w:r w:rsidR="00D10CB2">
              <w:rPr>
                <w:rFonts w:cs="Arial"/>
                <w:sz w:val="22"/>
                <w:szCs w:val="22"/>
                <w:lang w:val="en-US"/>
              </w:rPr>
              <w:t>0</w:t>
            </w:r>
            <w:r w:rsidR="000F782B">
              <w:rPr>
                <w:rFonts w:cs="Arial"/>
                <w:sz w:val="22"/>
                <w:szCs w:val="22"/>
                <w:lang w:val="en-US"/>
              </w:rPr>
              <w:t>00</w:t>
            </w:r>
          </w:p>
        </w:tc>
      </w:tr>
      <w:tr w:rsidR="00F1256F" w:rsidRPr="008F55EC" w14:paraId="6BA571F0" w14:textId="77777777" w:rsidTr="000C7E20">
        <w:tc>
          <w:tcPr>
            <w:tcW w:w="1980" w:type="dxa"/>
            <w:vAlign w:val="center"/>
          </w:tcPr>
          <w:p w14:paraId="4AF76ADD" w14:textId="6341B68C" w:rsidR="00F1256F" w:rsidRDefault="006760D0" w:rsidP="007713E0">
            <w:pPr>
              <w:rPr>
                <w:rFonts w:cs="Arial"/>
                <w:color w:val="000000"/>
                <w:sz w:val="22"/>
                <w:szCs w:val="22"/>
              </w:rPr>
            </w:pPr>
            <w:r>
              <w:rPr>
                <w:rFonts w:cs="Arial"/>
                <w:color w:val="000000"/>
                <w:sz w:val="22"/>
                <w:szCs w:val="22"/>
              </w:rPr>
              <w:t>Tourism</w:t>
            </w:r>
          </w:p>
        </w:tc>
        <w:tc>
          <w:tcPr>
            <w:tcW w:w="2977" w:type="dxa"/>
            <w:vAlign w:val="center"/>
          </w:tcPr>
          <w:p w14:paraId="10CB8B23" w14:textId="371A6757" w:rsidR="00F1256F" w:rsidRPr="008F55EC" w:rsidRDefault="00B95A9B" w:rsidP="00B95A9B">
            <w:pPr>
              <w:jc w:val="right"/>
              <w:rPr>
                <w:rFonts w:cs="Arial"/>
                <w:sz w:val="22"/>
                <w:szCs w:val="22"/>
                <w:lang w:val="en-US"/>
              </w:rPr>
            </w:pPr>
            <w:r>
              <w:rPr>
                <w:rFonts w:cs="Arial"/>
                <w:sz w:val="22"/>
                <w:szCs w:val="22"/>
                <w:lang w:val="en-US"/>
              </w:rPr>
              <w:t>$</w:t>
            </w:r>
            <w:r w:rsidR="000F782B">
              <w:rPr>
                <w:rFonts w:cs="Arial"/>
                <w:sz w:val="22"/>
                <w:szCs w:val="22"/>
                <w:lang w:val="en-US"/>
              </w:rPr>
              <w:t>5</w:t>
            </w:r>
            <w:r w:rsidR="000C7E20">
              <w:rPr>
                <w:rFonts w:cs="Arial"/>
                <w:sz w:val="22"/>
                <w:szCs w:val="22"/>
                <w:lang w:val="en-US"/>
              </w:rPr>
              <w:t>,</w:t>
            </w:r>
            <w:r w:rsidR="000F782B">
              <w:rPr>
                <w:rFonts w:cs="Arial"/>
                <w:sz w:val="22"/>
                <w:szCs w:val="22"/>
                <w:lang w:val="en-US"/>
              </w:rPr>
              <w:t>565</w:t>
            </w:r>
            <w:r w:rsidR="000C7E20">
              <w:rPr>
                <w:rFonts w:cs="Arial"/>
                <w:sz w:val="22"/>
                <w:szCs w:val="22"/>
                <w:lang w:val="en-US"/>
              </w:rPr>
              <w:t>,</w:t>
            </w:r>
            <w:r w:rsidR="00D10CB2">
              <w:rPr>
                <w:rFonts w:cs="Arial"/>
                <w:sz w:val="22"/>
                <w:szCs w:val="22"/>
                <w:lang w:val="en-US"/>
              </w:rPr>
              <w:t>0</w:t>
            </w:r>
            <w:r w:rsidR="000F782B">
              <w:rPr>
                <w:rFonts w:cs="Arial"/>
                <w:sz w:val="22"/>
                <w:szCs w:val="22"/>
                <w:lang w:val="en-US"/>
              </w:rPr>
              <w:t>00</w:t>
            </w:r>
          </w:p>
        </w:tc>
      </w:tr>
    </w:tbl>
    <w:p w14:paraId="08CE2AE9" w14:textId="12DF5125" w:rsidR="00F64925" w:rsidRDefault="00F64925" w:rsidP="00F64925">
      <w:pPr>
        <w:pStyle w:val="Heading3"/>
        <w:rPr>
          <w:rFonts w:hint="eastAsia"/>
        </w:rPr>
      </w:pPr>
      <w:bookmarkStart w:id="48" w:name="_Toc182490828"/>
      <w:bookmarkStart w:id="49" w:name="_Toc204007203"/>
      <w:r>
        <w:t>Table 1</w:t>
      </w:r>
      <w:r w:rsidR="00891621">
        <w:t>5</w:t>
      </w:r>
      <w:r>
        <w:t xml:space="preserve"> – Work hours and non-work hours spend</w:t>
      </w:r>
      <w:r w:rsidR="00CA203B">
        <w:t>ing</w:t>
      </w:r>
      <w:r w:rsidR="00B776A9">
        <w:t xml:space="preserve"> </w:t>
      </w:r>
      <w:r w:rsidR="00B776A9" w:rsidRPr="002031FC">
        <w:t xml:space="preserve">in </w:t>
      </w:r>
      <w:bookmarkEnd w:id="48"/>
      <w:r w:rsidR="006760D0">
        <w:t>East Melbourne, Q1 2025</w:t>
      </w:r>
      <w:bookmarkEnd w:id="49"/>
    </w:p>
    <w:tbl>
      <w:tblPr>
        <w:tblStyle w:val="TableGrid"/>
        <w:tblW w:w="0" w:type="auto"/>
        <w:tblLook w:val="04A0" w:firstRow="1" w:lastRow="0" w:firstColumn="1" w:lastColumn="0" w:noHBand="0" w:noVBand="1"/>
      </w:tblPr>
      <w:tblGrid>
        <w:gridCol w:w="2689"/>
        <w:gridCol w:w="2268"/>
        <w:gridCol w:w="3118"/>
      </w:tblGrid>
      <w:tr w:rsidR="00F64925" w:rsidRPr="008F55EC" w14:paraId="46B4EA5B" w14:textId="77777777" w:rsidTr="007713E0">
        <w:tc>
          <w:tcPr>
            <w:tcW w:w="2689" w:type="dxa"/>
            <w:vAlign w:val="center"/>
          </w:tcPr>
          <w:p w14:paraId="3357BF4F" w14:textId="77777777" w:rsidR="00F64925" w:rsidRPr="00F64925" w:rsidRDefault="00F64925" w:rsidP="007713E0">
            <w:pPr>
              <w:rPr>
                <w:rFonts w:cs="Arial"/>
                <w:b/>
                <w:bCs/>
                <w:sz w:val="22"/>
                <w:szCs w:val="22"/>
                <w:lang w:val="en-US"/>
              </w:rPr>
            </w:pPr>
            <w:r>
              <w:rPr>
                <w:rFonts w:cs="Arial"/>
                <w:b/>
                <w:bCs/>
                <w:sz w:val="22"/>
                <w:szCs w:val="22"/>
                <w:lang w:val="en-US"/>
              </w:rPr>
              <w:t>Time Period</w:t>
            </w:r>
          </w:p>
        </w:tc>
        <w:tc>
          <w:tcPr>
            <w:tcW w:w="2268" w:type="dxa"/>
            <w:vAlign w:val="center"/>
          </w:tcPr>
          <w:p w14:paraId="485301A1" w14:textId="77777777" w:rsidR="00F64925" w:rsidRPr="008F55EC" w:rsidRDefault="00F64925" w:rsidP="007713E0">
            <w:pPr>
              <w:rPr>
                <w:rFonts w:cs="Arial"/>
                <w:sz w:val="22"/>
                <w:szCs w:val="22"/>
                <w:lang w:val="en-US"/>
              </w:rPr>
            </w:pPr>
            <w:r>
              <w:rPr>
                <w:rFonts w:cs="Arial"/>
                <w:b/>
                <w:bCs/>
                <w:color w:val="000000"/>
                <w:sz w:val="22"/>
                <w:szCs w:val="22"/>
              </w:rPr>
              <w:t>Adjusted Spend</w:t>
            </w:r>
          </w:p>
        </w:tc>
        <w:tc>
          <w:tcPr>
            <w:tcW w:w="3118" w:type="dxa"/>
          </w:tcPr>
          <w:p w14:paraId="337265B7" w14:textId="77777777" w:rsidR="00F64925" w:rsidRDefault="00F64925" w:rsidP="007713E0">
            <w:pPr>
              <w:rPr>
                <w:rFonts w:cs="Arial"/>
                <w:b/>
                <w:bCs/>
                <w:color w:val="000000"/>
                <w:sz w:val="22"/>
                <w:szCs w:val="22"/>
              </w:rPr>
            </w:pPr>
            <w:r>
              <w:rPr>
                <w:rFonts w:cs="Arial"/>
                <w:b/>
                <w:bCs/>
                <w:color w:val="000000"/>
                <w:sz w:val="22"/>
                <w:szCs w:val="22"/>
              </w:rPr>
              <w:t>Percent of Average Spend</w:t>
            </w:r>
          </w:p>
        </w:tc>
      </w:tr>
      <w:tr w:rsidR="00F64925" w:rsidRPr="008F55EC" w14:paraId="7222ABCE" w14:textId="77777777" w:rsidTr="007713E0">
        <w:tc>
          <w:tcPr>
            <w:tcW w:w="2689" w:type="dxa"/>
            <w:vAlign w:val="center"/>
          </w:tcPr>
          <w:p w14:paraId="258F8CD6" w14:textId="77777777" w:rsidR="00F64925" w:rsidRPr="008F55EC" w:rsidRDefault="00F64925" w:rsidP="007713E0">
            <w:pPr>
              <w:rPr>
                <w:rFonts w:cs="Arial"/>
                <w:sz w:val="22"/>
                <w:szCs w:val="22"/>
                <w:lang w:val="en-US"/>
              </w:rPr>
            </w:pPr>
            <w:r>
              <w:rPr>
                <w:rFonts w:cs="Arial"/>
                <w:color w:val="000000"/>
                <w:sz w:val="22"/>
                <w:szCs w:val="22"/>
              </w:rPr>
              <w:t>Work hours</w:t>
            </w:r>
          </w:p>
        </w:tc>
        <w:tc>
          <w:tcPr>
            <w:tcW w:w="2268" w:type="dxa"/>
            <w:vAlign w:val="center"/>
          </w:tcPr>
          <w:p w14:paraId="0F1AB72D" w14:textId="2400B914" w:rsidR="00F64925" w:rsidRPr="008F55EC" w:rsidRDefault="00B95A9B" w:rsidP="00B95A9B">
            <w:pPr>
              <w:jc w:val="right"/>
              <w:rPr>
                <w:rFonts w:cs="Arial"/>
                <w:sz w:val="22"/>
                <w:szCs w:val="22"/>
                <w:lang w:val="en-US"/>
              </w:rPr>
            </w:pPr>
            <w:r>
              <w:rPr>
                <w:rFonts w:cs="Arial"/>
                <w:sz w:val="22"/>
                <w:szCs w:val="22"/>
                <w:lang w:val="en-US"/>
              </w:rPr>
              <w:t>$</w:t>
            </w:r>
            <w:r w:rsidR="006760D0">
              <w:rPr>
                <w:rFonts w:cs="Arial"/>
                <w:sz w:val="22"/>
                <w:szCs w:val="22"/>
                <w:lang w:val="en-US"/>
              </w:rPr>
              <w:t>73</w:t>
            </w:r>
            <w:r>
              <w:rPr>
                <w:rFonts w:cs="Arial"/>
                <w:sz w:val="22"/>
                <w:szCs w:val="22"/>
                <w:lang w:val="en-US"/>
              </w:rPr>
              <w:t>,000,000</w:t>
            </w:r>
          </w:p>
        </w:tc>
        <w:tc>
          <w:tcPr>
            <w:tcW w:w="3118" w:type="dxa"/>
          </w:tcPr>
          <w:p w14:paraId="0EF1ED20" w14:textId="7C91FB4D" w:rsidR="00F64925" w:rsidRPr="008F55EC" w:rsidRDefault="006760D0" w:rsidP="00B95A9B">
            <w:pPr>
              <w:jc w:val="right"/>
              <w:rPr>
                <w:rFonts w:cs="Arial"/>
                <w:sz w:val="22"/>
                <w:szCs w:val="22"/>
                <w:lang w:val="en-US"/>
              </w:rPr>
            </w:pPr>
            <w:r>
              <w:rPr>
                <w:rFonts w:cs="Arial"/>
                <w:sz w:val="22"/>
                <w:szCs w:val="22"/>
                <w:lang w:val="en-US"/>
              </w:rPr>
              <w:t>40</w:t>
            </w:r>
            <w:r w:rsidR="00B95A9B">
              <w:rPr>
                <w:rFonts w:cs="Arial"/>
                <w:sz w:val="22"/>
                <w:szCs w:val="22"/>
                <w:lang w:val="en-US"/>
              </w:rPr>
              <w:t>%</w:t>
            </w:r>
          </w:p>
        </w:tc>
      </w:tr>
      <w:tr w:rsidR="00F64925" w:rsidRPr="008F55EC" w14:paraId="77889DDC" w14:textId="77777777" w:rsidTr="007713E0">
        <w:tc>
          <w:tcPr>
            <w:tcW w:w="2689" w:type="dxa"/>
            <w:vAlign w:val="center"/>
          </w:tcPr>
          <w:p w14:paraId="3725ED1B" w14:textId="77777777" w:rsidR="00F64925" w:rsidRPr="008F55EC" w:rsidRDefault="00F64925" w:rsidP="007713E0">
            <w:pPr>
              <w:rPr>
                <w:rFonts w:cs="Arial"/>
                <w:sz w:val="22"/>
                <w:szCs w:val="22"/>
                <w:lang w:val="en-US"/>
              </w:rPr>
            </w:pPr>
            <w:r>
              <w:rPr>
                <w:rFonts w:cs="Arial"/>
                <w:color w:val="000000"/>
                <w:sz w:val="22"/>
                <w:szCs w:val="22"/>
              </w:rPr>
              <w:t>Non-work hours</w:t>
            </w:r>
          </w:p>
        </w:tc>
        <w:tc>
          <w:tcPr>
            <w:tcW w:w="2268" w:type="dxa"/>
            <w:vAlign w:val="center"/>
          </w:tcPr>
          <w:p w14:paraId="4505F49B" w14:textId="116E6C40" w:rsidR="00F64925" w:rsidRPr="008F55EC" w:rsidRDefault="00B95A9B" w:rsidP="00B95A9B">
            <w:pPr>
              <w:jc w:val="right"/>
              <w:rPr>
                <w:rFonts w:cs="Arial"/>
                <w:sz w:val="22"/>
                <w:szCs w:val="22"/>
                <w:lang w:val="en-US"/>
              </w:rPr>
            </w:pPr>
            <w:r>
              <w:rPr>
                <w:rFonts w:cs="Arial"/>
                <w:sz w:val="22"/>
                <w:szCs w:val="22"/>
                <w:lang w:val="en-US"/>
              </w:rPr>
              <w:t>$</w:t>
            </w:r>
            <w:r w:rsidR="000F782B">
              <w:rPr>
                <w:rFonts w:cs="Arial"/>
                <w:sz w:val="22"/>
                <w:szCs w:val="22"/>
                <w:lang w:val="en-US"/>
              </w:rPr>
              <w:t>110</w:t>
            </w:r>
            <w:r w:rsidR="006760D0">
              <w:rPr>
                <w:rFonts w:cs="Arial"/>
                <w:sz w:val="22"/>
                <w:szCs w:val="22"/>
                <w:lang w:val="en-US"/>
              </w:rPr>
              <w:t>,000,000</w:t>
            </w:r>
          </w:p>
        </w:tc>
        <w:tc>
          <w:tcPr>
            <w:tcW w:w="3118" w:type="dxa"/>
          </w:tcPr>
          <w:p w14:paraId="1085C94F" w14:textId="5461377F" w:rsidR="00F64925" w:rsidRPr="008F55EC" w:rsidRDefault="006760D0" w:rsidP="00B95A9B">
            <w:pPr>
              <w:jc w:val="right"/>
              <w:rPr>
                <w:rFonts w:cs="Arial"/>
                <w:sz w:val="22"/>
                <w:szCs w:val="22"/>
                <w:lang w:val="en-US"/>
              </w:rPr>
            </w:pPr>
            <w:r>
              <w:rPr>
                <w:rFonts w:cs="Arial"/>
                <w:sz w:val="22"/>
                <w:szCs w:val="22"/>
                <w:lang w:val="en-US"/>
              </w:rPr>
              <w:t>60</w:t>
            </w:r>
            <w:r w:rsidR="00B95A9B">
              <w:rPr>
                <w:rFonts w:cs="Arial"/>
                <w:sz w:val="22"/>
                <w:szCs w:val="22"/>
                <w:lang w:val="en-US"/>
              </w:rPr>
              <w:t>%</w:t>
            </w:r>
          </w:p>
        </w:tc>
      </w:tr>
    </w:tbl>
    <w:p w14:paraId="62230873" w14:textId="2B3BE35A" w:rsidR="004B0A87" w:rsidRDefault="004B0A87" w:rsidP="004B0A87">
      <w:pPr>
        <w:pStyle w:val="ListParagraph"/>
        <w:numPr>
          <w:ilvl w:val="0"/>
          <w:numId w:val="21"/>
        </w:numPr>
      </w:pPr>
      <w:r w:rsidRPr="005B476C">
        <w:t>Work hours are 8am to 6pm, Monday to Friday.</w:t>
      </w:r>
    </w:p>
    <w:p w14:paraId="34C12089" w14:textId="0BF4B267" w:rsidR="009B4DE8" w:rsidRDefault="009B4DE8" w:rsidP="009B4DE8">
      <w:pPr>
        <w:pStyle w:val="Heading3"/>
        <w:rPr>
          <w:rFonts w:hint="eastAsia"/>
        </w:rPr>
      </w:pPr>
      <w:bookmarkStart w:id="50" w:name="_Toc182490829"/>
      <w:bookmarkStart w:id="51" w:name="_Toc204007204"/>
      <w:r>
        <w:lastRenderedPageBreak/>
        <w:t>Table 1</w:t>
      </w:r>
      <w:r w:rsidR="00891621">
        <w:t>6</w:t>
      </w:r>
      <w:r>
        <w:t xml:space="preserve"> – </w:t>
      </w:r>
      <w:r w:rsidRPr="002031FC">
        <w:t>Weekday and weekend spend</w:t>
      </w:r>
      <w:r w:rsidR="00CA203B">
        <w:t>ing</w:t>
      </w:r>
      <w:r w:rsidRPr="002031FC">
        <w:t xml:space="preserve"> in </w:t>
      </w:r>
      <w:bookmarkEnd w:id="50"/>
      <w:r w:rsidR="006760D0">
        <w:t>East Melbourne, Q1 2025</w:t>
      </w:r>
      <w:bookmarkEnd w:id="51"/>
    </w:p>
    <w:tbl>
      <w:tblPr>
        <w:tblStyle w:val="TableGrid"/>
        <w:tblW w:w="0" w:type="auto"/>
        <w:tblLook w:val="04A0" w:firstRow="1" w:lastRow="0" w:firstColumn="1" w:lastColumn="0" w:noHBand="0" w:noVBand="1"/>
      </w:tblPr>
      <w:tblGrid>
        <w:gridCol w:w="2689"/>
        <w:gridCol w:w="2268"/>
        <w:gridCol w:w="3118"/>
      </w:tblGrid>
      <w:tr w:rsidR="009B4DE8" w:rsidRPr="008F55EC" w14:paraId="76D67C29" w14:textId="77777777" w:rsidTr="007713E0">
        <w:tc>
          <w:tcPr>
            <w:tcW w:w="2689" w:type="dxa"/>
            <w:vAlign w:val="center"/>
          </w:tcPr>
          <w:p w14:paraId="7009ED27" w14:textId="77777777" w:rsidR="009B4DE8" w:rsidRPr="00F64925" w:rsidRDefault="009B4DE8" w:rsidP="007713E0">
            <w:pPr>
              <w:rPr>
                <w:rFonts w:cs="Arial"/>
                <w:b/>
                <w:bCs/>
                <w:sz w:val="22"/>
                <w:szCs w:val="22"/>
                <w:lang w:val="en-US"/>
              </w:rPr>
            </w:pPr>
            <w:r>
              <w:rPr>
                <w:rFonts w:cs="Arial"/>
                <w:b/>
                <w:bCs/>
                <w:sz w:val="22"/>
                <w:szCs w:val="22"/>
                <w:lang w:val="en-US"/>
              </w:rPr>
              <w:t>Time Period</w:t>
            </w:r>
          </w:p>
        </w:tc>
        <w:tc>
          <w:tcPr>
            <w:tcW w:w="2268" w:type="dxa"/>
            <w:vAlign w:val="center"/>
          </w:tcPr>
          <w:p w14:paraId="47DBD2A6" w14:textId="77777777" w:rsidR="009B4DE8" w:rsidRPr="008F55EC" w:rsidRDefault="009B4DE8" w:rsidP="007713E0">
            <w:pPr>
              <w:rPr>
                <w:rFonts w:cs="Arial"/>
                <w:sz w:val="22"/>
                <w:szCs w:val="22"/>
                <w:lang w:val="en-US"/>
              </w:rPr>
            </w:pPr>
            <w:r>
              <w:rPr>
                <w:rFonts w:cs="Arial"/>
                <w:b/>
                <w:bCs/>
                <w:color w:val="000000"/>
                <w:sz w:val="22"/>
                <w:szCs w:val="22"/>
              </w:rPr>
              <w:t>Adjusted Spend</w:t>
            </w:r>
          </w:p>
        </w:tc>
        <w:tc>
          <w:tcPr>
            <w:tcW w:w="3118" w:type="dxa"/>
          </w:tcPr>
          <w:p w14:paraId="572D1048" w14:textId="77777777" w:rsidR="009B4DE8" w:rsidRDefault="009B4DE8" w:rsidP="007713E0">
            <w:pPr>
              <w:rPr>
                <w:rFonts w:cs="Arial"/>
                <w:b/>
                <w:bCs/>
                <w:color w:val="000000"/>
                <w:sz w:val="22"/>
                <w:szCs w:val="22"/>
              </w:rPr>
            </w:pPr>
            <w:r>
              <w:rPr>
                <w:rFonts w:cs="Arial"/>
                <w:b/>
                <w:bCs/>
                <w:color w:val="000000"/>
                <w:sz w:val="22"/>
                <w:szCs w:val="22"/>
              </w:rPr>
              <w:t>Percent of Average Spend</w:t>
            </w:r>
          </w:p>
        </w:tc>
      </w:tr>
      <w:tr w:rsidR="009B4DE8" w:rsidRPr="008F55EC" w14:paraId="1636B825" w14:textId="77777777" w:rsidTr="007713E0">
        <w:tc>
          <w:tcPr>
            <w:tcW w:w="2689" w:type="dxa"/>
            <w:vAlign w:val="center"/>
          </w:tcPr>
          <w:p w14:paraId="1D662137" w14:textId="77777777" w:rsidR="009B4DE8" w:rsidRPr="008F55EC" w:rsidRDefault="009B4DE8" w:rsidP="007713E0">
            <w:pPr>
              <w:rPr>
                <w:rFonts w:cs="Arial"/>
                <w:sz w:val="22"/>
                <w:szCs w:val="22"/>
                <w:lang w:val="en-US"/>
              </w:rPr>
            </w:pPr>
            <w:r>
              <w:rPr>
                <w:rFonts w:cs="Arial"/>
                <w:color w:val="000000"/>
                <w:sz w:val="22"/>
                <w:szCs w:val="22"/>
              </w:rPr>
              <w:t>Weekdays</w:t>
            </w:r>
          </w:p>
        </w:tc>
        <w:tc>
          <w:tcPr>
            <w:tcW w:w="2268" w:type="dxa"/>
            <w:vAlign w:val="center"/>
          </w:tcPr>
          <w:p w14:paraId="7214F93E" w14:textId="7B0F5BE6" w:rsidR="009B4DE8" w:rsidRPr="008F55EC" w:rsidRDefault="00B95A9B" w:rsidP="00B95A9B">
            <w:pPr>
              <w:jc w:val="right"/>
              <w:rPr>
                <w:rFonts w:cs="Arial"/>
                <w:sz w:val="22"/>
                <w:szCs w:val="22"/>
                <w:lang w:val="en-US"/>
              </w:rPr>
            </w:pPr>
            <w:r>
              <w:rPr>
                <w:rFonts w:cs="Arial"/>
                <w:sz w:val="22"/>
                <w:szCs w:val="22"/>
                <w:lang w:val="en-US"/>
              </w:rPr>
              <w:t>$1</w:t>
            </w:r>
            <w:r w:rsidR="006760D0">
              <w:rPr>
                <w:rFonts w:cs="Arial"/>
                <w:sz w:val="22"/>
                <w:szCs w:val="22"/>
                <w:lang w:val="en-US"/>
              </w:rPr>
              <w:t>51</w:t>
            </w:r>
            <w:r>
              <w:rPr>
                <w:rFonts w:cs="Arial"/>
                <w:sz w:val="22"/>
                <w:szCs w:val="22"/>
                <w:lang w:val="en-US"/>
              </w:rPr>
              <w:t>,000,000</w:t>
            </w:r>
          </w:p>
        </w:tc>
        <w:tc>
          <w:tcPr>
            <w:tcW w:w="3118" w:type="dxa"/>
          </w:tcPr>
          <w:p w14:paraId="29AABD8E" w14:textId="60BF4B3D" w:rsidR="009B4DE8" w:rsidRPr="008F55EC" w:rsidRDefault="006760D0" w:rsidP="00B95A9B">
            <w:pPr>
              <w:jc w:val="right"/>
              <w:rPr>
                <w:rFonts w:cs="Arial"/>
                <w:sz w:val="22"/>
                <w:szCs w:val="22"/>
                <w:lang w:val="en-US"/>
              </w:rPr>
            </w:pPr>
            <w:r>
              <w:rPr>
                <w:rFonts w:cs="Arial"/>
                <w:sz w:val="22"/>
                <w:szCs w:val="22"/>
                <w:lang w:val="en-US"/>
              </w:rPr>
              <w:t>82</w:t>
            </w:r>
            <w:r w:rsidR="00B95A9B">
              <w:rPr>
                <w:rFonts w:cs="Arial"/>
                <w:sz w:val="22"/>
                <w:szCs w:val="22"/>
                <w:lang w:val="en-US"/>
              </w:rPr>
              <w:t>%</w:t>
            </w:r>
          </w:p>
        </w:tc>
      </w:tr>
      <w:tr w:rsidR="009B4DE8" w:rsidRPr="008F55EC" w14:paraId="395426A7" w14:textId="77777777" w:rsidTr="007713E0">
        <w:tc>
          <w:tcPr>
            <w:tcW w:w="2689" w:type="dxa"/>
            <w:vAlign w:val="center"/>
          </w:tcPr>
          <w:p w14:paraId="4C4328D3" w14:textId="77777777" w:rsidR="009B4DE8" w:rsidRPr="008F55EC" w:rsidRDefault="009B4DE8" w:rsidP="007713E0">
            <w:pPr>
              <w:rPr>
                <w:rFonts w:cs="Arial"/>
                <w:sz w:val="22"/>
                <w:szCs w:val="22"/>
                <w:lang w:val="en-US"/>
              </w:rPr>
            </w:pPr>
            <w:r>
              <w:rPr>
                <w:rFonts w:cs="Arial"/>
                <w:color w:val="000000"/>
                <w:sz w:val="22"/>
                <w:szCs w:val="22"/>
              </w:rPr>
              <w:t>Weekends</w:t>
            </w:r>
          </w:p>
        </w:tc>
        <w:tc>
          <w:tcPr>
            <w:tcW w:w="2268" w:type="dxa"/>
            <w:vAlign w:val="center"/>
          </w:tcPr>
          <w:p w14:paraId="47820822" w14:textId="49ECE3CC" w:rsidR="009B4DE8" w:rsidRPr="008F55EC" w:rsidRDefault="00B95A9B" w:rsidP="00B95A9B">
            <w:pPr>
              <w:jc w:val="right"/>
              <w:rPr>
                <w:rFonts w:cs="Arial"/>
                <w:sz w:val="22"/>
                <w:szCs w:val="22"/>
                <w:lang w:val="en-US"/>
              </w:rPr>
            </w:pPr>
            <w:r>
              <w:rPr>
                <w:rFonts w:cs="Arial"/>
                <w:sz w:val="22"/>
                <w:szCs w:val="22"/>
                <w:lang w:val="en-US"/>
              </w:rPr>
              <w:t>$</w:t>
            </w:r>
            <w:r w:rsidR="006760D0">
              <w:rPr>
                <w:rFonts w:cs="Arial"/>
                <w:sz w:val="22"/>
                <w:szCs w:val="22"/>
                <w:lang w:val="en-US"/>
              </w:rPr>
              <w:t>33</w:t>
            </w:r>
            <w:r>
              <w:rPr>
                <w:rFonts w:cs="Arial"/>
                <w:sz w:val="22"/>
                <w:szCs w:val="22"/>
                <w:lang w:val="en-US"/>
              </w:rPr>
              <w:t>,000,000</w:t>
            </w:r>
          </w:p>
        </w:tc>
        <w:tc>
          <w:tcPr>
            <w:tcW w:w="3118" w:type="dxa"/>
          </w:tcPr>
          <w:p w14:paraId="627EE641" w14:textId="18D22128" w:rsidR="009B4DE8" w:rsidRPr="008F55EC" w:rsidRDefault="006760D0" w:rsidP="00B95A9B">
            <w:pPr>
              <w:jc w:val="right"/>
              <w:rPr>
                <w:rFonts w:cs="Arial"/>
                <w:sz w:val="22"/>
                <w:szCs w:val="22"/>
                <w:lang w:val="en-US"/>
              </w:rPr>
            </w:pPr>
            <w:r>
              <w:rPr>
                <w:rFonts w:cs="Arial"/>
                <w:sz w:val="22"/>
                <w:szCs w:val="22"/>
                <w:lang w:val="en-US"/>
              </w:rPr>
              <w:t>18</w:t>
            </w:r>
            <w:r w:rsidR="00B95A9B">
              <w:rPr>
                <w:rFonts w:cs="Arial"/>
                <w:sz w:val="22"/>
                <w:szCs w:val="22"/>
                <w:lang w:val="en-US"/>
              </w:rPr>
              <w:t>%</w:t>
            </w:r>
          </w:p>
        </w:tc>
      </w:tr>
    </w:tbl>
    <w:p w14:paraId="6850E5E3" w14:textId="0ED147B1" w:rsidR="00F64925" w:rsidRDefault="00F64925" w:rsidP="00F64925">
      <w:pPr>
        <w:pStyle w:val="Heading3"/>
        <w:rPr>
          <w:rFonts w:hint="eastAsia"/>
        </w:rPr>
      </w:pPr>
      <w:bookmarkStart w:id="52" w:name="_Toc182490830"/>
      <w:bookmarkStart w:id="53" w:name="_Toc204007205"/>
      <w:r>
        <w:t>Table 1</w:t>
      </w:r>
      <w:r w:rsidR="00891621">
        <w:t>7</w:t>
      </w:r>
      <w:r w:rsidR="009B4DE8">
        <w:t>.</w:t>
      </w:r>
      <w:r w:rsidR="002F4DE8">
        <w:t>a</w:t>
      </w:r>
      <w:r>
        <w:t xml:space="preserve"> – </w:t>
      </w:r>
      <w:r w:rsidR="009B4DE8" w:rsidRPr="009B4DE8">
        <w:t xml:space="preserve">Where spending in </w:t>
      </w:r>
      <w:bookmarkEnd w:id="52"/>
      <w:r w:rsidR="006760D0">
        <w:t>East Melbourne</w:t>
      </w:r>
      <w:r w:rsidR="00450D63">
        <w:t xml:space="preserve"> came from</w:t>
      </w:r>
      <w:r w:rsidR="006760D0">
        <w:t>, Q1 2025</w:t>
      </w:r>
      <w:bookmarkEnd w:id="53"/>
    </w:p>
    <w:tbl>
      <w:tblPr>
        <w:tblStyle w:val="TableGrid"/>
        <w:tblW w:w="0" w:type="auto"/>
        <w:tblLook w:val="04A0" w:firstRow="1" w:lastRow="0" w:firstColumn="1" w:lastColumn="0" w:noHBand="0" w:noVBand="1"/>
      </w:tblPr>
      <w:tblGrid>
        <w:gridCol w:w="2972"/>
        <w:gridCol w:w="1985"/>
        <w:gridCol w:w="3118"/>
      </w:tblGrid>
      <w:tr w:rsidR="00BA5216" w:rsidRPr="008F55EC" w14:paraId="6D6C69AB" w14:textId="77777777" w:rsidTr="007713E0">
        <w:tc>
          <w:tcPr>
            <w:tcW w:w="2972" w:type="dxa"/>
            <w:vAlign w:val="center"/>
          </w:tcPr>
          <w:p w14:paraId="703B16A8" w14:textId="77777777" w:rsidR="00BA5216" w:rsidRPr="00F64925" w:rsidRDefault="00BA5216" w:rsidP="007713E0">
            <w:pPr>
              <w:rPr>
                <w:rFonts w:cs="Arial"/>
                <w:b/>
                <w:bCs/>
                <w:sz w:val="22"/>
                <w:szCs w:val="22"/>
                <w:lang w:val="en-US"/>
              </w:rPr>
            </w:pPr>
            <w:r>
              <w:rPr>
                <w:rFonts w:cs="Arial"/>
                <w:b/>
                <w:bCs/>
                <w:sz w:val="22"/>
                <w:szCs w:val="22"/>
                <w:lang w:val="en-US"/>
              </w:rPr>
              <w:t>Customer Type</w:t>
            </w:r>
          </w:p>
        </w:tc>
        <w:tc>
          <w:tcPr>
            <w:tcW w:w="1985" w:type="dxa"/>
            <w:vAlign w:val="center"/>
          </w:tcPr>
          <w:p w14:paraId="25E13188" w14:textId="77777777" w:rsidR="00BA5216" w:rsidRPr="008F55EC" w:rsidRDefault="00BA5216" w:rsidP="007713E0">
            <w:pPr>
              <w:rPr>
                <w:rFonts w:cs="Arial"/>
                <w:sz w:val="22"/>
                <w:szCs w:val="22"/>
                <w:lang w:val="en-US"/>
              </w:rPr>
            </w:pPr>
            <w:r>
              <w:rPr>
                <w:rFonts w:cs="Arial"/>
                <w:b/>
                <w:bCs/>
                <w:color w:val="000000"/>
                <w:sz w:val="22"/>
                <w:szCs w:val="22"/>
              </w:rPr>
              <w:t>Adjusted Spend</w:t>
            </w:r>
          </w:p>
        </w:tc>
        <w:tc>
          <w:tcPr>
            <w:tcW w:w="3118" w:type="dxa"/>
          </w:tcPr>
          <w:p w14:paraId="4B35E3AE" w14:textId="77777777" w:rsidR="00BA5216" w:rsidRDefault="00BA5216" w:rsidP="007713E0">
            <w:pPr>
              <w:rPr>
                <w:rFonts w:cs="Arial"/>
                <w:b/>
                <w:bCs/>
                <w:color w:val="000000"/>
                <w:sz w:val="22"/>
                <w:szCs w:val="22"/>
              </w:rPr>
            </w:pPr>
            <w:r>
              <w:rPr>
                <w:rFonts w:cs="Arial"/>
                <w:b/>
                <w:bCs/>
                <w:color w:val="000000"/>
                <w:sz w:val="22"/>
                <w:szCs w:val="22"/>
              </w:rPr>
              <w:t>Percent of Average Spend</w:t>
            </w:r>
          </w:p>
        </w:tc>
      </w:tr>
      <w:tr w:rsidR="00BA5216" w:rsidRPr="008F55EC" w14:paraId="319B9AD3" w14:textId="77777777" w:rsidTr="007713E0">
        <w:tc>
          <w:tcPr>
            <w:tcW w:w="2972" w:type="dxa"/>
            <w:vAlign w:val="center"/>
          </w:tcPr>
          <w:p w14:paraId="731EAEB1" w14:textId="77777777" w:rsidR="00BA5216" w:rsidRPr="008F55EC" w:rsidRDefault="00BA5216" w:rsidP="007713E0">
            <w:pPr>
              <w:rPr>
                <w:rFonts w:cs="Arial"/>
                <w:sz w:val="22"/>
                <w:szCs w:val="22"/>
                <w:lang w:val="en-US"/>
              </w:rPr>
            </w:pPr>
            <w:r>
              <w:rPr>
                <w:rFonts w:cs="Arial"/>
                <w:sz w:val="22"/>
                <w:szCs w:val="22"/>
                <w:lang w:val="en-US"/>
              </w:rPr>
              <w:t>City of Melbourne residents</w:t>
            </w:r>
          </w:p>
        </w:tc>
        <w:tc>
          <w:tcPr>
            <w:tcW w:w="1985" w:type="dxa"/>
            <w:vAlign w:val="center"/>
          </w:tcPr>
          <w:p w14:paraId="7B20B9F4" w14:textId="308A7FD8" w:rsidR="00BA5216" w:rsidRPr="008F55EC" w:rsidRDefault="00B95A9B" w:rsidP="00B95A9B">
            <w:pPr>
              <w:jc w:val="right"/>
              <w:rPr>
                <w:rFonts w:cs="Arial"/>
                <w:sz w:val="22"/>
                <w:szCs w:val="22"/>
                <w:lang w:val="en-US"/>
              </w:rPr>
            </w:pPr>
            <w:r>
              <w:rPr>
                <w:rFonts w:cs="Arial"/>
                <w:sz w:val="22"/>
                <w:szCs w:val="22"/>
                <w:lang w:val="en-US"/>
              </w:rPr>
              <w:t>$</w:t>
            </w:r>
            <w:r w:rsidR="006760D0">
              <w:rPr>
                <w:rFonts w:cs="Arial"/>
                <w:sz w:val="22"/>
                <w:szCs w:val="22"/>
                <w:lang w:val="en-US"/>
              </w:rPr>
              <w:t>8</w:t>
            </w:r>
            <w:r w:rsidR="000C7E20">
              <w:rPr>
                <w:rFonts w:cs="Arial"/>
                <w:sz w:val="22"/>
                <w:szCs w:val="22"/>
                <w:lang w:val="en-US"/>
              </w:rPr>
              <w:t>,</w:t>
            </w:r>
            <w:r>
              <w:rPr>
                <w:rFonts w:cs="Arial"/>
                <w:sz w:val="22"/>
                <w:szCs w:val="22"/>
                <w:lang w:val="en-US"/>
              </w:rPr>
              <w:t>000,000</w:t>
            </w:r>
          </w:p>
        </w:tc>
        <w:tc>
          <w:tcPr>
            <w:tcW w:w="3118" w:type="dxa"/>
          </w:tcPr>
          <w:p w14:paraId="318AB702" w14:textId="09F9F768" w:rsidR="00BA5216" w:rsidRPr="008F55EC" w:rsidRDefault="006760D0" w:rsidP="00B95A9B">
            <w:pPr>
              <w:jc w:val="right"/>
              <w:rPr>
                <w:rFonts w:cs="Arial"/>
                <w:sz w:val="22"/>
                <w:szCs w:val="22"/>
                <w:lang w:val="en-US"/>
              </w:rPr>
            </w:pPr>
            <w:r>
              <w:rPr>
                <w:rFonts w:cs="Arial"/>
                <w:sz w:val="22"/>
                <w:szCs w:val="22"/>
                <w:lang w:val="en-US"/>
              </w:rPr>
              <w:t>4</w:t>
            </w:r>
            <w:r w:rsidR="00B95A9B">
              <w:rPr>
                <w:rFonts w:cs="Arial"/>
                <w:sz w:val="22"/>
                <w:szCs w:val="22"/>
                <w:lang w:val="en-US"/>
              </w:rPr>
              <w:t>%</w:t>
            </w:r>
          </w:p>
        </w:tc>
      </w:tr>
      <w:tr w:rsidR="00BA5216" w:rsidRPr="008F55EC" w14:paraId="7C78D5DD" w14:textId="77777777" w:rsidTr="007713E0">
        <w:tc>
          <w:tcPr>
            <w:tcW w:w="2972" w:type="dxa"/>
            <w:vAlign w:val="center"/>
          </w:tcPr>
          <w:p w14:paraId="398F54FD" w14:textId="77777777" w:rsidR="00BA5216" w:rsidRPr="008F55EC" w:rsidRDefault="00BA5216" w:rsidP="007713E0">
            <w:pPr>
              <w:rPr>
                <w:rFonts w:cs="Arial"/>
                <w:sz w:val="22"/>
                <w:szCs w:val="22"/>
                <w:lang w:val="en-US"/>
              </w:rPr>
            </w:pPr>
            <w:r>
              <w:rPr>
                <w:rFonts w:cs="Arial"/>
                <w:color w:val="000000"/>
                <w:sz w:val="22"/>
                <w:szCs w:val="22"/>
              </w:rPr>
              <w:t>Visitors</w:t>
            </w:r>
          </w:p>
        </w:tc>
        <w:tc>
          <w:tcPr>
            <w:tcW w:w="1985" w:type="dxa"/>
            <w:vAlign w:val="center"/>
          </w:tcPr>
          <w:p w14:paraId="4ABC3A90" w14:textId="79CDD45C" w:rsidR="00BA5216" w:rsidRPr="008F55EC" w:rsidRDefault="00B95A9B" w:rsidP="00B95A9B">
            <w:pPr>
              <w:jc w:val="right"/>
              <w:rPr>
                <w:rFonts w:cs="Arial"/>
                <w:sz w:val="22"/>
                <w:szCs w:val="22"/>
                <w:lang w:val="en-US"/>
              </w:rPr>
            </w:pPr>
            <w:r>
              <w:rPr>
                <w:rFonts w:cs="Arial"/>
                <w:sz w:val="22"/>
                <w:szCs w:val="22"/>
                <w:lang w:val="en-US"/>
              </w:rPr>
              <w:t>$</w:t>
            </w:r>
            <w:r w:rsidR="006760D0">
              <w:rPr>
                <w:rFonts w:cs="Arial"/>
                <w:sz w:val="22"/>
                <w:szCs w:val="22"/>
                <w:lang w:val="en-US"/>
              </w:rPr>
              <w:t>174</w:t>
            </w:r>
            <w:r>
              <w:rPr>
                <w:rFonts w:cs="Arial"/>
                <w:sz w:val="22"/>
                <w:szCs w:val="22"/>
                <w:lang w:val="en-US"/>
              </w:rPr>
              <w:t>,000,000</w:t>
            </w:r>
          </w:p>
        </w:tc>
        <w:tc>
          <w:tcPr>
            <w:tcW w:w="3118" w:type="dxa"/>
          </w:tcPr>
          <w:p w14:paraId="321F792F" w14:textId="519A6A48" w:rsidR="00BA5216" w:rsidRPr="008F55EC" w:rsidRDefault="006760D0" w:rsidP="00B95A9B">
            <w:pPr>
              <w:jc w:val="right"/>
              <w:rPr>
                <w:rFonts w:cs="Arial"/>
                <w:sz w:val="22"/>
                <w:szCs w:val="22"/>
                <w:lang w:val="en-US"/>
              </w:rPr>
            </w:pPr>
            <w:r>
              <w:rPr>
                <w:rFonts w:cs="Arial"/>
                <w:sz w:val="22"/>
                <w:szCs w:val="22"/>
                <w:lang w:val="en-US"/>
              </w:rPr>
              <w:t>96</w:t>
            </w:r>
            <w:r w:rsidR="00B95A9B">
              <w:rPr>
                <w:rFonts w:cs="Arial"/>
                <w:sz w:val="22"/>
                <w:szCs w:val="22"/>
                <w:lang w:val="en-US"/>
              </w:rPr>
              <w:t>%</w:t>
            </w:r>
          </w:p>
        </w:tc>
      </w:tr>
    </w:tbl>
    <w:p w14:paraId="02902CFB" w14:textId="4279DACA" w:rsidR="00F64925" w:rsidRDefault="00F64925" w:rsidP="00F64925">
      <w:pPr>
        <w:pStyle w:val="Heading3"/>
        <w:rPr>
          <w:rFonts w:hint="eastAsia"/>
        </w:rPr>
      </w:pPr>
      <w:bookmarkStart w:id="54" w:name="_Toc182490831"/>
      <w:bookmarkStart w:id="55" w:name="_Toc204007206"/>
      <w:r>
        <w:t>Table 1</w:t>
      </w:r>
      <w:r w:rsidR="00891621">
        <w:t>7</w:t>
      </w:r>
      <w:r w:rsidR="009B4DE8">
        <w:t>.</w:t>
      </w:r>
      <w:r w:rsidR="002F4DE8">
        <w:t>b</w:t>
      </w:r>
      <w:r>
        <w:t xml:space="preserve"> – </w:t>
      </w:r>
      <w:r w:rsidR="009B4DE8" w:rsidRPr="009B4DE8">
        <w:t>Where spending in</w:t>
      </w:r>
      <w:r w:rsidR="009B2762">
        <w:t xml:space="preserve"> </w:t>
      </w:r>
      <w:r w:rsidR="006760D0">
        <w:t xml:space="preserve">East Melbourne </w:t>
      </w:r>
      <w:r w:rsidR="009B4DE8" w:rsidRPr="009B4DE8">
        <w:t>came from</w:t>
      </w:r>
      <w:bookmarkEnd w:id="54"/>
      <w:r w:rsidR="006760D0">
        <w:t>, Q1 2025</w:t>
      </w:r>
      <w:bookmarkEnd w:id="55"/>
    </w:p>
    <w:tbl>
      <w:tblPr>
        <w:tblStyle w:val="TableGrid"/>
        <w:tblW w:w="0" w:type="auto"/>
        <w:tblLook w:val="04A0" w:firstRow="1" w:lastRow="0" w:firstColumn="1" w:lastColumn="0" w:noHBand="0" w:noVBand="1"/>
      </w:tblPr>
      <w:tblGrid>
        <w:gridCol w:w="2972"/>
        <w:gridCol w:w="1985"/>
      </w:tblGrid>
      <w:tr w:rsidR="0009455A" w:rsidRPr="008F55EC" w14:paraId="686EA463" w14:textId="77777777" w:rsidTr="2947B656">
        <w:tc>
          <w:tcPr>
            <w:tcW w:w="2972" w:type="dxa"/>
            <w:vAlign w:val="center"/>
          </w:tcPr>
          <w:p w14:paraId="7BA0247B" w14:textId="3FA8AF42" w:rsidR="0009455A" w:rsidRPr="00F64925" w:rsidRDefault="009B4DE8" w:rsidP="007713E0">
            <w:pPr>
              <w:rPr>
                <w:rFonts w:cs="Arial"/>
                <w:b/>
                <w:bCs/>
                <w:sz w:val="22"/>
                <w:szCs w:val="22"/>
                <w:lang w:val="en-US"/>
              </w:rPr>
            </w:pPr>
            <w:r w:rsidRPr="2947B656">
              <w:rPr>
                <w:rFonts w:cs="Arial"/>
                <w:b/>
                <w:bCs/>
                <w:sz w:val="22"/>
                <w:szCs w:val="22"/>
                <w:lang w:val="en-US"/>
              </w:rPr>
              <w:t>Area</w:t>
            </w:r>
          </w:p>
        </w:tc>
        <w:tc>
          <w:tcPr>
            <w:tcW w:w="1985" w:type="dxa"/>
            <w:vAlign w:val="center"/>
          </w:tcPr>
          <w:p w14:paraId="49A478EC" w14:textId="77777777" w:rsidR="0009455A" w:rsidRPr="008F55EC" w:rsidRDefault="0009455A" w:rsidP="007713E0">
            <w:pPr>
              <w:rPr>
                <w:rFonts w:cs="Arial"/>
                <w:sz w:val="22"/>
                <w:szCs w:val="22"/>
                <w:lang w:val="en-US"/>
              </w:rPr>
            </w:pPr>
            <w:r>
              <w:rPr>
                <w:rFonts w:cs="Arial"/>
                <w:b/>
                <w:bCs/>
                <w:color w:val="000000"/>
                <w:sz w:val="22"/>
                <w:szCs w:val="22"/>
              </w:rPr>
              <w:t>Adjusted Spend</w:t>
            </w:r>
          </w:p>
        </w:tc>
      </w:tr>
      <w:tr w:rsidR="00FA7EFD" w:rsidRPr="008F55EC" w14:paraId="0A2FF1B0" w14:textId="77777777" w:rsidTr="2947B656">
        <w:tc>
          <w:tcPr>
            <w:tcW w:w="2972" w:type="dxa"/>
            <w:vAlign w:val="center"/>
          </w:tcPr>
          <w:p w14:paraId="77A54AD8" w14:textId="27F335B0" w:rsidR="00FA7EFD" w:rsidRPr="008F55EC" w:rsidRDefault="000C7E20" w:rsidP="00FA7EFD">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1B353B5B" w14:textId="0D47413E" w:rsidR="00FA7EFD" w:rsidRPr="008F55EC" w:rsidRDefault="00FA7EFD" w:rsidP="00FA7EFD">
            <w:pPr>
              <w:jc w:val="right"/>
              <w:rPr>
                <w:rFonts w:cs="Arial"/>
                <w:sz w:val="22"/>
                <w:szCs w:val="22"/>
                <w:lang w:val="en-US"/>
              </w:rPr>
            </w:pPr>
            <w:r>
              <w:rPr>
                <w:rFonts w:cs="Arial"/>
                <w:sz w:val="22"/>
                <w:szCs w:val="22"/>
                <w:lang w:val="en-US"/>
              </w:rPr>
              <w:t>$</w:t>
            </w:r>
            <w:r w:rsidR="000F782B">
              <w:rPr>
                <w:rFonts w:cs="Arial"/>
                <w:sz w:val="22"/>
                <w:szCs w:val="22"/>
                <w:lang w:val="en-US"/>
              </w:rPr>
              <w:t>8</w:t>
            </w:r>
            <w:r w:rsidR="006760D0">
              <w:rPr>
                <w:rFonts w:cs="Arial"/>
                <w:sz w:val="22"/>
                <w:szCs w:val="22"/>
                <w:lang w:val="en-US"/>
              </w:rPr>
              <w:t>,</w:t>
            </w:r>
            <w:r w:rsidR="000F782B">
              <w:rPr>
                <w:rFonts w:cs="Arial"/>
                <w:sz w:val="22"/>
                <w:szCs w:val="22"/>
                <w:lang w:val="en-US"/>
              </w:rPr>
              <w:t>727</w:t>
            </w:r>
            <w:r w:rsidR="006760D0">
              <w:rPr>
                <w:rFonts w:cs="Arial"/>
                <w:sz w:val="22"/>
                <w:szCs w:val="22"/>
                <w:lang w:val="en-US"/>
              </w:rPr>
              <w:t>,</w:t>
            </w:r>
            <w:r w:rsidR="000C7E20">
              <w:rPr>
                <w:rFonts w:cs="Arial"/>
                <w:sz w:val="22"/>
                <w:szCs w:val="22"/>
                <w:lang w:val="en-US"/>
              </w:rPr>
              <w:t>000</w:t>
            </w:r>
          </w:p>
        </w:tc>
      </w:tr>
      <w:tr w:rsidR="00FA7EFD" w:rsidRPr="008F55EC" w14:paraId="1F2CCE27" w14:textId="77777777" w:rsidTr="2947B656">
        <w:tc>
          <w:tcPr>
            <w:tcW w:w="2972" w:type="dxa"/>
            <w:vAlign w:val="center"/>
          </w:tcPr>
          <w:p w14:paraId="6C57A090" w14:textId="6579699F" w:rsidR="00FA7EFD" w:rsidRPr="008F55EC" w:rsidRDefault="000C7E20" w:rsidP="00FA7EFD">
            <w:pPr>
              <w:rPr>
                <w:rFonts w:cs="Arial"/>
                <w:sz w:val="22"/>
                <w:szCs w:val="22"/>
                <w:lang w:val="en-US"/>
              </w:rPr>
            </w:pPr>
            <w:proofErr w:type="spellStart"/>
            <w:r>
              <w:rPr>
                <w:rFonts w:cs="Arial"/>
                <w:sz w:val="22"/>
                <w:szCs w:val="22"/>
                <w:lang w:val="en-US"/>
              </w:rPr>
              <w:t>Boorondara</w:t>
            </w:r>
            <w:proofErr w:type="spellEnd"/>
          </w:p>
        </w:tc>
        <w:tc>
          <w:tcPr>
            <w:tcW w:w="1985" w:type="dxa"/>
            <w:vAlign w:val="center"/>
          </w:tcPr>
          <w:p w14:paraId="78B793EB" w14:textId="019E9D8D" w:rsidR="00FA7EFD" w:rsidRPr="008F55EC" w:rsidRDefault="00FA7EFD" w:rsidP="00FA7EFD">
            <w:pPr>
              <w:jc w:val="right"/>
              <w:rPr>
                <w:rFonts w:cs="Arial"/>
                <w:sz w:val="22"/>
                <w:szCs w:val="22"/>
                <w:lang w:val="en-US"/>
              </w:rPr>
            </w:pPr>
            <w:r>
              <w:rPr>
                <w:rFonts w:cs="Arial"/>
                <w:sz w:val="22"/>
                <w:szCs w:val="22"/>
                <w:lang w:val="en-US"/>
              </w:rPr>
              <w:t>$</w:t>
            </w:r>
            <w:r w:rsidR="006760D0">
              <w:rPr>
                <w:rFonts w:cs="Arial"/>
                <w:sz w:val="22"/>
                <w:szCs w:val="22"/>
                <w:lang w:val="en-US"/>
              </w:rPr>
              <w:t>8,</w:t>
            </w:r>
            <w:r w:rsidR="000F782B">
              <w:rPr>
                <w:rFonts w:cs="Arial"/>
                <w:sz w:val="22"/>
                <w:szCs w:val="22"/>
                <w:lang w:val="en-US"/>
              </w:rPr>
              <w:t>450</w:t>
            </w:r>
            <w:r w:rsidR="000C7E20">
              <w:rPr>
                <w:rFonts w:cs="Arial"/>
                <w:sz w:val="22"/>
                <w:szCs w:val="22"/>
                <w:lang w:val="en-US"/>
              </w:rPr>
              <w:t>,000</w:t>
            </w:r>
          </w:p>
        </w:tc>
      </w:tr>
      <w:tr w:rsidR="00FA7EFD" w:rsidRPr="008F55EC" w14:paraId="5FC52678" w14:textId="77777777" w:rsidTr="2947B656">
        <w:tc>
          <w:tcPr>
            <w:tcW w:w="2972" w:type="dxa"/>
            <w:vAlign w:val="center"/>
          </w:tcPr>
          <w:p w14:paraId="7D0138B9" w14:textId="5465A285" w:rsidR="00FA7EFD" w:rsidRPr="008F55EC" w:rsidRDefault="00FA7EFD" w:rsidP="00FA7EFD">
            <w:pPr>
              <w:rPr>
                <w:rFonts w:cs="Arial"/>
                <w:sz w:val="22"/>
                <w:szCs w:val="22"/>
                <w:lang w:val="en-US"/>
              </w:rPr>
            </w:pPr>
            <w:r>
              <w:rPr>
                <w:rFonts w:cs="Arial"/>
                <w:sz w:val="22"/>
                <w:szCs w:val="22"/>
                <w:lang w:val="en-US"/>
              </w:rPr>
              <w:t>Port Phillip</w:t>
            </w:r>
          </w:p>
        </w:tc>
        <w:tc>
          <w:tcPr>
            <w:tcW w:w="1985" w:type="dxa"/>
            <w:vAlign w:val="center"/>
          </w:tcPr>
          <w:p w14:paraId="32EA18C1" w14:textId="3D0EDC46" w:rsidR="00FA7EFD" w:rsidRPr="008F55EC" w:rsidRDefault="00FA7EFD" w:rsidP="00FA7EFD">
            <w:pPr>
              <w:jc w:val="right"/>
              <w:rPr>
                <w:rFonts w:cs="Arial"/>
                <w:sz w:val="22"/>
                <w:szCs w:val="22"/>
                <w:lang w:val="en-US"/>
              </w:rPr>
            </w:pPr>
            <w:r>
              <w:rPr>
                <w:rFonts w:cs="Arial"/>
                <w:sz w:val="22"/>
                <w:szCs w:val="22"/>
                <w:lang w:val="en-US"/>
              </w:rPr>
              <w:t>$</w:t>
            </w:r>
            <w:r w:rsidR="006760D0">
              <w:rPr>
                <w:rFonts w:cs="Arial"/>
                <w:sz w:val="22"/>
                <w:szCs w:val="22"/>
                <w:lang w:val="en-US"/>
              </w:rPr>
              <w:t>6,</w:t>
            </w:r>
            <w:r w:rsidR="000F782B">
              <w:rPr>
                <w:rFonts w:cs="Arial"/>
                <w:sz w:val="22"/>
                <w:szCs w:val="22"/>
                <w:lang w:val="en-US"/>
              </w:rPr>
              <w:t>223</w:t>
            </w:r>
            <w:r w:rsidR="006760D0">
              <w:rPr>
                <w:rFonts w:cs="Arial"/>
                <w:sz w:val="22"/>
                <w:szCs w:val="22"/>
                <w:lang w:val="en-US"/>
              </w:rPr>
              <w:t>,</w:t>
            </w:r>
            <w:r w:rsidR="000C7E20">
              <w:rPr>
                <w:rFonts w:cs="Arial"/>
                <w:sz w:val="22"/>
                <w:szCs w:val="22"/>
                <w:lang w:val="en-US"/>
              </w:rPr>
              <w:t>000</w:t>
            </w:r>
          </w:p>
        </w:tc>
      </w:tr>
      <w:tr w:rsidR="00FA7EFD" w:rsidRPr="008F55EC" w14:paraId="06863948" w14:textId="77777777" w:rsidTr="2947B656">
        <w:tc>
          <w:tcPr>
            <w:tcW w:w="2972" w:type="dxa"/>
            <w:vAlign w:val="center"/>
          </w:tcPr>
          <w:p w14:paraId="70B8DD8A" w14:textId="00A61DD8" w:rsidR="00FA7EFD" w:rsidRPr="008F55EC" w:rsidRDefault="006760D0" w:rsidP="00FA7EFD">
            <w:pPr>
              <w:rPr>
                <w:rFonts w:cs="Arial"/>
                <w:sz w:val="22"/>
                <w:szCs w:val="22"/>
                <w:lang w:val="en-US"/>
              </w:rPr>
            </w:pPr>
            <w:r>
              <w:rPr>
                <w:rFonts w:cs="Arial"/>
                <w:sz w:val="22"/>
                <w:szCs w:val="22"/>
                <w:lang w:val="en-US"/>
              </w:rPr>
              <w:t>Stonnington - West</w:t>
            </w:r>
          </w:p>
        </w:tc>
        <w:tc>
          <w:tcPr>
            <w:tcW w:w="1985" w:type="dxa"/>
            <w:vAlign w:val="center"/>
          </w:tcPr>
          <w:p w14:paraId="7F17F4A2" w14:textId="7E255027" w:rsidR="00FA7EFD" w:rsidRPr="008F55EC" w:rsidRDefault="00FA7EFD" w:rsidP="00FA7EFD">
            <w:pPr>
              <w:jc w:val="right"/>
              <w:rPr>
                <w:rFonts w:cs="Arial"/>
                <w:sz w:val="22"/>
                <w:szCs w:val="22"/>
                <w:lang w:val="en-US"/>
              </w:rPr>
            </w:pPr>
            <w:r>
              <w:rPr>
                <w:rFonts w:cs="Arial"/>
                <w:sz w:val="22"/>
                <w:szCs w:val="22"/>
                <w:lang w:val="en-US"/>
              </w:rPr>
              <w:t>$</w:t>
            </w:r>
            <w:r w:rsidR="006760D0">
              <w:rPr>
                <w:rFonts w:cs="Arial"/>
                <w:sz w:val="22"/>
                <w:szCs w:val="22"/>
                <w:lang w:val="en-US"/>
              </w:rPr>
              <w:t>4,</w:t>
            </w:r>
            <w:r w:rsidR="000F782B">
              <w:rPr>
                <w:rFonts w:cs="Arial"/>
                <w:sz w:val="22"/>
                <w:szCs w:val="22"/>
                <w:lang w:val="en-US"/>
              </w:rPr>
              <w:t>116</w:t>
            </w:r>
            <w:r w:rsidR="000C7E20">
              <w:rPr>
                <w:rFonts w:cs="Arial"/>
                <w:sz w:val="22"/>
                <w:szCs w:val="22"/>
                <w:lang w:val="en-US"/>
              </w:rPr>
              <w:t>,</w:t>
            </w:r>
            <w:r w:rsidR="006760D0">
              <w:rPr>
                <w:rFonts w:cs="Arial"/>
                <w:sz w:val="22"/>
                <w:szCs w:val="22"/>
                <w:lang w:val="en-US"/>
              </w:rPr>
              <w:t>00</w:t>
            </w:r>
            <w:r w:rsidR="000C7E20">
              <w:rPr>
                <w:rFonts w:cs="Arial"/>
                <w:sz w:val="22"/>
                <w:szCs w:val="22"/>
                <w:lang w:val="en-US"/>
              </w:rPr>
              <w:t>0</w:t>
            </w:r>
          </w:p>
        </w:tc>
      </w:tr>
      <w:tr w:rsidR="00FA7EFD" w:rsidRPr="008F55EC" w14:paraId="05A9652B" w14:textId="77777777" w:rsidTr="2947B656">
        <w:tc>
          <w:tcPr>
            <w:tcW w:w="2972" w:type="dxa"/>
            <w:vAlign w:val="center"/>
          </w:tcPr>
          <w:p w14:paraId="15EA245D" w14:textId="283CD585" w:rsidR="00FA7EFD" w:rsidRPr="008F55EC" w:rsidRDefault="006760D0" w:rsidP="00FA7EFD">
            <w:pPr>
              <w:rPr>
                <w:rFonts w:cs="Arial"/>
                <w:sz w:val="22"/>
                <w:szCs w:val="22"/>
                <w:lang w:val="en-US"/>
              </w:rPr>
            </w:pPr>
            <w:r>
              <w:rPr>
                <w:rFonts w:cs="Arial"/>
                <w:sz w:val="22"/>
                <w:szCs w:val="22"/>
                <w:lang w:val="en-US"/>
              </w:rPr>
              <w:t>Brunswick - Coburg</w:t>
            </w:r>
          </w:p>
        </w:tc>
        <w:tc>
          <w:tcPr>
            <w:tcW w:w="1985" w:type="dxa"/>
            <w:vAlign w:val="center"/>
          </w:tcPr>
          <w:p w14:paraId="5281B35D" w14:textId="7880F4F5" w:rsidR="00FA7EFD" w:rsidRPr="008F55EC" w:rsidRDefault="00EB64C9" w:rsidP="00FA7EFD">
            <w:pPr>
              <w:jc w:val="right"/>
              <w:rPr>
                <w:rFonts w:cs="Arial"/>
                <w:sz w:val="22"/>
                <w:szCs w:val="22"/>
                <w:lang w:val="en-US"/>
              </w:rPr>
            </w:pPr>
            <w:r>
              <w:rPr>
                <w:rFonts w:cs="Arial"/>
                <w:sz w:val="22"/>
                <w:szCs w:val="22"/>
                <w:lang w:val="en-US"/>
              </w:rPr>
              <w:t>$</w:t>
            </w:r>
            <w:r w:rsidR="006760D0">
              <w:rPr>
                <w:rFonts w:cs="Arial"/>
                <w:sz w:val="22"/>
                <w:szCs w:val="22"/>
                <w:lang w:val="en-US"/>
              </w:rPr>
              <w:t>4,</w:t>
            </w:r>
            <w:r w:rsidR="000F782B">
              <w:rPr>
                <w:rFonts w:cs="Arial"/>
                <w:sz w:val="22"/>
                <w:szCs w:val="22"/>
                <w:lang w:val="en-US"/>
              </w:rPr>
              <w:t>047</w:t>
            </w:r>
            <w:r w:rsidR="000C7E20">
              <w:rPr>
                <w:rFonts w:cs="Arial"/>
                <w:sz w:val="22"/>
                <w:szCs w:val="22"/>
                <w:lang w:val="en-US"/>
              </w:rPr>
              <w:t>,000</w:t>
            </w:r>
          </w:p>
        </w:tc>
      </w:tr>
    </w:tbl>
    <w:p w14:paraId="76E2F2E2" w14:textId="0DF8D00B" w:rsidR="00F64925" w:rsidRPr="009F7577" w:rsidRDefault="006760D0" w:rsidP="00F221E1">
      <w:pPr>
        <w:pStyle w:val="Heading2"/>
        <w:rPr>
          <w:rFonts w:hint="eastAsia"/>
        </w:rPr>
      </w:pPr>
      <w:bookmarkStart w:id="56" w:name="_Toc204007207"/>
      <w:r>
        <w:t xml:space="preserve">South </w:t>
      </w:r>
      <w:proofErr w:type="spellStart"/>
      <w:r>
        <w:t>Yarra</w:t>
      </w:r>
      <w:bookmarkEnd w:id="56"/>
      <w:proofErr w:type="spellEnd"/>
    </w:p>
    <w:p w14:paraId="615ABC30" w14:textId="1EE3C810" w:rsidR="00F64925" w:rsidRDefault="000F3A62" w:rsidP="000F3A62">
      <w:pPr>
        <w:pStyle w:val="Heading3"/>
        <w:rPr>
          <w:rFonts w:hint="eastAsia"/>
        </w:rPr>
      </w:pPr>
      <w:bookmarkStart w:id="57" w:name="_Toc182490833"/>
      <w:bookmarkStart w:id="58" w:name="_Toc204007208"/>
      <w:r>
        <w:t>Table 1</w:t>
      </w:r>
      <w:r w:rsidR="00891621">
        <w:t>8</w:t>
      </w:r>
      <w:r>
        <w:t xml:space="preserve"> – Spending by category, </w:t>
      </w:r>
      <w:bookmarkEnd w:id="57"/>
      <w:r w:rsidR="0008407B">
        <w:t>Q5, 2025</w:t>
      </w:r>
      <w:bookmarkEnd w:id="58"/>
    </w:p>
    <w:tbl>
      <w:tblPr>
        <w:tblStyle w:val="TableGrid"/>
        <w:tblW w:w="0" w:type="auto"/>
        <w:tblLook w:val="04A0" w:firstRow="1" w:lastRow="0" w:firstColumn="1" w:lastColumn="0" w:noHBand="0" w:noVBand="1"/>
      </w:tblPr>
      <w:tblGrid>
        <w:gridCol w:w="1980"/>
        <w:gridCol w:w="2977"/>
      </w:tblGrid>
      <w:tr w:rsidR="00F1256F" w:rsidRPr="008F55EC" w14:paraId="6934DB95" w14:textId="77777777" w:rsidTr="007713E0">
        <w:tc>
          <w:tcPr>
            <w:tcW w:w="1980" w:type="dxa"/>
            <w:vAlign w:val="center"/>
          </w:tcPr>
          <w:p w14:paraId="4510F52E" w14:textId="77777777" w:rsidR="00F1256F" w:rsidRPr="00F64925" w:rsidRDefault="00F1256F" w:rsidP="007713E0">
            <w:pPr>
              <w:rPr>
                <w:rFonts w:cs="Arial"/>
                <w:b/>
                <w:bCs/>
                <w:sz w:val="22"/>
                <w:szCs w:val="22"/>
                <w:lang w:val="en-US"/>
              </w:rPr>
            </w:pPr>
            <w:r w:rsidRPr="00F64925">
              <w:rPr>
                <w:rFonts w:cs="Arial"/>
                <w:b/>
                <w:bCs/>
                <w:sz w:val="22"/>
                <w:szCs w:val="22"/>
                <w:lang w:val="en-US"/>
              </w:rPr>
              <w:t>Category</w:t>
            </w:r>
          </w:p>
        </w:tc>
        <w:tc>
          <w:tcPr>
            <w:tcW w:w="2977" w:type="dxa"/>
            <w:vAlign w:val="center"/>
          </w:tcPr>
          <w:p w14:paraId="369ABC41" w14:textId="77777777" w:rsidR="00F1256F" w:rsidRPr="008F55EC" w:rsidRDefault="00F1256F" w:rsidP="007713E0">
            <w:pPr>
              <w:rPr>
                <w:rFonts w:cs="Arial"/>
                <w:sz w:val="22"/>
                <w:szCs w:val="22"/>
                <w:lang w:val="en-US"/>
              </w:rPr>
            </w:pPr>
            <w:r>
              <w:rPr>
                <w:rFonts w:cs="Arial"/>
                <w:b/>
                <w:bCs/>
                <w:color w:val="000000"/>
                <w:sz w:val="22"/>
                <w:szCs w:val="22"/>
              </w:rPr>
              <w:t>Adjusted Spend</w:t>
            </w:r>
          </w:p>
        </w:tc>
      </w:tr>
      <w:tr w:rsidR="00F1256F" w:rsidRPr="008F55EC" w14:paraId="44376793" w14:textId="77777777" w:rsidTr="007713E0">
        <w:tc>
          <w:tcPr>
            <w:tcW w:w="1980" w:type="dxa"/>
            <w:vAlign w:val="center"/>
          </w:tcPr>
          <w:p w14:paraId="2BD8D865" w14:textId="15A4A7F7" w:rsidR="00F1256F" w:rsidRPr="008F55EC" w:rsidRDefault="000C7E20" w:rsidP="007713E0">
            <w:pPr>
              <w:rPr>
                <w:rFonts w:cs="Arial"/>
                <w:sz w:val="22"/>
                <w:szCs w:val="22"/>
                <w:lang w:val="en-US"/>
              </w:rPr>
            </w:pPr>
            <w:r>
              <w:rPr>
                <w:rFonts w:cs="Arial"/>
                <w:sz w:val="22"/>
                <w:szCs w:val="22"/>
                <w:lang w:val="en-US"/>
              </w:rPr>
              <w:t>Entertainment</w:t>
            </w:r>
          </w:p>
        </w:tc>
        <w:tc>
          <w:tcPr>
            <w:tcW w:w="2977" w:type="dxa"/>
            <w:vAlign w:val="center"/>
          </w:tcPr>
          <w:p w14:paraId="38F2586F" w14:textId="06424089" w:rsidR="00F1256F" w:rsidRPr="008F55EC" w:rsidRDefault="00850060" w:rsidP="00B95A9B">
            <w:pPr>
              <w:jc w:val="right"/>
              <w:rPr>
                <w:rFonts w:cs="Arial"/>
                <w:sz w:val="22"/>
                <w:szCs w:val="22"/>
                <w:lang w:val="en-US"/>
              </w:rPr>
            </w:pPr>
            <w:r>
              <w:rPr>
                <w:rFonts w:cs="Arial"/>
                <w:sz w:val="22"/>
                <w:szCs w:val="22"/>
                <w:lang w:val="en-US"/>
              </w:rPr>
              <w:t>$</w:t>
            </w:r>
            <w:r w:rsidR="0008407B">
              <w:rPr>
                <w:rFonts w:cs="Arial"/>
                <w:sz w:val="22"/>
                <w:szCs w:val="22"/>
                <w:lang w:val="en-US"/>
              </w:rPr>
              <w:t>15,</w:t>
            </w:r>
            <w:r w:rsidR="000F782B">
              <w:rPr>
                <w:rFonts w:cs="Arial"/>
                <w:sz w:val="22"/>
                <w:szCs w:val="22"/>
                <w:lang w:val="en-US"/>
              </w:rPr>
              <w:t>028</w:t>
            </w:r>
            <w:r w:rsidR="0008407B">
              <w:rPr>
                <w:rFonts w:cs="Arial"/>
                <w:sz w:val="22"/>
                <w:szCs w:val="22"/>
                <w:lang w:val="en-US"/>
              </w:rPr>
              <w:t>,000</w:t>
            </w:r>
          </w:p>
        </w:tc>
      </w:tr>
      <w:tr w:rsidR="00F1256F" w:rsidRPr="008F55EC" w14:paraId="0A8CAE5C" w14:textId="77777777" w:rsidTr="007713E0">
        <w:tc>
          <w:tcPr>
            <w:tcW w:w="1980" w:type="dxa"/>
            <w:vAlign w:val="center"/>
          </w:tcPr>
          <w:p w14:paraId="1C8D56A9" w14:textId="430EB321" w:rsidR="00F1256F" w:rsidRPr="008F55EC" w:rsidRDefault="000C7E20" w:rsidP="007713E0">
            <w:pPr>
              <w:rPr>
                <w:rFonts w:cs="Arial"/>
                <w:sz w:val="22"/>
                <w:szCs w:val="22"/>
                <w:lang w:val="en-US"/>
              </w:rPr>
            </w:pPr>
            <w:r>
              <w:rPr>
                <w:rFonts w:cs="Arial"/>
                <w:sz w:val="22"/>
                <w:szCs w:val="22"/>
                <w:lang w:val="en-US"/>
              </w:rPr>
              <w:t>Retail</w:t>
            </w:r>
          </w:p>
        </w:tc>
        <w:tc>
          <w:tcPr>
            <w:tcW w:w="2977" w:type="dxa"/>
            <w:vAlign w:val="center"/>
          </w:tcPr>
          <w:p w14:paraId="75424637" w14:textId="36B2800B" w:rsidR="00F1256F" w:rsidRPr="008F55EC" w:rsidRDefault="00850060" w:rsidP="00B95A9B">
            <w:pPr>
              <w:jc w:val="right"/>
              <w:rPr>
                <w:rFonts w:cs="Arial"/>
                <w:sz w:val="22"/>
                <w:szCs w:val="22"/>
                <w:lang w:val="en-US"/>
              </w:rPr>
            </w:pPr>
            <w:r>
              <w:rPr>
                <w:rFonts w:cs="Arial"/>
                <w:sz w:val="22"/>
                <w:szCs w:val="22"/>
                <w:lang w:val="en-US"/>
              </w:rPr>
              <w:t>$</w:t>
            </w:r>
            <w:r w:rsidR="0008407B">
              <w:rPr>
                <w:rFonts w:cs="Arial"/>
                <w:sz w:val="22"/>
                <w:szCs w:val="22"/>
                <w:lang w:val="en-US"/>
              </w:rPr>
              <w:t>9,</w:t>
            </w:r>
            <w:r w:rsidR="000F782B">
              <w:rPr>
                <w:rFonts w:cs="Arial"/>
                <w:sz w:val="22"/>
                <w:szCs w:val="22"/>
                <w:lang w:val="en-US"/>
              </w:rPr>
              <w:t>622</w:t>
            </w:r>
            <w:r w:rsidR="0008407B">
              <w:rPr>
                <w:rFonts w:cs="Arial"/>
                <w:sz w:val="22"/>
                <w:szCs w:val="22"/>
                <w:lang w:val="en-US"/>
              </w:rPr>
              <w:t>,000</w:t>
            </w:r>
          </w:p>
        </w:tc>
      </w:tr>
      <w:tr w:rsidR="00F1256F" w:rsidRPr="008F55EC" w14:paraId="6FD36665" w14:textId="77777777" w:rsidTr="007713E0">
        <w:tc>
          <w:tcPr>
            <w:tcW w:w="1980" w:type="dxa"/>
            <w:vAlign w:val="center"/>
          </w:tcPr>
          <w:p w14:paraId="5209B4FF" w14:textId="5DCC34CB" w:rsidR="00F1256F" w:rsidRDefault="000C7E20" w:rsidP="007713E0">
            <w:pPr>
              <w:rPr>
                <w:rFonts w:cs="Arial"/>
                <w:color w:val="000000"/>
                <w:sz w:val="22"/>
                <w:szCs w:val="22"/>
              </w:rPr>
            </w:pPr>
            <w:r>
              <w:rPr>
                <w:rFonts w:cs="Arial"/>
                <w:sz w:val="22"/>
                <w:szCs w:val="22"/>
                <w:lang w:val="en-US"/>
              </w:rPr>
              <w:t>Tourism</w:t>
            </w:r>
          </w:p>
        </w:tc>
        <w:tc>
          <w:tcPr>
            <w:tcW w:w="2977" w:type="dxa"/>
            <w:vAlign w:val="center"/>
          </w:tcPr>
          <w:p w14:paraId="59716F9B" w14:textId="78E6E947" w:rsidR="00F1256F" w:rsidRPr="008F55EC" w:rsidRDefault="00850060" w:rsidP="00B95A9B">
            <w:pPr>
              <w:jc w:val="right"/>
              <w:rPr>
                <w:rFonts w:cs="Arial"/>
                <w:sz w:val="22"/>
                <w:szCs w:val="22"/>
                <w:lang w:val="en-US"/>
              </w:rPr>
            </w:pPr>
            <w:r>
              <w:rPr>
                <w:rFonts w:cs="Arial"/>
                <w:sz w:val="22"/>
                <w:szCs w:val="22"/>
                <w:lang w:val="en-US"/>
              </w:rPr>
              <w:t>$</w:t>
            </w:r>
            <w:r w:rsidR="0008407B">
              <w:rPr>
                <w:rFonts w:cs="Arial"/>
                <w:sz w:val="22"/>
                <w:szCs w:val="22"/>
                <w:lang w:val="en-US"/>
              </w:rPr>
              <w:t>5,</w:t>
            </w:r>
            <w:r w:rsidR="000F782B">
              <w:rPr>
                <w:rFonts w:cs="Arial"/>
                <w:sz w:val="22"/>
                <w:szCs w:val="22"/>
                <w:lang w:val="en-US"/>
              </w:rPr>
              <w:t>397</w:t>
            </w:r>
            <w:r w:rsidR="0008407B">
              <w:rPr>
                <w:rFonts w:cs="Arial"/>
                <w:sz w:val="22"/>
                <w:szCs w:val="22"/>
                <w:lang w:val="en-US"/>
              </w:rPr>
              <w:t>,000</w:t>
            </w:r>
          </w:p>
        </w:tc>
      </w:tr>
      <w:tr w:rsidR="00F1256F" w:rsidRPr="008F55EC" w14:paraId="593ACD50" w14:textId="77777777" w:rsidTr="007713E0">
        <w:tc>
          <w:tcPr>
            <w:tcW w:w="1980" w:type="dxa"/>
            <w:vAlign w:val="center"/>
          </w:tcPr>
          <w:p w14:paraId="1C0C2FC6" w14:textId="2A73395E" w:rsidR="00F1256F" w:rsidRDefault="00D24DA3" w:rsidP="007713E0">
            <w:pPr>
              <w:rPr>
                <w:rFonts w:cs="Arial"/>
                <w:color w:val="000000"/>
                <w:sz w:val="22"/>
                <w:szCs w:val="22"/>
              </w:rPr>
            </w:pPr>
            <w:r>
              <w:rPr>
                <w:rFonts w:cs="Arial"/>
                <w:sz w:val="22"/>
                <w:szCs w:val="22"/>
                <w:lang w:val="en-US"/>
              </w:rPr>
              <w:t>Commercial</w:t>
            </w:r>
          </w:p>
        </w:tc>
        <w:tc>
          <w:tcPr>
            <w:tcW w:w="2977" w:type="dxa"/>
            <w:vAlign w:val="center"/>
          </w:tcPr>
          <w:p w14:paraId="1A9174CE" w14:textId="4D904D57" w:rsidR="00F1256F" w:rsidRPr="008F55EC" w:rsidRDefault="00850060" w:rsidP="00B95A9B">
            <w:pPr>
              <w:jc w:val="right"/>
              <w:rPr>
                <w:rFonts w:cs="Arial"/>
                <w:sz w:val="22"/>
                <w:szCs w:val="22"/>
                <w:lang w:val="en-US"/>
              </w:rPr>
            </w:pPr>
            <w:r>
              <w:rPr>
                <w:rFonts w:cs="Arial"/>
                <w:sz w:val="22"/>
                <w:szCs w:val="22"/>
                <w:lang w:val="en-US"/>
              </w:rPr>
              <w:t>$</w:t>
            </w:r>
            <w:r w:rsidR="000F782B">
              <w:rPr>
                <w:rFonts w:cs="Arial"/>
                <w:sz w:val="22"/>
                <w:szCs w:val="22"/>
                <w:lang w:val="en-US"/>
              </w:rPr>
              <w:t>633</w:t>
            </w:r>
            <w:r w:rsidR="0008407B">
              <w:rPr>
                <w:rFonts w:cs="Arial"/>
                <w:sz w:val="22"/>
                <w:szCs w:val="22"/>
                <w:lang w:val="en-US"/>
              </w:rPr>
              <w:t>,000</w:t>
            </w:r>
          </w:p>
        </w:tc>
      </w:tr>
    </w:tbl>
    <w:p w14:paraId="6B41114A" w14:textId="77777777" w:rsidR="004679BC" w:rsidRDefault="004679BC">
      <w:pPr>
        <w:spacing w:after="0" w:line="240" w:lineRule="auto"/>
        <w:rPr>
          <w:rFonts w:ascii="Arial Bold" w:eastAsia="MS Gothic" w:hAnsi="Arial Bold" w:hint="eastAsia"/>
          <w:sz w:val="22"/>
          <w:szCs w:val="26"/>
          <w:lang w:val="en-US"/>
        </w:rPr>
      </w:pPr>
      <w:bookmarkStart w:id="59" w:name="_Toc182490834"/>
      <w:bookmarkStart w:id="60" w:name="_Toc204007209"/>
      <w:r>
        <w:rPr>
          <w:rFonts w:hint="eastAsia"/>
        </w:rPr>
        <w:br w:type="page"/>
      </w:r>
    </w:p>
    <w:p w14:paraId="70F25F5E" w14:textId="644FFA45" w:rsidR="00F64925" w:rsidRDefault="00F64925" w:rsidP="00F64925">
      <w:pPr>
        <w:pStyle w:val="Heading3"/>
        <w:rPr>
          <w:rFonts w:hint="eastAsia"/>
        </w:rPr>
      </w:pPr>
      <w:r>
        <w:lastRenderedPageBreak/>
        <w:t xml:space="preserve">Table </w:t>
      </w:r>
      <w:r w:rsidR="00891621">
        <w:t>19</w:t>
      </w:r>
      <w:r>
        <w:t xml:space="preserve"> – Work hours and non-work hours spend</w:t>
      </w:r>
      <w:r w:rsidR="00CA203B">
        <w:t>ing</w:t>
      </w:r>
      <w:r w:rsidR="00B776A9">
        <w:t xml:space="preserve"> in </w:t>
      </w:r>
      <w:bookmarkEnd w:id="59"/>
      <w:r w:rsidR="0008407B">
        <w:t xml:space="preserve">South </w:t>
      </w:r>
      <w:proofErr w:type="spellStart"/>
      <w:r w:rsidR="0008407B">
        <w:t>Yarra</w:t>
      </w:r>
      <w:proofErr w:type="spellEnd"/>
      <w:r w:rsidR="0008407B">
        <w:t>, Q1 2025</w:t>
      </w:r>
      <w:bookmarkEnd w:id="60"/>
    </w:p>
    <w:tbl>
      <w:tblPr>
        <w:tblStyle w:val="TableGrid"/>
        <w:tblW w:w="0" w:type="auto"/>
        <w:tblLook w:val="04A0" w:firstRow="1" w:lastRow="0" w:firstColumn="1" w:lastColumn="0" w:noHBand="0" w:noVBand="1"/>
      </w:tblPr>
      <w:tblGrid>
        <w:gridCol w:w="2689"/>
        <w:gridCol w:w="2268"/>
        <w:gridCol w:w="3118"/>
      </w:tblGrid>
      <w:tr w:rsidR="00F64925" w:rsidRPr="008F55EC" w14:paraId="54036F09" w14:textId="77777777" w:rsidTr="007713E0">
        <w:tc>
          <w:tcPr>
            <w:tcW w:w="2689" w:type="dxa"/>
            <w:vAlign w:val="center"/>
          </w:tcPr>
          <w:p w14:paraId="003D56F8" w14:textId="77777777" w:rsidR="00F64925" w:rsidRPr="00F64925" w:rsidRDefault="00F64925" w:rsidP="007713E0">
            <w:pPr>
              <w:rPr>
                <w:rFonts w:cs="Arial"/>
                <w:b/>
                <w:bCs/>
                <w:sz w:val="22"/>
                <w:szCs w:val="22"/>
                <w:lang w:val="en-US"/>
              </w:rPr>
            </w:pPr>
            <w:r>
              <w:rPr>
                <w:rFonts w:cs="Arial"/>
                <w:b/>
                <w:bCs/>
                <w:sz w:val="22"/>
                <w:szCs w:val="22"/>
                <w:lang w:val="en-US"/>
              </w:rPr>
              <w:t>Time Period</w:t>
            </w:r>
          </w:p>
        </w:tc>
        <w:tc>
          <w:tcPr>
            <w:tcW w:w="2268" w:type="dxa"/>
            <w:vAlign w:val="center"/>
          </w:tcPr>
          <w:p w14:paraId="4C3E058A" w14:textId="77777777" w:rsidR="00F64925" w:rsidRPr="008F55EC" w:rsidRDefault="00F64925" w:rsidP="007713E0">
            <w:pPr>
              <w:rPr>
                <w:rFonts w:cs="Arial"/>
                <w:sz w:val="22"/>
                <w:szCs w:val="22"/>
                <w:lang w:val="en-US"/>
              </w:rPr>
            </w:pPr>
            <w:r>
              <w:rPr>
                <w:rFonts w:cs="Arial"/>
                <w:b/>
                <w:bCs/>
                <w:color w:val="000000"/>
                <w:sz w:val="22"/>
                <w:szCs w:val="22"/>
              </w:rPr>
              <w:t>Adjusted Spend</w:t>
            </w:r>
          </w:p>
        </w:tc>
        <w:tc>
          <w:tcPr>
            <w:tcW w:w="3118" w:type="dxa"/>
          </w:tcPr>
          <w:p w14:paraId="026767BD" w14:textId="77777777" w:rsidR="00F64925" w:rsidRDefault="00F64925" w:rsidP="007713E0">
            <w:pPr>
              <w:rPr>
                <w:rFonts w:cs="Arial"/>
                <w:b/>
                <w:bCs/>
                <w:color w:val="000000"/>
                <w:sz w:val="22"/>
                <w:szCs w:val="22"/>
              </w:rPr>
            </w:pPr>
            <w:r>
              <w:rPr>
                <w:rFonts w:cs="Arial"/>
                <w:b/>
                <w:bCs/>
                <w:color w:val="000000"/>
                <w:sz w:val="22"/>
                <w:szCs w:val="22"/>
              </w:rPr>
              <w:t>Percent of Average Spend</w:t>
            </w:r>
          </w:p>
        </w:tc>
      </w:tr>
      <w:tr w:rsidR="00F64925" w:rsidRPr="008F55EC" w14:paraId="1C622F60" w14:textId="77777777" w:rsidTr="007713E0">
        <w:tc>
          <w:tcPr>
            <w:tcW w:w="2689" w:type="dxa"/>
            <w:vAlign w:val="center"/>
          </w:tcPr>
          <w:p w14:paraId="22C7A103" w14:textId="77777777" w:rsidR="00F64925" w:rsidRPr="008F55EC" w:rsidRDefault="00F64925" w:rsidP="007713E0">
            <w:pPr>
              <w:rPr>
                <w:rFonts w:cs="Arial"/>
                <w:sz w:val="22"/>
                <w:szCs w:val="22"/>
                <w:lang w:val="en-US"/>
              </w:rPr>
            </w:pPr>
            <w:r>
              <w:rPr>
                <w:rFonts w:cs="Arial"/>
                <w:color w:val="000000"/>
                <w:sz w:val="22"/>
                <w:szCs w:val="22"/>
              </w:rPr>
              <w:t>Work hours</w:t>
            </w:r>
          </w:p>
        </w:tc>
        <w:tc>
          <w:tcPr>
            <w:tcW w:w="2268" w:type="dxa"/>
            <w:vAlign w:val="center"/>
          </w:tcPr>
          <w:p w14:paraId="5F78BA6B" w14:textId="74FDA521" w:rsidR="00F64925" w:rsidRPr="008F55EC" w:rsidRDefault="00B95A9B" w:rsidP="00B95A9B">
            <w:pPr>
              <w:jc w:val="right"/>
              <w:rPr>
                <w:rFonts w:cs="Arial"/>
                <w:sz w:val="22"/>
                <w:szCs w:val="22"/>
                <w:lang w:val="en-US"/>
              </w:rPr>
            </w:pPr>
            <w:r>
              <w:rPr>
                <w:rFonts w:cs="Arial"/>
                <w:sz w:val="22"/>
                <w:szCs w:val="22"/>
                <w:lang w:val="en-US"/>
              </w:rPr>
              <w:t>$</w:t>
            </w:r>
            <w:r w:rsidR="00AD184C">
              <w:rPr>
                <w:rFonts w:cs="Arial"/>
                <w:sz w:val="22"/>
                <w:szCs w:val="22"/>
                <w:lang w:val="en-US"/>
              </w:rPr>
              <w:t>1</w:t>
            </w:r>
            <w:r w:rsidR="0008407B">
              <w:rPr>
                <w:rFonts w:cs="Arial"/>
                <w:sz w:val="22"/>
                <w:szCs w:val="22"/>
                <w:lang w:val="en-US"/>
              </w:rPr>
              <w:t>3</w:t>
            </w:r>
            <w:r>
              <w:rPr>
                <w:rFonts w:cs="Arial"/>
                <w:sz w:val="22"/>
                <w:szCs w:val="22"/>
                <w:lang w:val="en-US"/>
              </w:rPr>
              <w:t>,000,000</w:t>
            </w:r>
          </w:p>
        </w:tc>
        <w:tc>
          <w:tcPr>
            <w:tcW w:w="3118" w:type="dxa"/>
          </w:tcPr>
          <w:p w14:paraId="35947BE7" w14:textId="301B6D40" w:rsidR="00F64925" w:rsidRPr="008F55EC" w:rsidRDefault="0008407B" w:rsidP="00B95A9B">
            <w:pPr>
              <w:jc w:val="right"/>
              <w:rPr>
                <w:rFonts w:cs="Arial"/>
                <w:sz w:val="22"/>
                <w:szCs w:val="22"/>
                <w:lang w:val="en-US"/>
              </w:rPr>
            </w:pPr>
            <w:r>
              <w:rPr>
                <w:rFonts w:cs="Arial"/>
                <w:sz w:val="22"/>
                <w:szCs w:val="22"/>
                <w:lang w:val="en-US"/>
              </w:rPr>
              <w:t>42</w:t>
            </w:r>
            <w:r w:rsidR="00B95A9B">
              <w:rPr>
                <w:rFonts w:cs="Arial"/>
                <w:sz w:val="22"/>
                <w:szCs w:val="22"/>
                <w:lang w:val="en-US"/>
              </w:rPr>
              <w:t>%</w:t>
            </w:r>
          </w:p>
        </w:tc>
      </w:tr>
      <w:tr w:rsidR="00F64925" w:rsidRPr="008F55EC" w14:paraId="2D8EC084" w14:textId="77777777" w:rsidTr="007713E0">
        <w:tc>
          <w:tcPr>
            <w:tcW w:w="2689" w:type="dxa"/>
            <w:vAlign w:val="center"/>
          </w:tcPr>
          <w:p w14:paraId="7DC04346" w14:textId="77777777" w:rsidR="00F64925" w:rsidRPr="008F55EC" w:rsidRDefault="00F64925" w:rsidP="007713E0">
            <w:pPr>
              <w:rPr>
                <w:rFonts w:cs="Arial"/>
                <w:sz w:val="22"/>
                <w:szCs w:val="22"/>
                <w:lang w:val="en-US"/>
              </w:rPr>
            </w:pPr>
            <w:r>
              <w:rPr>
                <w:rFonts w:cs="Arial"/>
                <w:color w:val="000000"/>
                <w:sz w:val="22"/>
                <w:szCs w:val="22"/>
              </w:rPr>
              <w:t>Non-work hours</w:t>
            </w:r>
          </w:p>
        </w:tc>
        <w:tc>
          <w:tcPr>
            <w:tcW w:w="2268" w:type="dxa"/>
            <w:vAlign w:val="center"/>
          </w:tcPr>
          <w:p w14:paraId="53E1C69F" w14:textId="73E9AB43" w:rsidR="00F64925" w:rsidRPr="008F55EC" w:rsidRDefault="00B95A9B" w:rsidP="00B95A9B">
            <w:pPr>
              <w:jc w:val="right"/>
              <w:rPr>
                <w:rFonts w:cs="Arial"/>
                <w:sz w:val="22"/>
                <w:szCs w:val="22"/>
                <w:lang w:val="en-US"/>
              </w:rPr>
            </w:pPr>
            <w:r>
              <w:rPr>
                <w:rFonts w:cs="Arial"/>
                <w:sz w:val="22"/>
                <w:szCs w:val="22"/>
                <w:lang w:val="en-US"/>
              </w:rPr>
              <w:t>$</w:t>
            </w:r>
            <w:r w:rsidR="0008407B">
              <w:rPr>
                <w:rFonts w:cs="Arial"/>
                <w:sz w:val="22"/>
                <w:szCs w:val="22"/>
                <w:lang w:val="en-US"/>
              </w:rPr>
              <w:t>18,000,000</w:t>
            </w:r>
          </w:p>
        </w:tc>
        <w:tc>
          <w:tcPr>
            <w:tcW w:w="3118" w:type="dxa"/>
          </w:tcPr>
          <w:p w14:paraId="178D94B6" w14:textId="1DBC824B" w:rsidR="00F64925" w:rsidRPr="008F55EC" w:rsidRDefault="0008407B" w:rsidP="00B95A9B">
            <w:pPr>
              <w:jc w:val="right"/>
              <w:rPr>
                <w:rFonts w:cs="Arial"/>
                <w:sz w:val="22"/>
                <w:szCs w:val="22"/>
                <w:lang w:val="en-US"/>
              </w:rPr>
            </w:pPr>
            <w:r>
              <w:rPr>
                <w:rFonts w:cs="Arial"/>
                <w:sz w:val="22"/>
                <w:szCs w:val="22"/>
                <w:lang w:val="en-US"/>
              </w:rPr>
              <w:t>58</w:t>
            </w:r>
            <w:r w:rsidR="00B95A9B">
              <w:rPr>
                <w:rFonts w:cs="Arial"/>
                <w:sz w:val="22"/>
                <w:szCs w:val="22"/>
                <w:lang w:val="en-US"/>
              </w:rPr>
              <w:t>%</w:t>
            </w:r>
          </w:p>
        </w:tc>
      </w:tr>
    </w:tbl>
    <w:p w14:paraId="3196D9FD" w14:textId="25BA42D1" w:rsidR="005B476C" w:rsidRDefault="005B476C" w:rsidP="005B476C">
      <w:pPr>
        <w:pStyle w:val="ListParagraph"/>
        <w:numPr>
          <w:ilvl w:val="0"/>
          <w:numId w:val="21"/>
        </w:numPr>
      </w:pPr>
      <w:r w:rsidRPr="005B476C">
        <w:t>Work hours are 8am to 6pm, Monday to Friday.</w:t>
      </w:r>
    </w:p>
    <w:p w14:paraId="7854EA9E" w14:textId="24C8DA1A" w:rsidR="005B476C" w:rsidRDefault="005B476C" w:rsidP="005B476C">
      <w:pPr>
        <w:pStyle w:val="Heading3"/>
        <w:rPr>
          <w:rFonts w:hint="eastAsia"/>
        </w:rPr>
      </w:pPr>
      <w:bookmarkStart w:id="61" w:name="_Toc182490835"/>
      <w:bookmarkStart w:id="62" w:name="_Toc204007210"/>
      <w:r>
        <w:t>Table 2</w:t>
      </w:r>
      <w:r w:rsidR="00891621">
        <w:t>0</w:t>
      </w:r>
      <w:r>
        <w:t xml:space="preserve"> – </w:t>
      </w:r>
      <w:r w:rsidRPr="002031FC">
        <w:t>Weekday and weekend spend</w:t>
      </w:r>
      <w:r w:rsidR="00CA203B">
        <w:t>ing</w:t>
      </w:r>
      <w:r w:rsidRPr="002031FC">
        <w:t xml:space="preserve"> in </w:t>
      </w:r>
      <w:bookmarkEnd w:id="61"/>
      <w:r w:rsidR="0008407B">
        <w:t xml:space="preserve">South </w:t>
      </w:r>
      <w:proofErr w:type="spellStart"/>
      <w:r w:rsidR="0008407B">
        <w:t>Yarra</w:t>
      </w:r>
      <w:proofErr w:type="spellEnd"/>
      <w:r w:rsidR="0008407B">
        <w:t>, Q1 2025</w:t>
      </w:r>
      <w:bookmarkEnd w:id="62"/>
    </w:p>
    <w:tbl>
      <w:tblPr>
        <w:tblStyle w:val="TableGrid"/>
        <w:tblW w:w="0" w:type="auto"/>
        <w:tblLook w:val="04A0" w:firstRow="1" w:lastRow="0" w:firstColumn="1" w:lastColumn="0" w:noHBand="0" w:noVBand="1"/>
      </w:tblPr>
      <w:tblGrid>
        <w:gridCol w:w="2689"/>
        <w:gridCol w:w="2268"/>
        <w:gridCol w:w="3118"/>
      </w:tblGrid>
      <w:tr w:rsidR="005B476C" w:rsidRPr="008F55EC" w14:paraId="4860EF49" w14:textId="77777777" w:rsidTr="007713E0">
        <w:tc>
          <w:tcPr>
            <w:tcW w:w="2689" w:type="dxa"/>
            <w:vAlign w:val="center"/>
          </w:tcPr>
          <w:p w14:paraId="6CB99A18" w14:textId="77777777" w:rsidR="005B476C" w:rsidRPr="00F64925" w:rsidRDefault="005B476C" w:rsidP="007713E0">
            <w:pPr>
              <w:rPr>
                <w:rFonts w:cs="Arial"/>
                <w:b/>
                <w:bCs/>
                <w:sz w:val="22"/>
                <w:szCs w:val="22"/>
                <w:lang w:val="en-US"/>
              </w:rPr>
            </w:pPr>
            <w:r>
              <w:rPr>
                <w:rFonts w:cs="Arial"/>
                <w:b/>
                <w:bCs/>
                <w:sz w:val="22"/>
                <w:szCs w:val="22"/>
                <w:lang w:val="en-US"/>
              </w:rPr>
              <w:t>Time Period</w:t>
            </w:r>
          </w:p>
        </w:tc>
        <w:tc>
          <w:tcPr>
            <w:tcW w:w="2268" w:type="dxa"/>
            <w:vAlign w:val="center"/>
          </w:tcPr>
          <w:p w14:paraId="27597DBC" w14:textId="77777777" w:rsidR="005B476C" w:rsidRPr="008F55EC" w:rsidRDefault="005B476C" w:rsidP="007713E0">
            <w:pPr>
              <w:rPr>
                <w:rFonts w:cs="Arial"/>
                <w:sz w:val="22"/>
                <w:szCs w:val="22"/>
                <w:lang w:val="en-US"/>
              </w:rPr>
            </w:pPr>
            <w:r>
              <w:rPr>
                <w:rFonts w:cs="Arial"/>
                <w:b/>
                <w:bCs/>
                <w:color w:val="000000"/>
                <w:sz w:val="22"/>
                <w:szCs w:val="22"/>
              </w:rPr>
              <w:t>Adjusted Spend</w:t>
            </w:r>
          </w:p>
        </w:tc>
        <w:tc>
          <w:tcPr>
            <w:tcW w:w="3118" w:type="dxa"/>
          </w:tcPr>
          <w:p w14:paraId="2F39683E" w14:textId="77777777" w:rsidR="005B476C" w:rsidRDefault="005B476C" w:rsidP="007713E0">
            <w:pPr>
              <w:rPr>
                <w:rFonts w:cs="Arial"/>
                <w:b/>
                <w:bCs/>
                <w:color w:val="000000"/>
                <w:sz w:val="22"/>
                <w:szCs w:val="22"/>
              </w:rPr>
            </w:pPr>
            <w:r>
              <w:rPr>
                <w:rFonts w:cs="Arial"/>
                <w:b/>
                <w:bCs/>
                <w:color w:val="000000"/>
                <w:sz w:val="22"/>
                <w:szCs w:val="22"/>
              </w:rPr>
              <w:t>Percent of Average Spend</w:t>
            </w:r>
          </w:p>
        </w:tc>
      </w:tr>
      <w:tr w:rsidR="005B476C" w:rsidRPr="008F55EC" w14:paraId="2B2F8104" w14:textId="77777777" w:rsidTr="007713E0">
        <w:tc>
          <w:tcPr>
            <w:tcW w:w="2689" w:type="dxa"/>
            <w:vAlign w:val="center"/>
          </w:tcPr>
          <w:p w14:paraId="49C8986A" w14:textId="77777777" w:rsidR="005B476C" w:rsidRPr="008F55EC" w:rsidRDefault="005B476C" w:rsidP="007713E0">
            <w:pPr>
              <w:rPr>
                <w:rFonts w:cs="Arial"/>
                <w:sz w:val="22"/>
                <w:szCs w:val="22"/>
                <w:lang w:val="en-US"/>
              </w:rPr>
            </w:pPr>
            <w:r>
              <w:rPr>
                <w:rFonts w:cs="Arial"/>
                <w:color w:val="000000"/>
                <w:sz w:val="22"/>
                <w:szCs w:val="22"/>
              </w:rPr>
              <w:t>Weekdays</w:t>
            </w:r>
          </w:p>
        </w:tc>
        <w:tc>
          <w:tcPr>
            <w:tcW w:w="2268" w:type="dxa"/>
            <w:vAlign w:val="center"/>
          </w:tcPr>
          <w:p w14:paraId="2F8BECA1" w14:textId="71371BA1" w:rsidR="005B476C" w:rsidRPr="008F55EC" w:rsidRDefault="00B95A9B" w:rsidP="00B95A9B">
            <w:pPr>
              <w:jc w:val="right"/>
              <w:rPr>
                <w:rFonts w:cs="Arial"/>
                <w:sz w:val="22"/>
                <w:szCs w:val="22"/>
                <w:lang w:val="en-US"/>
              </w:rPr>
            </w:pPr>
            <w:r>
              <w:rPr>
                <w:rFonts w:cs="Arial"/>
                <w:sz w:val="22"/>
                <w:szCs w:val="22"/>
                <w:lang w:val="en-US"/>
              </w:rPr>
              <w:t>$</w:t>
            </w:r>
            <w:r w:rsidR="000C7E20">
              <w:rPr>
                <w:rFonts w:cs="Arial"/>
                <w:sz w:val="22"/>
                <w:szCs w:val="22"/>
                <w:lang w:val="en-US"/>
              </w:rPr>
              <w:t>24</w:t>
            </w:r>
            <w:r>
              <w:rPr>
                <w:rFonts w:cs="Arial"/>
                <w:sz w:val="22"/>
                <w:szCs w:val="22"/>
                <w:lang w:val="en-US"/>
              </w:rPr>
              <w:t>,000,000</w:t>
            </w:r>
          </w:p>
        </w:tc>
        <w:tc>
          <w:tcPr>
            <w:tcW w:w="3118" w:type="dxa"/>
          </w:tcPr>
          <w:p w14:paraId="2601B954" w14:textId="30FEFD6A" w:rsidR="005B476C" w:rsidRPr="008F55EC" w:rsidRDefault="000C7E20" w:rsidP="00B95A9B">
            <w:pPr>
              <w:jc w:val="right"/>
              <w:rPr>
                <w:rFonts w:cs="Arial"/>
                <w:sz w:val="22"/>
                <w:szCs w:val="22"/>
                <w:lang w:val="en-US"/>
              </w:rPr>
            </w:pPr>
            <w:r>
              <w:rPr>
                <w:rFonts w:cs="Arial"/>
                <w:sz w:val="22"/>
                <w:szCs w:val="22"/>
                <w:lang w:val="en-US"/>
              </w:rPr>
              <w:t>7</w:t>
            </w:r>
            <w:r w:rsidR="0008407B">
              <w:rPr>
                <w:rFonts w:cs="Arial"/>
                <w:sz w:val="22"/>
                <w:szCs w:val="22"/>
                <w:lang w:val="en-US"/>
              </w:rPr>
              <w:t>7</w:t>
            </w:r>
            <w:r w:rsidR="00B95A9B">
              <w:rPr>
                <w:rFonts w:cs="Arial"/>
                <w:sz w:val="22"/>
                <w:szCs w:val="22"/>
                <w:lang w:val="en-US"/>
              </w:rPr>
              <w:t>%</w:t>
            </w:r>
          </w:p>
        </w:tc>
      </w:tr>
      <w:tr w:rsidR="005B476C" w:rsidRPr="008F55EC" w14:paraId="5FE9E507" w14:textId="77777777" w:rsidTr="007713E0">
        <w:tc>
          <w:tcPr>
            <w:tcW w:w="2689" w:type="dxa"/>
            <w:vAlign w:val="center"/>
          </w:tcPr>
          <w:p w14:paraId="58754474" w14:textId="77777777" w:rsidR="005B476C" w:rsidRPr="008F55EC" w:rsidRDefault="005B476C" w:rsidP="007713E0">
            <w:pPr>
              <w:rPr>
                <w:rFonts w:cs="Arial"/>
                <w:sz w:val="22"/>
                <w:szCs w:val="22"/>
                <w:lang w:val="en-US"/>
              </w:rPr>
            </w:pPr>
            <w:r>
              <w:rPr>
                <w:rFonts w:cs="Arial"/>
                <w:color w:val="000000"/>
                <w:sz w:val="22"/>
                <w:szCs w:val="22"/>
              </w:rPr>
              <w:t>Weekends</w:t>
            </w:r>
          </w:p>
        </w:tc>
        <w:tc>
          <w:tcPr>
            <w:tcW w:w="2268" w:type="dxa"/>
            <w:vAlign w:val="center"/>
          </w:tcPr>
          <w:p w14:paraId="25CFF35A" w14:textId="38580F02" w:rsidR="005B476C" w:rsidRPr="008F55EC" w:rsidRDefault="00B95A9B" w:rsidP="00B95A9B">
            <w:pPr>
              <w:jc w:val="right"/>
              <w:rPr>
                <w:rFonts w:cs="Arial"/>
                <w:sz w:val="22"/>
                <w:szCs w:val="22"/>
                <w:lang w:val="en-US"/>
              </w:rPr>
            </w:pPr>
            <w:r>
              <w:rPr>
                <w:rFonts w:cs="Arial"/>
                <w:sz w:val="22"/>
                <w:szCs w:val="22"/>
                <w:lang w:val="en-US"/>
              </w:rPr>
              <w:t>$</w:t>
            </w:r>
            <w:r w:rsidR="0008407B">
              <w:rPr>
                <w:rFonts w:cs="Arial"/>
                <w:sz w:val="22"/>
                <w:szCs w:val="22"/>
                <w:lang w:val="en-US"/>
              </w:rPr>
              <w:t>7</w:t>
            </w:r>
            <w:r>
              <w:rPr>
                <w:rFonts w:cs="Arial"/>
                <w:sz w:val="22"/>
                <w:szCs w:val="22"/>
                <w:lang w:val="en-US"/>
              </w:rPr>
              <w:t>,000,000</w:t>
            </w:r>
          </w:p>
        </w:tc>
        <w:tc>
          <w:tcPr>
            <w:tcW w:w="3118" w:type="dxa"/>
          </w:tcPr>
          <w:p w14:paraId="35B79C09" w14:textId="28654B00" w:rsidR="005B476C" w:rsidRPr="008F55EC" w:rsidRDefault="0008407B" w:rsidP="00B95A9B">
            <w:pPr>
              <w:jc w:val="right"/>
              <w:rPr>
                <w:rFonts w:cs="Arial"/>
                <w:sz w:val="22"/>
                <w:szCs w:val="22"/>
                <w:lang w:val="en-US"/>
              </w:rPr>
            </w:pPr>
            <w:r>
              <w:rPr>
                <w:rFonts w:cs="Arial"/>
                <w:sz w:val="22"/>
                <w:szCs w:val="22"/>
                <w:lang w:val="en-US"/>
              </w:rPr>
              <w:t>23</w:t>
            </w:r>
            <w:r w:rsidR="00B95A9B">
              <w:rPr>
                <w:rFonts w:cs="Arial"/>
                <w:sz w:val="22"/>
                <w:szCs w:val="22"/>
                <w:lang w:val="en-US"/>
              </w:rPr>
              <w:t>%</w:t>
            </w:r>
          </w:p>
        </w:tc>
      </w:tr>
    </w:tbl>
    <w:p w14:paraId="1D418280" w14:textId="00459BD9" w:rsidR="00F64925" w:rsidRDefault="00F64925" w:rsidP="00F64925">
      <w:pPr>
        <w:pStyle w:val="Heading3"/>
        <w:rPr>
          <w:rFonts w:hint="eastAsia"/>
        </w:rPr>
      </w:pPr>
      <w:bookmarkStart w:id="63" w:name="_Toc182490836"/>
      <w:bookmarkStart w:id="64" w:name="_Toc204007211"/>
      <w:r>
        <w:t>Table 2</w:t>
      </w:r>
      <w:r w:rsidR="00891621">
        <w:t>1</w:t>
      </w:r>
      <w:r w:rsidR="005B476C">
        <w:t>.</w:t>
      </w:r>
      <w:r w:rsidR="002F4DE8">
        <w:t>a</w:t>
      </w:r>
      <w:r>
        <w:t xml:space="preserve"> – </w:t>
      </w:r>
      <w:r w:rsidR="005B476C" w:rsidRPr="005B476C">
        <w:t xml:space="preserve">Where spending in </w:t>
      </w:r>
      <w:r w:rsidR="0008407B">
        <w:t xml:space="preserve">South </w:t>
      </w:r>
      <w:proofErr w:type="spellStart"/>
      <w:r w:rsidR="0008407B">
        <w:t>Yarra</w:t>
      </w:r>
      <w:proofErr w:type="spellEnd"/>
      <w:r w:rsidR="009B2762" w:rsidRPr="005B476C">
        <w:t xml:space="preserve"> </w:t>
      </w:r>
      <w:r w:rsidR="005B476C" w:rsidRPr="005B476C">
        <w:t>came from, Q</w:t>
      </w:r>
      <w:r w:rsidR="0008407B">
        <w:t>1</w:t>
      </w:r>
      <w:r w:rsidR="005B476C" w:rsidRPr="005B476C">
        <w:t xml:space="preserve"> 202</w:t>
      </w:r>
      <w:bookmarkEnd w:id="63"/>
      <w:r w:rsidR="0008407B">
        <w:t>5</w:t>
      </w:r>
      <w:bookmarkEnd w:id="64"/>
    </w:p>
    <w:tbl>
      <w:tblPr>
        <w:tblStyle w:val="TableGrid"/>
        <w:tblW w:w="0" w:type="auto"/>
        <w:tblLook w:val="04A0" w:firstRow="1" w:lastRow="0" w:firstColumn="1" w:lastColumn="0" w:noHBand="0" w:noVBand="1"/>
      </w:tblPr>
      <w:tblGrid>
        <w:gridCol w:w="2972"/>
        <w:gridCol w:w="1985"/>
        <w:gridCol w:w="3118"/>
      </w:tblGrid>
      <w:tr w:rsidR="00BA5216" w:rsidRPr="008F55EC" w14:paraId="3CDFE7C2" w14:textId="77777777" w:rsidTr="007713E0">
        <w:tc>
          <w:tcPr>
            <w:tcW w:w="2972" w:type="dxa"/>
            <w:vAlign w:val="center"/>
          </w:tcPr>
          <w:p w14:paraId="108D6239" w14:textId="77777777" w:rsidR="00BA5216" w:rsidRPr="00F64925" w:rsidRDefault="00BA5216" w:rsidP="007713E0">
            <w:pPr>
              <w:rPr>
                <w:rFonts w:cs="Arial"/>
                <w:b/>
                <w:bCs/>
                <w:sz w:val="22"/>
                <w:szCs w:val="22"/>
                <w:lang w:val="en-US"/>
              </w:rPr>
            </w:pPr>
            <w:r>
              <w:rPr>
                <w:rFonts w:cs="Arial"/>
                <w:b/>
                <w:bCs/>
                <w:sz w:val="22"/>
                <w:szCs w:val="22"/>
                <w:lang w:val="en-US"/>
              </w:rPr>
              <w:t>Customer Type</w:t>
            </w:r>
          </w:p>
        </w:tc>
        <w:tc>
          <w:tcPr>
            <w:tcW w:w="1985" w:type="dxa"/>
            <w:vAlign w:val="center"/>
          </w:tcPr>
          <w:p w14:paraId="1AFDEED0" w14:textId="77777777" w:rsidR="00BA5216" w:rsidRPr="008F55EC" w:rsidRDefault="00BA5216" w:rsidP="007713E0">
            <w:pPr>
              <w:rPr>
                <w:rFonts w:cs="Arial"/>
                <w:sz w:val="22"/>
                <w:szCs w:val="22"/>
                <w:lang w:val="en-US"/>
              </w:rPr>
            </w:pPr>
            <w:r>
              <w:rPr>
                <w:rFonts w:cs="Arial"/>
                <w:b/>
                <w:bCs/>
                <w:color w:val="000000"/>
                <w:sz w:val="22"/>
                <w:szCs w:val="22"/>
              </w:rPr>
              <w:t>Adjusted Spend</w:t>
            </w:r>
          </w:p>
        </w:tc>
        <w:tc>
          <w:tcPr>
            <w:tcW w:w="3118" w:type="dxa"/>
          </w:tcPr>
          <w:p w14:paraId="1ABF6DB1" w14:textId="77777777" w:rsidR="00BA5216" w:rsidRDefault="00BA5216" w:rsidP="007713E0">
            <w:pPr>
              <w:rPr>
                <w:rFonts w:cs="Arial"/>
                <w:b/>
                <w:bCs/>
                <w:color w:val="000000"/>
                <w:sz w:val="22"/>
                <w:szCs w:val="22"/>
              </w:rPr>
            </w:pPr>
            <w:r>
              <w:rPr>
                <w:rFonts w:cs="Arial"/>
                <w:b/>
                <w:bCs/>
                <w:color w:val="000000"/>
                <w:sz w:val="22"/>
                <w:szCs w:val="22"/>
              </w:rPr>
              <w:t>Percent of Average Spend</w:t>
            </w:r>
          </w:p>
        </w:tc>
      </w:tr>
      <w:tr w:rsidR="00BA5216" w:rsidRPr="008F55EC" w14:paraId="052BE35B" w14:textId="77777777" w:rsidTr="007713E0">
        <w:tc>
          <w:tcPr>
            <w:tcW w:w="2972" w:type="dxa"/>
            <w:vAlign w:val="center"/>
          </w:tcPr>
          <w:p w14:paraId="74CAC9C0" w14:textId="77777777" w:rsidR="00BA5216" w:rsidRPr="008F55EC" w:rsidRDefault="00BA5216" w:rsidP="007713E0">
            <w:pPr>
              <w:rPr>
                <w:rFonts w:cs="Arial"/>
                <w:sz w:val="22"/>
                <w:szCs w:val="22"/>
                <w:lang w:val="en-US"/>
              </w:rPr>
            </w:pPr>
            <w:r>
              <w:rPr>
                <w:rFonts w:cs="Arial"/>
                <w:sz w:val="22"/>
                <w:szCs w:val="22"/>
                <w:lang w:val="en-US"/>
              </w:rPr>
              <w:t>City of Melbourne residents</w:t>
            </w:r>
          </w:p>
        </w:tc>
        <w:tc>
          <w:tcPr>
            <w:tcW w:w="1985" w:type="dxa"/>
            <w:vAlign w:val="center"/>
          </w:tcPr>
          <w:p w14:paraId="22AAC782" w14:textId="4A870159" w:rsidR="00BA5216" w:rsidRPr="008F55EC" w:rsidRDefault="00B95A9B" w:rsidP="00B95A9B">
            <w:pPr>
              <w:jc w:val="right"/>
              <w:rPr>
                <w:rFonts w:cs="Arial"/>
                <w:sz w:val="22"/>
                <w:szCs w:val="22"/>
                <w:lang w:val="en-US"/>
              </w:rPr>
            </w:pPr>
            <w:r>
              <w:rPr>
                <w:rFonts w:cs="Arial"/>
                <w:sz w:val="22"/>
                <w:szCs w:val="22"/>
                <w:lang w:val="en-US"/>
              </w:rPr>
              <w:t>$</w:t>
            </w:r>
            <w:r w:rsidR="0008407B">
              <w:rPr>
                <w:rFonts w:cs="Arial"/>
                <w:sz w:val="22"/>
                <w:szCs w:val="22"/>
                <w:lang w:val="en-US"/>
              </w:rPr>
              <w:t>2</w:t>
            </w:r>
            <w:r>
              <w:rPr>
                <w:rFonts w:cs="Arial"/>
                <w:sz w:val="22"/>
                <w:szCs w:val="22"/>
                <w:lang w:val="en-US"/>
              </w:rPr>
              <w:t>,000,000</w:t>
            </w:r>
          </w:p>
        </w:tc>
        <w:tc>
          <w:tcPr>
            <w:tcW w:w="3118" w:type="dxa"/>
          </w:tcPr>
          <w:p w14:paraId="0CB48A57" w14:textId="2A48C07C" w:rsidR="00BA5216" w:rsidRPr="008F55EC" w:rsidRDefault="000C7E20" w:rsidP="00B95A9B">
            <w:pPr>
              <w:jc w:val="right"/>
              <w:rPr>
                <w:rFonts w:cs="Arial"/>
                <w:sz w:val="22"/>
                <w:szCs w:val="22"/>
                <w:lang w:val="en-US"/>
              </w:rPr>
            </w:pPr>
            <w:r>
              <w:rPr>
                <w:rFonts w:cs="Arial"/>
                <w:sz w:val="22"/>
                <w:szCs w:val="22"/>
                <w:lang w:val="en-US"/>
              </w:rPr>
              <w:t>8</w:t>
            </w:r>
            <w:r w:rsidR="00B95A9B">
              <w:rPr>
                <w:rFonts w:cs="Arial"/>
                <w:sz w:val="22"/>
                <w:szCs w:val="22"/>
                <w:lang w:val="en-US"/>
              </w:rPr>
              <w:t>%</w:t>
            </w:r>
          </w:p>
        </w:tc>
      </w:tr>
      <w:tr w:rsidR="00BA5216" w:rsidRPr="008F55EC" w14:paraId="5EDC959D" w14:textId="77777777" w:rsidTr="007713E0">
        <w:tc>
          <w:tcPr>
            <w:tcW w:w="2972" w:type="dxa"/>
            <w:vAlign w:val="center"/>
          </w:tcPr>
          <w:p w14:paraId="7FBDD2ED" w14:textId="77777777" w:rsidR="00BA5216" w:rsidRPr="008F55EC" w:rsidRDefault="00BA5216" w:rsidP="007713E0">
            <w:pPr>
              <w:rPr>
                <w:rFonts w:cs="Arial"/>
                <w:sz w:val="22"/>
                <w:szCs w:val="22"/>
                <w:lang w:val="en-US"/>
              </w:rPr>
            </w:pPr>
            <w:r>
              <w:rPr>
                <w:rFonts w:cs="Arial"/>
                <w:color w:val="000000"/>
                <w:sz w:val="22"/>
                <w:szCs w:val="22"/>
              </w:rPr>
              <w:t>Visitors</w:t>
            </w:r>
          </w:p>
        </w:tc>
        <w:tc>
          <w:tcPr>
            <w:tcW w:w="1985" w:type="dxa"/>
            <w:vAlign w:val="center"/>
          </w:tcPr>
          <w:p w14:paraId="3051C922" w14:textId="0FE7755D" w:rsidR="00BA5216" w:rsidRPr="008F55EC" w:rsidRDefault="00B95A9B" w:rsidP="00B95A9B">
            <w:pPr>
              <w:jc w:val="right"/>
              <w:rPr>
                <w:rFonts w:cs="Arial"/>
                <w:sz w:val="22"/>
                <w:szCs w:val="22"/>
                <w:lang w:val="en-US"/>
              </w:rPr>
            </w:pPr>
            <w:r>
              <w:rPr>
                <w:rFonts w:cs="Arial"/>
                <w:sz w:val="22"/>
                <w:szCs w:val="22"/>
                <w:lang w:val="en-US"/>
              </w:rPr>
              <w:t>$</w:t>
            </w:r>
            <w:r w:rsidR="0008407B">
              <w:rPr>
                <w:rFonts w:cs="Arial"/>
                <w:sz w:val="22"/>
                <w:szCs w:val="22"/>
                <w:lang w:val="en-US"/>
              </w:rPr>
              <w:t>28</w:t>
            </w:r>
            <w:r>
              <w:rPr>
                <w:rFonts w:cs="Arial"/>
                <w:sz w:val="22"/>
                <w:szCs w:val="22"/>
                <w:lang w:val="en-US"/>
              </w:rPr>
              <w:t>,000,000</w:t>
            </w:r>
          </w:p>
        </w:tc>
        <w:tc>
          <w:tcPr>
            <w:tcW w:w="3118" w:type="dxa"/>
          </w:tcPr>
          <w:p w14:paraId="4C9DDAB8" w14:textId="46BE83CE" w:rsidR="00BA5216" w:rsidRPr="008F55EC" w:rsidRDefault="006A7F7E" w:rsidP="00B95A9B">
            <w:pPr>
              <w:jc w:val="right"/>
              <w:rPr>
                <w:rFonts w:cs="Arial"/>
                <w:sz w:val="22"/>
                <w:szCs w:val="22"/>
                <w:lang w:val="en-US"/>
              </w:rPr>
            </w:pPr>
            <w:r>
              <w:rPr>
                <w:rFonts w:cs="Arial"/>
                <w:sz w:val="22"/>
                <w:szCs w:val="22"/>
                <w:lang w:val="en-US"/>
              </w:rPr>
              <w:t>9</w:t>
            </w:r>
            <w:r w:rsidR="000C7E20">
              <w:rPr>
                <w:rFonts w:cs="Arial"/>
                <w:sz w:val="22"/>
                <w:szCs w:val="22"/>
                <w:lang w:val="en-US"/>
              </w:rPr>
              <w:t>2</w:t>
            </w:r>
            <w:r w:rsidR="00B95A9B">
              <w:rPr>
                <w:rFonts w:cs="Arial"/>
                <w:sz w:val="22"/>
                <w:szCs w:val="22"/>
                <w:lang w:val="en-US"/>
              </w:rPr>
              <w:t>%</w:t>
            </w:r>
          </w:p>
        </w:tc>
      </w:tr>
    </w:tbl>
    <w:p w14:paraId="75382AF5" w14:textId="33F3E8E2" w:rsidR="00F64925" w:rsidRDefault="00F64925" w:rsidP="00F64925">
      <w:pPr>
        <w:pStyle w:val="Heading3"/>
        <w:rPr>
          <w:rFonts w:hint="eastAsia"/>
        </w:rPr>
      </w:pPr>
      <w:bookmarkStart w:id="65" w:name="_Toc182490837"/>
      <w:bookmarkStart w:id="66" w:name="_Toc204007212"/>
      <w:r>
        <w:t>Table 2</w:t>
      </w:r>
      <w:r w:rsidR="00891621">
        <w:t>1</w:t>
      </w:r>
      <w:r w:rsidR="005B476C">
        <w:t>.</w:t>
      </w:r>
      <w:r w:rsidR="002F4DE8">
        <w:t>b</w:t>
      </w:r>
      <w:r>
        <w:t xml:space="preserve"> – </w:t>
      </w:r>
      <w:r w:rsidR="005B476C" w:rsidRPr="005B476C">
        <w:t xml:space="preserve">Where spending in </w:t>
      </w:r>
      <w:r w:rsidR="00450D63">
        <w:t xml:space="preserve">South </w:t>
      </w:r>
      <w:proofErr w:type="spellStart"/>
      <w:r w:rsidR="00450D63">
        <w:t>Yarra</w:t>
      </w:r>
      <w:proofErr w:type="spellEnd"/>
      <w:r w:rsidR="009B2762" w:rsidRPr="005B476C">
        <w:t xml:space="preserve"> </w:t>
      </w:r>
      <w:r w:rsidR="005B476C" w:rsidRPr="005B476C">
        <w:t>came from, Q</w:t>
      </w:r>
      <w:r w:rsidR="00450D63">
        <w:t>1</w:t>
      </w:r>
      <w:r w:rsidR="005B476C" w:rsidRPr="005B476C">
        <w:t xml:space="preserve"> 202</w:t>
      </w:r>
      <w:r w:rsidR="00450D63">
        <w:t>5</w:t>
      </w:r>
      <w:bookmarkEnd w:id="65"/>
      <w:bookmarkEnd w:id="66"/>
    </w:p>
    <w:tbl>
      <w:tblPr>
        <w:tblStyle w:val="TableGrid"/>
        <w:tblW w:w="0" w:type="auto"/>
        <w:tblLook w:val="04A0" w:firstRow="1" w:lastRow="0" w:firstColumn="1" w:lastColumn="0" w:noHBand="0" w:noVBand="1"/>
      </w:tblPr>
      <w:tblGrid>
        <w:gridCol w:w="2972"/>
        <w:gridCol w:w="1843"/>
      </w:tblGrid>
      <w:tr w:rsidR="00DA2F88" w:rsidRPr="008F55EC" w14:paraId="637B2AD6" w14:textId="77777777" w:rsidTr="2947B656">
        <w:tc>
          <w:tcPr>
            <w:tcW w:w="2972" w:type="dxa"/>
            <w:vAlign w:val="center"/>
          </w:tcPr>
          <w:p w14:paraId="2463D70C" w14:textId="384DDE63" w:rsidR="00DA2F88" w:rsidRPr="00F64925" w:rsidRDefault="4C7A7B0B" w:rsidP="2947B656">
            <w:r w:rsidRPr="2947B656">
              <w:rPr>
                <w:rFonts w:cs="Arial"/>
                <w:b/>
                <w:bCs/>
                <w:sz w:val="22"/>
                <w:szCs w:val="22"/>
                <w:lang w:val="en-US"/>
              </w:rPr>
              <w:t>Area</w:t>
            </w:r>
          </w:p>
        </w:tc>
        <w:tc>
          <w:tcPr>
            <w:tcW w:w="1843" w:type="dxa"/>
            <w:vAlign w:val="center"/>
          </w:tcPr>
          <w:p w14:paraId="253DA1BB" w14:textId="77777777" w:rsidR="00DA2F88" w:rsidRPr="008F55EC" w:rsidRDefault="00DA2F88" w:rsidP="007713E0">
            <w:pPr>
              <w:rPr>
                <w:rFonts w:cs="Arial"/>
                <w:sz w:val="22"/>
                <w:szCs w:val="22"/>
                <w:lang w:val="en-US"/>
              </w:rPr>
            </w:pPr>
            <w:r>
              <w:rPr>
                <w:rFonts w:cs="Arial"/>
                <w:b/>
                <w:bCs/>
                <w:color w:val="000000"/>
                <w:sz w:val="22"/>
                <w:szCs w:val="22"/>
              </w:rPr>
              <w:t>Adjusted Spend</w:t>
            </w:r>
          </w:p>
        </w:tc>
      </w:tr>
      <w:tr w:rsidR="00DA2F88" w:rsidRPr="008F55EC" w14:paraId="1148155B" w14:textId="77777777" w:rsidTr="2947B656">
        <w:tc>
          <w:tcPr>
            <w:tcW w:w="2972" w:type="dxa"/>
            <w:vAlign w:val="center"/>
          </w:tcPr>
          <w:p w14:paraId="07274470" w14:textId="771E035A" w:rsidR="00DA2F88" w:rsidRPr="008F55EC" w:rsidRDefault="0008407B" w:rsidP="00DA2F88">
            <w:pPr>
              <w:rPr>
                <w:rFonts w:cs="Arial"/>
                <w:sz w:val="22"/>
                <w:szCs w:val="22"/>
                <w:lang w:val="en-US"/>
              </w:rPr>
            </w:pPr>
            <w:r>
              <w:rPr>
                <w:rFonts w:cs="Arial"/>
                <w:sz w:val="22"/>
                <w:szCs w:val="22"/>
                <w:lang w:val="en-US"/>
              </w:rPr>
              <w:t>Stonnington - West</w:t>
            </w:r>
          </w:p>
        </w:tc>
        <w:tc>
          <w:tcPr>
            <w:tcW w:w="1843" w:type="dxa"/>
            <w:vAlign w:val="center"/>
          </w:tcPr>
          <w:p w14:paraId="0879375C" w14:textId="106EC905" w:rsidR="00DA2F88" w:rsidRPr="008F55EC" w:rsidRDefault="00B95A9B" w:rsidP="00B95A9B">
            <w:pPr>
              <w:jc w:val="right"/>
              <w:rPr>
                <w:rFonts w:cs="Arial"/>
                <w:sz w:val="22"/>
                <w:szCs w:val="22"/>
                <w:lang w:val="en-US"/>
              </w:rPr>
            </w:pPr>
            <w:r>
              <w:rPr>
                <w:rFonts w:cs="Arial"/>
                <w:sz w:val="22"/>
                <w:szCs w:val="22"/>
                <w:lang w:val="en-US"/>
              </w:rPr>
              <w:t>$</w:t>
            </w:r>
            <w:r w:rsidR="000F782B">
              <w:rPr>
                <w:rFonts w:cs="Arial"/>
                <w:sz w:val="22"/>
                <w:szCs w:val="22"/>
                <w:lang w:val="en-US"/>
              </w:rPr>
              <w:t>2</w:t>
            </w:r>
            <w:r w:rsidR="00891621">
              <w:rPr>
                <w:rFonts w:cs="Arial"/>
                <w:sz w:val="22"/>
                <w:szCs w:val="22"/>
                <w:lang w:val="en-US"/>
              </w:rPr>
              <w:t>,</w:t>
            </w:r>
            <w:r w:rsidR="000F782B">
              <w:rPr>
                <w:rFonts w:cs="Arial"/>
                <w:sz w:val="22"/>
                <w:szCs w:val="22"/>
                <w:lang w:val="en-US"/>
              </w:rPr>
              <w:t>367</w:t>
            </w:r>
            <w:r w:rsidR="00891621">
              <w:rPr>
                <w:rFonts w:cs="Arial"/>
                <w:sz w:val="22"/>
                <w:szCs w:val="22"/>
                <w:lang w:val="en-US"/>
              </w:rPr>
              <w:t>,</w:t>
            </w:r>
            <w:r w:rsidR="000F782B">
              <w:rPr>
                <w:rFonts w:cs="Arial"/>
                <w:sz w:val="22"/>
                <w:szCs w:val="22"/>
                <w:lang w:val="en-US"/>
              </w:rPr>
              <w:t>000</w:t>
            </w:r>
          </w:p>
        </w:tc>
      </w:tr>
      <w:tr w:rsidR="00DA2F88" w:rsidRPr="008F55EC" w14:paraId="1C64EB2D" w14:textId="77777777" w:rsidTr="2947B656">
        <w:tc>
          <w:tcPr>
            <w:tcW w:w="2972" w:type="dxa"/>
            <w:vAlign w:val="center"/>
          </w:tcPr>
          <w:p w14:paraId="15680FE4" w14:textId="666CF789" w:rsidR="00DA2F88" w:rsidRPr="008F55EC" w:rsidRDefault="0008407B" w:rsidP="00DA2F88">
            <w:pPr>
              <w:rPr>
                <w:rFonts w:cs="Arial"/>
                <w:sz w:val="22"/>
                <w:szCs w:val="22"/>
                <w:lang w:val="en-US"/>
              </w:rPr>
            </w:pPr>
            <w:r>
              <w:rPr>
                <w:rFonts w:cs="Arial"/>
                <w:sz w:val="22"/>
                <w:szCs w:val="22"/>
                <w:lang w:val="en-US"/>
              </w:rPr>
              <w:t>Port Phillip</w:t>
            </w:r>
          </w:p>
        </w:tc>
        <w:tc>
          <w:tcPr>
            <w:tcW w:w="1843" w:type="dxa"/>
            <w:vAlign w:val="center"/>
          </w:tcPr>
          <w:p w14:paraId="54364A69" w14:textId="48013F42" w:rsidR="00DA2F88" w:rsidRPr="008F55EC" w:rsidRDefault="00B95A9B" w:rsidP="00B95A9B">
            <w:pPr>
              <w:jc w:val="right"/>
              <w:rPr>
                <w:rFonts w:cs="Arial"/>
                <w:sz w:val="22"/>
                <w:szCs w:val="22"/>
                <w:lang w:val="en-US"/>
              </w:rPr>
            </w:pPr>
            <w:r>
              <w:rPr>
                <w:rFonts w:cs="Arial"/>
                <w:sz w:val="22"/>
                <w:szCs w:val="22"/>
                <w:lang w:val="en-US"/>
              </w:rPr>
              <w:t>$</w:t>
            </w:r>
            <w:r w:rsidR="00F62375">
              <w:rPr>
                <w:rFonts w:cs="Arial"/>
                <w:sz w:val="22"/>
                <w:szCs w:val="22"/>
                <w:lang w:val="en-US"/>
              </w:rPr>
              <w:t>1</w:t>
            </w:r>
            <w:r w:rsidR="00891621">
              <w:rPr>
                <w:rFonts w:cs="Arial"/>
                <w:sz w:val="22"/>
                <w:szCs w:val="22"/>
                <w:lang w:val="en-US"/>
              </w:rPr>
              <w:t>,</w:t>
            </w:r>
            <w:r w:rsidR="00F62375">
              <w:rPr>
                <w:rFonts w:cs="Arial"/>
                <w:sz w:val="22"/>
                <w:szCs w:val="22"/>
                <w:lang w:val="en-US"/>
              </w:rPr>
              <w:t>986</w:t>
            </w:r>
            <w:r w:rsidR="00891621">
              <w:rPr>
                <w:rFonts w:cs="Arial"/>
                <w:sz w:val="22"/>
                <w:szCs w:val="22"/>
                <w:lang w:val="en-US"/>
              </w:rPr>
              <w:t>,</w:t>
            </w:r>
            <w:r w:rsidR="00F62375">
              <w:rPr>
                <w:rFonts w:cs="Arial"/>
                <w:sz w:val="22"/>
                <w:szCs w:val="22"/>
                <w:lang w:val="en-US"/>
              </w:rPr>
              <w:t>000</w:t>
            </w:r>
          </w:p>
        </w:tc>
      </w:tr>
      <w:tr w:rsidR="00DA2F88" w:rsidRPr="008F55EC" w14:paraId="31414ACE" w14:textId="77777777" w:rsidTr="2947B656">
        <w:tc>
          <w:tcPr>
            <w:tcW w:w="2972" w:type="dxa"/>
            <w:vAlign w:val="center"/>
          </w:tcPr>
          <w:p w14:paraId="669EEF78" w14:textId="4757C17A" w:rsidR="00DA2F88" w:rsidRPr="008F55EC" w:rsidRDefault="0008407B" w:rsidP="00DA2F88">
            <w:pPr>
              <w:rPr>
                <w:rFonts w:cs="Arial"/>
                <w:sz w:val="22"/>
                <w:szCs w:val="22"/>
                <w:lang w:val="en-US"/>
              </w:rPr>
            </w:pPr>
            <w:r>
              <w:rPr>
                <w:rFonts w:cs="Arial"/>
                <w:sz w:val="22"/>
                <w:szCs w:val="22"/>
                <w:lang w:val="en-US"/>
              </w:rPr>
              <w:t>Glen Eira</w:t>
            </w:r>
          </w:p>
        </w:tc>
        <w:tc>
          <w:tcPr>
            <w:tcW w:w="1843" w:type="dxa"/>
            <w:vAlign w:val="center"/>
          </w:tcPr>
          <w:p w14:paraId="7A55AB6D" w14:textId="3D9A0B7F" w:rsidR="00DA2F88" w:rsidRPr="008F55EC" w:rsidRDefault="00B95A9B" w:rsidP="00B95A9B">
            <w:pPr>
              <w:jc w:val="right"/>
              <w:rPr>
                <w:rFonts w:cs="Arial"/>
                <w:sz w:val="22"/>
                <w:szCs w:val="22"/>
                <w:lang w:val="en-US"/>
              </w:rPr>
            </w:pPr>
            <w:r>
              <w:rPr>
                <w:rFonts w:cs="Arial"/>
                <w:sz w:val="22"/>
                <w:szCs w:val="22"/>
                <w:lang w:val="en-US"/>
              </w:rPr>
              <w:t>$</w:t>
            </w:r>
            <w:r w:rsidR="00F62375">
              <w:rPr>
                <w:rFonts w:cs="Arial"/>
                <w:sz w:val="22"/>
                <w:szCs w:val="22"/>
                <w:lang w:val="en-US"/>
              </w:rPr>
              <w:t>1</w:t>
            </w:r>
            <w:r w:rsidR="00891621">
              <w:rPr>
                <w:rFonts w:cs="Arial"/>
                <w:sz w:val="22"/>
                <w:szCs w:val="22"/>
                <w:lang w:val="en-US"/>
              </w:rPr>
              <w:t>,</w:t>
            </w:r>
            <w:r w:rsidR="00F62375">
              <w:rPr>
                <w:rFonts w:cs="Arial"/>
                <w:sz w:val="22"/>
                <w:szCs w:val="22"/>
                <w:lang w:val="en-US"/>
              </w:rPr>
              <w:t>018</w:t>
            </w:r>
            <w:r w:rsidR="00891621">
              <w:rPr>
                <w:rFonts w:cs="Arial"/>
                <w:sz w:val="22"/>
                <w:szCs w:val="22"/>
                <w:lang w:val="en-US"/>
              </w:rPr>
              <w:t>,</w:t>
            </w:r>
            <w:r w:rsidR="00F62375">
              <w:rPr>
                <w:rFonts w:cs="Arial"/>
                <w:sz w:val="22"/>
                <w:szCs w:val="22"/>
                <w:lang w:val="en-US"/>
              </w:rPr>
              <w:t>000</w:t>
            </w:r>
          </w:p>
        </w:tc>
      </w:tr>
      <w:tr w:rsidR="00DA2F88" w:rsidRPr="008F55EC" w14:paraId="75356000" w14:textId="77777777" w:rsidTr="2947B656">
        <w:tc>
          <w:tcPr>
            <w:tcW w:w="2972" w:type="dxa"/>
            <w:vAlign w:val="center"/>
          </w:tcPr>
          <w:p w14:paraId="30DF859F" w14:textId="1241466E" w:rsidR="00DA2F88" w:rsidRPr="008F55EC" w:rsidRDefault="0008407B" w:rsidP="00DA2F88">
            <w:pPr>
              <w:rPr>
                <w:rFonts w:cs="Arial"/>
                <w:sz w:val="22"/>
                <w:szCs w:val="22"/>
                <w:lang w:val="en-US"/>
              </w:rPr>
            </w:pPr>
            <w:r>
              <w:rPr>
                <w:rFonts w:cs="Arial"/>
                <w:sz w:val="22"/>
                <w:szCs w:val="22"/>
                <w:lang w:val="en-US"/>
              </w:rPr>
              <w:t>Boroondara</w:t>
            </w:r>
          </w:p>
        </w:tc>
        <w:tc>
          <w:tcPr>
            <w:tcW w:w="1843" w:type="dxa"/>
            <w:vAlign w:val="center"/>
          </w:tcPr>
          <w:p w14:paraId="0A15F4DD" w14:textId="7FF0B4F6" w:rsidR="00DA2F88" w:rsidRPr="008F55EC" w:rsidRDefault="00B95A9B" w:rsidP="00B95A9B">
            <w:pPr>
              <w:jc w:val="right"/>
              <w:rPr>
                <w:rFonts w:cs="Arial"/>
                <w:sz w:val="22"/>
                <w:szCs w:val="22"/>
                <w:lang w:val="en-US"/>
              </w:rPr>
            </w:pPr>
            <w:r>
              <w:rPr>
                <w:rFonts w:cs="Arial"/>
                <w:sz w:val="22"/>
                <w:szCs w:val="22"/>
                <w:lang w:val="en-US"/>
              </w:rPr>
              <w:t>$</w:t>
            </w:r>
            <w:r w:rsidR="00F62375">
              <w:rPr>
                <w:rFonts w:cs="Arial"/>
                <w:sz w:val="22"/>
                <w:szCs w:val="22"/>
                <w:lang w:val="en-US"/>
              </w:rPr>
              <w:t>934</w:t>
            </w:r>
            <w:r w:rsidR="00891621">
              <w:rPr>
                <w:rFonts w:cs="Arial"/>
                <w:sz w:val="22"/>
                <w:szCs w:val="22"/>
                <w:lang w:val="en-US"/>
              </w:rPr>
              <w:t>,</w:t>
            </w:r>
            <w:r w:rsidR="00F62375">
              <w:rPr>
                <w:rFonts w:cs="Arial"/>
                <w:sz w:val="22"/>
                <w:szCs w:val="22"/>
                <w:lang w:val="en-US"/>
              </w:rPr>
              <w:t>0</w:t>
            </w:r>
            <w:r w:rsidR="00891621">
              <w:rPr>
                <w:rFonts w:cs="Arial"/>
                <w:sz w:val="22"/>
                <w:szCs w:val="22"/>
                <w:lang w:val="en-US"/>
              </w:rPr>
              <w:t>00</w:t>
            </w:r>
          </w:p>
        </w:tc>
      </w:tr>
      <w:tr w:rsidR="00DA2F88" w:rsidRPr="008F55EC" w14:paraId="60DB44FC" w14:textId="77777777" w:rsidTr="2947B656">
        <w:tc>
          <w:tcPr>
            <w:tcW w:w="2972" w:type="dxa"/>
            <w:vAlign w:val="center"/>
          </w:tcPr>
          <w:p w14:paraId="1BB0CA40" w14:textId="30C455D8" w:rsidR="00DA2F88" w:rsidRPr="008F55EC" w:rsidRDefault="0008407B" w:rsidP="00DA2F88">
            <w:pPr>
              <w:rPr>
                <w:rFonts w:cs="Arial"/>
                <w:sz w:val="22"/>
                <w:szCs w:val="22"/>
                <w:lang w:val="en-US"/>
              </w:rPr>
            </w:pPr>
            <w:r>
              <w:rPr>
                <w:rFonts w:cs="Arial"/>
                <w:sz w:val="22"/>
                <w:szCs w:val="22"/>
                <w:lang w:val="en-US"/>
              </w:rPr>
              <w:t>Bayside</w:t>
            </w:r>
          </w:p>
        </w:tc>
        <w:tc>
          <w:tcPr>
            <w:tcW w:w="1843" w:type="dxa"/>
            <w:vAlign w:val="center"/>
          </w:tcPr>
          <w:p w14:paraId="684BC29A" w14:textId="56993F1A" w:rsidR="00DA2F88" w:rsidRPr="008F55EC" w:rsidRDefault="00B95A9B" w:rsidP="00B95A9B">
            <w:pPr>
              <w:jc w:val="right"/>
              <w:rPr>
                <w:rFonts w:cs="Arial"/>
                <w:sz w:val="22"/>
                <w:szCs w:val="22"/>
                <w:lang w:val="en-US"/>
              </w:rPr>
            </w:pPr>
            <w:r>
              <w:rPr>
                <w:rFonts w:cs="Arial"/>
                <w:sz w:val="22"/>
                <w:szCs w:val="22"/>
                <w:lang w:val="en-US"/>
              </w:rPr>
              <w:t>$</w:t>
            </w:r>
            <w:r w:rsidR="00F62375">
              <w:rPr>
                <w:rFonts w:cs="Arial"/>
                <w:sz w:val="22"/>
                <w:szCs w:val="22"/>
                <w:lang w:val="en-US"/>
              </w:rPr>
              <w:t>907</w:t>
            </w:r>
            <w:r w:rsidR="00891621">
              <w:rPr>
                <w:rFonts w:cs="Arial"/>
                <w:sz w:val="22"/>
                <w:szCs w:val="22"/>
                <w:lang w:val="en-US"/>
              </w:rPr>
              <w:t>,</w:t>
            </w:r>
            <w:r w:rsidR="00F62375">
              <w:rPr>
                <w:rFonts w:cs="Arial"/>
                <w:sz w:val="22"/>
                <w:szCs w:val="22"/>
                <w:lang w:val="en-US"/>
              </w:rPr>
              <w:t>0</w:t>
            </w:r>
            <w:r w:rsidR="00891621">
              <w:rPr>
                <w:rFonts w:cs="Arial"/>
                <w:sz w:val="22"/>
                <w:szCs w:val="22"/>
                <w:lang w:val="en-US"/>
              </w:rPr>
              <w:t>00</w:t>
            </w:r>
          </w:p>
        </w:tc>
      </w:tr>
    </w:tbl>
    <w:p w14:paraId="06F3CC21" w14:textId="7ACDCBC0" w:rsidR="00891621" w:rsidRPr="00891621" w:rsidRDefault="187E780C" w:rsidP="00891621">
      <w:pPr>
        <w:pStyle w:val="Heading2"/>
        <w:rPr>
          <w:rFonts w:hint="eastAsia"/>
        </w:rPr>
      </w:pPr>
      <w:bookmarkStart w:id="67" w:name="_Toc182490838"/>
      <w:bookmarkStart w:id="68" w:name="_Toc204007213"/>
      <w:r>
        <w:t>Appendix 1</w:t>
      </w:r>
      <w:r w:rsidR="1E69780F">
        <w:t>:</w:t>
      </w:r>
      <w:r>
        <w:t xml:space="preserve"> Data sources</w:t>
      </w:r>
      <w:bookmarkEnd w:id="67"/>
      <w:bookmarkEnd w:id="68"/>
    </w:p>
    <w:p w14:paraId="7CA176A4" w14:textId="3A413720" w:rsidR="005B476C" w:rsidRPr="00454F3D" w:rsidRDefault="005B476C" w:rsidP="00E67C31">
      <w:pPr>
        <w:pStyle w:val="NormalWeb"/>
        <w:spacing w:after="0"/>
        <w:rPr>
          <w:rFonts w:ascii="Arial" w:hAnsi="Arial" w:cs="Arial"/>
          <w:color w:val="000000" w:themeColor="text1"/>
          <w:sz w:val="20"/>
          <w:szCs w:val="20"/>
          <w:shd w:val="clear" w:color="auto" w:fill="FFFFFF"/>
        </w:rPr>
      </w:pPr>
      <w:proofErr w:type="spellStart"/>
      <w:r w:rsidRPr="005B476C">
        <w:rPr>
          <w:rFonts w:ascii="Arial" w:hAnsi="Arial" w:cs="Arial"/>
          <w:color w:val="000000" w:themeColor="text1"/>
          <w:sz w:val="20"/>
          <w:szCs w:val="20"/>
          <w:shd w:val="clear" w:color="auto" w:fill="FFFFFF"/>
        </w:rPr>
        <w:t>Spendmapp</w:t>
      </w:r>
      <w:proofErr w:type="spellEnd"/>
      <w:r w:rsidRPr="005B476C">
        <w:rPr>
          <w:rFonts w:ascii="Arial" w:hAnsi="Arial" w:cs="Arial"/>
          <w:color w:val="000000" w:themeColor="text1"/>
          <w:sz w:val="20"/>
          <w:szCs w:val="20"/>
          <w:shd w:val="clear" w:color="auto" w:fill="FFFFFF"/>
        </w:rPr>
        <w:t xml:space="preserve"> by Geografia </w:t>
      </w:r>
      <w:r w:rsidR="00891621" w:rsidRPr="00891621">
        <w:rPr>
          <w:rFonts w:ascii="Arial" w:hAnsi="Arial" w:cs="Arial"/>
          <w:color w:val="000000" w:themeColor="text1"/>
          <w:sz w:val="20"/>
          <w:szCs w:val="20"/>
          <w:shd w:val="clear" w:color="auto" w:fill="FFFFFF"/>
        </w:rPr>
        <w:t>(Nominal Figures)</w:t>
      </w:r>
      <w:r w:rsidR="00891621">
        <w:rPr>
          <w:rFonts w:ascii="Arial" w:hAnsi="Arial" w:cs="Arial"/>
          <w:color w:val="000000" w:themeColor="text1"/>
          <w:sz w:val="20"/>
          <w:szCs w:val="20"/>
          <w:shd w:val="clear" w:color="auto" w:fill="FFFFFF"/>
        </w:rPr>
        <w:t>.</w:t>
      </w:r>
      <w:r w:rsidR="00891621" w:rsidRPr="00891621">
        <w:rPr>
          <w:rFonts w:ascii="Gotham SSm" w:eastAsia="MS Mincho" w:hAnsi="Gotham SSm"/>
          <w:color w:val="A2A2A2"/>
          <w:sz w:val="36"/>
          <w:szCs w:val="36"/>
          <w:shd w:val="clear" w:color="auto" w:fill="FFFFFF"/>
          <w:lang w:eastAsia="en-US"/>
        </w:rPr>
        <w:t xml:space="preserve"> </w:t>
      </w:r>
      <w:r w:rsidR="00892ABA">
        <w:rPr>
          <w:rFonts w:ascii="Gotham SSm" w:eastAsia="MS Mincho" w:hAnsi="Gotham SSm"/>
          <w:color w:val="A2A2A2"/>
          <w:sz w:val="36"/>
          <w:szCs w:val="36"/>
          <w:shd w:val="clear" w:color="auto" w:fill="FFFFFF"/>
          <w:lang w:eastAsia="en-US"/>
        </w:rPr>
        <w:br/>
      </w:r>
      <w:r w:rsidR="0008407B" w:rsidRPr="0008407B">
        <w:rPr>
          <w:rFonts w:ascii="Arial" w:hAnsi="Arial" w:cs="Arial"/>
          <w:color w:val="000000" w:themeColor="text1"/>
          <w:sz w:val="20"/>
          <w:szCs w:val="20"/>
          <w:shd w:val="clear" w:color="auto" w:fill="FFFFFF"/>
        </w:rPr>
        <w:t>National Institute of Economic and Industry Research (NIEIR) ©2025. Compiled and presented in economy.id by .id (informed decisions).</w:t>
      </w:r>
    </w:p>
    <w:sectPr w:rsidR="005B476C" w:rsidRPr="00454F3D" w:rsidSect="003258DE">
      <w:endnotePr>
        <w:numFmt w:val="decimal"/>
      </w:endnotePr>
      <w:pgSz w:w="11900" w:h="16840"/>
      <w:pgMar w:top="1135" w:right="985" w:bottom="1276"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Author" w:initials="A">
    <w:p w14:paraId="6387EF35" w14:textId="77777777" w:rsidR="00BC4BD9" w:rsidRDefault="00BC4BD9" w:rsidP="00BC4BD9">
      <w:pPr>
        <w:pStyle w:val="CommentText"/>
      </w:pPr>
      <w:r>
        <w:rPr>
          <w:rStyle w:val="CommentReference"/>
        </w:rPr>
        <w:annotationRef/>
      </w:r>
      <w:r>
        <w:t xml:space="preserve">Should this be Q1 2025? </w:t>
      </w:r>
    </w:p>
  </w:comment>
  <w:comment w:id="42" w:author="Author" w:initials="A">
    <w:p w14:paraId="3219BF1B" w14:textId="77777777" w:rsidR="00450D63" w:rsidRDefault="00450D63" w:rsidP="00450D63">
      <w:pPr>
        <w:pStyle w:val="CommentText"/>
      </w:pPr>
      <w:r>
        <w:rPr>
          <w:rStyle w:val="CommentReference"/>
        </w:rPr>
        <w:annotationRef/>
      </w:r>
      <w:r>
        <w:t>Is this in the wrong section? It says Southbank</w:t>
      </w:r>
    </w:p>
  </w:comment>
  <w:comment w:id="43" w:author="Author" w:initials="A">
    <w:p w14:paraId="7B255655" w14:textId="77777777" w:rsidR="00450D63" w:rsidRDefault="00450D63" w:rsidP="00450D63">
      <w:pPr>
        <w:pStyle w:val="CommentText"/>
      </w:pPr>
      <w:r>
        <w:rPr>
          <w:rStyle w:val="CommentReference"/>
        </w:rPr>
        <w:annotationRef/>
      </w:r>
      <w:r>
        <w:t>And it’s from Q4 2024?</w:t>
      </w:r>
    </w:p>
  </w:comment>
  <w:comment w:id="44" w:author="Author" w:initials="A">
    <w:p w14:paraId="09FEC160" w14:textId="77777777" w:rsidR="00450D63" w:rsidRDefault="00450D63" w:rsidP="00450D63">
      <w:pPr>
        <w:pStyle w:val="CommentText"/>
      </w:pPr>
      <w:r>
        <w:rPr>
          <w:rStyle w:val="CommentReference"/>
        </w:rPr>
        <w:annotationRef/>
      </w:r>
      <w:r>
        <w:t>Is it supposed to be Carlton Q1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7EF35" w15:done="1"/>
  <w15:commentEx w15:paraId="3219BF1B" w15:done="1"/>
  <w15:commentEx w15:paraId="7B255655" w15:paraIdParent="3219BF1B" w15:done="1"/>
  <w15:commentEx w15:paraId="09FEC160" w15:paraIdParent="3219BF1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7EF35" w16cid:durableId="0B6E1B5F"/>
  <w16cid:commentId w16cid:paraId="3219BF1B" w16cid:durableId="27C0948E"/>
  <w16cid:commentId w16cid:paraId="7B255655" w16cid:durableId="2A05F668"/>
  <w16cid:commentId w16cid:paraId="09FEC160" w16cid:durableId="719BF7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B00A" w14:textId="77777777" w:rsidR="00D70FFC" w:rsidRDefault="00D70FFC" w:rsidP="00BC719D">
      <w:pPr>
        <w:spacing w:after="0"/>
      </w:pPr>
      <w:r>
        <w:separator/>
      </w:r>
    </w:p>
  </w:endnote>
  <w:endnote w:type="continuationSeparator" w:id="0">
    <w:p w14:paraId="60061E4C" w14:textId="77777777" w:rsidR="00D70FFC" w:rsidRDefault="00D70FFC" w:rsidP="00EA2130">
      <w:r>
        <w:continuationSeparator/>
      </w:r>
    </w:p>
  </w:endnote>
  <w:endnote w:type="continuationNotice" w:id="1">
    <w:p w14:paraId="67E32997" w14:textId="77777777" w:rsidR="007713E0" w:rsidRDefault="00771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otham SS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D70FFC" w:rsidRDefault="00D70FFC" w:rsidP="00577A39">
      <w:pPr>
        <w:spacing w:after="40" w:line="240" w:lineRule="auto"/>
      </w:pPr>
      <w:r>
        <w:separator/>
      </w:r>
    </w:p>
  </w:footnote>
  <w:footnote w:type="continuationSeparator" w:id="0">
    <w:p w14:paraId="3DEEC669" w14:textId="77777777" w:rsidR="00D70FFC" w:rsidRDefault="00D70FFC" w:rsidP="00EA2130">
      <w:r>
        <w:continuationSeparator/>
      </w:r>
    </w:p>
  </w:footnote>
  <w:footnote w:type="continuationNotice" w:id="1">
    <w:p w14:paraId="0591FE3F" w14:textId="77777777" w:rsidR="007713E0" w:rsidRDefault="007713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2A57FDB"/>
    <w:multiLevelType w:val="hybridMultilevel"/>
    <w:tmpl w:val="9A7A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8394ED0"/>
    <w:multiLevelType w:val="hybridMultilevel"/>
    <w:tmpl w:val="7A06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2B801772"/>
    <w:multiLevelType w:val="hybridMultilevel"/>
    <w:tmpl w:val="6FE2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3E405118"/>
    <w:multiLevelType w:val="hybridMultilevel"/>
    <w:tmpl w:val="9894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190013"/>
    <w:multiLevelType w:val="hybridMultilevel"/>
    <w:tmpl w:val="501C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1209CA"/>
    <w:multiLevelType w:val="multilevel"/>
    <w:tmpl w:val="16506B6C"/>
    <w:numStyleLink w:val="ListNumbers"/>
  </w:abstractNum>
  <w:abstractNum w:abstractNumId="15" w15:restartNumberingAfterBreak="0">
    <w:nsid w:val="6F7B1210"/>
    <w:multiLevelType w:val="hybridMultilevel"/>
    <w:tmpl w:val="5964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2C43DC"/>
    <w:multiLevelType w:val="multilevel"/>
    <w:tmpl w:val="16506B6C"/>
    <w:numStyleLink w:val="ListNumbers"/>
  </w:abstractNum>
  <w:abstractNum w:abstractNumId="17"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275137882">
    <w:abstractNumId w:val="3"/>
  </w:num>
  <w:num w:numId="2" w16cid:durableId="405613552">
    <w:abstractNumId w:val="5"/>
  </w:num>
  <w:num w:numId="3" w16cid:durableId="233589251">
    <w:abstractNumId w:val="16"/>
  </w:num>
  <w:num w:numId="4" w16cid:durableId="1036200147">
    <w:abstractNumId w:val="0"/>
  </w:num>
  <w:num w:numId="5" w16cid:durableId="957033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458045">
    <w:abstractNumId w:val="7"/>
  </w:num>
  <w:num w:numId="7" w16cid:durableId="1711957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336334">
    <w:abstractNumId w:val="14"/>
  </w:num>
  <w:num w:numId="9" w16cid:durableId="50619418">
    <w:abstractNumId w:val="10"/>
  </w:num>
  <w:num w:numId="10" w16cid:durableId="2089185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251299">
    <w:abstractNumId w:val="1"/>
  </w:num>
  <w:num w:numId="12" w16cid:durableId="285091406">
    <w:abstractNumId w:val="9"/>
  </w:num>
  <w:num w:numId="13" w16cid:durableId="494489681">
    <w:abstractNumId w:val="13"/>
  </w:num>
  <w:num w:numId="14" w16cid:durableId="1930893562">
    <w:abstractNumId w:val="17"/>
  </w:num>
  <w:num w:numId="15" w16cid:durableId="18204894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824233">
    <w:abstractNumId w:val="2"/>
  </w:num>
  <w:num w:numId="17" w16cid:durableId="1957834181">
    <w:abstractNumId w:val="6"/>
  </w:num>
  <w:num w:numId="18" w16cid:durableId="741022207">
    <w:abstractNumId w:val="3"/>
  </w:num>
  <w:num w:numId="19" w16cid:durableId="2146309773">
    <w:abstractNumId w:val="3"/>
  </w:num>
  <w:num w:numId="20" w16cid:durableId="1552888415">
    <w:abstractNumId w:val="4"/>
  </w:num>
  <w:num w:numId="21" w16cid:durableId="236475997">
    <w:abstractNumId w:val="15"/>
  </w:num>
  <w:num w:numId="22" w16cid:durableId="449007518">
    <w:abstractNumId w:val="8"/>
  </w:num>
  <w:num w:numId="23" w16cid:durableId="977105555">
    <w:abstractNumId w:val="11"/>
  </w:num>
  <w:num w:numId="24" w16cid:durableId="152929127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96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91"/>
    <w:rsid w:val="00020B35"/>
    <w:rsid w:val="00032F51"/>
    <w:rsid w:val="00043793"/>
    <w:rsid w:val="000437C5"/>
    <w:rsid w:val="000474AE"/>
    <w:rsid w:val="000532DE"/>
    <w:rsid w:val="00071857"/>
    <w:rsid w:val="0008240E"/>
    <w:rsid w:val="0008407B"/>
    <w:rsid w:val="00094246"/>
    <w:rsid w:val="0009455A"/>
    <w:rsid w:val="000A2BDA"/>
    <w:rsid w:val="000A48D5"/>
    <w:rsid w:val="000A53E6"/>
    <w:rsid w:val="000A6FF1"/>
    <w:rsid w:val="000B5EAA"/>
    <w:rsid w:val="000C1D7A"/>
    <w:rsid w:val="000C7E20"/>
    <w:rsid w:val="000E616B"/>
    <w:rsid w:val="000F28AB"/>
    <w:rsid w:val="000F3535"/>
    <w:rsid w:val="000F3A62"/>
    <w:rsid w:val="000F782B"/>
    <w:rsid w:val="00124A99"/>
    <w:rsid w:val="00126138"/>
    <w:rsid w:val="0013320E"/>
    <w:rsid w:val="00135F5D"/>
    <w:rsid w:val="00150E0C"/>
    <w:rsid w:val="00151C6A"/>
    <w:rsid w:val="001772B1"/>
    <w:rsid w:val="00190B0E"/>
    <w:rsid w:val="001B51BF"/>
    <w:rsid w:val="001C48D7"/>
    <w:rsid w:val="001C6A3B"/>
    <w:rsid w:val="001D69B8"/>
    <w:rsid w:val="001F46B4"/>
    <w:rsid w:val="001F554D"/>
    <w:rsid w:val="002031FC"/>
    <w:rsid w:val="00210889"/>
    <w:rsid w:val="002436A6"/>
    <w:rsid w:val="002438B7"/>
    <w:rsid w:val="0024773F"/>
    <w:rsid w:val="00247B25"/>
    <w:rsid w:val="00260A86"/>
    <w:rsid w:val="0026520D"/>
    <w:rsid w:val="00283798"/>
    <w:rsid w:val="00293B5C"/>
    <w:rsid w:val="002A0493"/>
    <w:rsid w:val="002A3841"/>
    <w:rsid w:val="002A4C65"/>
    <w:rsid w:val="002C031E"/>
    <w:rsid w:val="002D3B8F"/>
    <w:rsid w:val="002D630D"/>
    <w:rsid w:val="002E01B9"/>
    <w:rsid w:val="002E4153"/>
    <w:rsid w:val="002E7B8E"/>
    <w:rsid w:val="002F341E"/>
    <w:rsid w:val="002F47B6"/>
    <w:rsid w:val="002F4DE8"/>
    <w:rsid w:val="002F646F"/>
    <w:rsid w:val="002F6A88"/>
    <w:rsid w:val="0030394E"/>
    <w:rsid w:val="003258DE"/>
    <w:rsid w:val="003560A1"/>
    <w:rsid w:val="00380F44"/>
    <w:rsid w:val="00387840"/>
    <w:rsid w:val="00392688"/>
    <w:rsid w:val="003C0E71"/>
    <w:rsid w:val="003C1BF2"/>
    <w:rsid w:val="003C49CE"/>
    <w:rsid w:val="003D63A8"/>
    <w:rsid w:val="003E3A9F"/>
    <w:rsid w:val="003F09EC"/>
    <w:rsid w:val="003F25BE"/>
    <w:rsid w:val="003F6DFC"/>
    <w:rsid w:val="00407429"/>
    <w:rsid w:val="00411D07"/>
    <w:rsid w:val="00423541"/>
    <w:rsid w:val="00426584"/>
    <w:rsid w:val="00431D45"/>
    <w:rsid w:val="00450D63"/>
    <w:rsid w:val="00454DAD"/>
    <w:rsid w:val="00454F3D"/>
    <w:rsid w:val="004564F4"/>
    <w:rsid w:val="00456FAB"/>
    <w:rsid w:val="00457042"/>
    <w:rsid w:val="0045832B"/>
    <w:rsid w:val="00464284"/>
    <w:rsid w:val="004679BC"/>
    <w:rsid w:val="00482199"/>
    <w:rsid w:val="004878DB"/>
    <w:rsid w:val="004921FD"/>
    <w:rsid w:val="00493E0A"/>
    <w:rsid w:val="00494A2D"/>
    <w:rsid w:val="004A26E3"/>
    <w:rsid w:val="004B0A87"/>
    <w:rsid w:val="004C1AB5"/>
    <w:rsid w:val="004D00DD"/>
    <w:rsid w:val="004D4548"/>
    <w:rsid w:val="004E1ECE"/>
    <w:rsid w:val="004F54F5"/>
    <w:rsid w:val="00505ACC"/>
    <w:rsid w:val="00535159"/>
    <w:rsid w:val="0053666A"/>
    <w:rsid w:val="00557799"/>
    <w:rsid w:val="005620A0"/>
    <w:rsid w:val="0056634E"/>
    <w:rsid w:val="0057264C"/>
    <w:rsid w:val="00577A39"/>
    <w:rsid w:val="005814F5"/>
    <w:rsid w:val="005825A6"/>
    <w:rsid w:val="005B476C"/>
    <w:rsid w:val="005B4AF7"/>
    <w:rsid w:val="005B506B"/>
    <w:rsid w:val="005C3F28"/>
    <w:rsid w:val="005C7F51"/>
    <w:rsid w:val="005D0A71"/>
    <w:rsid w:val="005D30BA"/>
    <w:rsid w:val="005D4215"/>
    <w:rsid w:val="005F3CEB"/>
    <w:rsid w:val="005F4391"/>
    <w:rsid w:val="00600AE1"/>
    <w:rsid w:val="0061211D"/>
    <w:rsid w:val="006172D1"/>
    <w:rsid w:val="00617655"/>
    <w:rsid w:val="006443D9"/>
    <w:rsid w:val="0065394E"/>
    <w:rsid w:val="00661D29"/>
    <w:rsid w:val="006760D0"/>
    <w:rsid w:val="00687D4A"/>
    <w:rsid w:val="00690A88"/>
    <w:rsid w:val="006A2F63"/>
    <w:rsid w:val="006A3718"/>
    <w:rsid w:val="006A7F7E"/>
    <w:rsid w:val="006C0085"/>
    <w:rsid w:val="006C7F7B"/>
    <w:rsid w:val="007100E4"/>
    <w:rsid w:val="00712950"/>
    <w:rsid w:val="00715B3E"/>
    <w:rsid w:val="00723A75"/>
    <w:rsid w:val="0073401D"/>
    <w:rsid w:val="007361D8"/>
    <w:rsid w:val="00737A99"/>
    <w:rsid w:val="00756954"/>
    <w:rsid w:val="00757EEC"/>
    <w:rsid w:val="007713E0"/>
    <w:rsid w:val="00772AEA"/>
    <w:rsid w:val="00782E37"/>
    <w:rsid w:val="00792BD7"/>
    <w:rsid w:val="007967C3"/>
    <w:rsid w:val="007A0AA6"/>
    <w:rsid w:val="007A2C76"/>
    <w:rsid w:val="007D567F"/>
    <w:rsid w:val="007E291E"/>
    <w:rsid w:val="007E6347"/>
    <w:rsid w:val="007F0661"/>
    <w:rsid w:val="007F2FF2"/>
    <w:rsid w:val="00802A52"/>
    <w:rsid w:val="00806F0F"/>
    <w:rsid w:val="008121EB"/>
    <w:rsid w:val="00823A07"/>
    <w:rsid w:val="00825D3D"/>
    <w:rsid w:val="00831224"/>
    <w:rsid w:val="00831CFC"/>
    <w:rsid w:val="00850060"/>
    <w:rsid w:val="0085013A"/>
    <w:rsid w:val="00850D66"/>
    <w:rsid w:val="00855F84"/>
    <w:rsid w:val="0086439A"/>
    <w:rsid w:val="00881C97"/>
    <w:rsid w:val="0088586D"/>
    <w:rsid w:val="00891621"/>
    <w:rsid w:val="00892ABA"/>
    <w:rsid w:val="00894C2C"/>
    <w:rsid w:val="008952AA"/>
    <w:rsid w:val="008973E9"/>
    <w:rsid w:val="008A42B1"/>
    <w:rsid w:val="008A5C96"/>
    <w:rsid w:val="008B4414"/>
    <w:rsid w:val="008B512A"/>
    <w:rsid w:val="008C2916"/>
    <w:rsid w:val="008D1BB5"/>
    <w:rsid w:val="008D2DDA"/>
    <w:rsid w:val="008E2476"/>
    <w:rsid w:val="008F0F5C"/>
    <w:rsid w:val="008F55EC"/>
    <w:rsid w:val="009043FC"/>
    <w:rsid w:val="009050C6"/>
    <w:rsid w:val="00905373"/>
    <w:rsid w:val="00906338"/>
    <w:rsid w:val="0091365A"/>
    <w:rsid w:val="0092528F"/>
    <w:rsid w:val="009522EA"/>
    <w:rsid w:val="00955E32"/>
    <w:rsid w:val="009565CE"/>
    <w:rsid w:val="0097181E"/>
    <w:rsid w:val="00990B3C"/>
    <w:rsid w:val="009A37F3"/>
    <w:rsid w:val="009A4F83"/>
    <w:rsid w:val="009B2762"/>
    <w:rsid w:val="009B4DE8"/>
    <w:rsid w:val="009B6E1F"/>
    <w:rsid w:val="009C5A76"/>
    <w:rsid w:val="009D1FBA"/>
    <w:rsid w:val="009F4681"/>
    <w:rsid w:val="009F7577"/>
    <w:rsid w:val="00A01D13"/>
    <w:rsid w:val="00A0CCC5"/>
    <w:rsid w:val="00A121B3"/>
    <w:rsid w:val="00A175CD"/>
    <w:rsid w:val="00A20ABD"/>
    <w:rsid w:val="00A27DF9"/>
    <w:rsid w:val="00A50617"/>
    <w:rsid w:val="00A5193E"/>
    <w:rsid w:val="00A636FF"/>
    <w:rsid w:val="00A74C66"/>
    <w:rsid w:val="00A8651A"/>
    <w:rsid w:val="00AA4303"/>
    <w:rsid w:val="00AB6132"/>
    <w:rsid w:val="00AD184C"/>
    <w:rsid w:val="00AD2B6E"/>
    <w:rsid w:val="00AD5FAF"/>
    <w:rsid w:val="00AD7FE7"/>
    <w:rsid w:val="00AF02E0"/>
    <w:rsid w:val="00AF4B64"/>
    <w:rsid w:val="00B152AF"/>
    <w:rsid w:val="00B334DD"/>
    <w:rsid w:val="00B53D5A"/>
    <w:rsid w:val="00B61F7F"/>
    <w:rsid w:val="00B718B7"/>
    <w:rsid w:val="00B776A9"/>
    <w:rsid w:val="00B80ADB"/>
    <w:rsid w:val="00B9025E"/>
    <w:rsid w:val="00B93B1F"/>
    <w:rsid w:val="00B94B3A"/>
    <w:rsid w:val="00B95A9B"/>
    <w:rsid w:val="00BA5216"/>
    <w:rsid w:val="00BC4BD9"/>
    <w:rsid w:val="00BC5E8E"/>
    <w:rsid w:val="00BC719D"/>
    <w:rsid w:val="00BE100F"/>
    <w:rsid w:val="00BE1269"/>
    <w:rsid w:val="00BE4B49"/>
    <w:rsid w:val="00BE6801"/>
    <w:rsid w:val="00C0291B"/>
    <w:rsid w:val="00C05740"/>
    <w:rsid w:val="00C07190"/>
    <w:rsid w:val="00C14F9F"/>
    <w:rsid w:val="00C2007C"/>
    <w:rsid w:val="00C37F6A"/>
    <w:rsid w:val="00C42412"/>
    <w:rsid w:val="00C55B65"/>
    <w:rsid w:val="00C72568"/>
    <w:rsid w:val="00C73DA2"/>
    <w:rsid w:val="00C75211"/>
    <w:rsid w:val="00CA189C"/>
    <w:rsid w:val="00CA203B"/>
    <w:rsid w:val="00CA3730"/>
    <w:rsid w:val="00CB2D6A"/>
    <w:rsid w:val="00CB5C49"/>
    <w:rsid w:val="00CB6145"/>
    <w:rsid w:val="00CD382D"/>
    <w:rsid w:val="00CF6F1F"/>
    <w:rsid w:val="00D00427"/>
    <w:rsid w:val="00D02C4A"/>
    <w:rsid w:val="00D10CB2"/>
    <w:rsid w:val="00D1252D"/>
    <w:rsid w:val="00D23D2B"/>
    <w:rsid w:val="00D245FB"/>
    <w:rsid w:val="00D24DA3"/>
    <w:rsid w:val="00D378BC"/>
    <w:rsid w:val="00D46770"/>
    <w:rsid w:val="00D5199F"/>
    <w:rsid w:val="00D54403"/>
    <w:rsid w:val="00D57437"/>
    <w:rsid w:val="00D70FFC"/>
    <w:rsid w:val="00D77363"/>
    <w:rsid w:val="00D77423"/>
    <w:rsid w:val="00D8218E"/>
    <w:rsid w:val="00DA2F88"/>
    <w:rsid w:val="00DB4981"/>
    <w:rsid w:val="00DC5798"/>
    <w:rsid w:val="00DD37E4"/>
    <w:rsid w:val="00DE63D0"/>
    <w:rsid w:val="00DF1A8D"/>
    <w:rsid w:val="00DF538E"/>
    <w:rsid w:val="00E05E1C"/>
    <w:rsid w:val="00E16E93"/>
    <w:rsid w:val="00E4646D"/>
    <w:rsid w:val="00E5089C"/>
    <w:rsid w:val="00E54E84"/>
    <w:rsid w:val="00E617E0"/>
    <w:rsid w:val="00E63C2E"/>
    <w:rsid w:val="00E63D29"/>
    <w:rsid w:val="00E65125"/>
    <w:rsid w:val="00E67C31"/>
    <w:rsid w:val="00E82344"/>
    <w:rsid w:val="00E84AAE"/>
    <w:rsid w:val="00E86DCD"/>
    <w:rsid w:val="00E94A1C"/>
    <w:rsid w:val="00EA2130"/>
    <w:rsid w:val="00EB4501"/>
    <w:rsid w:val="00EB64C9"/>
    <w:rsid w:val="00EC303C"/>
    <w:rsid w:val="00EC4AF9"/>
    <w:rsid w:val="00ED7629"/>
    <w:rsid w:val="00EF11AE"/>
    <w:rsid w:val="00F03DF7"/>
    <w:rsid w:val="00F07FBE"/>
    <w:rsid w:val="00F1256F"/>
    <w:rsid w:val="00F221E1"/>
    <w:rsid w:val="00F24B46"/>
    <w:rsid w:val="00F353EB"/>
    <w:rsid w:val="00F4048D"/>
    <w:rsid w:val="00F41FC6"/>
    <w:rsid w:val="00F44EDC"/>
    <w:rsid w:val="00F61A91"/>
    <w:rsid w:val="00F61B69"/>
    <w:rsid w:val="00F62375"/>
    <w:rsid w:val="00F62D9C"/>
    <w:rsid w:val="00F63593"/>
    <w:rsid w:val="00F64925"/>
    <w:rsid w:val="00F7371C"/>
    <w:rsid w:val="00F83261"/>
    <w:rsid w:val="00F847DD"/>
    <w:rsid w:val="00F84BB4"/>
    <w:rsid w:val="00F91691"/>
    <w:rsid w:val="00F93CD4"/>
    <w:rsid w:val="00FA2DFF"/>
    <w:rsid w:val="00FA7EFD"/>
    <w:rsid w:val="00FC6D23"/>
    <w:rsid w:val="00FE3C74"/>
    <w:rsid w:val="00FF01F8"/>
    <w:rsid w:val="00FF1497"/>
    <w:rsid w:val="0145CC04"/>
    <w:rsid w:val="014A4C4F"/>
    <w:rsid w:val="0257E067"/>
    <w:rsid w:val="02BBB97C"/>
    <w:rsid w:val="0348DECB"/>
    <w:rsid w:val="03663EB7"/>
    <w:rsid w:val="03AD7957"/>
    <w:rsid w:val="03C134BF"/>
    <w:rsid w:val="03D36A49"/>
    <w:rsid w:val="03E78DCD"/>
    <w:rsid w:val="042BB4CD"/>
    <w:rsid w:val="04512D8C"/>
    <w:rsid w:val="045B0738"/>
    <w:rsid w:val="04E3BF1E"/>
    <w:rsid w:val="05428B3C"/>
    <w:rsid w:val="05BE0D59"/>
    <w:rsid w:val="0610C301"/>
    <w:rsid w:val="06C4207D"/>
    <w:rsid w:val="07005A6D"/>
    <w:rsid w:val="07624D09"/>
    <w:rsid w:val="07CC5F68"/>
    <w:rsid w:val="07CEC4C1"/>
    <w:rsid w:val="07D9B43F"/>
    <w:rsid w:val="082ED43B"/>
    <w:rsid w:val="08DD5BDE"/>
    <w:rsid w:val="09202D3F"/>
    <w:rsid w:val="09820762"/>
    <w:rsid w:val="09B6A70F"/>
    <w:rsid w:val="0A7158FB"/>
    <w:rsid w:val="0BF76274"/>
    <w:rsid w:val="0C9ADCCB"/>
    <w:rsid w:val="0CC5343C"/>
    <w:rsid w:val="0CCC6100"/>
    <w:rsid w:val="0D12CE77"/>
    <w:rsid w:val="0D316584"/>
    <w:rsid w:val="0D373C9D"/>
    <w:rsid w:val="0D3BC60C"/>
    <w:rsid w:val="0D5FC073"/>
    <w:rsid w:val="0E087530"/>
    <w:rsid w:val="0E68C946"/>
    <w:rsid w:val="0E82E29E"/>
    <w:rsid w:val="0E9721EF"/>
    <w:rsid w:val="0EC6DE1C"/>
    <w:rsid w:val="0EF83AAF"/>
    <w:rsid w:val="0F0795DC"/>
    <w:rsid w:val="0F80CD0C"/>
    <w:rsid w:val="0FF72CE0"/>
    <w:rsid w:val="1001101E"/>
    <w:rsid w:val="10DC2FFF"/>
    <w:rsid w:val="1139249F"/>
    <w:rsid w:val="11781967"/>
    <w:rsid w:val="123C9FDF"/>
    <w:rsid w:val="12B11292"/>
    <w:rsid w:val="1362A70F"/>
    <w:rsid w:val="14283F80"/>
    <w:rsid w:val="14755713"/>
    <w:rsid w:val="14F93311"/>
    <w:rsid w:val="158991A8"/>
    <w:rsid w:val="15A44170"/>
    <w:rsid w:val="15C1A20D"/>
    <w:rsid w:val="167583B8"/>
    <w:rsid w:val="16A4E211"/>
    <w:rsid w:val="170E7BD2"/>
    <w:rsid w:val="17317FE7"/>
    <w:rsid w:val="17F91915"/>
    <w:rsid w:val="183FC745"/>
    <w:rsid w:val="187E780C"/>
    <w:rsid w:val="18AE1C69"/>
    <w:rsid w:val="197AB14E"/>
    <w:rsid w:val="197B1902"/>
    <w:rsid w:val="198047DA"/>
    <w:rsid w:val="1A7CC4F3"/>
    <w:rsid w:val="1AE4DCB1"/>
    <w:rsid w:val="1B1897B9"/>
    <w:rsid w:val="1B53B10C"/>
    <w:rsid w:val="1BB5C526"/>
    <w:rsid w:val="1C108893"/>
    <w:rsid w:val="1CABCAC2"/>
    <w:rsid w:val="1D487513"/>
    <w:rsid w:val="1DD86966"/>
    <w:rsid w:val="1E035516"/>
    <w:rsid w:val="1E222B87"/>
    <w:rsid w:val="1E279452"/>
    <w:rsid w:val="1E69780F"/>
    <w:rsid w:val="1F3FD9C2"/>
    <w:rsid w:val="1F6090C4"/>
    <w:rsid w:val="20B38B2F"/>
    <w:rsid w:val="20C91A7C"/>
    <w:rsid w:val="2103C8E2"/>
    <w:rsid w:val="214F514D"/>
    <w:rsid w:val="220DAF15"/>
    <w:rsid w:val="221CE01B"/>
    <w:rsid w:val="231FC18D"/>
    <w:rsid w:val="233D8265"/>
    <w:rsid w:val="236BE615"/>
    <w:rsid w:val="241A495C"/>
    <w:rsid w:val="243132B1"/>
    <w:rsid w:val="24C978B0"/>
    <w:rsid w:val="24D7A7CB"/>
    <w:rsid w:val="2560A39C"/>
    <w:rsid w:val="2574B3FB"/>
    <w:rsid w:val="258C8D59"/>
    <w:rsid w:val="26607E69"/>
    <w:rsid w:val="26FA3C68"/>
    <w:rsid w:val="27797E7F"/>
    <w:rsid w:val="27880DCC"/>
    <w:rsid w:val="28960CC9"/>
    <w:rsid w:val="28E0477A"/>
    <w:rsid w:val="28E64AA0"/>
    <w:rsid w:val="2947B656"/>
    <w:rsid w:val="299B0A93"/>
    <w:rsid w:val="2A282B36"/>
    <w:rsid w:val="2AC0B8FB"/>
    <w:rsid w:val="2ADA1679"/>
    <w:rsid w:val="2B1071F5"/>
    <w:rsid w:val="2B11FC09"/>
    <w:rsid w:val="2B6DBD43"/>
    <w:rsid w:val="2BDC474C"/>
    <w:rsid w:val="2C397881"/>
    <w:rsid w:val="2C6D538B"/>
    <w:rsid w:val="2CB86921"/>
    <w:rsid w:val="2CD3BAD9"/>
    <w:rsid w:val="2D254E1D"/>
    <w:rsid w:val="2D891BB8"/>
    <w:rsid w:val="2DA1FE0A"/>
    <w:rsid w:val="2DFCB352"/>
    <w:rsid w:val="2E4E3B0A"/>
    <w:rsid w:val="2F1E76AA"/>
    <w:rsid w:val="2FAFC587"/>
    <w:rsid w:val="30A86A5C"/>
    <w:rsid w:val="30FBFD97"/>
    <w:rsid w:val="3123BD02"/>
    <w:rsid w:val="316D2B27"/>
    <w:rsid w:val="31893B85"/>
    <w:rsid w:val="3194E1A1"/>
    <w:rsid w:val="3256176C"/>
    <w:rsid w:val="326307A3"/>
    <w:rsid w:val="326AFF15"/>
    <w:rsid w:val="334FA992"/>
    <w:rsid w:val="33F1E7CD"/>
    <w:rsid w:val="3408D65E"/>
    <w:rsid w:val="343FB8EE"/>
    <w:rsid w:val="34404030"/>
    <w:rsid w:val="345E3437"/>
    <w:rsid w:val="35578C1C"/>
    <w:rsid w:val="357C7D57"/>
    <w:rsid w:val="357CD871"/>
    <w:rsid w:val="35977359"/>
    <w:rsid w:val="363AC727"/>
    <w:rsid w:val="36517721"/>
    <w:rsid w:val="36574FC1"/>
    <w:rsid w:val="36607FFB"/>
    <w:rsid w:val="36C12A01"/>
    <w:rsid w:val="36CF0EF0"/>
    <w:rsid w:val="36E52243"/>
    <w:rsid w:val="370F00C0"/>
    <w:rsid w:val="389AF5BC"/>
    <w:rsid w:val="38CBE130"/>
    <w:rsid w:val="39634DB4"/>
    <w:rsid w:val="39C1CF53"/>
    <w:rsid w:val="3A315ED5"/>
    <w:rsid w:val="3B24621D"/>
    <w:rsid w:val="3BE2EED2"/>
    <w:rsid w:val="3BFAAFAF"/>
    <w:rsid w:val="3CD79448"/>
    <w:rsid w:val="3D65DE49"/>
    <w:rsid w:val="3DACB734"/>
    <w:rsid w:val="3DE9FCCD"/>
    <w:rsid w:val="3E1ACAD5"/>
    <w:rsid w:val="3E7859D6"/>
    <w:rsid w:val="3F29E304"/>
    <w:rsid w:val="3F50B36E"/>
    <w:rsid w:val="3F7E106D"/>
    <w:rsid w:val="408399E8"/>
    <w:rsid w:val="41F4DED7"/>
    <w:rsid w:val="42090F77"/>
    <w:rsid w:val="44B33698"/>
    <w:rsid w:val="44BD4FA5"/>
    <w:rsid w:val="44C9D3BF"/>
    <w:rsid w:val="4530F247"/>
    <w:rsid w:val="4543BE19"/>
    <w:rsid w:val="45EC3D86"/>
    <w:rsid w:val="46F98A23"/>
    <w:rsid w:val="47159F14"/>
    <w:rsid w:val="47182675"/>
    <w:rsid w:val="473B8606"/>
    <w:rsid w:val="474CD69F"/>
    <w:rsid w:val="47B9150C"/>
    <w:rsid w:val="485B753B"/>
    <w:rsid w:val="488E9261"/>
    <w:rsid w:val="48D16E43"/>
    <w:rsid w:val="49125138"/>
    <w:rsid w:val="49125F3A"/>
    <w:rsid w:val="4A4D3FD6"/>
    <w:rsid w:val="4AF64FFC"/>
    <w:rsid w:val="4B5BDEE2"/>
    <w:rsid w:val="4B845550"/>
    <w:rsid w:val="4B98CF33"/>
    <w:rsid w:val="4C46433E"/>
    <w:rsid w:val="4C67D49C"/>
    <w:rsid w:val="4C7A7B0B"/>
    <w:rsid w:val="4CD0BF5F"/>
    <w:rsid w:val="4CD29EF8"/>
    <w:rsid w:val="4D7C8862"/>
    <w:rsid w:val="4E1B9E89"/>
    <w:rsid w:val="4E54D03C"/>
    <w:rsid w:val="4EBE4ADD"/>
    <w:rsid w:val="4FD24E3C"/>
    <w:rsid w:val="5074F170"/>
    <w:rsid w:val="5099C81D"/>
    <w:rsid w:val="51402F2F"/>
    <w:rsid w:val="51BBCAEC"/>
    <w:rsid w:val="51F6C4D2"/>
    <w:rsid w:val="5248B933"/>
    <w:rsid w:val="52FCD427"/>
    <w:rsid w:val="53216078"/>
    <w:rsid w:val="545A2F48"/>
    <w:rsid w:val="5490B6C4"/>
    <w:rsid w:val="5520FABF"/>
    <w:rsid w:val="55D1C1C9"/>
    <w:rsid w:val="55EF2DFC"/>
    <w:rsid w:val="56FA8925"/>
    <w:rsid w:val="58090BF0"/>
    <w:rsid w:val="580D722C"/>
    <w:rsid w:val="58ECF327"/>
    <w:rsid w:val="590B054F"/>
    <w:rsid w:val="5A12C811"/>
    <w:rsid w:val="5A17F09F"/>
    <w:rsid w:val="5A2F1EB5"/>
    <w:rsid w:val="5A4CB05E"/>
    <w:rsid w:val="5AC7F228"/>
    <w:rsid w:val="5B5E1CE4"/>
    <w:rsid w:val="5B6FF901"/>
    <w:rsid w:val="5B8C7642"/>
    <w:rsid w:val="5C1FB3B5"/>
    <w:rsid w:val="5D178A70"/>
    <w:rsid w:val="5D360104"/>
    <w:rsid w:val="5D5C36C7"/>
    <w:rsid w:val="5DDD5DE2"/>
    <w:rsid w:val="5E6BB41B"/>
    <w:rsid w:val="5E759EF8"/>
    <w:rsid w:val="5F4C9C60"/>
    <w:rsid w:val="5F57C20C"/>
    <w:rsid w:val="5F645A1A"/>
    <w:rsid w:val="5FCB2623"/>
    <w:rsid w:val="6001D6D8"/>
    <w:rsid w:val="60347B3F"/>
    <w:rsid w:val="6083E6D3"/>
    <w:rsid w:val="60EA862F"/>
    <w:rsid w:val="6104DC5D"/>
    <w:rsid w:val="611DCA08"/>
    <w:rsid w:val="615EA0A4"/>
    <w:rsid w:val="617064D5"/>
    <w:rsid w:val="61B67A2E"/>
    <w:rsid w:val="620630CE"/>
    <w:rsid w:val="628F57B8"/>
    <w:rsid w:val="62A4B937"/>
    <w:rsid w:val="62CDDF22"/>
    <w:rsid w:val="62FE7EC7"/>
    <w:rsid w:val="631B860B"/>
    <w:rsid w:val="6339CEE7"/>
    <w:rsid w:val="633B5BA8"/>
    <w:rsid w:val="658F05AB"/>
    <w:rsid w:val="6631D956"/>
    <w:rsid w:val="6652CD05"/>
    <w:rsid w:val="66B2ABA8"/>
    <w:rsid w:val="66C019B0"/>
    <w:rsid w:val="683537F4"/>
    <w:rsid w:val="6944A808"/>
    <w:rsid w:val="6A0DB341"/>
    <w:rsid w:val="6A14EC0C"/>
    <w:rsid w:val="6A5E0301"/>
    <w:rsid w:val="6AD3462F"/>
    <w:rsid w:val="6B7ABC11"/>
    <w:rsid w:val="6BA8AC0A"/>
    <w:rsid w:val="6BAF0BE1"/>
    <w:rsid w:val="6BB764FD"/>
    <w:rsid w:val="6BC275C3"/>
    <w:rsid w:val="6C215360"/>
    <w:rsid w:val="6C478F04"/>
    <w:rsid w:val="6C857157"/>
    <w:rsid w:val="6C9C46D4"/>
    <w:rsid w:val="6CA1FDE4"/>
    <w:rsid w:val="6DD68F26"/>
    <w:rsid w:val="6DD85439"/>
    <w:rsid w:val="6E05E174"/>
    <w:rsid w:val="6E0E4118"/>
    <w:rsid w:val="6E7F3C05"/>
    <w:rsid w:val="6E831894"/>
    <w:rsid w:val="6EC05636"/>
    <w:rsid w:val="6ECB9F36"/>
    <w:rsid w:val="6F41F810"/>
    <w:rsid w:val="6F7971CE"/>
    <w:rsid w:val="6F91A30E"/>
    <w:rsid w:val="70C8BC8D"/>
    <w:rsid w:val="71999C99"/>
    <w:rsid w:val="71AFD59B"/>
    <w:rsid w:val="71BC0529"/>
    <w:rsid w:val="71CB510A"/>
    <w:rsid w:val="71EE8478"/>
    <w:rsid w:val="71F26184"/>
    <w:rsid w:val="72154A3A"/>
    <w:rsid w:val="72B6D088"/>
    <w:rsid w:val="731A514E"/>
    <w:rsid w:val="73ABA245"/>
    <w:rsid w:val="7413D658"/>
    <w:rsid w:val="743C5AD7"/>
    <w:rsid w:val="7445C518"/>
    <w:rsid w:val="74610660"/>
    <w:rsid w:val="74B3E851"/>
    <w:rsid w:val="75B99BD8"/>
    <w:rsid w:val="761044F5"/>
    <w:rsid w:val="761B0CEF"/>
    <w:rsid w:val="76287AD1"/>
    <w:rsid w:val="762D7D8A"/>
    <w:rsid w:val="7685C9DD"/>
    <w:rsid w:val="769EC22D"/>
    <w:rsid w:val="76AEC020"/>
    <w:rsid w:val="7751C2CF"/>
    <w:rsid w:val="777C0DE6"/>
    <w:rsid w:val="7786BB2F"/>
    <w:rsid w:val="780092EC"/>
    <w:rsid w:val="786A1B8E"/>
    <w:rsid w:val="795B45EE"/>
    <w:rsid w:val="79EE9DE5"/>
    <w:rsid w:val="79F0DE77"/>
    <w:rsid w:val="7ACF2AE9"/>
    <w:rsid w:val="7BABBD47"/>
    <w:rsid w:val="7BEDE1DB"/>
    <w:rsid w:val="7C76DB2B"/>
    <w:rsid w:val="7C89A8F5"/>
    <w:rsid w:val="7CBF6A36"/>
    <w:rsid w:val="7CFEA517"/>
    <w:rsid w:val="7D7C5774"/>
    <w:rsid w:val="7D8DCEE4"/>
    <w:rsid w:val="7EED4622"/>
    <w:rsid w:val="7F4FA1F4"/>
    <w:rsid w:val="7FD1C2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B7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F1F"/>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qFormat/>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NormalWeb">
    <w:name w:val="Normal (Web)"/>
    <w:basedOn w:val="Normal"/>
    <w:uiPriority w:val="99"/>
    <w:unhideWhenUsed/>
    <w:rsid w:val="00B334DD"/>
    <w:pPr>
      <w:spacing w:before="100" w:beforeAutospacing="1" w:after="100" w:afterAutospacing="1" w:line="240" w:lineRule="auto"/>
    </w:pPr>
    <w:rPr>
      <w:rFonts w:ascii="Times New Roman" w:eastAsia="Times New Roman" w:hAnsi="Times New Roman"/>
      <w:sz w:val="24"/>
      <w:lang w:eastAsia="en-AU"/>
    </w:rPr>
  </w:style>
  <w:style w:type="character" w:customStyle="1" w:styleId="normaltextrun">
    <w:name w:val="normaltextrun"/>
    <w:basedOn w:val="DefaultParagraphFont"/>
    <w:rsid w:val="00C72568"/>
  </w:style>
  <w:style w:type="character" w:customStyle="1" w:styleId="eop">
    <w:name w:val="eop"/>
    <w:basedOn w:val="DefaultParagraphFont"/>
    <w:rsid w:val="00C72568"/>
  </w:style>
  <w:style w:type="character" w:styleId="UnresolvedMention">
    <w:name w:val="Unresolved Mention"/>
    <w:basedOn w:val="DefaultParagraphFont"/>
    <w:uiPriority w:val="99"/>
    <w:semiHidden/>
    <w:unhideWhenUsed/>
    <w:rsid w:val="007A2C76"/>
    <w:rPr>
      <w:color w:val="605E5C"/>
      <w:shd w:val="clear" w:color="auto" w:fill="E1DFDD"/>
    </w:rPr>
  </w:style>
  <w:style w:type="paragraph" w:styleId="Revision">
    <w:name w:val="Revision"/>
    <w:hidden/>
    <w:semiHidden/>
    <w:rsid w:val="00BC4BD9"/>
    <w:rPr>
      <w:rFonts w:ascii="Arial" w:hAnsi="Arial"/>
      <w:szCs w:val="24"/>
      <w:lang w:eastAsia="en-US"/>
    </w:rPr>
  </w:style>
  <w:style w:type="character" w:styleId="CommentReference">
    <w:name w:val="annotation reference"/>
    <w:basedOn w:val="DefaultParagraphFont"/>
    <w:semiHidden/>
    <w:unhideWhenUsed/>
    <w:rsid w:val="00BC4BD9"/>
    <w:rPr>
      <w:sz w:val="16"/>
      <w:szCs w:val="16"/>
    </w:rPr>
  </w:style>
  <w:style w:type="paragraph" w:styleId="CommentText">
    <w:name w:val="annotation text"/>
    <w:basedOn w:val="Normal"/>
    <w:link w:val="CommentTextChar"/>
    <w:unhideWhenUsed/>
    <w:rsid w:val="00BC4BD9"/>
    <w:pPr>
      <w:spacing w:line="240" w:lineRule="auto"/>
    </w:pPr>
    <w:rPr>
      <w:szCs w:val="20"/>
    </w:rPr>
  </w:style>
  <w:style w:type="character" w:customStyle="1" w:styleId="CommentTextChar">
    <w:name w:val="Comment Text Char"/>
    <w:basedOn w:val="DefaultParagraphFont"/>
    <w:link w:val="CommentText"/>
    <w:rsid w:val="00BC4BD9"/>
    <w:rPr>
      <w:rFonts w:ascii="Arial" w:hAnsi="Arial"/>
      <w:lang w:eastAsia="en-US"/>
    </w:rPr>
  </w:style>
  <w:style w:type="paragraph" w:styleId="CommentSubject">
    <w:name w:val="annotation subject"/>
    <w:basedOn w:val="CommentText"/>
    <w:next w:val="CommentText"/>
    <w:link w:val="CommentSubjectChar"/>
    <w:semiHidden/>
    <w:unhideWhenUsed/>
    <w:rsid w:val="00BC4BD9"/>
    <w:rPr>
      <w:b/>
      <w:bCs/>
    </w:rPr>
  </w:style>
  <w:style w:type="character" w:customStyle="1" w:styleId="CommentSubjectChar">
    <w:name w:val="Comment Subject Char"/>
    <w:basedOn w:val="CommentTextChar"/>
    <w:link w:val="CommentSubject"/>
    <w:semiHidden/>
    <w:rsid w:val="00BC4BD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334">
      <w:bodyDiv w:val="1"/>
      <w:marLeft w:val="0"/>
      <w:marRight w:val="0"/>
      <w:marTop w:val="0"/>
      <w:marBottom w:val="0"/>
      <w:divBdr>
        <w:top w:val="none" w:sz="0" w:space="0" w:color="auto"/>
        <w:left w:val="none" w:sz="0" w:space="0" w:color="auto"/>
        <w:bottom w:val="none" w:sz="0" w:space="0" w:color="auto"/>
        <w:right w:val="none" w:sz="0" w:space="0" w:color="auto"/>
      </w:divBdr>
    </w:div>
    <w:div w:id="37122377">
      <w:bodyDiv w:val="1"/>
      <w:marLeft w:val="0"/>
      <w:marRight w:val="0"/>
      <w:marTop w:val="0"/>
      <w:marBottom w:val="0"/>
      <w:divBdr>
        <w:top w:val="none" w:sz="0" w:space="0" w:color="auto"/>
        <w:left w:val="none" w:sz="0" w:space="0" w:color="auto"/>
        <w:bottom w:val="none" w:sz="0" w:space="0" w:color="auto"/>
        <w:right w:val="none" w:sz="0" w:space="0" w:color="auto"/>
      </w:divBdr>
    </w:div>
    <w:div w:id="118963949">
      <w:bodyDiv w:val="1"/>
      <w:marLeft w:val="0"/>
      <w:marRight w:val="0"/>
      <w:marTop w:val="0"/>
      <w:marBottom w:val="0"/>
      <w:divBdr>
        <w:top w:val="none" w:sz="0" w:space="0" w:color="auto"/>
        <w:left w:val="none" w:sz="0" w:space="0" w:color="auto"/>
        <w:bottom w:val="none" w:sz="0" w:space="0" w:color="auto"/>
        <w:right w:val="none" w:sz="0" w:space="0" w:color="auto"/>
      </w:divBdr>
    </w:div>
    <w:div w:id="370763730">
      <w:bodyDiv w:val="1"/>
      <w:marLeft w:val="0"/>
      <w:marRight w:val="0"/>
      <w:marTop w:val="0"/>
      <w:marBottom w:val="0"/>
      <w:divBdr>
        <w:top w:val="none" w:sz="0" w:space="0" w:color="auto"/>
        <w:left w:val="none" w:sz="0" w:space="0" w:color="auto"/>
        <w:bottom w:val="none" w:sz="0" w:space="0" w:color="auto"/>
        <w:right w:val="none" w:sz="0" w:space="0" w:color="auto"/>
      </w:divBdr>
    </w:div>
    <w:div w:id="371465322">
      <w:bodyDiv w:val="1"/>
      <w:marLeft w:val="0"/>
      <w:marRight w:val="0"/>
      <w:marTop w:val="0"/>
      <w:marBottom w:val="0"/>
      <w:divBdr>
        <w:top w:val="none" w:sz="0" w:space="0" w:color="auto"/>
        <w:left w:val="none" w:sz="0" w:space="0" w:color="auto"/>
        <w:bottom w:val="none" w:sz="0" w:space="0" w:color="auto"/>
        <w:right w:val="none" w:sz="0" w:space="0" w:color="auto"/>
      </w:divBdr>
    </w:div>
    <w:div w:id="473718617">
      <w:bodyDiv w:val="1"/>
      <w:marLeft w:val="0"/>
      <w:marRight w:val="0"/>
      <w:marTop w:val="0"/>
      <w:marBottom w:val="0"/>
      <w:divBdr>
        <w:top w:val="none" w:sz="0" w:space="0" w:color="auto"/>
        <w:left w:val="none" w:sz="0" w:space="0" w:color="auto"/>
        <w:bottom w:val="none" w:sz="0" w:space="0" w:color="auto"/>
        <w:right w:val="none" w:sz="0" w:space="0" w:color="auto"/>
      </w:divBdr>
    </w:div>
    <w:div w:id="821778563">
      <w:bodyDiv w:val="1"/>
      <w:marLeft w:val="0"/>
      <w:marRight w:val="0"/>
      <w:marTop w:val="0"/>
      <w:marBottom w:val="0"/>
      <w:divBdr>
        <w:top w:val="none" w:sz="0" w:space="0" w:color="auto"/>
        <w:left w:val="none" w:sz="0" w:space="0" w:color="auto"/>
        <w:bottom w:val="none" w:sz="0" w:space="0" w:color="auto"/>
        <w:right w:val="none" w:sz="0" w:space="0" w:color="auto"/>
      </w:divBdr>
    </w:div>
    <w:div w:id="1035153221">
      <w:bodyDiv w:val="1"/>
      <w:marLeft w:val="0"/>
      <w:marRight w:val="0"/>
      <w:marTop w:val="0"/>
      <w:marBottom w:val="0"/>
      <w:divBdr>
        <w:top w:val="none" w:sz="0" w:space="0" w:color="auto"/>
        <w:left w:val="none" w:sz="0" w:space="0" w:color="auto"/>
        <w:bottom w:val="none" w:sz="0" w:space="0" w:color="auto"/>
        <w:right w:val="none" w:sz="0" w:space="0" w:color="auto"/>
      </w:divBdr>
    </w:div>
    <w:div w:id="1038971055">
      <w:bodyDiv w:val="1"/>
      <w:marLeft w:val="0"/>
      <w:marRight w:val="0"/>
      <w:marTop w:val="0"/>
      <w:marBottom w:val="0"/>
      <w:divBdr>
        <w:top w:val="none" w:sz="0" w:space="0" w:color="auto"/>
        <w:left w:val="none" w:sz="0" w:space="0" w:color="auto"/>
        <w:bottom w:val="none" w:sz="0" w:space="0" w:color="auto"/>
        <w:right w:val="none" w:sz="0" w:space="0" w:color="auto"/>
      </w:divBdr>
    </w:div>
    <w:div w:id="1114714991">
      <w:bodyDiv w:val="1"/>
      <w:marLeft w:val="0"/>
      <w:marRight w:val="0"/>
      <w:marTop w:val="0"/>
      <w:marBottom w:val="0"/>
      <w:divBdr>
        <w:top w:val="none" w:sz="0" w:space="0" w:color="auto"/>
        <w:left w:val="none" w:sz="0" w:space="0" w:color="auto"/>
        <w:bottom w:val="none" w:sz="0" w:space="0" w:color="auto"/>
        <w:right w:val="none" w:sz="0" w:space="0" w:color="auto"/>
      </w:divBdr>
    </w:div>
    <w:div w:id="1391271058">
      <w:bodyDiv w:val="1"/>
      <w:marLeft w:val="0"/>
      <w:marRight w:val="0"/>
      <w:marTop w:val="0"/>
      <w:marBottom w:val="0"/>
      <w:divBdr>
        <w:top w:val="none" w:sz="0" w:space="0" w:color="auto"/>
        <w:left w:val="none" w:sz="0" w:space="0" w:color="auto"/>
        <w:bottom w:val="none" w:sz="0" w:space="0" w:color="auto"/>
        <w:right w:val="none" w:sz="0" w:space="0" w:color="auto"/>
      </w:divBdr>
    </w:div>
    <w:div w:id="1495101130">
      <w:bodyDiv w:val="1"/>
      <w:marLeft w:val="0"/>
      <w:marRight w:val="0"/>
      <w:marTop w:val="0"/>
      <w:marBottom w:val="0"/>
      <w:divBdr>
        <w:top w:val="none" w:sz="0" w:space="0" w:color="auto"/>
        <w:left w:val="none" w:sz="0" w:space="0" w:color="auto"/>
        <w:bottom w:val="none" w:sz="0" w:space="0" w:color="auto"/>
        <w:right w:val="none" w:sz="0" w:space="0" w:color="auto"/>
      </w:divBdr>
    </w:div>
    <w:div w:id="1704818558">
      <w:bodyDiv w:val="1"/>
      <w:marLeft w:val="0"/>
      <w:marRight w:val="0"/>
      <w:marTop w:val="0"/>
      <w:marBottom w:val="0"/>
      <w:divBdr>
        <w:top w:val="none" w:sz="0" w:space="0" w:color="auto"/>
        <w:left w:val="none" w:sz="0" w:space="0" w:color="auto"/>
        <w:bottom w:val="none" w:sz="0" w:space="0" w:color="auto"/>
        <w:right w:val="none" w:sz="0" w:space="0" w:color="auto"/>
      </w:divBdr>
    </w:div>
    <w:div w:id="1717200012">
      <w:bodyDiv w:val="1"/>
      <w:marLeft w:val="0"/>
      <w:marRight w:val="0"/>
      <w:marTop w:val="0"/>
      <w:marBottom w:val="0"/>
      <w:divBdr>
        <w:top w:val="none" w:sz="0" w:space="0" w:color="auto"/>
        <w:left w:val="none" w:sz="0" w:space="0" w:color="auto"/>
        <w:bottom w:val="none" w:sz="0" w:space="0" w:color="auto"/>
        <w:right w:val="none" w:sz="0" w:space="0" w:color="auto"/>
      </w:divBdr>
    </w:div>
    <w:div w:id="1723869162">
      <w:bodyDiv w:val="1"/>
      <w:marLeft w:val="0"/>
      <w:marRight w:val="0"/>
      <w:marTop w:val="0"/>
      <w:marBottom w:val="0"/>
      <w:divBdr>
        <w:top w:val="none" w:sz="0" w:space="0" w:color="auto"/>
        <w:left w:val="none" w:sz="0" w:space="0" w:color="auto"/>
        <w:bottom w:val="none" w:sz="0" w:space="0" w:color="auto"/>
        <w:right w:val="none" w:sz="0" w:space="0" w:color="auto"/>
      </w:divBdr>
    </w:div>
    <w:div w:id="1806728723">
      <w:bodyDiv w:val="1"/>
      <w:marLeft w:val="0"/>
      <w:marRight w:val="0"/>
      <w:marTop w:val="0"/>
      <w:marBottom w:val="0"/>
      <w:divBdr>
        <w:top w:val="none" w:sz="0" w:space="0" w:color="auto"/>
        <w:left w:val="none" w:sz="0" w:space="0" w:color="auto"/>
        <w:bottom w:val="none" w:sz="0" w:space="0" w:color="auto"/>
        <w:right w:val="none" w:sz="0" w:space="0" w:color="auto"/>
      </w:divBdr>
    </w:div>
    <w:div w:id="1902472859">
      <w:bodyDiv w:val="1"/>
      <w:marLeft w:val="0"/>
      <w:marRight w:val="0"/>
      <w:marTop w:val="0"/>
      <w:marBottom w:val="0"/>
      <w:divBdr>
        <w:top w:val="none" w:sz="0" w:space="0" w:color="auto"/>
        <w:left w:val="none" w:sz="0" w:space="0" w:color="auto"/>
        <w:bottom w:val="none" w:sz="0" w:space="0" w:color="auto"/>
        <w:right w:val="none" w:sz="0" w:space="0" w:color="auto"/>
      </w:divBdr>
    </w:div>
    <w:div w:id="1924796449">
      <w:bodyDiv w:val="1"/>
      <w:marLeft w:val="0"/>
      <w:marRight w:val="0"/>
      <w:marTop w:val="0"/>
      <w:marBottom w:val="0"/>
      <w:divBdr>
        <w:top w:val="none" w:sz="0" w:space="0" w:color="auto"/>
        <w:left w:val="none" w:sz="0" w:space="0" w:color="auto"/>
        <w:bottom w:val="none" w:sz="0" w:space="0" w:color="auto"/>
        <w:right w:val="none" w:sz="0" w:space="0" w:color="auto"/>
      </w:divBdr>
    </w:div>
    <w:div w:id="2009207892">
      <w:bodyDiv w:val="1"/>
      <w:marLeft w:val="0"/>
      <w:marRight w:val="0"/>
      <w:marTop w:val="0"/>
      <w:marBottom w:val="0"/>
      <w:divBdr>
        <w:top w:val="none" w:sz="0" w:space="0" w:color="auto"/>
        <w:left w:val="none" w:sz="0" w:space="0" w:color="auto"/>
        <w:bottom w:val="none" w:sz="0" w:space="0" w:color="auto"/>
        <w:right w:val="none" w:sz="0" w:space="0" w:color="auto"/>
      </w:divBdr>
    </w:div>
    <w:div w:id="2026469256">
      <w:bodyDiv w:val="1"/>
      <w:marLeft w:val="0"/>
      <w:marRight w:val="0"/>
      <w:marTop w:val="0"/>
      <w:marBottom w:val="0"/>
      <w:divBdr>
        <w:top w:val="none" w:sz="0" w:space="0" w:color="auto"/>
        <w:left w:val="none" w:sz="0" w:space="0" w:color="auto"/>
        <w:bottom w:val="none" w:sz="0" w:space="0" w:color="auto"/>
        <w:right w:val="none" w:sz="0" w:space="0" w:color="auto"/>
      </w:divBdr>
    </w:div>
    <w:div w:id="2037195683">
      <w:bodyDiv w:val="1"/>
      <w:marLeft w:val="0"/>
      <w:marRight w:val="0"/>
      <w:marTop w:val="0"/>
      <w:marBottom w:val="0"/>
      <w:divBdr>
        <w:top w:val="none" w:sz="0" w:space="0" w:color="auto"/>
        <w:left w:val="none" w:sz="0" w:space="0" w:color="auto"/>
        <w:bottom w:val="none" w:sz="0" w:space="0" w:color="auto"/>
        <w:right w:val="none" w:sz="0" w:space="0" w:color="auto"/>
      </w:divBdr>
    </w:div>
    <w:div w:id="2106921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A828981B4F5E4FAA7177FEF43E0784" ma:contentTypeVersion="2" ma:contentTypeDescription="Create a new document." ma:contentTypeScope="" ma:versionID="eebf623698bd496ed6b23e2e0fd23631">
  <xsd:schema xmlns:xsd="http://www.w3.org/2001/XMLSchema" xmlns:xs="http://www.w3.org/2001/XMLSchema" xmlns:p="http://schemas.microsoft.com/office/2006/metadata/properties" xmlns:ns2="2af6dc0f-dcb9-487f-bcaf-3d479986ce06" xmlns:ns3="be67119a-5e48-4fce-ad0c-877669ba5dbf" targetNamespace="http://schemas.microsoft.com/office/2006/metadata/properties" ma:root="true" ma:fieldsID="98602daee4ed788afe1e11e9a010a13e" ns2:_="" ns3:_="">
    <xsd:import namespace="2af6dc0f-dcb9-487f-bcaf-3d479986ce06"/>
    <xsd:import namespace="be67119a-5e48-4fce-ad0c-877669ba5dbf"/>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DMnumber0" minOccurs="0"/>
                <xsd:element ref="ns2:Contactperson" minOccurs="0"/>
                <xsd:element ref="ns2:lcf76f155ced4ddcb4097134ff3c332f" minOccurs="0"/>
                <xsd:element ref="ns3:TaxCatchAll"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dc0f-dcb9-487f-bcaf-3d479986ce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internalName="Documenttype">
      <xsd:simpleType>
        <xsd:restriction base="dms:Choice">
          <xsd:enumeration value="Project brief"/>
          <xsd:enumeration value="Briefing Paper"/>
          <xsd:enumeration value="Process and procedures"/>
          <xsd:enumeration value="Working documents"/>
          <xsd:enumeration value="Obsolete"/>
          <xsd:enumeration value="Strategy and Planning"/>
          <xsd:enumeration value="Contracts/Agreements"/>
          <xsd:enumeration value="Publication"/>
        </xsd:restriction>
      </xsd:simpleType>
    </xsd:element>
    <xsd:element name="DMnumber0" ma:index="12" nillable="true" ma:displayName="DM number" ma:format="Dropdown" ma:internalName="DMnumber0" ma:percentage="FALSE">
      <xsd:simpleType>
        <xsd:restriction base="dms:Number"/>
      </xsd:simpleType>
    </xsd:element>
    <xsd:element name="Contactperson" ma:index="13"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displayName="Image Tags_0" ma:hidden="true" ma:internalName="lcf76f155ced4ddcb4097134ff3c332f">
      <xsd:simpleType>
        <xsd:restriction base="dms:Note"/>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67119a-5e48-4fce-ad0c-877669ba5dbf" elementFormDefault="qualified">
    <xsd:import namespace="http://schemas.microsoft.com/office/2006/documentManagement/types"/>
    <xsd:import namespace="http://schemas.microsoft.com/office/infopath/2007/PartnerControls"/>
    <xsd:element name="TaxCatchAll" ma:index="15" nillable="true" ma:displayName="Taxonomy Catch All Column" ma:description="" ma:hidden="true" ma:list="{18d0a272-30e1-47c5-b097-bba4db42b295}" ma:internalName="TaxCatchAll" ma:showField="CatchAllData" ma:web="be67119a-5e48-4fce-ad0c-877669ba5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2af6dc0f-dcb9-487f-bcaf-3d479986ce06">
      <Url xsi:nil="true"/>
      <Description xsi:nil="true"/>
    </Link>
    <DMnumber0 xmlns="2af6dc0f-dcb9-487f-bcaf-3d479986ce06" xsi:nil="true"/>
    <Documenttype xmlns="2af6dc0f-dcb9-487f-bcaf-3d479986ce06" xsi:nil="true"/>
    <lcf76f155ced4ddcb4097134ff3c332f xmlns="2af6dc0f-dcb9-487f-bcaf-3d479986ce06" xsi:nil="true"/>
    <TaxCatchAll xmlns="be67119a-5e48-4fce-ad0c-877669ba5dbf" xsi:nil="true"/>
    <Contactperson xmlns="2af6dc0f-dcb9-487f-bcaf-3d479986ce06">
      <UserInfo>
        <DisplayName/>
        <AccountId xsi:nil="true"/>
        <AccountType/>
      </UserInfo>
    </Contact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5D88-C7DC-4B9A-B7CE-FC22BDC1420B}">
  <ds:schemaRefs>
    <ds:schemaRef ds:uri="http://schemas.microsoft.com/sharepoint/v3/contenttype/forms"/>
  </ds:schemaRefs>
</ds:datastoreItem>
</file>

<file path=customXml/itemProps2.xml><?xml version="1.0" encoding="utf-8"?>
<ds:datastoreItem xmlns:ds="http://schemas.openxmlformats.org/officeDocument/2006/customXml" ds:itemID="{72356CEA-75C3-4918-B283-6AE75417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dc0f-dcb9-487f-bcaf-3d479986ce06"/>
    <ds:schemaRef ds:uri="be67119a-5e48-4fce-ad0c-877669ba5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DF0AD-AF9A-4EA4-833C-F3A70A1731C0}">
  <ds:schemaRefs>
    <ds:schemaRef ds:uri="http://schemas.microsoft.com/office/2006/metadata/properties"/>
    <ds:schemaRef ds:uri="http://schemas.microsoft.com/office/2006/documentManagement/types"/>
    <ds:schemaRef ds:uri="2af6dc0f-dcb9-487f-bcaf-3d479986ce06"/>
    <ds:schemaRef ds:uri="http://purl.org/dc/terms/"/>
    <ds:schemaRef ds:uri="http://schemas.openxmlformats.org/package/2006/metadata/core-properties"/>
    <ds:schemaRef ds:uri="http://purl.org/dc/elements/1.1/"/>
    <ds:schemaRef ds:uri="http://schemas.microsoft.com/office/infopath/2007/PartnerControls"/>
    <ds:schemaRef ds:uri="be67119a-5e48-4fce-ad0c-877669ba5dbf"/>
    <ds:schemaRef ds:uri="http://www.w3.org/XML/1998/namespace"/>
    <ds:schemaRef ds:uri="http://purl.org/dc/dcmitype/"/>
  </ds:schemaRefs>
</ds:datastoreItem>
</file>

<file path=customXml/itemProps4.xml><?xml version="1.0" encoding="utf-8"?>
<ds:datastoreItem xmlns:ds="http://schemas.openxmlformats.org/officeDocument/2006/customXml" ds:itemID="{69C4FF92-ED41-4762-BEEC-97BFE120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1770</Words>
  <Characters>10091</Characters>
  <Application>Microsoft Office Word</Application>
  <DocSecurity>0</DocSecurity>
  <Lines>84</Lines>
  <Paragraphs>23</Paragraphs>
  <ScaleCrop>false</ScaleCrop>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2025-08-04T16:48:00Z</dcterms:created>
  <dcterms:modified xsi:type="dcterms:W3CDTF">2025-08-04T04:39:00Z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0x010100E5A828981B4F5E4FAA7177FEF43E0784</vt:lpwstr>
  </property>
  <property fmtid="{D5CDD505-2E9C-101B-9397-08002B2CF9AE}" pid="4" name="MediaServiceImageTags">
    <vt:lpwstr/>
  </property>
</Properties>
</file>