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93B3" w14:textId="07C4EE0F" w:rsidR="00737A99" w:rsidRPr="005814F5" w:rsidRDefault="00D70750" w:rsidP="00020B35">
      <w:pPr>
        <w:spacing w:after="0"/>
        <w:jc w:val="right"/>
      </w:pPr>
      <w:r>
        <w:t>4</w:t>
      </w:r>
      <w:r w:rsidR="0091365A">
        <w:rPr>
          <w:noProof/>
          <w:lang w:eastAsia="en-AU"/>
        </w:rPr>
        <w:drawing>
          <wp:inline distT="0" distB="0" distL="0" distR="0" wp14:anchorId="3C809156" wp14:editId="2B5452A1">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D0D2C38" w14:textId="77777777" w:rsidR="008141B5" w:rsidRPr="008B21FF" w:rsidRDefault="008141B5" w:rsidP="00180402">
      <w:pPr>
        <w:pStyle w:val="Heading1"/>
        <w:spacing w:before="1200"/>
        <w:rPr>
          <w:rFonts w:hint="eastAsia"/>
        </w:rPr>
      </w:pPr>
      <w:bookmarkStart w:id="0" w:name="_Toc419105271"/>
      <w:bookmarkStart w:id="1" w:name="_Toc130980228"/>
      <w:bookmarkStart w:id="2" w:name="_Toc403992342"/>
      <w:bookmarkStart w:id="3" w:name="_Toc403992578"/>
      <w:bookmarkStart w:id="4" w:name="_Toc403992662"/>
      <w:r>
        <w:t>Community Use of Town Halls Scheme (CUTHS) Guidelines</w:t>
      </w:r>
      <w:bookmarkEnd w:id="0"/>
      <w:bookmarkEnd w:id="1"/>
    </w:p>
    <w:p w14:paraId="0D66334B" w14:textId="77777777" w:rsidR="008141B5" w:rsidRPr="005E7302" w:rsidRDefault="008141B5" w:rsidP="008141B5">
      <w:pPr>
        <w:rPr>
          <w:lang w:val="en-US"/>
        </w:rPr>
      </w:pPr>
      <w:r>
        <w:rPr>
          <w:lang w:val="en-US"/>
        </w:rPr>
        <w:br w:type="page"/>
      </w:r>
    </w:p>
    <w:p w14:paraId="24CA7AA5" w14:textId="77777777" w:rsidR="002D7CE8" w:rsidRDefault="008141B5" w:rsidP="008141B5">
      <w:pPr>
        <w:pStyle w:val="GridTable31"/>
        <w:rPr>
          <w:rFonts w:hint="eastAsia"/>
          <w:noProof/>
        </w:rPr>
      </w:pPr>
      <w:bookmarkStart w:id="5" w:name="_Toc419105272"/>
      <w:bookmarkStart w:id="6" w:name="_Toc130980229"/>
      <w:r>
        <w:lastRenderedPageBreak/>
        <w:t>Contents</w:t>
      </w:r>
      <w:bookmarkEnd w:id="5"/>
      <w:bookmarkEnd w:id="6"/>
      <w:r>
        <w:fldChar w:fldCharType="begin"/>
      </w:r>
      <w:r>
        <w:instrText xml:space="preserve"> TOC \o "1-3" \h \z \u </w:instrText>
      </w:r>
      <w:r>
        <w:fldChar w:fldCharType="separate"/>
      </w:r>
    </w:p>
    <w:p w14:paraId="06CFE0D7" w14:textId="77777777" w:rsidR="002D7CE8" w:rsidRDefault="002D7CE8">
      <w:pPr>
        <w:pStyle w:val="TOC1"/>
        <w:tabs>
          <w:tab w:val="right" w:leader="dot" w:pos="9769"/>
        </w:tabs>
        <w:rPr>
          <w:rFonts w:asciiTheme="minorHAnsi" w:eastAsiaTheme="minorEastAsia" w:hAnsiTheme="minorHAnsi" w:cstheme="minorBidi"/>
          <w:noProof/>
          <w:sz w:val="22"/>
          <w:szCs w:val="22"/>
          <w:lang w:eastAsia="en-AU"/>
        </w:rPr>
      </w:pPr>
      <w:hyperlink w:anchor="_Toc130980228" w:history="1">
        <w:r w:rsidRPr="002B6433">
          <w:rPr>
            <w:rStyle w:val="Hyperlink"/>
            <w:noProof/>
          </w:rPr>
          <w:t>Community Use of Town Halls Scheme (CUTHS) Guidelines</w:t>
        </w:r>
        <w:r>
          <w:rPr>
            <w:noProof/>
            <w:webHidden/>
          </w:rPr>
          <w:tab/>
        </w:r>
        <w:r>
          <w:rPr>
            <w:noProof/>
            <w:webHidden/>
          </w:rPr>
          <w:fldChar w:fldCharType="begin"/>
        </w:r>
        <w:r>
          <w:rPr>
            <w:noProof/>
            <w:webHidden/>
          </w:rPr>
          <w:instrText xml:space="preserve"> PAGEREF _Toc130980228 \h </w:instrText>
        </w:r>
        <w:r>
          <w:rPr>
            <w:noProof/>
            <w:webHidden/>
          </w:rPr>
        </w:r>
        <w:r>
          <w:rPr>
            <w:noProof/>
            <w:webHidden/>
          </w:rPr>
          <w:fldChar w:fldCharType="separate"/>
        </w:r>
        <w:r w:rsidR="00BD6B72">
          <w:rPr>
            <w:noProof/>
            <w:webHidden/>
          </w:rPr>
          <w:t>1</w:t>
        </w:r>
        <w:r>
          <w:rPr>
            <w:noProof/>
            <w:webHidden/>
          </w:rPr>
          <w:fldChar w:fldCharType="end"/>
        </w:r>
      </w:hyperlink>
    </w:p>
    <w:p w14:paraId="6FF143DC" w14:textId="77777777" w:rsidR="002D7CE8" w:rsidRDefault="002D7CE8">
      <w:pPr>
        <w:pStyle w:val="TOC1"/>
        <w:tabs>
          <w:tab w:val="right" w:leader="dot" w:pos="9769"/>
        </w:tabs>
        <w:rPr>
          <w:rFonts w:asciiTheme="minorHAnsi" w:eastAsiaTheme="minorEastAsia" w:hAnsiTheme="minorHAnsi" w:cstheme="minorBidi"/>
          <w:noProof/>
          <w:sz w:val="22"/>
          <w:szCs w:val="22"/>
          <w:lang w:eastAsia="en-AU"/>
        </w:rPr>
      </w:pPr>
      <w:hyperlink w:anchor="_Toc130980229" w:history="1">
        <w:r w:rsidRPr="002B6433">
          <w:rPr>
            <w:rStyle w:val="Hyperlink"/>
            <w:noProof/>
          </w:rPr>
          <w:t>Contents</w:t>
        </w:r>
        <w:r>
          <w:rPr>
            <w:noProof/>
            <w:webHidden/>
          </w:rPr>
          <w:tab/>
        </w:r>
        <w:r>
          <w:rPr>
            <w:noProof/>
            <w:webHidden/>
          </w:rPr>
          <w:fldChar w:fldCharType="begin"/>
        </w:r>
        <w:r>
          <w:rPr>
            <w:noProof/>
            <w:webHidden/>
          </w:rPr>
          <w:instrText xml:space="preserve"> PAGEREF _Toc130980229 \h </w:instrText>
        </w:r>
        <w:r>
          <w:rPr>
            <w:noProof/>
            <w:webHidden/>
          </w:rPr>
        </w:r>
        <w:r>
          <w:rPr>
            <w:noProof/>
            <w:webHidden/>
          </w:rPr>
          <w:fldChar w:fldCharType="separate"/>
        </w:r>
        <w:r w:rsidR="00BD6B72">
          <w:rPr>
            <w:noProof/>
            <w:webHidden/>
          </w:rPr>
          <w:t>2</w:t>
        </w:r>
        <w:r>
          <w:rPr>
            <w:noProof/>
            <w:webHidden/>
          </w:rPr>
          <w:fldChar w:fldCharType="end"/>
        </w:r>
      </w:hyperlink>
    </w:p>
    <w:p w14:paraId="15C55220" w14:textId="77777777" w:rsidR="002D7CE8" w:rsidRDefault="002D7CE8">
      <w:pPr>
        <w:pStyle w:val="TOC2"/>
        <w:rPr>
          <w:rFonts w:asciiTheme="minorHAnsi" w:eastAsiaTheme="minorEastAsia" w:hAnsiTheme="minorHAnsi" w:cstheme="minorBidi"/>
          <w:noProof/>
          <w:sz w:val="22"/>
          <w:szCs w:val="22"/>
          <w:lang w:eastAsia="en-AU"/>
        </w:rPr>
      </w:pPr>
      <w:hyperlink w:anchor="_Toc130980230" w:history="1">
        <w:r w:rsidRPr="002B6433">
          <w:rPr>
            <w:rStyle w:val="Hyperlink"/>
            <w:noProof/>
          </w:rPr>
          <w:t>Purpose of the Community Use of Town Hall Scheme (CUTHS)</w:t>
        </w:r>
        <w:r>
          <w:rPr>
            <w:noProof/>
            <w:webHidden/>
          </w:rPr>
          <w:tab/>
        </w:r>
        <w:r>
          <w:rPr>
            <w:noProof/>
            <w:webHidden/>
          </w:rPr>
          <w:fldChar w:fldCharType="begin"/>
        </w:r>
        <w:r>
          <w:rPr>
            <w:noProof/>
            <w:webHidden/>
          </w:rPr>
          <w:instrText xml:space="preserve"> PAGEREF _Toc130980230 \h </w:instrText>
        </w:r>
        <w:r>
          <w:rPr>
            <w:noProof/>
            <w:webHidden/>
          </w:rPr>
        </w:r>
        <w:r>
          <w:rPr>
            <w:noProof/>
            <w:webHidden/>
          </w:rPr>
          <w:fldChar w:fldCharType="separate"/>
        </w:r>
        <w:r w:rsidR="00BD6B72">
          <w:rPr>
            <w:noProof/>
            <w:webHidden/>
          </w:rPr>
          <w:t>3</w:t>
        </w:r>
        <w:r>
          <w:rPr>
            <w:noProof/>
            <w:webHidden/>
          </w:rPr>
          <w:fldChar w:fldCharType="end"/>
        </w:r>
      </w:hyperlink>
    </w:p>
    <w:p w14:paraId="4DEC4B33" w14:textId="77777777" w:rsidR="002D7CE8" w:rsidRDefault="002D7CE8">
      <w:pPr>
        <w:pStyle w:val="TOC2"/>
        <w:rPr>
          <w:rFonts w:asciiTheme="minorHAnsi" w:eastAsiaTheme="minorEastAsia" w:hAnsiTheme="minorHAnsi" w:cstheme="minorBidi"/>
          <w:noProof/>
          <w:sz w:val="22"/>
          <w:szCs w:val="22"/>
          <w:lang w:eastAsia="en-AU"/>
        </w:rPr>
      </w:pPr>
      <w:hyperlink w:anchor="_Toc130980231" w:history="1">
        <w:r w:rsidRPr="002B6433">
          <w:rPr>
            <w:rStyle w:val="Hyperlink"/>
            <w:iCs/>
            <w:noProof/>
          </w:rPr>
          <w:t>Eligibility criteria</w:t>
        </w:r>
        <w:r>
          <w:rPr>
            <w:noProof/>
            <w:webHidden/>
          </w:rPr>
          <w:tab/>
        </w:r>
        <w:r>
          <w:rPr>
            <w:noProof/>
            <w:webHidden/>
          </w:rPr>
          <w:fldChar w:fldCharType="begin"/>
        </w:r>
        <w:r>
          <w:rPr>
            <w:noProof/>
            <w:webHidden/>
          </w:rPr>
          <w:instrText xml:space="preserve"> PAGEREF _Toc130980231 \h </w:instrText>
        </w:r>
        <w:r>
          <w:rPr>
            <w:noProof/>
            <w:webHidden/>
          </w:rPr>
        </w:r>
        <w:r>
          <w:rPr>
            <w:noProof/>
            <w:webHidden/>
          </w:rPr>
          <w:fldChar w:fldCharType="separate"/>
        </w:r>
        <w:r w:rsidR="00BD6B72">
          <w:rPr>
            <w:noProof/>
            <w:webHidden/>
          </w:rPr>
          <w:t>3</w:t>
        </w:r>
        <w:r>
          <w:rPr>
            <w:noProof/>
            <w:webHidden/>
          </w:rPr>
          <w:fldChar w:fldCharType="end"/>
        </w:r>
      </w:hyperlink>
    </w:p>
    <w:p w14:paraId="7D0DB87E" w14:textId="77777777" w:rsidR="002D7CE8" w:rsidRDefault="002D7CE8">
      <w:pPr>
        <w:pStyle w:val="TOC2"/>
        <w:rPr>
          <w:rFonts w:asciiTheme="minorHAnsi" w:eastAsiaTheme="minorEastAsia" w:hAnsiTheme="minorHAnsi" w:cstheme="minorBidi"/>
          <w:noProof/>
          <w:sz w:val="22"/>
          <w:szCs w:val="22"/>
          <w:lang w:eastAsia="en-AU"/>
        </w:rPr>
      </w:pPr>
      <w:hyperlink w:anchor="_Toc130980232" w:history="1">
        <w:r w:rsidRPr="002B6433">
          <w:rPr>
            <w:rStyle w:val="Hyperlink"/>
            <w:noProof/>
          </w:rPr>
          <w:t>Funding level</w:t>
        </w:r>
        <w:r>
          <w:rPr>
            <w:noProof/>
            <w:webHidden/>
          </w:rPr>
          <w:tab/>
        </w:r>
        <w:r>
          <w:rPr>
            <w:noProof/>
            <w:webHidden/>
          </w:rPr>
          <w:fldChar w:fldCharType="begin"/>
        </w:r>
        <w:r>
          <w:rPr>
            <w:noProof/>
            <w:webHidden/>
          </w:rPr>
          <w:instrText xml:space="preserve"> PAGEREF _Toc130980232 \h </w:instrText>
        </w:r>
        <w:r>
          <w:rPr>
            <w:noProof/>
            <w:webHidden/>
          </w:rPr>
        </w:r>
        <w:r>
          <w:rPr>
            <w:noProof/>
            <w:webHidden/>
          </w:rPr>
          <w:fldChar w:fldCharType="separate"/>
        </w:r>
        <w:r w:rsidR="00BD6B72">
          <w:rPr>
            <w:noProof/>
            <w:webHidden/>
          </w:rPr>
          <w:t>3</w:t>
        </w:r>
        <w:r>
          <w:rPr>
            <w:noProof/>
            <w:webHidden/>
          </w:rPr>
          <w:fldChar w:fldCharType="end"/>
        </w:r>
      </w:hyperlink>
    </w:p>
    <w:p w14:paraId="126BB93B" w14:textId="77777777" w:rsidR="002D7CE8" w:rsidRDefault="002D7CE8">
      <w:pPr>
        <w:pStyle w:val="TOC2"/>
        <w:rPr>
          <w:rFonts w:asciiTheme="minorHAnsi" w:eastAsiaTheme="minorEastAsia" w:hAnsiTheme="minorHAnsi" w:cstheme="minorBidi"/>
          <w:noProof/>
          <w:sz w:val="22"/>
          <w:szCs w:val="22"/>
          <w:lang w:eastAsia="en-AU"/>
        </w:rPr>
      </w:pPr>
      <w:hyperlink w:anchor="_Toc130980233" w:history="1">
        <w:r w:rsidRPr="002B6433">
          <w:rPr>
            <w:rStyle w:val="Hyperlink"/>
            <w:noProof/>
          </w:rPr>
          <w:t>Key dates</w:t>
        </w:r>
        <w:r>
          <w:rPr>
            <w:noProof/>
            <w:webHidden/>
          </w:rPr>
          <w:tab/>
        </w:r>
        <w:r>
          <w:rPr>
            <w:noProof/>
            <w:webHidden/>
          </w:rPr>
          <w:fldChar w:fldCharType="begin"/>
        </w:r>
        <w:r>
          <w:rPr>
            <w:noProof/>
            <w:webHidden/>
          </w:rPr>
          <w:instrText xml:space="preserve"> PAGEREF _Toc130980233 \h </w:instrText>
        </w:r>
        <w:r>
          <w:rPr>
            <w:noProof/>
            <w:webHidden/>
          </w:rPr>
        </w:r>
        <w:r>
          <w:rPr>
            <w:noProof/>
            <w:webHidden/>
          </w:rPr>
          <w:fldChar w:fldCharType="separate"/>
        </w:r>
        <w:r w:rsidR="00BD6B72">
          <w:rPr>
            <w:noProof/>
            <w:webHidden/>
          </w:rPr>
          <w:t>4</w:t>
        </w:r>
        <w:r>
          <w:rPr>
            <w:noProof/>
            <w:webHidden/>
          </w:rPr>
          <w:fldChar w:fldCharType="end"/>
        </w:r>
      </w:hyperlink>
    </w:p>
    <w:p w14:paraId="49ADBEDC" w14:textId="77777777" w:rsidR="002D7CE8" w:rsidRDefault="002D7CE8">
      <w:pPr>
        <w:pStyle w:val="TOC2"/>
        <w:rPr>
          <w:rFonts w:asciiTheme="minorHAnsi" w:eastAsiaTheme="minorEastAsia" w:hAnsiTheme="minorHAnsi" w:cstheme="minorBidi"/>
          <w:noProof/>
          <w:sz w:val="22"/>
          <w:szCs w:val="22"/>
          <w:lang w:eastAsia="en-AU"/>
        </w:rPr>
      </w:pPr>
      <w:hyperlink w:anchor="_Toc130980234" w:history="1">
        <w:r w:rsidRPr="002B6433">
          <w:rPr>
            <w:rStyle w:val="Hyperlink"/>
            <w:iCs/>
            <w:noProof/>
          </w:rPr>
          <w:t>Application process</w:t>
        </w:r>
        <w:r>
          <w:rPr>
            <w:noProof/>
            <w:webHidden/>
          </w:rPr>
          <w:tab/>
        </w:r>
        <w:r>
          <w:rPr>
            <w:noProof/>
            <w:webHidden/>
          </w:rPr>
          <w:fldChar w:fldCharType="begin"/>
        </w:r>
        <w:r>
          <w:rPr>
            <w:noProof/>
            <w:webHidden/>
          </w:rPr>
          <w:instrText xml:space="preserve"> PAGEREF _Toc130980234 \h </w:instrText>
        </w:r>
        <w:r>
          <w:rPr>
            <w:noProof/>
            <w:webHidden/>
          </w:rPr>
        </w:r>
        <w:r>
          <w:rPr>
            <w:noProof/>
            <w:webHidden/>
          </w:rPr>
          <w:fldChar w:fldCharType="separate"/>
        </w:r>
        <w:r w:rsidR="00BD6B72">
          <w:rPr>
            <w:noProof/>
            <w:webHidden/>
          </w:rPr>
          <w:t>4</w:t>
        </w:r>
        <w:r>
          <w:rPr>
            <w:noProof/>
            <w:webHidden/>
          </w:rPr>
          <w:fldChar w:fldCharType="end"/>
        </w:r>
      </w:hyperlink>
    </w:p>
    <w:p w14:paraId="297FE121" w14:textId="77777777" w:rsidR="002D7CE8" w:rsidRDefault="002D7CE8">
      <w:pPr>
        <w:pStyle w:val="TOC2"/>
        <w:rPr>
          <w:rFonts w:asciiTheme="minorHAnsi" w:eastAsiaTheme="minorEastAsia" w:hAnsiTheme="minorHAnsi" w:cstheme="minorBidi"/>
          <w:noProof/>
          <w:sz w:val="22"/>
          <w:szCs w:val="22"/>
          <w:lang w:eastAsia="en-AU"/>
        </w:rPr>
      </w:pPr>
      <w:hyperlink w:anchor="_Toc130980235" w:history="1">
        <w:r w:rsidRPr="002B6433">
          <w:rPr>
            <w:rStyle w:val="Hyperlink"/>
            <w:iCs/>
            <w:noProof/>
          </w:rPr>
          <w:t>Assessment criteria</w:t>
        </w:r>
        <w:r>
          <w:rPr>
            <w:noProof/>
            <w:webHidden/>
          </w:rPr>
          <w:tab/>
        </w:r>
        <w:r>
          <w:rPr>
            <w:noProof/>
            <w:webHidden/>
          </w:rPr>
          <w:fldChar w:fldCharType="begin"/>
        </w:r>
        <w:r>
          <w:rPr>
            <w:noProof/>
            <w:webHidden/>
          </w:rPr>
          <w:instrText xml:space="preserve"> PAGEREF _Toc130980235 \h </w:instrText>
        </w:r>
        <w:r>
          <w:rPr>
            <w:noProof/>
            <w:webHidden/>
          </w:rPr>
        </w:r>
        <w:r>
          <w:rPr>
            <w:noProof/>
            <w:webHidden/>
          </w:rPr>
          <w:fldChar w:fldCharType="separate"/>
        </w:r>
        <w:r w:rsidR="00BD6B72">
          <w:rPr>
            <w:noProof/>
            <w:webHidden/>
          </w:rPr>
          <w:t>5</w:t>
        </w:r>
        <w:r>
          <w:rPr>
            <w:noProof/>
            <w:webHidden/>
          </w:rPr>
          <w:fldChar w:fldCharType="end"/>
        </w:r>
      </w:hyperlink>
    </w:p>
    <w:p w14:paraId="29EC7559" w14:textId="77777777" w:rsidR="002D7CE8" w:rsidRDefault="002D7CE8">
      <w:pPr>
        <w:pStyle w:val="TOC2"/>
        <w:rPr>
          <w:rFonts w:asciiTheme="minorHAnsi" w:eastAsiaTheme="minorEastAsia" w:hAnsiTheme="minorHAnsi" w:cstheme="minorBidi"/>
          <w:noProof/>
          <w:sz w:val="22"/>
          <w:szCs w:val="22"/>
          <w:lang w:eastAsia="en-AU"/>
        </w:rPr>
      </w:pPr>
      <w:hyperlink w:anchor="_Toc130980236" w:history="1">
        <w:r w:rsidRPr="002B6433">
          <w:rPr>
            <w:rStyle w:val="Hyperlink"/>
            <w:noProof/>
          </w:rPr>
          <w:t>Terms and conditions</w:t>
        </w:r>
        <w:r>
          <w:rPr>
            <w:noProof/>
            <w:webHidden/>
          </w:rPr>
          <w:tab/>
        </w:r>
        <w:r>
          <w:rPr>
            <w:noProof/>
            <w:webHidden/>
          </w:rPr>
          <w:fldChar w:fldCharType="begin"/>
        </w:r>
        <w:r>
          <w:rPr>
            <w:noProof/>
            <w:webHidden/>
          </w:rPr>
          <w:instrText xml:space="preserve"> PAGEREF _Toc130980236 \h </w:instrText>
        </w:r>
        <w:r>
          <w:rPr>
            <w:noProof/>
            <w:webHidden/>
          </w:rPr>
        </w:r>
        <w:r>
          <w:rPr>
            <w:noProof/>
            <w:webHidden/>
          </w:rPr>
          <w:fldChar w:fldCharType="separate"/>
        </w:r>
        <w:r w:rsidR="00BD6B72">
          <w:rPr>
            <w:noProof/>
            <w:webHidden/>
          </w:rPr>
          <w:t>6</w:t>
        </w:r>
        <w:r>
          <w:rPr>
            <w:noProof/>
            <w:webHidden/>
          </w:rPr>
          <w:fldChar w:fldCharType="end"/>
        </w:r>
      </w:hyperlink>
    </w:p>
    <w:p w14:paraId="6F5EA04F" w14:textId="77777777" w:rsidR="002D7CE8" w:rsidRDefault="002D7CE8">
      <w:pPr>
        <w:pStyle w:val="TOC2"/>
        <w:rPr>
          <w:rFonts w:asciiTheme="minorHAnsi" w:eastAsiaTheme="minorEastAsia" w:hAnsiTheme="minorHAnsi" w:cstheme="minorBidi"/>
          <w:noProof/>
          <w:sz w:val="22"/>
          <w:szCs w:val="22"/>
          <w:lang w:eastAsia="en-AU"/>
        </w:rPr>
      </w:pPr>
      <w:hyperlink w:anchor="_Toc130980237" w:history="1">
        <w:r w:rsidRPr="002B6433">
          <w:rPr>
            <w:rStyle w:val="Hyperlink"/>
            <w:noProof/>
          </w:rPr>
          <w:t>Contacts</w:t>
        </w:r>
        <w:r>
          <w:rPr>
            <w:noProof/>
            <w:webHidden/>
          </w:rPr>
          <w:tab/>
        </w:r>
        <w:r>
          <w:rPr>
            <w:noProof/>
            <w:webHidden/>
          </w:rPr>
          <w:fldChar w:fldCharType="begin"/>
        </w:r>
        <w:r>
          <w:rPr>
            <w:noProof/>
            <w:webHidden/>
          </w:rPr>
          <w:instrText xml:space="preserve"> PAGEREF _Toc130980237 \h </w:instrText>
        </w:r>
        <w:r>
          <w:rPr>
            <w:noProof/>
            <w:webHidden/>
          </w:rPr>
        </w:r>
        <w:r>
          <w:rPr>
            <w:noProof/>
            <w:webHidden/>
          </w:rPr>
          <w:fldChar w:fldCharType="separate"/>
        </w:r>
        <w:r w:rsidR="00BD6B72">
          <w:rPr>
            <w:noProof/>
            <w:webHidden/>
          </w:rPr>
          <w:t>6</w:t>
        </w:r>
        <w:r>
          <w:rPr>
            <w:noProof/>
            <w:webHidden/>
          </w:rPr>
          <w:fldChar w:fldCharType="end"/>
        </w:r>
      </w:hyperlink>
    </w:p>
    <w:p w14:paraId="1C38F3C2" w14:textId="77777777" w:rsidR="002D7CE8" w:rsidRDefault="002D7CE8">
      <w:pPr>
        <w:pStyle w:val="TOC2"/>
        <w:rPr>
          <w:rFonts w:asciiTheme="minorHAnsi" w:eastAsiaTheme="minorEastAsia" w:hAnsiTheme="minorHAnsi" w:cstheme="minorBidi"/>
          <w:noProof/>
          <w:sz w:val="22"/>
          <w:szCs w:val="22"/>
          <w:lang w:eastAsia="en-AU"/>
        </w:rPr>
      </w:pPr>
      <w:hyperlink w:anchor="_Toc130980238" w:history="1">
        <w:r w:rsidRPr="002B6433">
          <w:rPr>
            <w:rStyle w:val="Hyperlink"/>
            <w:noProof/>
          </w:rPr>
          <w:t>Got questions or need help?</w:t>
        </w:r>
        <w:r>
          <w:rPr>
            <w:noProof/>
            <w:webHidden/>
          </w:rPr>
          <w:tab/>
        </w:r>
        <w:r>
          <w:rPr>
            <w:noProof/>
            <w:webHidden/>
          </w:rPr>
          <w:fldChar w:fldCharType="begin"/>
        </w:r>
        <w:r>
          <w:rPr>
            <w:noProof/>
            <w:webHidden/>
          </w:rPr>
          <w:instrText xml:space="preserve"> PAGEREF _Toc130980238 \h </w:instrText>
        </w:r>
        <w:r>
          <w:rPr>
            <w:noProof/>
            <w:webHidden/>
          </w:rPr>
        </w:r>
        <w:r>
          <w:rPr>
            <w:noProof/>
            <w:webHidden/>
          </w:rPr>
          <w:fldChar w:fldCharType="separate"/>
        </w:r>
        <w:r w:rsidR="00BD6B72">
          <w:rPr>
            <w:noProof/>
            <w:webHidden/>
          </w:rPr>
          <w:t>6</w:t>
        </w:r>
        <w:r>
          <w:rPr>
            <w:noProof/>
            <w:webHidden/>
          </w:rPr>
          <w:fldChar w:fldCharType="end"/>
        </w:r>
      </w:hyperlink>
    </w:p>
    <w:p w14:paraId="4FEC1319" w14:textId="77777777" w:rsidR="008141B5" w:rsidRPr="008813E8" w:rsidRDefault="008141B5" w:rsidP="00A1054A">
      <w:pPr>
        <w:pStyle w:val="Heading2"/>
        <w:rPr>
          <w:rFonts w:hint="eastAsia"/>
        </w:rPr>
      </w:pPr>
      <w:r>
        <w:rPr>
          <w:b/>
          <w:noProof/>
        </w:rPr>
        <w:fldChar w:fldCharType="end"/>
      </w:r>
      <w:r>
        <w:br w:type="page"/>
      </w:r>
      <w:bookmarkStart w:id="7" w:name="_Toc130980230"/>
      <w:r>
        <w:lastRenderedPageBreak/>
        <w:t>Purpose of the Community Use of Town Hall Scheme (CUTHS)</w:t>
      </w:r>
      <w:bookmarkEnd w:id="7"/>
    </w:p>
    <w:p w14:paraId="2EA573B6" w14:textId="77777777" w:rsidR="008141B5" w:rsidRDefault="008141B5" w:rsidP="008141B5">
      <w:r>
        <w:t xml:space="preserve">City of Melbourne is committed to creating connected and inclusive communities. Community organisations play a critical role in empowering the local community to </w:t>
      </w:r>
      <w:proofErr w:type="gramStart"/>
      <w:r>
        <w:t>take action</w:t>
      </w:r>
      <w:proofErr w:type="gramEnd"/>
      <w:r>
        <w:t xml:space="preserve"> and have an active role in shaping their future. We provide CUTHS grants to enable community groups to hold one-off or special events in the City of Melbourne’s civic spaces. The town halls included in CUTHS are:</w:t>
      </w:r>
    </w:p>
    <w:p w14:paraId="1C54C77D" w14:textId="77777777" w:rsidR="008141B5" w:rsidRDefault="008141B5" w:rsidP="008141B5">
      <w:pPr>
        <w:numPr>
          <w:ilvl w:val="0"/>
          <w:numId w:val="17"/>
        </w:numPr>
        <w:spacing w:line="288" w:lineRule="auto"/>
      </w:pPr>
      <w:r>
        <w:t>Melbourne Town Hall</w:t>
      </w:r>
    </w:p>
    <w:p w14:paraId="7B75CCFD" w14:textId="77777777" w:rsidR="008141B5" w:rsidRDefault="008141B5" w:rsidP="008141B5">
      <w:pPr>
        <w:numPr>
          <w:ilvl w:val="0"/>
          <w:numId w:val="17"/>
        </w:numPr>
        <w:spacing w:line="288" w:lineRule="auto"/>
      </w:pPr>
      <w:r>
        <w:t>Meat Market (North Melbourne)</w:t>
      </w:r>
    </w:p>
    <w:p w14:paraId="71460A28" w14:textId="77777777" w:rsidR="008141B5" w:rsidRDefault="008141B5" w:rsidP="008141B5">
      <w:pPr>
        <w:numPr>
          <w:ilvl w:val="0"/>
          <w:numId w:val="17"/>
        </w:numPr>
        <w:spacing w:line="288" w:lineRule="auto"/>
      </w:pPr>
      <w:r>
        <w:t xml:space="preserve">Kensington Town Hall </w:t>
      </w:r>
      <w:r w:rsidRPr="00986452">
        <w:t xml:space="preserve"> </w:t>
      </w:r>
    </w:p>
    <w:p w14:paraId="2700914D" w14:textId="77777777" w:rsidR="008141B5" w:rsidRPr="005E7302" w:rsidRDefault="008141B5" w:rsidP="008141B5">
      <w:pPr>
        <w:pStyle w:val="Heading2"/>
        <w:rPr>
          <w:rFonts w:hint="eastAsia"/>
          <w:iCs/>
          <w:szCs w:val="24"/>
        </w:rPr>
      </w:pPr>
      <w:bookmarkStart w:id="8" w:name="_Toc130980231"/>
      <w:r w:rsidRPr="005E7302">
        <w:rPr>
          <w:iCs/>
          <w:szCs w:val="24"/>
        </w:rPr>
        <w:t>Eligibility criteria</w:t>
      </w:r>
      <w:bookmarkEnd w:id="8"/>
    </w:p>
    <w:p w14:paraId="5BD2F8AF" w14:textId="77777777" w:rsidR="008141B5" w:rsidRDefault="008141B5" w:rsidP="008141B5">
      <w:pPr>
        <w:rPr>
          <w:rFonts w:cs="Arial"/>
          <w:szCs w:val="22"/>
        </w:rPr>
      </w:pPr>
      <w:r w:rsidRPr="002149F5">
        <w:rPr>
          <w:rFonts w:cs="Arial"/>
          <w:szCs w:val="22"/>
        </w:rPr>
        <w:t xml:space="preserve">To be eligible </w:t>
      </w:r>
      <w:r>
        <w:rPr>
          <w:rFonts w:cs="Arial"/>
          <w:szCs w:val="22"/>
        </w:rPr>
        <w:t xml:space="preserve">for CUTHS, applications </w:t>
      </w:r>
      <w:r w:rsidRPr="002149F5">
        <w:rPr>
          <w:rFonts w:cs="Arial"/>
          <w:szCs w:val="22"/>
        </w:rPr>
        <w:t>must</w:t>
      </w:r>
      <w:r>
        <w:rPr>
          <w:rFonts w:cs="Arial"/>
          <w:szCs w:val="22"/>
        </w:rPr>
        <w:t xml:space="preserve"> meet the following criteria:</w:t>
      </w:r>
    </w:p>
    <w:p w14:paraId="479B36E1" w14:textId="77777777" w:rsidR="008141B5" w:rsidRDefault="008141B5" w:rsidP="008141B5">
      <w:pPr>
        <w:pStyle w:val="ListBullet"/>
        <w:spacing w:after="200" w:line="240" w:lineRule="auto"/>
      </w:pPr>
      <w:r>
        <w:t xml:space="preserve">Applicant organisations must be a not-for-profit constituted body (or be auspiced by one, applications from individuals or </w:t>
      </w:r>
      <w:proofErr w:type="gramStart"/>
      <w:r>
        <w:t>for profit</w:t>
      </w:r>
      <w:proofErr w:type="gramEnd"/>
      <w:r>
        <w:t xml:space="preserve"> organisations cannot be auspiced.)</w:t>
      </w:r>
    </w:p>
    <w:p w14:paraId="28951F65" w14:textId="77777777" w:rsidR="008141B5" w:rsidRDefault="008141B5" w:rsidP="008141B5">
      <w:pPr>
        <w:pStyle w:val="ListBullet"/>
        <w:spacing w:after="200" w:line="240" w:lineRule="auto"/>
      </w:pPr>
      <w:r>
        <w:t>Applicant organisations must be located within the City of Melbourne or provide services or benefits to the local community or Melbourne as a capital city.</w:t>
      </w:r>
    </w:p>
    <w:p w14:paraId="7BE22E5E" w14:textId="77777777" w:rsidR="008141B5" w:rsidRDefault="008141B5" w:rsidP="008141B5">
      <w:pPr>
        <w:pStyle w:val="ListBullet"/>
        <w:spacing w:after="200" w:line="240" w:lineRule="auto"/>
      </w:pPr>
      <w:r>
        <w:t xml:space="preserve">Events must be open to the </w:t>
      </w:r>
      <w:proofErr w:type="gramStart"/>
      <w:r>
        <w:t>general public</w:t>
      </w:r>
      <w:proofErr w:type="gramEnd"/>
      <w:r>
        <w:t xml:space="preserve"> to attend.</w:t>
      </w:r>
    </w:p>
    <w:p w14:paraId="2F19D3B2" w14:textId="77777777" w:rsidR="008141B5" w:rsidRDefault="008141B5" w:rsidP="008141B5">
      <w:pPr>
        <w:pStyle w:val="ListBullet"/>
        <w:numPr>
          <w:ilvl w:val="0"/>
          <w:numId w:val="0"/>
        </w:numPr>
      </w:pPr>
      <w:r>
        <w:t xml:space="preserve">CUTHS will </w:t>
      </w:r>
      <w:r w:rsidRPr="00CB5C0A">
        <w:rPr>
          <w:u w:val="single"/>
        </w:rPr>
        <w:t>not</w:t>
      </w:r>
      <w:r>
        <w:t xml:space="preserve"> be considered for:</w:t>
      </w:r>
    </w:p>
    <w:p w14:paraId="0CDB1DC6" w14:textId="77777777" w:rsidR="00403058" w:rsidRDefault="003D133B" w:rsidP="00D54499">
      <w:pPr>
        <w:pStyle w:val="ListBullet"/>
      </w:pPr>
      <w:r>
        <w:t>Events</w:t>
      </w:r>
      <w:r w:rsidRPr="003723B4">
        <w:t xml:space="preserve"> with a political focus. </w:t>
      </w:r>
    </w:p>
    <w:p w14:paraId="4D11DAB1" w14:textId="77777777" w:rsidR="008141B5" w:rsidRPr="003D133B" w:rsidRDefault="003D133B" w:rsidP="00D54499">
      <w:pPr>
        <w:pStyle w:val="ListBullet"/>
      </w:pPr>
      <w:r>
        <w:t>Events</w:t>
      </w:r>
      <w:r w:rsidRPr="003723B4">
        <w:t xml:space="preserve"> with a religious focus. </w:t>
      </w:r>
      <w:r w:rsidR="00403058">
        <w:t>(Except for Interfaith activities).</w:t>
      </w:r>
    </w:p>
    <w:p w14:paraId="40FFA71F" w14:textId="77777777" w:rsidR="008141B5" w:rsidRDefault="008141B5" w:rsidP="008141B5">
      <w:pPr>
        <w:pStyle w:val="ListBullet"/>
        <w:spacing w:after="200" w:line="240" w:lineRule="auto"/>
        <w:rPr>
          <w:szCs w:val="22"/>
        </w:rPr>
      </w:pPr>
      <w:r>
        <w:rPr>
          <w:szCs w:val="22"/>
        </w:rPr>
        <w:t>ongoing or recurring meetings</w:t>
      </w:r>
    </w:p>
    <w:p w14:paraId="2ABB1C8A" w14:textId="77777777" w:rsidR="008141B5" w:rsidRDefault="008141B5" w:rsidP="008141B5">
      <w:pPr>
        <w:pStyle w:val="ListBullet"/>
        <w:spacing w:after="200" w:line="240" w:lineRule="auto"/>
        <w:rPr>
          <w:szCs w:val="22"/>
        </w:rPr>
      </w:pPr>
      <w:r>
        <w:rPr>
          <w:szCs w:val="22"/>
        </w:rPr>
        <w:t>commercial events and/or organisations</w:t>
      </w:r>
    </w:p>
    <w:p w14:paraId="6742B086" w14:textId="77777777" w:rsidR="008141B5" w:rsidRDefault="008141B5" w:rsidP="008141B5">
      <w:pPr>
        <w:pStyle w:val="ListBullet"/>
        <w:spacing w:after="200" w:line="240" w:lineRule="auto"/>
        <w:rPr>
          <w:szCs w:val="22"/>
        </w:rPr>
      </w:pPr>
      <w:r>
        <w:rPr>
          <w:szCs w:val="22"/>
        </w:rPr>
        <w:t>fundraising events where the funds raised will be sent outside of Australia</w:t>
      </w:r>
    </w:p>
    <w:p w14:paraId="047AEF15" w14:textId="77777777" w:rsidR="008141B5" w:rsidRPr="00E77E29" w:rsidRDefault="008141B5" w:rsidP="008141B5">
      <w:pPr>
        <w:pStyle w:val="ListBullet"/>
        <w:spacing w:after="200" w:line="240" w:lineRule="auto"/>
        <w:rPr>
          <w:szCs w:val="22"/>
        </w:rPr>
      </w:pPr>
      <w:r>
        <w:rPr>
          <w:szCs w:val="22"/>
        </w:rPr>
        <w:t>events that have already occurred</w:t>
      </w:r>
    </w:p>
    <w:p w14:paraId="7B32A967" w14:textId="77777777" w:rsidR="008141B5" w:rsidRDefault="008141B5" w:rsidP="008141B5">
      <w:pPr>
        <w:pStyle w:val="ListBullet"/>
        <w:spacing w:after="200" w:line="240" w:lineRule="auto"/>
        <w:rPr>
          <w:szCs w:val="22"/>
        </w:rPr>
      </w:pPr>
      <w:r>
        <w:rPr>
          <w:szCs w:val="22"/>
        </w:rPr>
        <w:t>events that are being funded through other City of Melbourne grant or sponsorship programs</w:t>
      </w:r>
    </w:p>
    <w:p w14:paraId="6199DE22" w14:textId="77777777" w:rsidR="008141B5" w:rsidRDefault="008141B5" w:rsidP="008141B5">
      <w:pPr>
        <w:pStyle w:val="ListBullet"/>
        <w:spacing w:after="200" w:line="240" w:lineRule="auto"/>
      </w:pPr>
      <w:r>
        <w:t>organisations with outstanding acquittals or debts owing to the City of Melbourne</w:t>
      </w:r>
    </w:p>
    <w:p w14:paraId="66EBB928" w14:textId="77777777" w:rsidR="008141B5" w:rsidRPr="000961CC" w:rsidRDefault="008141B5" w:rsidP="008141B5">
      <w:pPr>
        <w:pStyle w:val="Heading2"/>
        <w:rPr>
          <w:rFonts w:hint="eastAsia"/>
        </w:rPr>
      </w:pPr>
      <w:bookmarkStart w:id="9" w:name="_Toc130980232"/>
      <w:r>
        <w:t>Funding level</w:t>
      </w:r>
      <w:bookmarkEnd w:id="9"/>
    </w:p>
    <w:p w14:paraId="7C2B2891" w14:textId="77777777" w:rsidR="008141B5" w:rsidRDefault="008141B5" w:rsidP="008141B5">
      <w:pPr>
        <w:rPr>
          <w:rFonts w:cs="Arial"/>
          <w:szCs w:val="22"/>
        </w:rPr>
      </w:pPr>
      <w:r>
        <w:rPr>
          <w:rFonts w:cs="Arial"/>
          <w:szCs w:val="22"/>
        </w:rPr>
        <w:t>Applications for CUTHS can be made for any value up to $7000 to support the following costs:</w:t>
      </w:r>
    </w:p>
    <w:p w14:paraId="1EC0383E" w14:textId="77777777" w:rsidR="008141B5" w:rsidRDefault="008141B5" w:rsidP="008141B5">
      <w:pPr>
        <w:numPr>
          <w:ilvl w:val="0"/>
          <w:numId w:val="18"/>
        </w:numPr>
        <w:spacing w:line="288" w:lineRule="auto"/>
        <w:rPr>
          <w:rFonts w:cs="Arial"/>
          <w:szCs w:val="22"/>
        </w:rPr>
      </w:pPr>
      <w:r>
        <w:rPr>
          <w:rFonts w:cs="Arial"/>
          <w:szCs w:val="22"/>
        </w:rPr>
        <w:t xml:space="preserve">room </w:t>
      </w:r>
      <w:proofErr w:type="gramStart"/>
      <w:r>
        <w:rPr>
          <w:rFonts w:cs="Arial"/>
          <w:szCs w:val="22"/>
        </w:rPr>
        <w:t>hire</w:t>
      </w:r>
      <w:proofErr w:type="gramEnd"/>
    </w:p>
    <w:p w14:paraId="4F3A55D9" w14:textId="77777777" w:rsidR="008141B5" w:rsidRDefault="008141B5" w:rsidP="008141B5">
      <w:pPr>
        <w:numPr>
          <w:ilvl w:val="0"/>
          <w:numId w:val="18"/>
        </w:numPr>
        <w:spacing w:line="288" w:lineRule="auto"/>
        <w:rPr>
          <w:rFonts w:cs="Arial"/>
          <w:szCs w:val="22"/>
        </w:rPr>
      </w:pPr>
      <w:r>
        <w:rPr>
          <w:rFonts w:cs="Arial"/>
          <w:szCs w:val="22"/>
        </w:rPr>
        <w:t>venue support staff (limited hours)</w:t>
      </w:r>
    </w:p>
    <w:p w14:paraId="0BFC4FEF" w14:textId="77777777" w:rsidR="008141B5" w:rsidRDefault="008141B5" w:rsidP="008141B5">
      <w:pPr>
        <w:numPr>
          <w:ilvl w:val="0"/>
          <w:numId w:val="18"/>
        </w:numPr>
        <w:spacing w:line="288" w:lineRule="auto"/>
        <w:rPr>
          <w:rFonts w:cs="Arial"/>
          <w:szCs w:val="22"/>
        </w:rPr>
      </w:pPr>
      <w:r>
        <w:rPr>
          <w:rFonts w:cs="Arial"/>
          <w:szCs w:val="22"/>
        </w:rPr>
        <w:t>security</w:t>
      </w:r>
    </w:p>
    <w:p w14:paraId="69933F17" w14:textId="77777777" w:rsidR="008141B5" w:rsidRDefault="008141B5" w:rsidP="008141B5">
      <w:pPr>
        <w:rPr>
          <w:rFonts w:cs="Arial"/>
          <w:szCs w:val="22"/>
        </w:rPr>
      </w:pPr>
      <w:r>
        <w:rPr>
          <w:rFonts w:cs="Arial"/>
          <w:szCs w:val="22"/>
        </w:rPr>
        <w:t xml:space="preserve">CUTHS will </w:t>
      </w:r>
      <w:r w:rsidRPr="00576015">
        <w:rPr>
          <w:rFonts w:cs="Arial"/>
          <w:szCs w:val="22"/>
          <w:u w:val="single"/>
        </w:rPr>
        <w:t>not</w:t>
      </w:r>
      <w:r>
        <w:rPr>
          <w:rFonts w:cs="Arial"/>
          <w:szCs w:val="22"/>
        </w:rPr>
        <w:t xml:space="preserve"> cover the following costs:</w:t>
      </w:r>
    </w:p>
    <w:p w14:paraId="50E84932" w14:textId="77777777" w:rsidR="008141B5" w:rsidRDefault="008141B5" w:rsidP="008141B5">
      <w:pPr>
        <w:numPr>
          <w:ilvl w:val="0"/>
          <w:numId w:val="19"/>
        </w:numPr>
        <w:spacing w:line="288" w:lineRule="auto"/>
        <w:rPr>
          <w:rFonts w:cs="Arial"/>
          <w:szCs w:val="22"/>
        </w:rPr>
      </w:pPr>
      <w:r>
        <w:rPr>
          <w:rFonts w:cs="Arial"/>
          <w:szCs w:val="22"/>
        </w:rPr>
        <w:t>catering</w:t>
      </w:r>
    </w:p>
    <w:p w14:paraId="7A4CD5F5" w14:textId="77777777" w:rsidR="008141B5" w:rsidRDefault="008141B5" w:rsidP="008141B5">
      <w:pPr>
        <w:numPr>
          <w:ilvl w:val="0"/>
          <w:numId w:val="19"/>
        </w:numPr>
        <w:spacing w:line="288" w:lineRule="auto"/>
        <w:rPr>
          <w:rFonts w:cs="Arial"/>
          <w:szCs w:val="22"/>
        </w:rPr>
      </w:pPr>
      <w:r>
        <w:rPr>
          <w:rFonts w:cs="Arial"/>
          <w:szCs w:val="22"/>
        </w:rPr>
        <w:t>audio visual</w:t>
      </w:r>
    </w:p>
    <w:p w14:paraId="70B90D30" w14:textId="77777777" w:rsidR="00CF28E8" w:rsidRDefault="00CF28E8" w:rsidP="00CF28E8">
      <w:pPr>
        <w:spacing w:line="288" w:lineRule="auto"/>
        <w:rPr>
          <w:rFonts w:cs="Arial"/>
          <w:szCs w:val="22"/>
        </w:rPr>
      </w:pPr>
      <w:r>
        <w:rPr>
          <w:rFonts w:cs="Arial"/>
          <w:szCs w:val="22"/>
        </w:rPr>
        <w:t>Only costs that are listed in the quote / event proposal will be considered for sponsorship.</w:t>
      </w:r>
    </w:p>
    <w:p w14:paraId="063BEDF1" w14:textId="77777777" w:rsidR="000E7325" w:rsidRDefault="000E7325" w:rsidP="000E7325">
      <w:pPr>
        <w:pStyle w:val="Heading2"/>
        <w:rPr>
          <w:rFonts w:hint="eastAsia"/>
        </w:rPr>
      </w:pPr>
      <w:bookmarkStart w:id="10" w:name="_Toc106878847"/>
      <w:bookmarkStart w:id="11" w:name="_Toc130980233"/>
      <w:r>
        <w:lastRenderedPageBreak/>
        <w:t>Key dates</w:t>
      </w:r>
      <w:bookmarkEnd w:id="10"/>
      <w:bookmarkEnd w:id="11"/>
    </w:p>
    <w:p w14:paraId="4423E1A2" w14:textId="77777777" w:rsidR="000E7325" w:rsidRDefault="000E7325" w:rsidP="000E7325">
      <w:r>
        <w:t>Applications must be received a minimum of six weeks prior to the start of the activity.</w:t>
      </w:r>
    </w:p>
    <w:p w14:paraId="2F93EEB3" w14:textId="77777777" w:rsidR="000E7325" w:rsidRDefault="000E7325" w:rsidP="000E7325">
      <w:pPr>
        <w:rPr>
          <w:lang w:val="en-US"/>
        </w:rPr>
      </w:pPr>
      <w:r>
        <w:rPr>
          <w:lang w:val="en-US"/>
        </w:rPr>
        <w:t xml:space="preserve">Applications will be assessed monthly, cutoff dates for each month are below. If your application is received by the cutoff </w:t>
      </w:r>
      <w:proofErr w:type="gramStart"/>
      <w:r>
        <w:rPr>
          <w:lang w:val="en-US"/>
        </w:rPr>
        <w:t>date</w:t>
      </w:r>
      <w:proofErr w:type="gramEnd"/>
      <w:r>
        <w:rPr>
          <w:lang w:val="en-US"/>
        </w:rPr>
        <w:t xml:space="preserve"> you will receive an email with the outcome for your application by the end of the following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650"/>
      </w:tblGrid>
      <w:tr w:rsidR="00A45F47" w:rsidRPr="00310C26" w14:paraId="00182F08" w14:textId="77777777" w:rsidTr="00A45F47">
        <w:trPr>
          <w:trHeight w:val="384"/>
        </w:trPr>
        <w:tc>
          <w:tcPr>
            <w:tcW w:w="7650" w:type="dxa"/>
            <w:tcBorders>
              <w:top w:val="single" w:sz="4" w:space="0" w:color="auto"/>
              <w:left w:val="single" w:sz="4" w:space="0" w:color="auto"/>
              <w:bottom w:val="single" w:sz="4" w:space="0" w:color="auto"/>
              <w:right w:val="single" w:sz="4" w:space="0" w:color="auto"/>
            </w:tcBorders>
            <w:hideMark/>
          </w:tcPr>
          <w:p w14:paraId="5939239D" w14:textId="4786A13E" w:rsidR="00A45F47" w:rsidRPr="00310C26" w:rsidRDefault="00A45F47" w:rsidP="00F26DCB">
            <w:pPr>
              <w:pStyle w:val="ListBullet"/>
              <w:numPr>
                <w:ilvl w:val="0"/>
                <w:numId w:val="0"/>
              </w:numPr>
              <w:rPr>
                <w:rFonts w:eastAsia="Cambria"/>
                <w:b/>
                <w:szCs w:val="20"/>
              </w:rPr>
            </w:pPr>
            <w:r w:rsidRPr="00310C26">
              <w:rPr>
                <w:rFonts w:eastAsia="Cambria"/>
                <w:b/>
                <w:szCs w:val="20"/>
              </w:rPr>
              <w:t>Application cutoff dates</w:t>
            </w:r>
            <w:r w:rsidR="00780897">
              <w:rPr>
                <w:rFonts w:eastAsia="Cambria"/>
                <w:b/>
                <w:szCs w:val="20"/>
              </w:rPr>
              <w:t xml:space="preserve"> 202</w:t>
            </w:r>
            <w:r w:rsidR="006B19E6">
              <w:rPr>
                <w:rFonts w:eastAsia="Cambria"/>
                <w:b/>
                <w:szCs w:val="20"/>
              </w:rPr>
              <w:t>5</w:t>
            </w:r>
            <w:r w:rsidR="00780897">
              <w:rPr>
                <w:rFonts w:eastAsia="Cambria"/>
                <w:b/>
                <w:szCs w:val="20"/>
              </w:rPr>
              <w:t>-2</w:t>
            </w:r>
            <w:r w:rsidR="006B19E6">
              <w:rPr>
                <w:rFonts w:eastAsia="Cambria"/>
                <w:b/>
                <w:szCs w:val="20"/>
              </w:rPr>
              <w:t>6</w:t>
            </w:r>
          </w:p>
        </w:tc>
      </w:tr>
      <w:tr w:rsidR="00D65E97" w:rsidRPr="00310C26" w14:paraId="53CA0A21" w14:textId="77777777" w:rsidTr="00F9299D">
        <w:trPr>
          <w:trHeight w:val="384"/>
        </w:trPr>
        <w:tc>
          <w:tcPr>
            <w:tcW w:w="7650" w:type="dxa"/>
            <w:tcBorders>
              <w:top w:val="single" w:sz="4" w:space="0" w:color="auto"/>
              <w:left w:val="single" w:sz="4" w:space="0" w:color="auto"/>
              <w:bottom w:val="single" w:sz="4" w:space="0" w:color="auto"/>
              <w:right w:val="single" w:sz="4" w:space="0" w:color="auto"/>
            </w:tcBorders>
          </w:tcPr>
          <w:p w14:paraId="52098F44" w14:textId="59020C78" w:rsidR="00D65E97" w:rsidRPr="00310C26" w:rsidRDefault="006B19E6" w:rsidP="00F9299D">
            <w:pPr>
              <w:pStyle w:val="ListBullet"/>
              <w:numPr>
                <w:ilvl w:val="0"/>
                <w:numId w:val="0"/>
              </w:numPr>
              <w:rPr>
                <w:rFonts w:eastAsia="Cambria"/>
                <w:szCs w:val="20"/>
              </w:rPr>
            </w:pPr>
            <w:r>
              <w:rPr>
                <w:rFonts w:eastAsia="Cambria"/>
                <w:szCs w:val="20"/>
              </w:rPr>
              <w:t xml:space="preserve">16 </w:t>
            </w:r>
            <w:r w:rsidR="00D65E97" w:rsidRPr="00310C26">
              <w:rPr>
                <w:rFonts w:eastAsia="Cambria"/>
                <w:szCs w:val="20"/>
              </w:rPr>
              <w:t>May</w:t>
            </w:r>
          </w:p>
        </w:tc>
      </w:tr>
      <w:tr w:rsidR="00D65E97" w:rsidRPr="00310C26" w14:paraId="7F86BBA3" w14:textId="77777777" w:rsidTr="00F9299D">
        <w:trPr>
          <w:trHeight w:val="25"/>
        </w:trPr>
        <w:tc>
          <w:tcPr>
            <w:tcW w:w="7650" w:type="dxa"/>
            <w:tcBorders>
              <w:top w:val="single" w:sz="4" w:space="0" w:color="auto"/>
              <w:left w:val="single" w:sz="4" w:space="0" w:color="auto"/>
              <w:bottom w:val="single" w:sz="4" w:space="0" w:color="auto"/>
              <w:right w:val="single" w:sz="4" w:space="0" w:color="auto"/>
            </w:tcBorders>
          </w:tcPr>
          <w:p w14:paraId="08F37972" w14:textId="6249C20F" w:rsidR="00D65E97" w:rsidRPr="00310C26" w:rsidRDefault="006B19E6" w:rsidP="00F9299D">
            <w:pPr>
              <w:pStyle w:val="ListBullet"/>
              <w:numPr>
                <w:ilvl w:val="0"/>
                <w:numId w:val="0"/>
              </w:numPr>
              <w:rPr>
                <w:rFonts w:eastAsia="Cambria"/>
                <w:szCs w:val="20"/>
              </w:rPr>
            </w:pPr>
            <w:r>
              <w:rPr>
                <w:rFonts w:eastAsia="Cambria"/>
                <w:szCs w:val="20"/>
              </w:rPr>
              <w:t>20</w:t>
            </w:r>
            <w:r w:rsidR="00D65E97" w:rsidRPr="00310C26">
              <w:rPr>
                <w:rFonts w:eastAsia="Cambria"/>
                <w:szCs w:val="20"/>
              </w:rPr>
              <w:t xml:space="preserve"> June</w:t>
            </w:r>
          </w:p>
        </w:tc>
      </w:tr>
      <w:tr w:rsidR="00A45F47" w:rsidRPr="00310C26" w14:paraId="25AC902C" w14:textId="77777777" w:rsidTr="00D65E97">
        <w:trPr>
          <w:trHeight w:val="384"/>
        </w:trPr>
        <w:tc>
          <w:tcPr>
            <w:tcW w:w="7650" w:type="dxa"/>
            <w:tcBorders>
              <w:top w:val="single" w:sz="4" w:space="0" w:color="auto"/>
              <w:left w:val="single" w:sz="4" w:space="0" w:color="auto"/>
              <w:bottom w:val="single" w:sz="4" w:space="0" w:color="auto"/>
              <w:right w:val="single" w:sz="4" w:space="0" w:color="auto"/>
            </w:tcBorders>
          </w:tcPr>
          <w:p w14:paraId="6ED96961" w14:textId="741A7027" w:rsidR="00A45F47" w:rsidRPr="00310C26" w:rsidRDefault="006B19E6" w:rsidP="00F26DCB">
            <w:pPr>
              <w:pStyle w:val="ListBullet"/>
              <w:numPr>
                <w:ilvl w:val="0"/>
                <w:numId w:val="0"/>
              </w:numPr>
              <w:rPr>
                <w:rFonts w:eastAsia="Cambria"/>
                <w:szCs w:val="20"/>
              </w:rPr>
            </w:pPr>
            <w:r>
              <w:rPr>
                <w:rFonts w:eastAsia="Cambria"/>
                <w:szCs w:val="20"/>
              </w:rPr>
              <w:t>18</w:t>
            </w:r>
            <w:r w:rsidR="00D65E97">
              <w:rPr>
                <w:rFonts w:eastAsia="Cambria"/>
                <w:szCs w:val="20"/>
              </w:rPr>
              <w:t xml:space="preserve"> July</w:t>
            </w:r>
          </w:p>
        </w:tc>
      </w:tr>
      <w:tr w:rsidR="00A45F47" w:rsidRPr="00310C26" w14:paraId="3B65B4A4" w14:textId="77777777" w:rsidTr="00D65E97">
        <w:trPr>
          <w:trHeight w:val="385"/>
        </w:trPr>
        <w:tc>
          <w:tcPr>
            <w:tcW w:w="7650" w:type="dxa"/>
            <w:tcBorders>
              <w:top w:val="single" w:sz="4" w:space="0" w:color="auto"/>
              <w:left w:val="single" w:sz="4" w:space="0" w:color="auto"/>
              <w:bottom w:val="single" w:sz="4" w:space="0" w:color="auto"/>
              <w:right w:val="single" w:sz="4" w:space="0" w:color="auto"/>
            </w:tcBorders>
          </w:tcPr>
          <w:p w14:paraId="6823AB0B" w14:textId="7AB1D377" w:rsidR="00A45F47" w:rsidRPr="00310C26" w:rsidRDefault="00D65E97" w:rsidP="00F26DCB">
            <w:pPr>
              <w:pStyle w:val="ListBullet"/>
              <w:numPr>
                <w:ilvl w:val="0"/>
                <w:numId w:val="0"/>
              </w:numPr>
              <w:rPr>
                <w:rFonts w:eastAsia="Cambria"/>
                <w:szCs w:val="20"/>
              </w:rPr>
            </w:pPr>
            <w:r>
              <w:rPr>
                <w:rFonts w:eastAsia="Cambria"/>
                <w:szCs w:val="20"/>
              </w:rPr>
              <w:t>2</w:t>
            </w:r>
            <w:r w:rsidR="006B19E6">
              <w:rPr>
                <w:rFonts w:eastAsia="Cambria"/>
                <w:szCs w:val="20"/>
              </w:rPr>
              <w:t>2</w:t>
            </w:r>
            <w:r>
              <w:rPr>
                <w:rFonts w:eastAsia="Cambria"/>
                <w:szCs w:val="20"/>
              </w:rPr>
              <w:t xml:space="preserve"> August</w:t>
            </w:r>
          </w:p>
        </w:tc>
      </w:tr>
      <w:tr w:rsidR="00A45F47" w:rsidRPr="00310C26" w14:paraId="08969F15" w14:textId="77777777" w:rsidTr="00D65E97">
        <w:trPr>
          <w:trHeight w:val="384"/>
        </w:trPr>
        <w:tc>
          <w:tcPr>
            <w:tcW w:w="7650" w:type="dxa"/>
            <w:tcBorders>
              <w:top w:val="single" w:sz="4" w:space="0" w:color="auto"/>
              <w:left w:val="single" w:sz="4" w:space="0" w:color="auto"/>
              <w:bottom w:val="single" w:sz="4" w:space="0" w:color="auto"/>
              <w:right w:val="single" w:sz="4" w:space="0" w:color="auto"/>
            </w:tcBorders>
          </w:tcPr>
          <w:p w14:paraId="47CFC3C8" w14:textId="42CB49C5" w:rsidR="00A45F47" w:rsidRPr="00310C26" w:rsidRDefault="006B19E6" w:rsidP="00F26DCB">
            <w:pPr>
              <w:pStyle w:val="ListBullet"/>
              <w:numPr>
                <w:ilvl w:val="0"/>
                <w:numId w:val="0"/>
              </w:numPr>
              <w:rPr>
                <w:rFonts w:eastAsia="Cambria"/>
                <w:szCs w:val="20"/>
              </w:rPr>
            </w:pPr>
            <w:r>
              <w:rPr>
                <w:rFonts w:eastAsia="Cambria"/>
                <w:szCs w:val="20"/>
              </w:rPr>
              <w:t>19</w:t>
            </w:r>
            <w:r w:rsidR="00D65E97">
              <w:rPr>
                <w:rFonts w:eastAsia="Cambria"/>
                <w:szCs w:val="20"/>
              </w:rPr>
              <w:t xml:space="preserve"> September</w:t>
            </w:r>
          </w:p>
        </w:tc>
      </w:tr>
      <w:tr w:rsidR="00A45F47" w:rsidRPr="00310C26" w14:paraId="5FC7E5C9" w14:textId="77777777" w:rsidTr="00A45F47">
        <w:trPr>
          <w:trHeight w:val="385"/>
        </w:trPr>
        <w:tc>
          <w:tcPr>
            <w:tcW w:w="7650" w:type="dxa"/>
            <w:tcBorders>
              <w:top w:val="single" w:sz="4" w:space="0" w:color="auto"/>
              <w:left w:val="single" w:sz="4" w:space="0" w:color="auto"/>
              <w:bottom w:val="single" w:sz="4" w:space="0" w:color="auto"/>
              <w:right w:val="single" w:sz="4" w:space="0" w:color="auto"/>
            </w:tcBorders>
          </w:tcPr>
          <w:p w14:paraId="1561B0CA" w14:textId="17A226DB" w:rsidR="00A45F47" w:rsidRPr="00310C26" w:rsidRDefault="00E52CA4" w:rsidP="00F26DCB">
            <w:pPr>
              <w:pStyle w:val="ListBullet"/>
              <w:numPr>
                <w:ilvl w:val="0"/>
                <w:numId w:val="0"/>
              </w:numPr>
              <w:rPr>
                <w:rFonts w:eastAsia="Cambria"/>
                <w:szCs w:val="20"/>
              </w:rPr>
            </w:pPr>
            <w:r>
              <w:rPr>
                <w:rFonts w:eastAsia="Cambria"/>
                <w:szCs w:val="20"/>
              </w:rPr>
              <w:t>17</w:t>
            </w:r>
            <w:r w:rsidR="00D65E97">
              <w:rPr>
                <w:rFonts w:eastAsia="Cambria"/>
                <w:szCs w:val="20"/>
              </w:rPr>
              <w:t xml:space="preserve"> October</w:t>
            </w:r>
          </w:p>
        </w:tc>
      </w:tr>
      <w:tr w:rsidR="00A45F47" w:rsidRPr="00310C26" w14:paraId="7F91D816" w14:textId="77777777" w:rsidTr="00A45F47">
        <w:trPr>
          <w:trHeight w:val="384"/>
        </w:trPr>
        <w:tc>
          <w:tcPr>
            <w:tcW w:w="7650" w:type="dxa"/>
            <w:tcBorders>
              <w:top w:val="single" w:sz="4" w:space="0" w:color="auto"/>
              <w:left w:val="single" w:sz="4" w:space="0" w:color="auto"/>
              <w:bottom w:val="single" w:sz="4" w:space="0" w:color="auto"/>
              <w:right w:val="single" w:sz="4" w:space="0" w:color="auto"/>
            </w:tcBorders>
          </w:tcPr>
          <w:p w14:paraId="12C736E6" w14:textId="57FC92A5" w:rsidR="00A45F47" w:rsidRPr="00310C26" w:rsidRDefault="00E52CA4" w:rsidP="00F26DCB">
            <w:pPr>
              <w:pStyle w:val="ListBullet"/>
              <w:numPr>
                <w:ilvl w:val="0"/>
                <w:numId w:val="0"/>
              </w:numPr>
              <w:rPr>
                <w:rFonts w:eastAsia="Cambria"/>
                <w:szCs w:val="20"/>
              </w:rPr>
            </w:pPr>
            <w:r>
              <w:rPr>
                <w:rFonts w:eastAsia="Cambria"/>
                <w:szCs w:val="20"/>
              </w:rPr>
              <w:t>14</w:t>
            </w:r>
            <w:r w:rsidR="00D65E97">
              <w:rPr>
                <w:rFonts w:eastAsia="Cambria"/>
                <w:szCs w:val="20"/>
              </w:rPr>
              <w:t xml:space="preserve"> November</w:t>
            </w:r>
          </w:p>
        </w:tc>
      </w:tr>
      <w:tr w:rsidR="00491FB5" w:rsidRPr="00310C26" w14:paraId="5AF77041" w14:textId="77777777" w:rsidTr="00A45F47">
        <w:trPr>
          <w:trHeight w:val="385"/>
        </w:trPr>
        <w:tc>
          <w:tcPr>
            <w:tcW w:w="7650" w:type="dxa"/>
            <w:tcBorders>
              <w:top w:val="single" w:sz="4" w:space="0" w:color="auto"/>
              <w:left w:val="single" w:sz="4" w:space="0" w:color="auto"/>
              <w:bottom w:val="single" w:sz="4" w:space="0" w:color="auto"/>
              <w:right w:val="single" w:sz="4" w:space="0" w:color="auto"/>
            </w:tcBorders>
          </w:tcPr>
          <w:p w14:paraId="191BCF96" w14:textId="20458D43" w:rsidR="00491FB5" w:rsidRPr="00310C26" w:rsidRDefault="00491FB5" w:rsidP="00491FB5">
            <w:pPr>
              <w:pStyle w:val="ListBullet"/>
              <w:numPr>
                <w:ilvl w:val="0"/>
                <w:numId w:val="0"/>
              </w:numPr>
              <w:rPr>
                <w:rFonts w:eastAsia="Cambria"/>
                <w:szCs w:val="20"/>
              </w:rPr>
            </w:pPr>
            <w:r>
              <w:rPr>
                <w:rFonts w:eastAsia="Cambria"/>
                <w:szCs w:val="20"/>
              </w:rPr>
              <w:t>Applications received from 2</w:t>
            </w:r>
            <w:r w:rsidR="006B19E6">
              <w:rPr>
                <w:rFonts w:eastAsia="Cambria"/>
                <w:szCs w:val="20"/>
              </w:rPr>
              <w:t>2</w:t>
            </w:r>
            <w:r>
              <w:rPr>
                <w:rFonts w:eastAsia="Cambria"/>
                <w:szCs w:val="20"/>
              </w:rPr>
              <w:t xml:space="preserve"> November to 2</w:t>
            </w:r>
            <w:r w:rsidR="006B19E6">
              <w:rPr>
                <w:rFonts w:eastAsia="Cambria"/>
                <w:szCs w:val="20"/>
              </w:rPr>
              <w:t>3</w:t>
            </w:r>
            <w:r w:rsidRPr="00310C26">
              <w:rPr>
                <w:rFonts w:eastAsia="Cambria"/>
                <w:szCs w:val="20"/>
              </w:rPr>
              <w:t xml:space="preserve"> January will be assessed in February</w:t>
            </w:r>
          </w:p>
        </w:tc>
      </w:tr>
      <w:tr w:rsidR="00491FB5" w:rsidRPr="00310C26" w14:paraId="75CB2949" w14:textId="77777777" w:rsidTr="00A45F47">
        <w:trPr>
          <w:trHeight w:val="384"/>
        </w:trPr>
        <w:tc>
          <w:tcPr>
            <w:tcW w:w="7650" w:type="dxa"/>
            <w:tcBorders>
              <w:top w:val="single" w:sz="4" w:space="0" w:color="auto"/>
              <w:left w:val="single" w:sz="4" w:space="0" w:color="auto"/>
              <w:bottom w:val="single" w:sz="4" w:space="0" w:color="auto"/>
              <w:right w:val="single" w:sz="4" w:space="0" w:color="auto"/>
            </w:tcBorders>
          </w:tcPr>
          <w:p w14:paraId="619A4162" w14:textId="558D8AEC" w:rsidR="00491FB5" w:rsidRPr="00310C26" w:rsidRDefault="00E52CA4" w:rsidP="00491FB5">
            <w:pPr>
              <w:pStyle w:val="ListBullet"/>
              <w:numPr>
                <w:ilvl w:val="0"/>
                <w:numId w:val="0"/>
              </w:numPr>
              <w:rPr>
                <w:rFonts w:eastAsia="Cambria"/>
                <w:szCs w:val="20"/>
              </w:rPr>
            </w:pPr>
            <w:r>
              <w:rPr>
                <w:rFonts w:eastAsia="Cambria"/>
                <w:szCs w:val="20"/>
              </w:rPr>
              <w:t>16</w:t>
            </w:r>
            <w:r w:rsidR="00491FB5">
              <w:rPr>
                <w:rFonts w:eastAsia="Cambria"/>
                <w:szCs w:val="20"/>
              </w:rPr>
              <w:t xml:space="preserve"> January</w:t>
            </w:r>
          </w:p>
        </w:tc>
      </w:tr>
      <w:tr w:rsidR="00491FB5" w:rsidRPr="00310C26" w14:paraId="0F79E072" w14:textId="77777777" w:rsidTr="00A45F47">
        <w:trPr>
          <w:trHeight w:val="385"/>
        </w:trPr>
        <w:tc>
          <w:tcPr>
            <w:tcW w:w="7650" w:type="dxa"/>
            <w:tcBorders>
              <w:top w:val="single" w:sz="4" w:space="0" w:color="auto"/>
              <w:left w:val="single" w:sz="4" w:space="0" w:color="auto"/>
              <w:bottom w:val="single" w:sz="4" w:space="0" w:color="auto"/>
              <w:right w:val="single" w:sz="4" w:space="0" w:color="auto"/>
            </w:tcBorders>
          </w:tcPr>
          <w:p w14:paraId="0DFBC9D0" w14:textId="6720BD97" w:rsidR="00491FB5" w:rsidRPr="00310C26" w:rsidRDefault="00E52CA4" w:rsidP="00491FB5">
            <w:pPr>
              <w:pStyle w:val="ListBullet"/>
              <w:numPr>
                <w:ilvl w:val="0"/>
                <w:numId w:val="0"/>
              </w:numPr>
              <w:rPr>
                <w:rFonts w:eastAsia="Cambria"/>
                <w:szCs w:val="20"/>
              </w:rPr>
            </w:pPr>
            <w:r>
              <w:rPr>
                <w:rFonts w:eastAsia="Cambria"/>
                <w:szCs w:val="20"/>
              </w:rPr>
              <w:t>13</w:t>
            </w:r>
            <w:r w:rsidR="00491FB5">
              <w:rPr>
                <w:rFonts w:eastAsia="Cambria"/>
                <w:szCs w:val="20"/>
              </w:rPr>
              <w:t xml:space="preserve"> February</w:t>
            </w:r>
          </w:p>
        </w:tc>
      </w:tr>
      <w:tr w:rsidR="00491FB5" w:rsidRPr="00310C26" w14:paraId="22261FFA" w14:textId="77777777" w:rsidTr="00A45F47">
        <w:trPr>
          <w:trHeight w:val="384"/>
        </w:trPr>
        <w:tc>
          <w:tcPr>
            <w:tcW w:w="7650" w:type="dxa"/>
            <w:tcBorders>
              <w:top w:val="single" w:sz="4" w:space="0" w:color="auto"/>
              <w:left w:val="single" w:sz="4" w:space="0" w:color="auto"/>
              <w:bottom w:val="single" w:sz="4" w:space="0" w:color="auto"/>
              <w:right w:val="single" w:sz="4" w:space="0" w:color="auto"/>
            </w:tcBorders>
          </w:tcPr>
          <w:p w14:paraId="51A42B83" w14:textId="2EF9ECC1" w:rsidR="00491FB5" w:rsidRPr="00310C26" w:rsidRDefault="00E52CA4" w:rsidP="00491FB5">
            <w:pPr>
              <w:pStyle w:val="ListBullet"/>
              <w:numPr>
                <w:ilvl w:val="0"/>
                <w:numId w:val="0"/>
              </w:numPr>
              <w:rPr>
                <w:rFonts w:eastAsia="Cambria"/>
                <w:szCs w:val="20"/>
              </w:rPr>
            </w:pPr>
            <w:r>
              <w:rPr>
                <w:rFonts w:eastAsia="Cambria"/>
                <w:szCs w:val="20"/>
              </w:rPr>
              <w:t>13</w:t>
            </w:r>
            <w:r w:rsidR="00491FB5">
              <w:rPr>
                <w:rFonts w:eastAsia="Cambria"/>
                <w:szCs w:val="20"/>
              </w:rPr>
              <w:t xml:space="preserve"> March</w:t>
            </w:r>
          </w:p>
        </w:tc>
      </w:tr>
      <w:tr w:rsidR="00491FB5" w:rsidRPr="00310C26" w14:paraId="05AF1F27" w14:textId="77777777" w:rsidTr="00A45F47">
        <w:trPr>
          <w:trHeight w:val="385"/>
        </w:trPr>
        <w:tc>
          <w:tcPr>
            <w:tcW w:w="7650" w:type="dxa"/>
            <w:tcBorders>
              <w:top w:val="single" w:sz="4" w:space="0" w:color="auto"/>
              <w:left w:val="single" w:sz="4" w:space="0" w:color="auto"/>
              <w:bottom w:val="single" w:sz="4" w:space="0" w:color="auto"/>
              <w:right w:val="single" w:sz="4" w:space="0" w:color="auto"/>
            </w:tcBorders>
          </w:tcPr>
          <w:p w14:paraId="2BA57610" w14:textId="65E3DBEB" w:rsidR="00491FB5" w:rsidRPr="00310C26" w:rsidRDefault="00491FB5" w:rsidP="00491FB5">
            <w:pPr>
              <w:pStyle w:val="ListBullet"/>
              <w:numPr>
                <w:ilvl w:val="0"/>
                <w:numId w:val="0"/>
              </w:numPr>
              <w:rPr>
                <w:rFonts w:eastAsia="Cambria"/>
                <w:szCs w:val="20"/>
              </w:rPr>
            </w:pPr>
            <w:r>
              <w:rPr>
                <w:rFonts w:eastAsia="Cambria"/>
                <w:szCs w:val="20"/>
              </w:rPr>
              <w:t>1</w:t>
            </w:r>
            <w:r w:rsidR="006B19E6">
              <w:rPr>
                <w:rFonts w:eastAsia="Cambria"/>
                <w:szCs w:val="20"/>
              </w:rPr>
              <w:t>7</w:t>
            </w:r>
            <w:r>
              <w:rPr>
                <w:rFonts w:eastAsia="Cambria"/>
                <w:szCs w:val="20"/>
              </w:rPr>
              <w:t xml:space="preserve"> April</w:t>
            </w:r>
          </w:p>
        </w:tc>
      </w:tr>
      <w:tr w:rsidR="00491FB5" w:rsidRPr="00310C26" w14:paraId="155065D0" w14:textId="77777777" w:rsidTr="00573839">
        <w:trPr>
          <w:trHeight w:val="404"/>
        </w:trPr>
        <w:tc>
          <w:tcPr>
            <w:tcW w:w="7650" w:type="dxa"/>
            <w:tcBorders>
              <w:top w:val="single" w:sz="4" w:space="0" w:color="auto"/>
              <w:left w:val="single" w:sz="4" w:space="0" w:color="auto"/>
              <w:bottom w:val="single" w:sz="4" w:space="0" w:color="auto"/>
              <w:right w:val="single" w:sz="4" w:space="0" w:color="auto"/>
            </w:tcBorders>
          </w:tcPr>
          <w:p w14:paraId="2A4ADEC1" w14:textId="2DAA5864" w:rsidR="00491FB5" w:rsidRPr="00310C26" w:rsidRDefault="00E52CA4" w:rsidP="00573839">
            <w:pPr>
              <w:pStyle w:val="ListBullet"/>
              <w:numPr>
                <w:ilvl w:val="0"/>
                <w:numId w:val="0"/>
              </w:numPr>
              <w:rPr>
                <w:rFonts w:eastAsia="Cambria"/>
                <w:szCs w:val="20"/>
              </w:rPr>
            </w:pPr>
            <w:r>
              <w:rPr>
                <w:rFonts w:eastAsia="Cambria"/>
                <w:szCs w:val="20"/>
              </w:rPr>
              <w:t>15</w:t>
            </w:r>
            <w:r w:rsidR="00491FB5">
              <w:rPr>
                <w:rFonts w:eastAsia="Cambria"/>
                <w:szCs w:val="20"/>
              </w:rPr>
              <w:t xml:space="preserve"> May</w:t>
            </w:r>
          </w:p>
        </w:tc>
      </w:tr>
    </w:tbl>
    <w:p w14:paraId="70C046BC" w14:textId="77777777" w:rsidR="008141B5" w:rsidRPr="005E7302" w:rsidRDefault="008141B5" w:rsidP="008141B5">
      <w:pPr>
        <w:pStyle w:val="Heading2"/>
        <w:rPr>
          <w:rFonts w:hint="eastAsia"/>
          <w:iCs/>
          <w:szCs w:val="24"/>
        </w:rPr>
      </w:pPr>
      <w:bookmarkStart w:id="12" w:name="_Toc130980234"/>
      <w:r w:rsidRPr="005E7302">
        <w:rPr>
          <w:iCs/>
          <w:szCs w:val="24"/>
        </w:rPr>
        <w:t>A</w:t>
      </w:r>
      <w:r>
        <w:rPr>
          <w:iCs/>
          <w:szCs w:val="24"/>
        </w:rPr>
        <w:t>pplication</w:t>
      </w:r>
      <w:r w:rsidRPr="005E7302">
        <w:rPr>
          <w:iCs/>
          <w:szCs w:val="24"/>
        </w:rPr>
        <w:t xml:space="preserve"> process</w:t>
      </w:r>
      <w:bookmarkEnd w:id="12"/>
    </w:p>
    <w:p w14:paraId="1B66A0CC" w14:textId="77777777" w:rsidR="008141B5" w:rsidRPr="002149F5" w:rsidRDefault="008141B5" w:rsidP="008141B5">
      <w:pPr>
        <w:pStyle w:val="ListBullet"/>
        <w:numPr>
          <w:ilvl w:val="0"/>
          <w:numId w:val="0"/>
        </w:numPr>
      </w:pPr>
      <w:r>
        <w:t xml:space="preserve">Applications to CUTHS are open all year and are assessed </w:t>
      </w:r>
      <w:proofErr w:type="gramStart"/>
      <w:r>
        <w:t>on a monthly basis</w:t>
      </w:r>
      <w:proofErr w:type="gramEnd"/>
      <w:r>
        <w:t xml:space="preserve"> (except January). The scheme is very popular with more applications than there is funding available, so the process is competitive. The following considerations should be noted:</w:t>
      </w:r>
    </w:p>
    <w:p w14:paraId="4B336762" w14:textId="77777777" w:rsidR="008141B5" w:rsidRDefault="008141B5" w:rsidP="008141B5">
      <w:pPr>
        <w:pStyle w:val="ListBullet"/>
        <w:spacing w:after="200" w:line="240" w:lineRule="auto"/>
      </w:pPr>
      <w:r>
        <w:t>Budgets are allocated on financial year budgets.</w:t>
      </w:r>
    </w:p>
    <w:p w14:paraId="0E11FA10" w14:textId="77777777" w:rsidR="008141B5" w:rsidRDefault="008141B5" w:rsidP="008141B5">
      <w:pPr>
        <w:pStyle w:val="ListBullet"/>
        <w:spacing w:after="200" w:line="240" w:lineRule="auto"/>
      </w:pPr>
      <w:r>
        <w:t>Applications will close when annual funding is fully allocated.</w:t>
      </w:r>
    </w:p>
    <w:p w14:paraId="62B2FB05" w14:textId="77777777" w:rsidR="008141B5" w:rsidRDefault="008141B5" w:rsidP="008141B5">
      <w:pPr>
        <w:pStyle w:val="ListBullet"/>
        <w:spacing w:after="200" w:line="240" w:lineRule="auto"/>
      </w:pPr>
      <w:r>
        <w:t>Applicants are not guaranteed support to the full extent requested; partial support may be offered.</w:t>
      </w:r>
    </w:p>
    <w:p w14:paraId="0754EC66" w14:textId="77777777" w:rsidR="008141B5" w:rsidRDefault="008141B5" w:rsidP="008141B5">
      <w:pPr>
        <w:pStyle w:val="ListBullet"/>
        <w:spacing w:after="200" w:line="240" w:lineRule="auto"/>
      </w:pPr>
      <w:r>
        <w:t xml:space="preserve">An organisation is eligible for a total of $7000 (including GST) per financial year; this may be spread across multiple </w:t>
      </w:r>
      <w:proofErr w:type="gramStart"/>
      <w:r>
        <w:t>applications</w:t>
      </w:r>
      <w:proofErr w:type="gramEnd"/>
      <w:r>
        <w:t xml:space="preserve"> but a separate application is required for each event.</w:t>
      </w:r>
    </w:p>
    <w:p w14:paraId="5FFDC903" w14:textId="77777777" w:rsidR="008141B5" w:rsidRDefault="008141B5" w:rsidP="008141B5">
      <w:pPr>
        <w:pStyle w:val="ListBullet"/>
        <w:spacing w:after="200" w:line="240" w:lineRule="auto"/>
      </w:pPr>
      <w:r>
        <w:t>Previous support does not guarantee future support.</w:t>
      </w:r>
    </w:p>
    <w:p w14:paraId="26156EA1" w14:textId="77777777" w:rsidR="008141B5" w:rsidRDefault="008141B5" w:rsidP="008141B5">
      <w:pPr>
        <w:pStyle w:val="ListBullet"/>
        <w:spacing w:after="200" w:line="240" w:lineRule="auto"/>
      </w:pPr>
      <w:r>
        <w:t>Organisations must be capable of planning, promoting and resourcing their own event - the City of Melbourne will not provide event management or promotional support.</w:t>
      </w:r>
    </w:p>
    <w:p w14:paraId="1F41D79A" w14:textId="77777777" w:rsidR="008141B5" w:rsidRDefault="008141B5" w:rsidP="008141B5">
      <w:pPr>
        <w:pStyle w:val="ListBullet"/>
        <w:spacing w:after="200" w:line="240" w:lineRule="auto"/>
      </w:pPr>
      <w:r>
        <w:lastRenderedPageBreak/>
        <w:t>If successful, the applicant organisation does not receive the grant themselves – the City of Melbourne pays the awarded amount directly to the venue operator on behalf of the applicant organisation.</w:t>
      </w:r>
    </w:p>
    <w:p w14:paraId="3BF902DE" w14:textId="77777777" w:rsidR="008141B5" w:rsidRPr="00C7370C" w:rsidRDefault="008141B5" w:rsidP="008141B5">
      <w:pPr>
        <w:pStyle w:val="ListBullet"/>
        <w:numPr>
          <w:ilvl w:val="0"/>
          <w:numId w:val="0"/>
        </w:numPr>
        <w:rPr>
          <w:b/>
        </w:rPr>
      </w:pPr>
      <w:r w:rsidRPr="00C7370C">
        <w:rPr>
          <w:b/>
        </w:rPr>
        <w:t>Please complete the following steps to apply for CUTHS for your event:</w:t>
      </w:r>
    </w:p>
    <w:p w14:paraId="5AEFC2E8" w14:textId="77777777" w:rsidR="008141B5" w:rsidRDefault="008141B5" w:rsidP="008141B5">
      <w:pPr>
        <w:pStyle w:val="ListBullet"/>
        <w:numPr>
          <w:ilvl w:val="0"/>
          <w:numId w:val="20"/>
        </w:numPr>
        <w:spacing w:after="200" w:line="240" w:lineRule="auto"/>
      </w:pPr>
      <w:r>
        <w:t xml:space="preserve">Ensure your application is submitted a minimum of six weeks prior to the scheduled event. </w:t>
      </w:r>
    </w:p>
    <w:p w14:paraId="3B152A54" w14:textId="77777777" w:rsidR="008141B5" w:rsidRDefault="008141B5" w:rsidP="008141B5">
      <w:pPr>
        <w:pStyle w:val="ListBullet"/>
        <w:numPr>
          <w:ilvl w:val="0"/>
          <w:numId w:val="20"/>
        </w:numPr>
        <w:spacing w:after="200" w:line="240" w:lineRule="auto"/>
      </w:pPr>
      <w:r>
        <w:t>Contact the relevant venue staff to check availability and suitability of venues, and to answer your questions.</w:t>
      </w:r>
    </w:p>
    <w:p w14:paraId="3605AF82" w14:textId="77777777" w:rsidR="008141B5" w:rsidRDefault="008141B5" w:rsidP="008141B5">
      <w:pPr>
        <w:pStyle w:val="ListBullet"/>
        <w:numPr>
          <w:ilvl w:val="0"/>
          <w:numId w:val="20"/>
        </w:numPr>
        <w:spacing w:after="200" w:line="240" w:lineRule="auto"/>
      </w:pPr>
      <w:r>
        <w:t>If the venue is available and suitable, make a tentative booking with the venue and you will receive a written quote.</w:t>
      </w:r>
    </w:p>
    <w:p w14:paraId="132AE3A6" w14:textId="77777777" w:rsidR="008141B5" w:rsidRDefault="008141B5" w:rsidP="008141B5">
      <w:pPr>
        <w:pStyle w:val="ListBullet"/>
        <w:numPr>
          <w:ilvl w:val="0"/>
          <w:numId w:val="20"/>
        </w:numPr>
        <w:spacing w:after="200" w:line="240" w:lineRule="auto"/>
      </w:pPr>
      <w:r>
        <w:t>Read through all the CUTHS Guidelines prior to filling in your online application form via SmartyGrants. You can edit, save and review your application form prior to submitting the final version. If you have accessibility needs, a printed form can be made available – please contact us in this case.</w:t>
      </w:r>
    </w:p>
    <w:p w14:paraId="6F6C0D7A" w14:textId="77777777" w:rsidR="008141B5" w:rsidRDefault="008141B5" w:rsidP="008141B5">
      <w:pPr>
        <w:pStyle w:val="ListBullet"/>
        <w:numPr>
          <w:ilvl w:val="0"/>
          <w:numId w:val="20"/>
        </w:numPr>
        <w:spacing w:after="200" w:line="240" w:lineRule="auto"/>
      </w:pPr>
      <w:r>
        <w:t>Complete all sections of the online application form and attach a copy of the quote to your application. Applications cannot be considered without the accompanying quote from the venue.</w:t>
      </w:r>
    </w:p>
    <w:p w14:paraId="1F4DE7AD" w14:textId="77777777" w:rsidR="008141B5" w:rsidRDefault="008141B5" w:rsidP="008141B5">
      <w:pPr>
        <w:pStyle w:val="ListBullet"/>
        <w:numPr>
          <w:ilvl w:val="0"/>
          <w:numId w:val="20"/>
        </w:numPr>
        <w:spacing w:after="200" w:line="240" w:lineRule="auto"/>
      </w:pPr>
      <w:r>
        <w:t>Applicants will be notified by email on the outcome of their application around six weeks after the applicatio</w:t>
      </w:r>
      <w:r w:rsidR="002D7CE8">
        <w:t>n and quote has been received. (</w:t>
      </w:r>
      <w:r>
        <w:t>Note, there is</w:t>
      </w:r>
      <w:r w:rsidR="002D7CE8">
        <w:t xml:space="preserve"> no assessment round in January).</w:t>
      </w:r>
    </w:p>
    <w:p w14:paraId="0ABD901F" w14:textId="77777777" w:rsidR="008141B5" w:rsidRDefault="008141B5" w:rsidP="008141B5">
      <w:pPr>
        <w:pStyle w:val="ListBullet"/>
        <w:numPr>
          <w:ilvl w:val="0"/>
          <w:numId w:val="20"/>
        </w:numPr>
        <w:spacing w:after="200" w:line="240" w:lineRule="auto"/>
      </w:pPr>
      <w:r>
        <w:t>Applicants need to advise venue staff of the outcome of their application and confirm or cancel t</w:t>
      </w:r>
      <w:r w:rsidR="002D7CE8">
        <w:t xml:space="preserve">heir tentative booking </w:t>
      </w:r>
      <w:proofErr w:type="gramStart"/>
      <w:r w:rsidR="002D7CE8">
        <w:t>directly.(</w:t>
      </w:r>
      <w:proofErr w:type="gramEnd"/>
      <w:r>
        <w:t>City of Melbourne does not manage this</w:t>
      </w:r>
      <w:r w:rsidR="002D7CE8">
        <w:t xml:space="preserve"> communication with venue staff).</w:t>
      </w:r>
    </w:p>
    <w:p w14:paraId="254EB88D" w14:textId="77777777" w:rsidR="008141B5" w:rsidRPr="00B9589F" w:rsidRDefault="008141B5" w:rsidP="008141B5">
      <w:pPr>
        <w:pStyle w:val="ListBullet"/>
        <w:numPr>
          <w:ilvl w:val="0"/>
          <w:numId w:val="0"/>
        </w:numPr>
        <w:ind w:left="357" w:hanging="357"/>
        <w:rPr>
          <w:b/>
        </w:rPr>
      </w:pPr>
      <w:r w:rsidRPr="00B9589F">
        <w:rPr>
          <w:b/>
        </w:rPr>
        <w:t>Venue contacts:</w:t>
      </w:r>
    </w:p>
    <w:p w14:paraId="580AB10B" w14:textId="7EECB4D6" w:rsidR="008141B5" w:rsidRDefault="008141B5" w:rsidP="008141B5">
      <w:pPr>
        <w:pStyle w:val="ListBullet"/>
        <w:numPr>
          <w:ilvl w:val="0"/>
          <w:numId w:val="21"/>
        </w:numPr>
        <w:spacing w:after="200" w:line="240" w:lineRule="auto"/>
      </w:pPr>
      <w:r>
        <w:t xml:space="preserve">Melbourne Town Hall - Epicure - Phone 03 </w:t>
      </w:r>
      <w:r w:rsidR="006B19E6">
        <w:t>9682 1777</w:t>
      </w:r>
      <w:r w:rsidR="00C06ECC">
        <w:t xml:space="preserve"> or </w:t>
      </w:r>
      <w:hyperlink r:id="rId8" w:history="1">
        <w:r w:rsidR="00C06ECC" w:rsidRPr="00C06ECC">
          <w:rPr>
            <w:rStyle w:val="Hyperlink"/>
            <w:lang w:val="en-AU"/>
          </w:rPr>
          <w:t>events@seg.melbourne</w:t>
        </w:r>
      </w:hyperlink>
    </w:p>
    <w:p w14:paraId="2D36D933" w14:textId="4C83E114" w:rsidR="008141B5" w:rsidRDefault="008141B5" w:rsidP="008141B5">
      <w:pPr>
        <w:pStyle w:val="ListBullet"/>
        <w:numPr>
          <w:ilvl w:val="0"/>
          <w:numId w:val="21"/>
        </w:numPr>
        <w:spacing w:after="200" w:line="240" w:lineRule="auto"/>
      </w:pPr>
      <w:r>
        <w:t xml:space="preserve">Meat Market (North Melbourne) - Phone 03 9329 9966 </w:t>
      </w:r>
      <w:r w:rsidR="00C06ECC">
        <w:t xml:space="preserve">or </w:t>
      </w:r>
      <w:hyperlink r:id="rId9" w:history="1">
        <w:r w:rsidR="00C06ECC" w:rsidRPr="00C06ECC">
          <w:rPr>
            <w:rStyle w:val="Hyperlink"/>
            <w:lang w:val="en-AU"/>
          </w:rPr>
          <w:t>meatmarket@melbourne.vic.gov.au</w:t>
        </w:r>
      </w:hyperlink>
    </w:p>
    <w:p w14:paraId="2C374A14" w14:textId="03F67388" w:rsidR="008141B5" w:rsidRDefault="008141B5" w:rsidP="008141B5">
      <w:pPr>
        <w:pStyle w:val="ListBullet"/>
        <w:numPr>
          <w:ilvl w:val="0"/>
          <w:numId w:val="21"/>
        </w:numPr>
        <w:spacing w:after="200" w:line="240" w:lineRule="auto"/>
      </w:pPr>
      <w:r>
        <w:t>Kensington Town Hall – Phone 03 9372 5315</w:t>
      </w:r>
      <w:r w:rsidR="00C06ECC">
        <w:t xml:space="preserve"> or </w:t>
      </w:r>
      <w:hyperlink r:id="rId10" w:history="1">
        <w:r w:rsidR="00C06ECC" w:rsidRPr="00F073C9">
          <w:rPr>
            <w:rStyle w:val="Hyperlink"/>
          </w:rPr>
          <w:t>kensington@melbourne.vic.gov.au</w:t>
        </w:r>
      </w:hyperlink>
      <w:r w:rsidR="00C06ECC">
        <w:t xml:space="preserve"> </w:t>
      </w:r>
    </w:p>
    <w:p w14:paraId="60219EDB" w14:textId="77777777" w:rsidR="008141B5" w:rsidRPr="005E7302" w:rsidRDefault="008141B5" w:rsidP="008141B5">
      <w:pPr>
        <w:pStyle w:val="Heading2"/>
        <w:rPr>
          <w:rFonts w:hint="eastAsia"/>
          <w:iCs/>
          <w:szCs w:val="24"/>
        </w:rPr>
      </w:pPr>
      <w:bookmarkStart w:id="13" w:name="_Toc130980235"/>
      <w:r w:rsidRPr="005E7302">
        <w:rPr>
          <w:iCs/>
          <w:szCs w:val="24"/>
        </w:rPr>
        <w:t>Assessment criteria</w:t>
      </w:r>
      <w:bookmarkEnd w:id="13"/>
    </w:p>
    <w:p w14:paraId="04D81D3D" w14:textId="77777777" w:rsidR="008141B5" w:rsidRDefault="008141B5" w:rsidP="008141B5">
      <w:pPr>
        <w:spacing w:after="240"/>
        <w:rPr>
          <w:rFonts w:cs="Arial"/>
          <w:szCs w:val="22"/>
        </w:rPr>
      </w:pPr>
      <w:r>
        <w:rPr>
          <w:rFonts w:cs="Arial"/>
          <w:szCs w:val="22"/>
        </w:rPr>
        <w:t>CUTHS applications are assessed against the assessment criteria below. The City of Melbourne reserves the right to reject any application that does not meet the eligibility or assessment criteria. We also reserve the right to request further information in considering applications. Successful applications are those that best respond to the assessment criteria:</w:t>
      </w:r>
    </w:p>
    <w:p w14:paraId="71E6734A" w14:textId="77777777" w:rsidR="008141B5" w:rsidRDefault="008141B5" w:rsidP="008141B5">
      <w:pPr>
        <w:numPr>
          <w:ilvl w:val="0"/>
          <w:numId w:val="22"/>
        </w:numPr>
        <w:spacing w:after="240" w:line="288" w:lineRule="auto"/>
        <w:rPr>
          <w:rFonts w:cs="Arial"/>
          <w:szCs w:val="22"/>
        </w:rPr>
      </w:pPr>
      <w:r>
        <w:rPr>
          <w:rFonts w:cs="Arial"/>
          <w:b/>
          <w:szCs w:val="22"/>
        </w:rPr>
        <w:t>A</w:t>
      </w:r>
      <w:r w:rsidRPr="003E4A9B">
        <w:rPr>
          <w:rFonts w:cs="Arial"/>
          <w:b/>
          <w:szCs w:val="22"/>
        </w:rPr>
        <w:t>pplicant’s relationship with to the City of Melbourne</w:t>
      </w:r>
      <w:r w:rsidRPr="004C5D8F">
        <w:rPr>
          <w:rFonts w:cs="Arial"/>
          <w:szCs w:val="22"/>
        </w:rPr>
        <w:t xml:space="preserve">: </w:t>
      </w:r>
      <w:r>
        <w:rPr>
          <w:rFonts w:cs="Arial"/>
          <w:szCs w:val="22"/>
        </w:rPr>
        <w:t>i</w:t>
      </w:r>
      <w:r w:rsidRPr="004C5D8F">
        <w:rPr>
          <w:rFonts w:cs="Arial"/>
          <w:szCs w:val="22"/>
        </w:rPr>
        <w:t xml:space="preserve">s your organisation located within the City of Melbourne? If not, can you demonstrate that you provide services </w:t>
      </w:r>
      <w:r>
        <w:rPr>
          <w:rFonts w:cs="Arial"/>
          <w:szCs w:val="22"/>
        </w:rPr>
        <w:t xml:space="preserve">or benefits </w:t>
      </w:r>
      <w:r w:rsidRPr="004C5D8F">
        <w:rPr>
          <w:rFonts w:cs="Arial"/>
          <w:szCs w:val="22"/>
        </w:rPr>
        <w:t xml:space="preserve">to the </w:t>
      </w:r>
      <w:r>
        <w:rPr>
          <w:rFonts w:cs="Arial"/>
          <w:szCs w:val="22"/>
        </w:rPr>
        <w:t xml:space="preserve">local community or </w:t>
      </w:r>
      <w:r w:rsidRPr="004C5D8F">
        <w:rPr>
          <w:rFonts w:cs="Arial"/>
          <w:szCs w:val="22"/>
        </w:rPr>
        <w:t>Melbourne as a c</w:t>
      </w:r>
      <w:r>
        <w:rPr>
          <w:rFonts w:cs="Arial"/>
          <w:szCs w:val="22"/>
        </w:rPr>
        <w:t>apital city.</w:t>
      </w:r>
    </w:p>
    <w:p w14:paraId="30E1DEB0" w14:textId="77777777" w:rsidR="008141B5" w:rsidRDefault="008141B5" w:rsidP="008141B5">
      <w:pPr>
        <w:numPr>
          <w:ilvl w:val="0"/>
          <w:numId w:val="22"/>
        </w:numPr>
        <w:spacing w:after="240" w:line="288" w:lineRule="auto"/>
        <w:rPr>
          <w:rFonts w:cs="Arial"/>
          <w:szCs w:val="22"/>
        </w:rPr>
      </w:pPr>
      <w:r w:rsidRPr="00E77E29">
        <w:rPr>
          <w:rFonts w:cs="Arial"/>
          <w:b/>
          <w:szCs w:val="22"/>
        </w:rPr>
        <w:t>City of Melbourne community participation in the event:</w:t>
      </w:r>
      <w:r w:rsidRPr="00E77E29">
        <w:rPr>
          <w:rFonts w:cs="Arial"/>
          <w:szCs w:val="22"/>
        </w:rPr>
        <w:t xml:space="preserve"> will the City of Melbourne community be involved in the planning and running of the event and/or will the City of Melbourne community be specifically targeted to attend or volunteer at the event? Please note, all CUTHS events must be open to the </w:t>
      </w:r>
      <w:proofErr w:type="gramStart"/>
      <w:r w:rsidRPr="00E77E29">
        <w:rPr>
          <w:rFonts w:cs="Arial"/>
          <w:szCs w:val="22"/>
        </w:rPr>
        <w:t>general public</w:t>
      </w:r>
      <w:proofErr w:type="gramEnd"/>
      <w:r w:rsidRPr="00E77E29">
        <w:rPr>
          <w:rFonts w:cs="Arial"/>
          <w:szCs w:val="22"/>
        </w:rPr>
        <w:t xml:space="preserve"> to attend.</w:t>
      </w:r>
    </w:p>
    <w:p w14:paraId="6428C2B4" w14:textId="77777777" w:rsidR="008141B5" w:rsidRDefault="008141B5" w:rsidP="008141B5">
      <w:pPr>
        <w:numPr>
          <w:ilvl w:val="0"/>
          <w:numId w:val="22"/>
        </w:numPr>
        <w:spacing w:after="240" w:line="288" w:lineRule="auto"/>
        <w:rPr>
          <w:rFonts w:cs="Arial"/>
          <w:szCs w:val="22"/>
        </w:rPr>
      </w:pPr>
      <w:r w:rsidRPr="00E77E29">
        <w:rPr>
          <w:rFonts w:cs="Arial"/>
          <w:b/>
          <w:szCs w:val="22"/>
        </w:rPr>
        <w:t>Benefit to people who are vulnerable</w:t>
      </w:r>
      <w:r w:rsidRPr="00E77E29">
        <w:rPr>
          <w:rFonts w:cs="Arial"/>
          <w:szCs w:val="22"/>
        </w:rPr>
        <w:t>: does your event target or support people who are vulnerable? This could include people who are socially or financially disadvantaged; people who have a disability; people who are experiencing homelessness; or newly arrived migrants or refugees.</w:t>
      </w:r>
    </w:p>
    <w:p w14:paraId="0AC25926" w14:textId="77777777" w:rsidR="008141B5" w:rsidRPr="00E77E29" w:rsidRDefault="008141B5" w:rsidP="008141B5">
      <w:pPr>
        <w:numPr>
          <w:ilvl w:val="0"/>
          <w:numId w:val="22"/>
        </w:numPr>
        <w:spacing w:after="240" w:line="288" w:lineRule="auto"/>
        <w:rPr>
          <w:rFonts w:cs="Arial"/>
          <w:szCs w:val="22"/>
        </w:rPr>
      </w:pPr>
      <w:r w:rsidRPr="00E77E29">
        <w:rPr>
          <w:rFonts w:cs="Arial"/>
          <w:b/>
          <w:szCs w:val="22"/>
        </w:rPr>
        <w:t>Uniqueness of event</w:t>
      </w:r>
      <w:r w:rsidRPr="00E77E29">
        <w:rPr>
          <w:rFonts w:cs="Arial"/>
          <w:szCs w:val="22"/>
        </w:rPr>
        <w:t xml:space="preserve">: is your event unique or of a special nature, or has the City of Melbourne already sponsored similar events in the current financial year? (This is an assessment management will make - applicants are not expected to know the answer to </w:t>
      </w:r>
      <w:proofErr w:type="gramStart"/>
      <w:r w:rsidRPr="00E77E29">
        <w:rPr>
          <w:rFonts w:cs="Arial"/>
          <w:szCs w:val="22"/>
        </w:rPr>
        <w:t>this criteria</w:t>
      </w:r>
      <w:proofErr w:type="gramEnd"/>
      <w:r w:rsidRPr="00E77E29">
        <w:rPr>
          <w:rFonts w:cs="Arial"/>
          <w:szCs w:val="22"/>
        </w:rPr>
        <w:t>.)</w:t>
      </w:r>
    </w:p>
    <w:p w14:paraId="5CE2AD8B" w14:textId="77777777" w:rsidR="008141B5" w:rsidRPr="000961CC" w:rsidRDefault="008141B5" w:rsidP="008141B5">
      <w:pPr>
        <w:pStyle w:val="Heading2"/>
        <w:rPr>
          <w:rFonts w:hint="eastAsia"/>
        </w:rPr>
      </w:pPr>
      <w:bookmarkStart w:id="14" w:name="_Toc130980236"/>
      <w:r>
        <w:lastRenderedPageBreak/>
        <w:t>T</w:t>
      </w:r>
      <w:r w:rsidRPr="000961CC">
        <w:t>erms and conditions</w:t>
      </w:r>
      <w:bookmarkEnd w:id="14"/>
    </w:p>
    <w:p w14:paraId="7F2883CF" w14:textId="77777777" w:rsidR="008141B5" w:rsidRDefault="008141B5" w:rsidP="008141B5">
      <w:pPr>
        <w:rPr>
          <w:rFonts w:cs="Arial"/>
          <w:szCs w:val="22"/>
        </w:rPr>
      </w:pPr>
      <w:r>
        <w:rPr>
          <w:rFonts w:cs="Arial"/>
          <w:szCs w:val="22"/>
        </w:rPr>
        <w:t>Organisations successful in receiving CUTHS are required to:</w:t>
      </w:r>
    </w:p>
    <w:p w14:paraId="5055A5FE" w14:textId="77777777" w:rsidR="008141B5" w:rsidRDefault="008141B5" w:rsidP="008141B5">
      <w:pPr>
        <w:numPr>
          <w:ilvl w:val="0"/>
          <w:numId w:val="23"/>
        </w:numPr>
        <w:spacing w:line="288" w:lineRule="auto"/>
      </w:pPr>
      <w:r>
        <w:t>comply with the law</w:t>
      </w:r>
    </w:p>
    <w:p w14:paraId="00CDDC9D" w14:textId="77777777" w:rsidR="008141B5" w:rsidRPr="00E75F71" w:rsidRDefault="008141B5" w:rsidP="008141B5">
      <w:pPr>
        <w:numPr>
          <w:ilvl w:val="0"/>
          <w:numId w:val="23"/>
        </w:numPr>
        <w:spacing w:line="288" w:lineRule="auto"/>
        <w:rPr>
          <w:i/>
        </w:rPr>
      </w:pPr>
      <w:r>
        <w:t xml:space="preserve">offer free access to carers of people with disabilities who require essential support, in accordance with the </w:t>
      </w:r>
      <w:r w:rsidRPr="00E75F71">
        <w:rPr>
          <w:i/>
        </w:rPr>
        <w:t>Disability Discrimination Act 1992</w:t>
      </w:r>
    </w:p>
    <w:p w14:paraId="7495369E" w14:textId="77777777" w:rsidR="008141B5" w:rsidRDefault="008141B5" w:rsidP="008141B5">
      <w:pPr>
        <w:numPr>
          <w:ilvl w:val="0"/>
          <w:numId w:val="23"/>
        </w:numPr>
        <w:spacing w:line="288" w:lineRule="auto"/>
      </w:pPr>
      <w:r>
        <w:t>comply with venue hire contract and conditions</w:t>
      </w:r>
    </w:p>
    <w:p w14:paraId="1B5D4576" w14:textId="77777777" w:rsidR="008141B5" w:rsidRDefault="008141B5" w:rsidP="008141B5">
      <w:pPr>
        <w:numPr>
          <w:ilvl w:val="0"/>
          <w:numId w:val="23"/>
        </w:numPr>
        <w:spacing w:line="288" w:lineRule="auto"/>
      </w:pPr>
      <w:r>
        <w:t>include the City of Melbourne logo on all promotional materials for the event and have written approval for its specific application</w:t>
      </w:r>
    </w:p>
    <w:p w14:paraId="643E7AD5" w14:textId="77777777" w:rsidR="008141B5" w:rsidRDefault="008141B5" w:rsidP="008141B5">
      <w:pPr>
        <w:numPr>
          <w:ilvl w:val="0"/>
          <w:numId w:val="23"/>
        </w:numPr>
        <w:spacing w:line="288" w:lineRule="auto"/>
      </w:pPr>
      <w:r>
        <w:t>pay all other costs associated with the event outside of the CUTHS sponsorship, including any cancellation fees that may be incurred if you cancel the event</w:t>
      </w:r>
    </w:p>
    <w:p w14:paraId="4BFB3BB5" w14:textId="77777777" w:rsidR="008141B5" w:rsidRPr="008813E8" w:rsidRDefault="008141B5" w:rsidP="008141B5">
      <w:pPr>
        <w:numPr>
          <w:ilvl w:val="0"/>
          <w:numId w:val="23"/>
        </w:numPr>
        <w:spacing w:line="288" w:lineRule="auto"/>
      </w:pPr>
      <w:r>
        <w:t>complete an evaluation form within four weeks of the completed event.</w:t>
      </w:r>
    </w:p>
    <w:p w14:paraId="002E720A" w14:textId="77777777" w:rsidR="008141B5" w:rsidRDefault="008141B5" w:rsidP="008141B5">
      <w:pPr>
        <w:pStyle w:val="Heading2"/>
        <w:rPr>
          <w:rFonts w:hint="eastAsia"/>
        </w:rPr>
      </w:pPr>
      <w:bookmarkStart w:id="15" w:name="_Toc130980237"/>
      <w:r w:rsidRPr="001F3BD6">
        <w:t>Contacts</w:t>
      </w:r>
      <w:bookmarkEnd w:id="15"/>
      <w:r w:rsidRPr="001F3BD6">
        <w:t xml:space="preserve"> </w:t>
      </w:r>
    </w:p>
    <w:p w14:paraId="10D99099" w14:textId="77777777" w:rsidR="008141B5" w:rsidRDefault="008141B5" w:rsidP="00A1054A">
      <w:pPr>
        <w:pStyle w:val="Bold"/>
      </w:pPr>
      <w:r>
        <w:t>For general enquiries or in the case of accessibility needs:</w:t>
      </w:r>
    </w:p>
    <w:p w14:paraId="058D0272" w14:textId="77777777" w:rsidR="008141B5" w:rsidRDefault="008141B5" w:rsidP="00A1054A">
      <w:r>
        <w:t xml:space="preserve">Please contact the City of Melbourne Grants and Projects Officer via </w:t>
      </w:r>
      <w:hyperlink r:id="rId11" w:history="1">
        <w:r w:rsidRPr="002D607F">
          <w:rPr>
            <w:rStyle w:val="Hyperlink"/>
            <w:rFonts w:cs="Arial"/>
            <w:szCs w:val="20"/>
          </w:rPr>
          <w:t>email</w:t>
        </w:r>
      </w:hyperlink>
      <w:r>
        <w:rPr>
          <w:rStyle w:val="FootnoteReference"/>
          <w:rFonts w:cs="Arial"/>
          <w:szCs w:val="20"/>
        </w:rPr>
        <w:footnoteReference w:id="1"/>
      </w:r>
      <w:r>
        <w:t xml:space="preserve"> or call (03) 9658 9901.</w:t>
      </w:r>
    </w:p>
    <w:p w14:paraId="0DA38E7D" w14:textId="77777777" w:rsidR="008141B5" w:rsidRDefault="008141B5" w:rsidP="008141B5">
      <w:pPr>
        <w:spacing w:before="240" w:after="0"/>
        <w:rPr>
          <w:rFonts w:cs="Arial"/>
          <w:b/>
          <w:szCs w:val="20"/>
        </w:rPr>
      </w:pPr>
      <w:r w:rsidRPr="008C5171">
        <w:rPr>
          <w:rFonts w:cs="Arial"/>
          <w:b/>
          <w:szCs w:val="20"/>
        </w:rPr>
        <w:t>SmartyGrants technical assistance:</w:t>
      </w:r>
      <w:r>
        <w:rPr>
          <w:rFonts w:cs="Arial"/>
          <w:b/>
          <w:szCs w:val="20"/>
        </w:rPr>
        <w:t xml:space="preserve"> </w:t>
      </w:r>
    </w:p>
    <w:p w14:paraId="569E0A7C" w14:textId="77777777" w:rsidR="008141B5" w:rsidRPr="00472C4B" w:rsidRDefault="008141B5" w:rsidP="008141B5">
      <w:pPr>
        <w:spacing w:before="240" w:after="0"/>
        <w:rPr>
          <w:rFonts w:cs="Arial"/>
          <w:szCs w:val="22"/>
        </w:rPr>
      </w:pPr>
      <w:r w:rsidRPr="00812FA1">
        <w:rPr>
          <w:rFonts w:cs="Arial"/>
          <w:szCs w:val="22"/>
        </w:rPr>
        <w:t>If you experience technical issues w</w:t>
      </w:r>
      <w:r>
        <w:rPr>
          <w:rFonts w:cs="Arial"/>
          <w:szCs w:val="22"/>
        </w:rPr>
        <w:t xml:space="preserve">ith the SmartyGrants </w:t>
      </w:r>
      <w:proofErr w:type="gramStart"/>
      <w:r>
        <w:rPr>
          <w:rFonts w:cs="Arial"/>
          <w:szCs w:val="22"/>
        </w:rPr>
        <w:t>system</w:t>
      </w:r>
      <w:proofErr w:type="gramEnd"/>
      <w:r>
        <w:rPr>
          <w:rFonts w:cs="Arial"/>
          <w:szCs w:val="22"/>
        </w:rPr>
        <w:t xml:space="preserve"> please</w:t>
      </w:r>
      <w:r w:rsidRPr="00812FA1">
        <w:rPr>
          <w:rFonts w:cs="Arial"/>
          <w:szCs w:val="22"/>
        </w:rPr>
        <w:t xml:space="preserve"> contact</w:t>
      </w:r>
      <w:r>
        <w:rPr>
          <w:rFonts w:cs="Arial"/>
          <w:szCs w:val="22"/>
        </w:rPr>
        <w:t xml:space="preserve"> them directly on </w:t>
      </w:r>
      <w:hyperlink r:id="rId12" w:history="1">
        <w:r w:rsidRPr="006D1121">
          <w:rPr>
            <w:rStyle w:val="Hyperlink"/>
            <w:rFonts w:cs="Arial"/>
            <w:szCs w:val="22"/>
          </w:rPr>
          <w:t>e</w:t>
        </w:r>
        <w:r w:rsidRPr="006D1121">
          <w:rPr>
            <w:rStyle w:val="Hyperlink"/>
            <w:rFonts w:cs="Arial"/>
            <w:szCs w:val="20"/>
            <w:shd w:val="clear" w:color="auto" w:fill="FFFFFF"/>
          </w:rPr>
          <w:t>mail</w:t>
        </w:r>
      </w:hyperlink>
      <w:r>
        <w:rPr>
          <w:rStyle w:val="FootnoteReference"/>
          <w:rFonts w:cs="Arial"/>
          <w:szCs w:val="22"/>
        </w:rPr>
        <w:footnoteReference w:id="2"/>
      </w:r>
      <w:r w:rsidRPr="00521FC5">
        <w:rPr>
          <w:rFonts w:cs="Arial"/>
          <w:szCs w:val="20"/>
        </w:rPr>
        <w:t xml:space="preserve"> or</w:t>
      </w:r>
      <w:r>
        <w:rPr>
          <w:rFonts w:cs="Arial"/>
          <w:szCs w:val="20"/>
        </w:rPr>
        <w:t xml:space="preserve"> by p</w:t>
      </w:r>
      <w:r w:rsidRPr="00521FC5">
        <w:rPr>
          <w:rFonts w:cs="Arial"/>
          <w:color w:val="333333"/>
          <w:szCs w:val="20"/>
          <w:shd w:val="clear" w:color="auto" w:fill="FFFFFF"/>
        </w:rPr>
        <w:t xml:space="preserve">hone: </w:t>
      </w:r>
      <w:r w:rsidRPr="00E505B1">
        <w:rPr>
          <w:rFonts w:cs="Arial"/>
          <w:szCs w:val="22"/>
        </w:rPr>
        <w:t>(03) 9320 6888</w:t>
      </w:r>
      <w:r>
        <w:rPr>
          <w:rFonts w:cs="Arial"/>
          <w:szCs w:val="22"/>
        </w:rPr>
        <w:t>.</w:t>
      </w:r>
    </w:p>
    <w:p w14:paraId="08052879" w14:textId="77777777" w:rsidR="008141B5" w:rsidRDefault="008141B5" w:rsidP="008141B5">
      <w:pPr>
        <w:pStyle w:val="Heading2"/>
        <w:rPr>
          <w:rFonts w:hint="eastAsia"/>
        </w:rPr>
      </w:pPr>
      <w:bookmarkStart w:id="16" w:name="_Toc130980238"/>
      <w:r>
        <w:t>Got questions or need help?</w:t>
      </w:r>
      <w:bookmarkEnd w:id="16"/>
      <w:r>
        <w:t xml:space="preserve"> </w:t>
      </w:r>
    </w:p>
    <w:p w14:paraId="48EE6573" w14:textId="77777777" w:rsidR="008141B5" w:rsidRPr="00FD2A6B" w:rsidRDefault="008141B5" w:rsidP="008141B5">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Are there any other community venues in the City of Melbourne that I can hire for my event?</w:t>
      </w:r>
    </w:p>
    <w:p w14:paraId="7CB6CF28" w14:textId="77777777" w:rsidR="008141B5" w:rsidRDefault="008141B5" w:rsidP="008141B5">
      <w:pPr>
        <w:spacing w:after="240"/>
        <w:rPr>
          <w:rFonts w:cs="Arial"/>
          <w:szCs w:val="20"/>
        </w:rPr>
      </w:pPr>
      <w:r w:rsidRPr="00557D38">
        <w:rPr>
          <w:rFonts w:cs="Arial"/>
          <w:b/>
          <w:szCs w:val="20"/>
        </w:rPr>
        <w:t>A:</w:t>
      </w:r>
      <w:r>
        <w:rPr>
          <w:rFonts w:cs="Arial"/>
          <w:szCs w:val="20"/>
        </w:rPr>
        <w:t xml:space="preserve"> Yes, the City of Melbourne has many venues that may be suitable for your event. You can find out more on our </w:t>
      </w:r>
      <w:hyperlink r:id="rId13" w:history="1">
        <w:r w:rsidRPr="00074758">
          <w:rPr>
            <w:rStyle w:val="Hyperlink"/>
            <w:rFonts w:cs="Arial"/>
            <w:szCs w:val="20"/>
          </w:rPr>
          <w:t>website</w:t>
        </w:r>
      </w:hyperlink>
      <w:r>
        <w:rPr>
          <w:rStyle w:val="FootnoteReference"/>
          <w:rFonts w:cs="Arial"/>
          <w:szCs w:val="20"/>
        </w:rPr>
        <w:footnoteReference w:id="3"/>
      </w:r>
      <w:r>
        <w:rPr>
          <w:rFonts w:cs="Arial"/>
          <w:szCs w:val="20"/>
        </w:rPr>
        <w:t>.</w:t>
      </w:r>
    </w:p>
    <w:p w14:paraId="0C361E55" w14:textId="77777777" w:rsidR="008141B5" w:rsidRPr="00FD2A6B" w:rsidRDefault="008141B5" w:rsidP="008141B5">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 xml:space="preserve">My organisation doesn’t have an </w:t>
      </w:r>
      <w:proofErr w:type="gramStart"/>
      <w:r>
        <w:rPr>
          <w:rFonts w:cs="Arial"/>
          <w:b/>
          <w:szCs w:val="20"/>
        </w:rPr>
        <w:t>ABN,</w:t>
      </w:r>
      <w:proofErr w:type="gramEnd"/>
      <w:r>
        <w:rPr>
          <w:rFonts w:cs="Arial"/>
          <w:b/>
          <w:szCs w:val="20"/>
        </w:rPr>
        <w:t xml:space="preserve"> can I apply for CUTHS?</w:t>
      </w:r>
    </w:p>
    <w:p w14:paraId="13364C78" w14:textId="77777777" w:rsidR="008141B5" w:rsidRDefault="008141B5" w:rsidP="008141B5">
      <w:pPr>
        <w:spacing w:after="240"/>
        <w:rPr>
          <w:rFonts w:cs="Arial"/>
          <w:szCs w:val="20"/>
        </w:rPr>
      </w:pPr>
      <w:r w:rsidRPr="00557D38">
        <w:rPr>
          <w:rFonts w:cs="Arial"/>
          <w:b/>
          <w:szCs w:val="20"/>
        </w:rPr>
        <w:t>A:</w:t>
      </w:r>
      <w:r>
        <w:rPr>
          <w:rFonts w:cs="Arial"/>
          <w:szCs w:val="20"/>
        </w:rPr>
        <w:t xml:space="preserve"> No, applicants must have an ABN to apply for sponsorship. You may use an auspice for the application however they must meet the eligibility criteria and they must be involved in the event.</w:t>
      </w:r>
    </w:p>
    <w:p w14:paraId="252043CE" w14:textId="77777777" w:rsidR="008141B5" w:rsidRDefault="008141B5" w:rsidP="008141B5">
      <w:pPr>
        <w:spacing w:after="240"/>
        <w:rPr>
          <w:rFonts w:cs="Arial"/>
          <w:b/>
          <w:szCs w:val="20"/>
        </w:rPr>
      </w:pPr>
      <w:r>
        <w:rPr>
          <w:rFonts w:cs="Arial"/>
          <w:b/>
          <w:szCs w:val="20"/>
        </w:rPr>
        <w:t>Q: My organisation is registered as a for-profit or a sole trader, can I apply for CUTHS using an auspice?</w:t>
      </w:r>
    </w:p>
    <w:p w14:paraId="61D5EFC1" w14:textId="77777777" w:rsidR="008141B5" w:rsidRPr="000948C8" w:rsidRDefault="008141B5" w:rsidP="008141B5">
      <w:pPr>
        <w:spacing w:after="240"/>
        <w:rPr>
          <w:rFonts w:cs="Arial"/>
          <w:szCs w:val="20"/>
        </w:rPr>
      </w:pPr>
      <w:r>
        <w:rPr>
          <w:rFonts w:cs="Arial"/>
          <w:b/>
          <w:szCs w:val="20"/>
        </w:rPr>
        <w:t xml:space="preserve">A: </w:t>
      </w:r>
      <w:r>
        <w:rPr>
          <w:rFonts w:cs="Arial"/>
          <w:szCs w:val="20"/>
        </w:rPr>
        <w:t>No, applicants and auspice organisations must be not-for profit organisations/groups.</w:t>
      </w:r>
    </w:p>
    <w:p w14:paraId="675BA89C" w14:textId="77777777" w:rsidR="008141B5" w:rsidRPr="00FD2A6B" w:rsidRDefault="008141B5" w:rsidP="008141B5">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Can I apply for sponsorship for a fundraising event?</w:t>
      </w:r>
    </w:p>
    <w:p w14:paraId="42605F49" w14:textId="77777777" w:rsidR="008141B5" w:rsidRDefault="008141B5" w:rsidP="008141B5">
      <w:pPr>
        <w:spacing w:after="240"/>
        <w:rPr>
          <w:rFonts w:cs="Arial"/>
          <w:szCs w:val="20"/>
        </w:rPr>
      </w:pPr>
      <w:r w:rsidRPr="00557D38">
        <w:rPr>
          <w:rFonts w:cs="Arial"/>
          <w:b/>
          <w:szCs w:val="20"/>
        </w:rPr>
        <w:t>A:</w:t>
      </w:r>
      <w:r>
        <w:rPr>
          <w:rFonts w:cs="Arial"/>
          <w:szCs w:val="20"/>
        </w:rPr>
        <w:t xml:space="preserve"> Yes, the CUTHS program will consider applications for fundraising events. Note that the amount raised by the event must be more than the sponsorship amount.</w:t>
      </w:r>
    </w:p>
    <w:p w14:paraId="06343B9B" w14:textId="77777777" w:rsidR="008141B5" w:rsidRPr="0002384A" w:rsidRDefault="008141B5" w:rsidP="008141B5">
      <w:pPr>
        <w:spacing w:after="240"/>
        <w:rPr>
          <w:rFonts w:cs="Arial"/>
          <w:b/>
          <w:szCs w:val="20"/>
        </w:rPr>
      </w:pPr>
      <w:r w:rsidRPr="0002384A">
        <w:rPr>
          <w:rFonts w:cs="Arial"/>
          <w:b/>
          <w:szCs w:val="20"/>
        </w:rPr>
        <w:lastRenderedPageBreak/>
        <w:t>Q: My organisation wants to hold a fundraiser for a project overseas, is this eligible?</w:t>
      </w:r>
    </w:p>
    <w:p w14:paraId="1CDF52BF" w14:textId="77777777" w:rsidR="008141B5" w:rsidRDefault="008141B5" w:rsidP="008141B5">
      <w:pPr>
        <w:spacing w:after="240"/>
        <w:rPr>
          <w:rFonts w:cs="Arial"/>
          <w:szCs w:val="20"/>
        </w:rPr>
      </w:pPr>
      <w:r>
        <w:rPr>
          <w:rFonts w:cs="Arial"/>
          <w:szCs w:val="20"/>
        </w:rPr>
        <w:t>A: No, under the CUTHS program all funds raised at fundraising events must be distributed within Australia.</w:t>
      </w:r>
    </w:p>
    <w:p w14:paraId="3E762E05" w14:textId="77777777" w:rsidR="008141B5" w:rsidRPr="00E77E29" w:rsidRDefault="008141B5" w:rsidP="008141B5">
      <w:pPr>
        <w:spacing w:after="240"/>
        <w:rPr>
          <w:rFonts w:cs="Arial"/>
          <w:b/>
          <w:szCs w:val="20"/>
        </w:rPr>
      </w:pPr>
      <w:r w:rsidRPr="00E77E29">
        <w:rPr>
          <w:rFonts w:cs="Arial"/>
          <w:b/>
          <w:szCs w:val="20"/>
        </w:rPr>
        <w:t>Q: Can we charge an entry fee</w:t>
      </w:r>
      <w:r>
        <w:rPr>
          <w:rFonts w:cs="Arial"/>
          <w:b/>
          <w:szCs w:val="20"/>
        </w:rPr>
        <w:t xml:space="preserve"> to cover the other costs of the event?</w:t>
      </w:r>
    </w:p>
    <w:p w14:paraId="56D05E57" w14:textId="77777777" w:rsidR="008141B5" w:rsidRDefault="008141B5" w:rsidP="008141B5">
      <w:pPr>
        <w:spacing w:after="240"/>
        <w:rPr>
          <w:rFonts w:cs="Arial"/>
          <w:szCs w:val="20"/>
        </w:rPr>
      </w:pPr>
      <w:r>
        <w:rPr>
          <w:rFonts w:cs="Arial"/>
          <w:szCs w:val="20"/>
        </w:rPr>
        <w:t xml:space="preserve">A: </w:t>
      </w:r>
      <w:proofErr w:type="gramStart"/>
      <w:r>
        <w:rPr>
          <w:rFonts w:cs="Arial"/>
          <w:szCs w:val="20"/>
        </w:rPr>
        <w:t>Yes</w:t>
      </w:r>
      <w:proofErr w:type="gramEnd"/>
      <w:r>
        <w:rPr>
          <w:rFonts w:cs="Arial"/>
          <w:szCs w:val="20"/>
        </w:rPr>
        <w:t xml:space="preserve"> you can charge an entry fee to cover event costs.</w:t>
      </w:r>
    </w:p>
    <w:p w14:paraId="12C0185C" w14:textId="77777777" w:rsidR="008141B5" w:rsidRPr="00600FF7" w:rsidRDefault="008141B5" w:rsidP="008141B5">
      <w:pPr>
        <w:spacing w:after="240"/>
        <w:rPr>
          <w:rFonts w:cs="Arial"/>
          <w:b/>
          <w:szCs w:val="20"/>
        </w:rPr>
      </w:pPr>
      <w:r w:rsidRPr="00600FF7">
        <w:rPr>
          <w:rFonts w:cs="Arial"/>
          <w:b/>
          <w:szCs w:val="20"/>
        </w:rPr>
        <w:t xml:space="preserve">Q: We want our event to be </w:t>
      </w:r>
      <w:r>
        <w:rPr>
          <w:rFonts w:cs="Arial"/>
          <w:b/>
          <w:szCs w:val="20"/>
        </w:rPr>
        <w:t>‘</w:t>
      </w:r>
      <w:r w:rsidRPr="00600FF7">
        <w:rPr>
          <w:rFonts w:cs="Arial"/>
          <w:b/>
          <w:szCs w:val="20"/>
        </w:rPr>
        <w:t>by-invitation only</w:t>
      </w:r>
      <w:r>
        <w:rPr>
          <w:rFonts w:cs="Arial"/>
          <w:b/>
          <w:szCs w:val="20"/>
        </w:rPr>
        <w:t>’</w:t>
      </w:r>
      <w:r w:rsidRPr="00600FF7">
        <w:rPr>
          <w:rFonts w:cs="Arial"/>
          <w:b/>
          <w:szCs w:val="20"/>
        </w:rPr>
        <w:t>, not open to the public. Is this allowed?</w:t>
      </w:r>
    </w:p>
    <w:p w14:paraId="6E733259" w14:textId="77777777" w:rsidR="008141B5" w:rsidRDefault="008141B5" w:rsidP="008141B5">
      <w:pPr>
        <w:spacing w:after="240"/>
        <w:rPr>
          <w:rFonts w:cs="Arial"/>
          <w:szCs w:val="20"/>
        </w:rPr>
      </w:pPr>
      <w:r>
        <w:rPr>
          <w:rFonts w:cs="Arial"/>
          <w:szCs w:val="20"/>
        </w:rPr>
        <w:t xml:space="preserve">A: No, only events that are open to the </w:t>
      </w:r>
      <w:proofErr w:type="gramStart"/>
      <w:r>
        <w:rPr>
          <w:rFonts w:cs="Arial"/>
          <w:szCs w:val="20"/>
        </w:rPr>
        <w:t>general public</w:t>
      </w:r>
      <w:proofErr w:type="gramEnd"/>
      <w:r>
        <w:rPr>
          <w:rFonts w:cs="Arial"/>
          <w:szCs w:val="20"/>
        </w:rPr>
        <w:t xml:space="preserve"> to attend are eligible for a CUTHS grant.</w:t>
      </w:r>
    </w:p>
    <w:p w14:paraId="545F719F" w14:textId="77777777" w:rsidR="008141B5" w:rsidRPr="00600FF7" w:rsidRDefault="008141B5" w:rsidP="008141B5">
      <w:pPr>
        <w:spacing w:after="240"/>
        <w:rPr>
          <w:rFonts w:cs="Arial"/>
          <w:b/>
          <w:szCs w:val="20"/>
        </w:rPr>
      </w:pPr>
      <w:r w:rsidRPr="00600FF7">
        <w:rPr>
          <w:rFonts w:cs="Arial"/>
          <w:b/>
          <w:szCs w:val="20"/>
        </w:rPr>
        <w:t>Q: Can we use our own caterers or bring our food into the Melbourne Town Hall?</w:t>
      </w:r>
    </w:p>
    <w:p w14:paraId="6C96D32D" w14:textId="77777777" w:rsidR="008141B5" w:rsidRDefault="008141B5" w:rsidP="008141B5">
      <w:pPr>
        <w:spacing w:after="240"/>
        <w:rPr>
          <w:rFonts w:cs="Arial"/>
          <w:szCs w:val="20"/>
        </w:rPr>
      </w:pPr>
      <w:r>
        <w:rPr>
          <w:rFonts w:cs="Arial"/>
          <w:szCs w:val="20"/>
        </w:rPr>
        <w:t xml:space="preserve">A: No, Melbourne Town Hall has exclusive providers of </w:t>
      </w:r>
      <w:proofErr w:type="gramStart"/>
      <w:r>
        <w:rPr>
          <w:rFonts w:cs="Arial"/>
          <w:szCs w:val="20"/>
        </w:rPr>
        <w:t>catering</w:t>
      </w:r>
      <w:proofErr w:type="gramEnd"/>
      <w:r>
        <w:rPr>
          <w:rFonts w:cs="Arial"/>
          <w:szCs w:val="20"/>
        </w:rPr>
        <w:t xml:space="preserve"> and you cannot bring in your own food or use another caterer.</w:t>
      </w:r>
    </w:p>
    <w:p w14:paraId="71304D32" w14:textId="77777777" w:rsidR="008141B5" w:rsidRPr="00A651CE" w:rsidRDefault="008141B5" w:rsidP="008141B5">
      <w:pPr>
        <w:spacing w:after="240"/>
        <w:rPr>
          <w:rFonts w:cs="Arial"/>
          <w:b/>
          <w:szCs w:val="20"/>
        </w:rPr>
      </w:pPr>
      <w:r w:rsidRPr="00A651CE">
        <w:rPr>
          <w:rFonts w:cs="Arial"/>
          <w:b/>
          <w:szCs w:val="20"/>
        </w:rPr>
        <w:t>Q: Will CUTHS cover the catering costs</w:t>
      </w:r>
      <w:r>
        <w:rPr>
          <w:rFonts w:cs="Arial"/>
          <w:b/>
          <w:szCs w:val="20"/>
        </w:rPr>
        <w:t xml:space="preserve"> for our event</w:t>
      </w:r>
      <w:r w:rsidRPr="00A651CE">
        <w:rPr>
          <w:rFonts w:cs="Arial"/>
          <w:b/>
          <w:szCs w:val="20"/>
        </w:rPr>
        <w:t>?</w:t>
      </w:r>
    </w:p>
    <w:p w14:paraId="650E6E13" w14:textId="77777777" w:rsidR="008141B5" w:rsidRDefault="008141B5" w:rsidP="008141B5">
      <w:pPr>
        <w:spacing w:after="240"/>
        <w:rPr>
          <w:rFonts w:cs="Arial"/>
          <w:szCs w:val="20"/>
        </w:rPr>
      </w:pPr>
      <w:r>
        <w:rPr>
          <w:rFonts w:cs="Arial"/>
          <w:szCs w:val="20"/>
        </w:rPr>
        <w:t>A: No, catering is not covered under CUTHS. Any catering costs are the responsibility of the applicant.</w:t>
      </w:r>
    </w:p>
    <w:p w14:paraId="75A1B2EE" w14:textId="77777777" w:rsidR="008141B5" w:rsidRPr="00D94D01" w:rsidRDefault="008141B5" w:rsidP="008141B5">
      <w:pPr>
        <w:spacing w:after="240"/>
        <w:rPr>
          <w:rFonts w:cs="Arial"/>
          <w:b/>
          <w:szCs w:val="20"/>
        </w:rPr>
      </w:pPr>
      <w:r>
        <w:rPr>
          <w:rFonts w:cs="Arial"/>
          <w:b/>
          <w:szCs w:val="20"/>
        </w:rPr>
        <w:t>Q: I</w:t>
      </w:r>
      <w:r w:rsidRPr="00D94D01">
        <w:rPr>
          <w:rFonts w:cs="Arial"/>
          <w:b/>
          <w:szCs w:val="20"/>
        </w:rPr>
        <w:t>f I need to cancel my event, will CUTHS cover the cancellation fee?</w:t>
      </w:r>
    </w:p>
    <w:p w14:paraId="575A411B" w14:textId="77777777" w:rsidR="004A26E3" w:rsidRPr="008141B5" w:rsidRDefault="008141B5" w:rsidP="008141B5">
      <w:pPr>
        <w:spacing w:after="240"/>
        <w:rPr>
          <w:rFonts w:cs="Arial"/>
          <w:szCs w:val="20"/>
        </w:rPr>
      </w:pPr>
      <w:r>
        <w:rPr>
          <w:rFonts w:cs="Arial"/>
          <w:szCs w:val="20"/>
        </w:rPr>
        <w:t>A: No, if you cancel your event your organisation will be responsible for paying any associated cancellation fees.</w:t>
      </w:r>
      <w:bookmarkEnd w:id="2"/>
      <w:bookmarkEnd w:id="3"/>
      <w:bookmarkEnd w:id="4"/>
    </w:p>
    <w:sectPr w:rsidR="004A26E3" w:rsidRPr="008141B5" w:rsidSect="00CF28E8">
      <w:endnotePr>
        <w:numFmt w:val="decimal"/>
      </w:endnotePr>
      <w:pgSz w:w="11900" w:h="16840"/>
      <w:pgMar w:top="1418" w:right="98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C8BA" w14:textId="77777777" w:rsidR="00F95BCB" w:rsidRDefault="00F95BCB" w:rsidP="00BC719D">
      <w:pPr>
        <w:spacing w:after="0"/>
      </w:pPr>
      <w:r>
        <w:separator/>
      </w:r>
    </w:p>
  </w:endnote>
  <w:endnote w:type="continuationSeparator" w:id="0">
    <w:p w14:paraId="15EEEF33" w14:textId="77777777" w:rsidR="00F95BCB" w:rsidRDefault="00F95BCB"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C1C7" w14:textId="77777777" w:rsidR="00F95BCB" w:rsidRDefault="00F95BCB" w:rsidP="00577A39">
      <w:pPr>
        <w:spacing w:after="40" w:line="240" w:lineRule="auto"/>
      </w:pPr>
      <w:r>
        <w:separator/>
      </w:r>
    </w:p>
  </w:footnote>
  <w:footnote w:type="continuationSeparator" w:id="0">
    <w:p w14:paraId="04B4A68C" w14:textId="77777777" w:rsidR="00F95BCB" w:rsidRDefault="00F95BCB" w:rsidP="00EA2130">
      <w:r>
        <w:continuationSeparator/>
      </w:r>
    </w:p>
  </w:footnote>
  <w:footnote w:id="1">
    <w:p w14:paraId="3B27FED0" w14:textId="77777777" w:rsidR="008141B5" w:rsidRDefault="008141B5" w:rsidP="008141B5">
      <w:pPr>
        <w:pStyle w:val="FootnoteText"/>
      </w:pPr>
      <w:r>
        <w:rPr>
          <w:rStyle w:val="FootnoteReference"/>
        </w:rPr>
        <w:footnoteRef/>
      </w:r>
      <w:r>
        <w:t xml:space="preserve"> </w:t>
      </w:r>
      <w:hyperlink r:id="rId1" w:history="1">
        <w:r w:rsidRPr="00C41F64">
          <w:rPr>
            <w:rStyle w:val="Hyperlink"/>
          </w:rPr>
          <w:t>commstrength@melbourne.vic.gov.au</w:t>
        </w:r>
      </w:hyperlink>
    </w:p>
    <w:p w14:paraId="08674629" w14:textId="77777777" w:rsidR="008141B5" w:rsidRDefault="008141B5" w:rsidP="008141B5">
      <w:pPr>
        <w:pStyle w:val="FootnoteText"/>
      </w:pPr>
      <w:r>
        <w:rPr>
          <w:rStyle w:val="FootnoteReference"/>
        </w:rPr>
        <w:footnoteRef/>
      </w:r>
      <w:r>
        <w:t xml:space="preserve"> </w:t>
      </w:r>
      <w:hyperlink r:id="rId2" w:history="1">
        <w:r w:rsidRPr="00C41F64">
          <w:rPr>
            <w:rStyle w:val="Hyperlink"/>
          </w:rPr>
          <w:t>service@smartygrants.com.au</w:t>
        </w:r>
      </w:hyperlink>
    </w:p>
  </w:footnote>
  <w:footnote w:id="2">
    <w:p w14:paraId="7CFB4924" w14:textId="77777777" w:rsidR="008141B5" w:rsidRDefault="008141B5" w:rsidP="008141B5">
      <w:pPr>
        <w:pStyle w:val="FootnoteText"/>
      </w:pPr>
    </w:p>
  </w:footnote>
  <w:footnote w:id="3">
    <w:p w14:paraId="4F31D766" w14:textId="77777777" w:rsidR="008141B5" w:rsidRDefault="008141B5" w:rsidP="008141B5">
      <w:pPr>
        <w:pStyle w:val="FootnoteText"/>
      </w:pPr>
      <w:r>
        <w:rPr>
          <w:rStyle w:val="FootnoteReference"/>
        </w:rPr>
        <w:footnoteRef/>
      </w:r>
      <w:r>
        <w:t xml:space="preserve"> </w:t>
      </w:r>
      <w:hyperlink r:id="rId3" w:history="1">
        <w:r w:rsidR="00472C4B" w:rsidRPr="00FC4973">
          <w:rPr>
            <w:rStyle w:val="Hyperlink"/>
          </w:rPr>
          <w:t>https://www.melbourne.vic.gov.au/community/hubs-bookable-spaces/Pages/bookable-spaces.aspx</w:t>
        </w:r>
      </w:hyperlink>
      <w:r w:rsidR="00472C4B">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C00C2E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8D687D"/>
    <w:multiLevelType w:val="hybridMultilevel"/>
    <w:tmpl w:val="B544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C5337D"/>
    <w:multiLevelType w:val="hybridMultilevel"/>
    <w:tmpl w:val="E9F02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1DCB2D2C"/>
    <w:multiLevelType w:val="hybridMultilevel"/>
    <w:tmpl w:val="B7C217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A2B5D1C"/>
    <w:multiLevelType w:val="multilevel"/>
    <w:tmpl w:val="16506B6C"/>
    <w:numStyleLink w:val="ListNumbers"/>
  </w:abstractNum>
  <w:abstractNum w:abstractNumId="1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0957"/>
    <w:multiLevelType w:val="multilevel"/>
    <w:tmpl w:val="16506B6C"/>
    <w:numStyleLink w:val="ListNumbers"/>
  </w:abstractNum>
  <w:abstractNum w:abstractNumId="12" w15:restartNumberingAfterBreak="0">
    <w:nsid w:val="4CE35FE2"/>
    <w:multiLevelType w:val="hybridMultilevel"/>
    <w:tmpl w:val="3EE42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845F17"/>
    <w:multiLevelType w:val="hybridMultilevel"/>
    <w:tmpl w:val="5E124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433451"/>
    <w:multiLevelType w:val="hybridMultilevel"/>
    <w:tmpl w:val="76984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815CE5"/>
    <w:multiLevelType w:val="hybridMultilevel"/>
    <w:tmpl w:val="06BA7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209CA"/>
    <w:multiLevelType w:val="multilevel"/>
    <w:tmpl w:val="16506B6C"/>
    <w:numStyleLink w:val="ListNumbers"/>
  </w:abstractNum>
  <w:abstractNum w:abstractNumId="18" w15:restartNumberingAfterBreak="0">
    <w:nsid w:val="7A2C43DC"/>
    <w:multiLevelType w:val="multilevel"/>
    <w:tmpl w:val="16506B6C"/>
    <w:numStyleLink w:val="ListNumbers"/>
  </w:abstractNum>
  <w:abstractNum w:abstractNumId="19" w15:restartNumberingAfterBreak="0">
    <w:nsid w:val="7C867037"/>
    <w:multiLevelType w:val="hybridMultilevel"/>
    <w:tmpl w:val="8596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735003702">
    <w:abstractNumId w:val="6"/>
  </w:num>
  <w:num w:numId="2" w16cid:durableId="372383916">
    <w:abstractNumId w:val="8"/>
  </w:num>
  <w:num w:numId="3" w16cid:durableId="1241595399">
    <w:abstractNumId w:val="18"/>
  </w:num>
  <w:num w:numId="4" w16cid:durableId="1450592147">
    <w:abstractNumId w:val="0"/>
  </w:num>
  <w:num w:numId="5" w16cid:durableId="1790276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779144">
    <w:abstractNumId w:val="9"/>
  </w:num>
  <w:num w:numId="7" w16cid:durableId="899099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297016">
    <w:abstractNumId w:val="17"/>
  </w:num>
  <w:num w:numId="9" w16cid:durableId="1761175397">
    <w:abstractNumId w:val="11"/>
  </w:num>
  <w:num w:numId="10" w16cid:durableId="1408769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621914">
    <w:abstractNumId w:val="1"/>
  </w:num>
  <w:num w:numId="12" w16cid:durableId="403340911">
    <w:abstractNumId w:val="10"/>
  </w:num>
  <w:num w:numId="13" w16cid:durableId="30540565">
    <w:abstractNumId w:val="16"/>
  </w:num>
  <w:num w:numId="14" w16cid:durableId="746224417">
    <w:abstractNumId w:val="20"/>
  </w:num>
  <w:num w:numId="15" w16cid:durableId="1983463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967557">
    <w:abstractNumId w:val="3"/>
  </w:num>
  <w:num w:numId="17" w16cid:durableId="164058489">
    <w:abstractNumId w:val="14"/>
  </w:num>
  <w:num w:numId="18" w16cid:durableId="1974170984">
    <w:abstractNumId w:val="15"/>
  </w:num>
  <w:num w:numId="19" w16cid:durableId="766198095">
    <w:abstractNumId w:val="4"/>
  </w:num>
  <w:num w:numId="20" w16cid:durableId="1489589005">
    <w:abstractNumId w:val="5"/>
  </w:num>
  <w:num w:numId="21" w16cid:durableId="612633434">
    <w:abstractNumId w:val="19"/>
  </w:num>
  <w:num w:numId="22" w16cid:durableId="483933244">
    <w:abstractNumId w:val="12"/>
  </w:num>
  <w:num w:numId="23" w16cid:durableId="1447768826">
    <w:abstractNumId w:val="13"/>
  </w:num>
  <w:num w:numId="24" w16cid:durableId="16346835">
    <w:abstractNumId w:val="7"/>
  </w:num>
  <w:num w:numId="25" w16cid:durableId="5578642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B5"/>
    <w:rsid w:val="00020B35"/>
    <w:rsid w:val="0002716F"/>
    <w:rsid w:val="000437C5"/>
    <w:rsid w:val="000474AE"/>
    <w:rsid w:val="00071857"/>
    <w:rsid w:val="000A2BDA"/>
    <w:rsid w:val="000A48D5"/>
    <w:rsid w:val="000B50D6"/>
    <w:rsid w:val="000B5EAA"/>
    <w:rsid w:val="000E7325"/>
    <w:rsid w:val="000F3535"/>
    <w:rsid w:val="001205AC"/>
    <w:rsid w:val="00125AE9"/>
    <w:rsid w:val="0013137F"/>
    <w:rsid w:val="00180402"/>
    <w:rsid w:val="00190B0E"/>
    <w:rsid w:val="001B21AF"/>
    <w:rsid w:val="001B51BF"/>
    <w:rsid w:val="001F46B4"/>
    <w:rsid w:val="001F554D"/>
    <w:rsid w:val="002436A6"/>
    <w:rsid w:val="002438B7"/>
    <w:rsid w:val="0024773F"/>
    <w:rsid w:val="002977F3"/>
    <w:rsid w:val="002C22E0"/>
    <w:rsid w:val="002D630D"/>
    <w:rsid w:val="002D7CE8"/>
    <w:rsid w:val="002E4153"/>
    <w:rsid w:val="002F47B6"/>
    <w:rsid w:val="002F6A88"/>
    <w:rsid w:val="00380F44"/>
    <w:rsid w:val="00392688"/>
    <w:rsid w:val="003D133B"/>
    <w:rsid w:val="003D63A8"/>
    <w:rsid w:val="003E3A9F"/>
    <w:rsid w:val="00403058"/>
    <w:rsid w:val="00407429"/>
    <w:rsid w:val="00424025"/>
    <w:rsid w:val="00426584"/>
    <w:rsid w:val="00431D45"/>
    <w:rsid w:val="004564F4"/>
    <w:rsid w:val="00457042"/>
    <w:rsid w:val="00472C4B"/>
    <w:rsid w:val="004878DB"/>
    <w:rsid w:val="00491FB5"/>
    <w:rsid w:val="00493E0A"/>
    <w:rsid w:val="00494A2D"/>
    <w:rsid w:val="004A26E3"/>
    <w:rsid w:val="004D00DD"/>
    <w:rsid w:val="004E1ECE"/>
    <w:rsid w:val="004F54F5"/>
    <w:rsid w:val="00521556"/>
    <w:rsid w:val="00535159"/>
    <w:rsid w:val="0053666A"/>
    <w:rsid w:val="005620A0"/>
    <w:rsid w:val="0056634E"/>
    <w:rsid w:val="0057264C"/>
    <w:rsid w:val="00577A39"/>
    <w:rsid w:val="005814F5"/>
    <w:rsid w:val="00594A0D"/>
    <w:rsid w:val="005D30BA"/>
    <w:rsid w:val="005F4391"/>
    <w:rsid w:val="00653CFF"/>
    <w:rsid w:val="00687D4A"/>
    <w:rsid w:val="006A2F63"/>
    <w:rsid w:val="006A3718"/>
    <w:rsid w:val="006B19E6"/>
    <w:rsid w:val="006C7F7B"/>
    <w:rsid w:val="006F255A"/>
    <w:rsid w:val="00712950"/>
    <w:rsid w:val="00713CB4"/>
    <w:rsid w:val="00715B3E"/>
    <w:rsid w:val="007164B1"/>
    <w:rsid w:val="00733E40"/>
    <w:rsid w:val="0073401D"/>
    <w:rsid w:val="007361D8"/>
    <w:rsid w:val="00737A99"/>
    <w:rsid w:val="00780897"/>
    <w:rsid w:val="00782E37"/>
    <w:rsid w:val="007A0AA6"/>
    <w:rsid w:val="007E291E"/>
    <w:rsid w:val="007F0661"/>
    <w:rsid w:val="00802A52"/>
    <w:rsid w:val="00806F0F"/>
    <w:rsid w:val="008141B5"/>
    <w:rsid w:val="008225DF"/>
    <w:rsid w:val="00831224"/>
    <w:rsid w:val="00850D66"/>
    <w:rsid w:val="00855F84"/>
    <w:rsid w:val="00881C97"/>
    <w:rsid w:val="0088466B"/>
    <w:rsid w:val="008D2DDA"/>
    <w:rsid w:val="008E2476"/>
    <w:rsid w:val="009043FC"/>
    <w:rsid w:val="009050C6"/>
    <w:rsid w:val="0091365A"/>
    <w:rsid w:val="00955E32"/>
    <w:rsid w:val="0097181E"/>
    <w:rsid w:val="00990B3C"/>
    <w:rsid w:val="009D1FBA"/>
    <w:rsid w:val="009F4681"/>
    <w:rsid w:val="00A01D13"/>
    <w:rsid w:val="00A047BE"/>
    <w:rsid w:val="00A1054A"/>
    <w:rsid w:val="00A121B3"/>
    <w:rsid w:val="00A45F47"/>
    <w:rsid w:val="00A8651A"/>
    <w:rsid w:val="00AA4303"/>
    <w:rsid w:val="00AB6132"/>
    <w:rsid w:val="00AD2B6E"/>
    <w:rsid w:val="00AF02E0"/>
    <w:rsid w:val="00B152AF"/>
    <w:rsid w:val="00B53D5A"/>
    <w:rsid w:val="00B61F7F"/>
    <w:rsid w:val="00B6310D"/>
    <w:rsid w:val="00B93B1F"/>
    <w:rsid w:val="00BC5E8E"/>
    <w:rsid w:val="00BC719D"/>
    <w:rsid w:val="00BD6B72"/>
    <w:rsid w:val="00BE100F"/>
    <w:rsid w:val="00BE1269"/>
    <w:rsid w:val="00BE4B49"/>
    <w:rsid w:val="00BE6801"/>
    <w:rsid w:val="00C0291B"/>
    <w:rsid w:val="00C05740"/>
    <w:rsid w:val="00C06ECC"/>
    <w:rsid w:val="00C07190"/>
    <w:rsid w:val="00C14F9F"/>
    <w:rsid w:val="00C2007C"/>
    <w:rsid w:val="00C37F6A"/>
    <w:rsid w:val="00C415D4"/>
    <w:rsid w:val="00C42412"/>
    <w:rsid w:val="00C73DA2"/>
    <w:rsid w:val="00C85ACD"/>
    <w:rsid w:val="00CA2F8E"/>
    <w:rsid w:val="00CA3730"/>
    <w:rsid w:val="00CB6145"/>
    <w:rsid w:val="00CD382D"/>
    <w:rsid w:val="00CF28E8"/>
    <w:rsid w:val="00D00427"/>
    <w:rsid w:val="00D02C4A"/>
    <w:rsid w:val="00D65E97"/>
    <w:rsid w:val="00D70750"/>
    <w:rsid w:val="00D77363"/>
    <w:rsid w:val="00D96BBF"/>
    <w:rsid w:val="00E4646D"/>
    <w:rsid w:val="00E5089C"/>
    <w:rsid w:val="00E52CA4"/>
    <w:rsid w:val="00E86DCD"/>
    <w:rsid w:val="00E94A1C"/>
    <w:rsid w:val="00EA2130"/>
    <w:rsid w:val="00EC4AF9"/>
    <w:rsid w:val="00ED31D8"/>
    <w:rsid w:val="00ED7629"/>
    <w:rsid w:val="00EF11AE"/>
    <w:rsid w:val="00F03DF7"/>
    <w:rsid w:val="00F07FBE"/>
    <w:rsid w:val="00F24B46"/>
    <w:rsid w:val="00F4048D"/>
    <w:rsid w:val="00F41FC6"/>
    <w:rsid w:val="00F4310D"/>
    <w:rsid w:val="00F57727"/>
    <w:rsid w:val="00F61B69"/>
    <w:rsid w:val="00F63593"/>
    <w:rsid w:val="00F67C6D"/>
    <w:rsid w:val="00F83261"/>
    <w:rsid w:val="00F95BCB"/>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AE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GridTable31">
    <w:name w:val="Grid Table 31"/>
    <w:basedOn w:val="Heading1"/>
    <w:next w:val="TOC1"/>
    <w:uiPriority w:val="39"/>
    <w:qFormat/>
    <w:rsid w:val="008141B5"/>
    <w:pPr>
      <w:spacing w:after="200"/>
    </w:pPr>
    <w:rPr>
      <w:bCs w:val="0"/>
      <w:sz w:val="32"/>
    </w:rPr>
  </w:style>
  <w:style w:type="character" w:styleId="UnresolvedMention">
    <w:name w:val="Unresolved Mention"/>
    <w:basedOn w:val="DefaultParagraphFont"/>
    <w:uiPriority w:val="99"/>
    <w:semiHidden/>
    <w:unhideWhenUsed/>
    <w:rsid w:val="00C0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9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seg.melbourne" TargetMode="External"/><Relationship Id="rId13" Type="http://schemas.openxmlformats.org/officeDocument/2006/relationships/hyperlink" Target="http://www.melbourne.vic.gov.au/community/hubs-bookable-spaces/Pages/bookable-space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rvice@smartygrant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trength@melbourne.vic.gov.au?subject=Community%20Use%20of%20Town%20Halls%20enqui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nsington@melbourne.vic.gov.au" TargetMode="External"/><Relationship Id="rId4" Type="http://schemas.openxmlformats.org/officeDocument/2006/relationships/webSettings" Target="webSettings.xml"/><Relationship Id="rId9" Type="http://schemas.openxmlformats.org/officeDocument/2006/relationships/hyperlink" Target="mailto:meatmarket@melbourne.vic.gov.a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lbourne.vic.gov.au/community/hubs-bookable-spaces/Pages/bookable-spaces.aspx" TargetMode="External"/><Relationship Id="rId2" Type="http://schemas.openxmlformats.org/officeDocument/2006/relationships/hyperlink" Target="mailto:service@smartygrants.com.au" TargetMode="External"/><Relationship Id="rId1" Type="http://schemas.openxmlformats.org/officeDocument/2006/relationships/hyperlink" Target="mailto:commstrength@melbourn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1611</Words>
  <Characters>9316</Characters>
  <Application>Microsoft Office Word</Application>
  <DocSecurity>0</DocSecurity>
  <Lines>172</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2025-08-28T06:06:00Z</dcterms:created>
  <dcterms:modified xsi:type="dcterms:W3CDTF">2025-08-28T06:06:00Z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20250828160549480</vt:lpwstr>
  </property>
</Properties>
</file>