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37A99" w:rsidRPr="005814F5" w:rsidRDefault="0091365A" w:rsidP="00020B35">
      <w:pPr>
        <w:spacing w:after="0"/>
        <w:jc w:val="right"/>
      </w:pPr>
      <w:r>
        <w:rPr>
          <w:noProof/>
          <w:lang w:eastAsia="en-AU"/>
        </w:rPr>
        <w:drawing>
          <wp:inline distT="0" distB="0" distL="0" distR="0" wp14:anchorId="5A95050F" wp14:editId="07777777">
            <wp:extent cx="986790" cy="958215"/>
            <wp:effectExtent l="0" t="0" r="3810" b="0"/>
            <wp:docPr id="2" name="Picture 1" descr="City of Melbou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Melbour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25F96" w14:textId="77777777" w:rsidR="00756954" w:rsidRDefault="00756954" w:rsidP="00756954">
      <w:pPr>
        <w:pStyle w:val="DocumentTitle"/>
        <w:spacing w:before="3360"/>
      </w:pPr>
      <w:r>
        <w:t>City of Melbourne – Melbourne Economy Snapshot</w:t>
      </w:r>
    </w:p>
    <w:p w14:paraId="5A64C0C1" w14:textId="2F4A9595" w:rsidR="00756954" w:rsidRDefault="00151C6A" w:rsidP="00756954">
      <w:pPr>
        <w:pStyle w:val="Subtitle"/>
      </w:pPr>
      <w:r>
        <w:t xml:space="preserve">Number </w:t>
      </w:r>
      <w:r w:rsidR="00661D29">
        <w:t>9</w:t>
      </w:r>
      <w:r>
        <w:t xml:space="preserve">, </w:t>
      </w:r>
      <w:r w:rsidR="00661D29">
        <w:t>March</w:t>
      </w:r>
      <w:r w:rsidR="123C9FDF">
        <w:t xml:space="preserve"> </w:t>
      </w:r>
      <w:r w:rsidR="00756954">
        <w:t>202</w:t>
      </w:r>
      <w:r w:rsidR="00661D29">
        <w:t>5</w:t>
      </w:r>
    </w:p>
    <w:p w14:paraId="3E231827" w14:textId="528945F3" w:rsidR="00423541" w:rsidRDefault="00756954" w:rsidP="00756954">
      <w:r>
        <w:t>DISCLAIMER:</w:t>
      </w:r>
      <w:r w:rsidR="002F646F">
        <w:t xml:space="preserve"> </w:t>
      </w:r>
      <w:r w:rsidR="002F646F" w:rsidRPr="002F646F">
        <w:t>This information is correct at the time of publication. It is the responsibility of any individual to check the accuracy of this data if it is republished or presented at a future time.</w:t>
      </w:r>
    </w:p>
    <w:p w14:paraId="52B4B6E5" w14:textId="77777777" w:rsidR="009522EA" w:rsidRPr="00891621" w:rsidRDefault="00423541" w:rsidP="00891621">
      <w:pPr>
        <w:spacing w:after="0" w:line="240" w:lineRule="auto"/>
      </w:pPr>
      <w:r>
        <w:br w:type="page"/>
      </w:r>
      <w:bookmarkStart w:id="0" w:name="_Toc403992346"/>
      <w:bookmarkStart w:id="1" w:name="_Toc403992581"/>
      <w:bookmarkStart w:id="2" w:name="_Toc419982220"/>
      <w:bookmarkStart w:id="3" w:name="_Toc419982306"/>
    </w:p>
    <w:sdt>
      <w:sdtPr>
        <w:rPr>
          <w:rFonts w:ascii="Arial" w:eastAsia="MS Mincho" w:hAnsi="Arial"/>
          <w:sz w:val="20"/>
          <w:szCs w:val="24"/>
          <w:lang w:val="en-AU"/>
        </w:rPr>
        <w:id w:val="683921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9D95803" w14:textId="268972E6" w:rsidR="009522EA" w:rsidRDefault="009522EA">
          <w:pPr>
            <w:pStyle w:val="TOCHeading"/>
            <w:rPr>
              <w:rFonts w:hint="eastAsia"/>
            </w:rPr>
          </w:pPr>
          <w:r>
            <w:t>Contents</w:t>
          </w:r>
        </w:p>
        <w:p w14:paraId="25DF97E8" w14:textId="2DADE61C" w:rsidR="009522EA" w:rsidRDefault="009522EA">
          <w:pPr>
            <w:pStyle w:val="TOC1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604328" w:history="1">
            <w:r w:rsidRPr="002D6CB8">
              <w:rPr>
                <w:rStyle w:val="Hyperlink"/>
                <w:noProof/>
              </w:rPr>
              <w:t>Magnetic Melbourne attracts visitors galore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_Toc192604328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36D6F" w14:textId="4902B623" w:rsidR="009522EA" w:rsidRDefault="008F08A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29" w:history="1">
            <w:r w:rsidR="009522EA" w:rsidRPr="002D6CB8">
              <w:rPr>
                <w:rStyle w:val="Hyperlink"/>
                <w:noProof/>
              </w:rPr>
              <w:t>Table 1 Melbourne CBD Shopping Precinct saw 779,000 domestic visitors and 411,000 international visitors in the 2024 September quarter (July - September).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_Toc192604329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2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031A001D" w14:textId="630E58EE" w:rsidR="009522EA" w:rsidRDefault="008F08A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30" w:history="1">
            <w:r w:rsidR="009522EA" w:rsidRPr="002D6CB8">
              <w:rPr>
                <w:rStyle w:val="Hyperlink"/>
                <w:noProof/>
              </w:rPr>
              <w:t>Table 2 – Of all international visitors to Victoria in the September quarter, a massive 71% visited the Melbourne CBD Shopping Precinct, and 52% visited the Queen Victoria Market.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_Toc192604330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2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17830246" w14:textId="13F6841B" w:rsidR="009522EA" w:rsidRDefault="008F08AC">
          <w:pPr>
            <w:pStyle w:val="TOC1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31" w:history="1">
            <w:r w:rsidR="009522EA" w:rsidRPr="002D6CB8">
              <w:rPr>
                <w:rStyle w:val="Hyperlink"/>
                <w:noProof/>
              </w:rPr>
              <w:t>Making Melbourne the best place to do business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_Toc192604331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3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17FAF194" w14:textId="0191EDFC" w:rsidR="009522EA" w:rsidRDefault="008F08A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32" w:history="1">
            <w:r w:rsidR="009522EA" w:rsidRPr="002D6CB8">
              <w:rPr>
                <w:rStyle w:val="Hyperlink"/>
                <w:noProof/>
              </w:rPr>
              <w:t>Table 3 – Change each year (%) in the number of businesses in the City of Melbourne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_Toc192604332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3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11128373" w14:textId="0E5704EA" w:rsidR="009522EA" w:rsidRDefault="008F08A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33" w:history="1">
            <w:r w:rsidR="009522EA" w:rsidRPr="002D6CB8">
              <w:rPr>
                <w:rStyle w:val="Hyperlink"/>
                <w:noProof/>
              </w:rPr>
              <w:t>Table 4– Number of businesses supported by Business Concierge yearly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_Toc192604333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3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0E498D99" w14:textId="3C53A433" w:rsidR="009522EA" w:rsidRDefault="008F08AC">
          <w:pPr>
            <w:pStyle w:val="TOC1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34" w:history="1">
            <w:r w:rsidR="009522EA" w:rsidRPr="002D6CB8">
              <w:rPr>
                <w:rStyle w:val="Hyperlink"/>
                <w:noProof/>
              </w:rPr>
              <w:t>Neighbourhood Spend Trends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_Toc192604334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4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36C9F09D" w14:textId="2FF1E364" w:rsidR="009522EA" w:rsidRDefault="008F08A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35" w:history="1">
            <w:r w:rsidR="009522EA" w:rsidRPr="002D6CB8">
              <w:rPr>
                <w:rStyle w:val="Hyperlink"/>
                <w:noProof/>
              </w:rPr>
              <w:t>Melbourne CBD – East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_Toc192604335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4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7C207C31" w14:textId="4F705736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36" w:history="1">
            <w:r w:rsidR="009522EA" w:rsidRPr="002D6CB8">
              <w:rPr>
                <w:rStyle w:val="Hyperlink"/>
                <w:noProof/>
              </w:rPr>
              <w:t>Table 5 – Spending by category,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_Toc192604336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4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054956BF" w14:textId="086EA68C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37" w:history="1">
            <w:r w:rsidR="009522EA" w:rsidRPr="002D6CB8">
              <w:rPr>
                <w:rStyle w:val="Hyperlink"/>
                <w:noProof/>
              </w:rPr>
              <w:t>Table 6 – Work hours and non-work hours spending in Melbourne CBD – East,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_Toc192604337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4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69918313" w14:textId="61E7B157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38" w:history="1">
            <w:r w:rsidR="009522EA" w:rsidRPr="002D6CB8">
              <w:rPr>
                <w:rStyle w:val="Hyperlink"/>
                <w:noProof/>
              </w:rPr>
              <w:t>Table 7 – Weekday and weekend spending in Melbourne CBD – East,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_Toc192604338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4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0E5E57C2" w14:textId="22047E07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39" w:history="1">
            <w:r w:rsidR="009522EA" w:rsidRPr="002D6CB8">
              <w:rPr>
                <w:rStyle w:val="Hyperlink"/>
                <w:noProof/>
              </w:rPr>
              <w:t>Table 8.a – Where spending in Melbourne CBD – East came from,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_Toc192604339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4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54595783" w14:textId="3A6B0EF9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40" w:history="1">
            <w:r w:rsidR="009522EA" w:rsidRPr="002D6CB8">
              <w:rPr>
                <w:rStyle w:val="Hyperlink"/>
                <w:noProof/>
              </w:rPr>
              <w:t>Table 8.b – Where spending in Melbourne CBD – East came from,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_Toc192604340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5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027F129D" w14:textId="2D17DB47" w:rsidR="009522EA" w:rsidRDefault="008F08A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41" w:history="1">
            <w:r w:rsidR="009522EA" w:rsidRPr="002D6CB8">
              <w:rPr>
                <w:rStyle w:val="Hyperlink"/>
                <w:noProof/>
              </w:rPr>
              <w:t>Southbank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_Toc192604341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5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5FF9B23A" w14:textId="1E3B4EAE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42" w:history="1">
            <w:r w:rsidR="009522EA" w:rsidRPr="002D6CB8">
              <w:rPr>
                <w:rStyle w:val="Hyperlink"/>
                <w:noProof/>
              </w:rPr>
              <w:t>Table 10 – Spending by category,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_Toc192604342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5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093746D3" w14:textId="65C3FD27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43" w:history="1">
            <w:r w:rsidR="009522EA" w:rsidRPr="002D6CB8">
              <w:rPr>
                <w:rStyle w:val="Hyperlink"/>
                <w:noProof/>
              </w:rPr>
              <w:t>Table 11 – Work hours and non-work hours spending in Southbank,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_Toc192604343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5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28A4B86A" w14:textId="754FFC92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44" w:history="1">
            <w:r w:rsidR="009522EA" w:rsidRPr="002D6CB8">
              <w:rPr>
                <w:rStyle w:val="Hyperlink"/>
                <w:noProof/>
              </w:rPr>
              <w:t>Table 12 – Weekday and weekend spending in Southbank,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_Toc192604344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5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524370FB" w14:textId="3CC77922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45" w:history="1">
            <w:r w:rsidR="009522EA" w:rsidRPr="002D6CB8">
              <w:rPr>
                <w:rStyle w:val="Hyperlink"/>
                <w:noProof/>
              </w:rPr>
              <w:t>Table 13.a – Where spending in Southbank came from,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_Toc192604345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6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0052290D" w14:textId="7AF5052F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46" w:history="1">
            <w:r w:rsidR="009522EA" w:rsidRPr="002D6CB8">
              <w:rPr>
                <w:rStyle w:val="Hyperlink"/>
                <w:noProof/>
              </w:rPr>
              <w:t>Table 13.b – Where spending in Southbank came from,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_Toc192604346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6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6AFD7F5C" w14:textId="14003388" w:rsidR="009522EA" w:rsidRDefault="008F08A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47" w:history="1">
            <w:r w:rsidR="009522EA" w:rsidRPr="002D6CB8">
              <w:rPr>
                <w:rStyle w:val="Hyperlink"/>
                <w:noProof/>
              </w:rPr>
              <w:t>Melbourne CBD – North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_Toc192604347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6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1A0BC9A3" w14:textId="478D672D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48" w:history="1">
            <w:r w:rsidR="009522EA" w:rsidRPr="002D6CB8">
              <w:rPr>
                <w:rStyle w:val="Hyperlink"/>
                <w:noProof/>
              </w:rPr>
              <w:t>Table 14 – Spending by category,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_Toc192604348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6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51433294" w14:textId="1BD413BA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49" w:history="1">
            <w:r w:rsidR="009522EA" w:rsidRPr="002D6CB8">
              <w:rPr>
                <w:rStyle w:val="Hyperlink"/>
                <w:noProof/>
              </w:rPr>
              <w:t>Table 15 – Work hours and non-work hours spending in Melbourne CBD – North,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_Toc192604349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6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19F832BB" w14:textId="561A661E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50" w:history="1">
            <w:r w:rsidR="009522EA" w:rsidRPr="002D6CB8">
              <w:rPr>
                <w:rStyle w:val="Hyperlink"/>
                <w:noProof/>
              </w:rPr>
              <w:t>Table 16 – Weekday and weekend spending in Melbourne CBD – North,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_Toc192604350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7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61BEF70A" w14:textId="4076E44B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51" w:history="1">
            <w:r w:rsidR="009522EA" w:rsidRPr="002D6CB8">
              <w:rPr>
                <w:rStyle w:val="Hyperlink"/>
                <w:noProof/>
              </w:rPr>
              <w:t>Table 17.a – Where spending in Melbourne CBD – North came from,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_Toc192604351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7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761822EE" w14:textId="28CA662C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52" w:history="1">
            <w:r w:rsidR="009522EA" w:rsidRPr="002D6CB8">
              <w:rPr>
                <w:rStyle w:val="Hyperlink"/>
                <w:noProof/>
              </w:rPr>
              <w:t>Table 17.b – Where spending in Melbourne CBD – North came from,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_Toc192604352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7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1700FEAC" w14:textId="0DEC46BB" w:rsidR="009522EA" w:rsidRDefault="008F08A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53" w:history="1">
            <w:r w:rsidR="009522EA" w:rsidRPr="002D6CB8">
              <w:rPr>
                <w:rStyle w:val="Hyperlink"/>
                <w:noProof/>
              </w:rPr>
              <w:t>Melbourne CBD - West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_Toc192604353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7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1C36C9DA" w14:textId="4DE74CA4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54" w:history="1">
            <w:r w:rsidR="009522EA" w:rsidRPr="002D6CB8">
              <w:rPr>
                <w:rStyle w:val="Hyperlink"/>
                <w:noProof/>
              </w:rPr>
              <w:t>Table 18 – Spending by category,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_Toc192604354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7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7CEA80F7" w14:textId="58C60A7B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55" w:history="1">
            <w:r w:rsidR="009522EA" w:rsidRPr="002D6CB8">
              <w:rPr>
                <w:rStyle w:val="Hyperlink"/>
                <w:noProof/>
              </w:rPr>
              <w:t>Table 19 – Work hours and non-work hours spending in Melbourne CBD - West,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_Toc192604355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7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4B627C97" w14:textId="43370101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56" w:history="1">
            <w:r w:rsidR="009522EA" w:rsidRPr="002D6CB8">
              <w:rPr>
                <w:rStyle w:val="Hyperlink"/>
                <w:noProof/>
              </w:rPr>
              <w:t>Table 20 – Weekday and weekend spending in Melbourne CBD - West,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_Toc192604356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8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1C52863F" w14:textId="4F25B845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57" w:history="1">
            <w:r w:rsidR="009522EA" w:rsidRPr="002D6CB8">
              <w:rPr>
                <w:rStyle w:val="Hyperlink"/>
                <w:noProof/>
              </w:rPr>
              <w:t>Table 21.a – Where spending in Melbourne CBD - West came from,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_Toc192604357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8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24F4ED1D" w14:textId="551357AF" w:rsidR="009522EA" w:rsidRDefault="008F08A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58" w:history="1">
            <w:r w:rsidR="009522EA" w:rsidRPr="002D6CB8">
              <w:rPr>
                <w:rStyle w:val="Hyperlink"/>
                <w:noProof/>
              </w:rPr>
              <w:t>Table 21.b – Where spending in Melbourne CBD - West came from, Q4 2024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_Toc192604358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8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63393D49" w14:textId="65380258" w:rsidR="009522EA" w:rsidRDefault="008F08A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AU"/>
              <w14:ligatures w14:val="standardContextual"/>
            </w:rPr>
          </w:pPr>
          <w:hyperlink w:anchor="_Toc192604359" w:history="1">
            <w:r w:rsidR="009522EA" w:rsidRPr="002D6CB8">
              <w:rPr>
                <w:rStyle w:val="Hyperlink"/>
                <w:noProof/>
              </w:rPr>
              <w:t>Appendix 1: Data sources</w:t>
            </w:r>
            <w:r w:rsidR="009522EA">
              <w:rPr>
                <w:noProof/>
                <w:webHidden/>
              </w:rPr>
              <w:tab/>
            </w:r>
            <w:r w:rsidR="009522EA">
              <w:rPr>
                <w:noProof/>
                <w:webHidden/>
              </w:rPr>
              <w:fldChar w:fldCharType="begin"/>
            </w:r>
            <w:r w:rsidR="009522EA">
              <w:rPr>
                <w:noProof/>
                <w:webHidden/>
              </w:rPr>
              <w:instrText xml:space="preserve"> PAGEREF _Toc192604359 \h </w:instrText>
            </w:r>
            <w:r w:rsidR="009522EA">
              <w:rPr>
                <w:noProof/>
                <w:webHidden/>
              </w:rPr>
            </w:r>
            <w:r w:rsidR="009522EA">
              <w:rPr>
                <w:noProof/>
                <w:webHidden/>
              </w:rPr>
              <w:fldChar w:fldCharType="separate"/>
            </w:r>
            <w:r w:rsidR="009522EA">
              <w:rPr>
                <w:noProof/>
                <w:webHidden/>
              </w:rPr>
              <w:t>8</w:t>
            </w:r>
            <w:r w:rsidR="009522EA">
              <w:rPr>
                <w:noProof/>
                <w:webHidden/>
              </w:rPr>
              <w:fldChar w:fldCharType="end"/>
            </w:r>
          </w:hyperlink>
        </w:p>
        <w:p w14:paraId="22126FB7" w14:textId="30BEE5FA" w:rsidR="009522EA" w:rsidRDefault="009522EA">
          <w:r>
            <w:rPr>
              <w:b/>
              <w:bCs/>
              <w:noProof/>
            </w:rPr>
            <w:fldChar w:fldCharType="end"/>
          </w:r>
        </w:p>
      </w:sdtContent>
    </w:sdt>
    <w:p w14:paraId="6E3C7924" w14:textId="726974DA" w:rsidR="00891621" w:rsidRPr="00891621" w:rsidRDefault="00891621" w:rsidP="00891621">
      <w:pPr>
        <w:spacing w:after="0" w:line="240" w:lineRule="auto"/>
      </w:pPr>
    </w:p>
    <w:p w14:paraId="7DF0E43C" w14:textId="18EA43EC" w:rsidR="00661D29" w:rsidRDefault="00661D29" w:rsidP="00891621">
      <w:pPr>
        <w:pStyle w:val="Heading1"/>
        <w:rPr>
          <w:rFonts w:hint="eastAsia"/>
        </w:rPr>
      </w:pPr>
      <w:bookmarkStart w:id="4" w:name="_Toc192604328"/>
      <w:r w:rsidRPr="00661D29">
        <w:lastRenderedPageBreak/>
        <w:t>Magnetic Melbourne attracts visitors galore</w:t>
      </w:r>
      <w:bookmarkEnd w:id="4"/>
    </w:p>
    <w:p w14:paraId="3B0A092C" w14:textId="0E298166" w:rsidR="00661D29" w:rsidRDefault="0065394E" w:rsidP="00661D29">
      <w:bookmarkStart w:id="5" w:name="_Toc182490805"/>
      <w:r w:rsidRPr="0065394E">
        <w:t>Melbourne is the number one choice for fabulous shopping, world-class restaurants and iconic experiences – racing ahead of Victoria’s many other popular hotspots. Vibrant and bustling, our CBD Shopping Precinct is the top attraction for international and domestic overnight visitors* – supporting city businesses and boosting our thriving local economy. Our much-loved Queen Victoria Market, known for its fresh produce and specialty shopping, is also a popular drawcard, taking out second spot for international overnight visitors.</w:t>
      </w:r>
    </w:p>
    <w:p w14:paraId="10897150" w14:textId="36EE0DCF" w:rsidR="00F61A91" w:rsidRDefault="00661D29" w:rsidP="00661D29">
      <w:pPr>
        <w:pStyle w:val="Heading2"/>
        <w:rPr>
          <w:rFonts w:hint="eastAsia"/>
        </w:rPr>
      </w:pPr>
      <w:bookmarkStart w:id="6" w:name="_Toc192604329"/>
      <w:bookmarkEnd w:id="5"/>
      <w:r>
        <w:rPr>
          <w:lang w:val="en-AU"/>
        </w:rPr>
        <w:t xml:space="preserve">Table 1 </w:t>
      </w:r>
      <w:r w:rsidRPr="00661D29">
        <w:rPr>
          <w:lang w:val="en-AU"/>
        </w:rPr>
        <w:t xml:space="preserve">Melbourne CBD Shopping Precinct saw 779,000 domestic </w:t>
      </w:r>
      <w:r w:rsidR="0065394E">
        <w:rPr>
          <w:lang w:val="en-AU"/>
        </w:rPr>
        <w:t xml:space="preserve">overnight </w:t>
      </w:r>
      <w:r w:rsidRPr="00661D29">
        <w:rPr>
          <w:lang w:val="en-AU"/>
        </w:rPr>
        <w:t>visitors and 411,000 international</w:t>
      </w:r>
      <w:r w:rsidR="0065394E">
        <w:rPr>
          <w:lang w:val="en-AU"/>
        </w:rPr>
        <w:t xml:space="preserve"> overnight</w:t>
      </w:r>
      <w:r w:rsidRPr="00661D29">
        <w:rPr>
          <w:lang w:val="en-AU"/>
        </w:rPr>
        <w:t xml:space="preserve"> visitors in the 2024 September quarter (July - September).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3118"/>
      </w:tblGrid>
      <w:tr w:rsidR="008B4414" w14:paraId="7A0DDDA0" w14:textId="30CF2B74" w:rsidTr="00661D29">
        <w:tc>
          <w:tcPr>
            <w:tcW w:w="3539" w:type="dxa"/>
          </w:tcPr>
          <w:p w14:paraId="495BAA2E" w14:textId="23E5F707" w:rsidR="008B4414" w:rsidRPr="008F55EC" w:rsidRDefault="00661D29" w:rsidP="002E01B9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Attraction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9C7A54" w14:textId="39B02924" w:rsidR="008B4414" w:rsidRPr="008F55EC" w:rsidRDefault="00661D29" w:rsidP="4E54D03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Domestic Visitors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C2DAAF" w14:textId="0B0AD593" w:rsidR="008B4414" w:rsidRDefault="00661D29" w:rsidP="4E54D03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International Visitors</w:t>
            </w:r>
          </w:p>
        </w:tc>
      </w:tr>
      <w:tr w:rsidR="008B4414" w14:paraId="0D1CD57A" w14:textId="4C4C215F" w:rsidTr="00661D29">
        <w:trPr>
          <w:trHeight w:val="300"/>
        </w:trPr>
        <w:tc>
          <w:tcPr>
            <w:tcW w:w="3539" w:type="dxa"/>
          </w:tcPr>
          <w:p w14:paraId="56ACEB01" w14:textId="64B0150F" w:rsidR="008B4414" w:rsidRDefault="008B4414" w:rsidP="00CA189C">
            <w:pPr>
              <w:spacing w:line="240" w:lineRule="auto"/>
              <w:rPr>
                <w:rFonts w:eastAsia="Times New Roman" w:cs="Arial"/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rFonts w:eastAsia="Times New Roman" w:cs="Arial"/>
                <w:color w:val="000000" w:themeColor="text1"/>
                <w:sz w:val="22"/>
                <w:szCs w:val="22"/>
                <w:lang w:eastAsia="en-AU"/>
              </w:rPr>
              <w:t>Melbourne</w:t>
            </w:r>
            <w:r w:rsidR="00661D29">
              <w:rPr>
                <w:rFonts w:eastAsia="Times New Roman" w:cs="Arial"/>
                <w:color w:val="000000" w:themeColor="text1"/>
                <w:sz w:val="22"/>
                <w:szCs w:val="22"/>
                <w:lang w:eastAsia="en-AU"/>
              </w:rPr>
              <w:t xml:space="preserve"> CBD Shopping Precinct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56F55" w14:textId="58B2C4C1" w:rsidR="00661D29" w:rsidRDefault="00661D29" w:rsidP="00661D2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779,000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92363" w14:textId="6F149DB6" w:rsidR="008B4414" w:rsidRDefault="00661D29" w:rsidP="00CA189C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411,000</w:t>
            </w:r>
          </w:p>
        </w:tc>
      </w:tr>
      <w:tr w:rsidR="008B4414" w14:paraId="3934235D" w14:textId="36BF59B1" w:rsidTr="00661D29">
        <w:tc>
          <w:tcPr>
            <w:tcW w:w="3539" w:type="dxa"/>
          </w:tcPr>
          <w:p w14:paraId="18E1B18E" w14:textId="13E8877D" w:rsidR="00661D29" w:rsidRPr="008F55EC" w:rsidRDefault="00661D29" w:rsidP="00CA189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Southbank/Southgate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45D1" w14:textId="1B06C6EB" w:rsidR="008B4414" w:rsidRPr="008F55EC" w:rsidRDefault="00661D29" w:rsidP="00CA189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523,000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0B523" w14:textId="32659363" w:rsidR="008B4414" w:rsidRDefault="00661D29" w:rsidP="00CA189C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167,000</w:t>
            </w:r>
          </w:p>
        </w:tc>
      </w:tr>
      <w:tr w:rsidR="00661D29" w14:paraId="053700ED" w14:textId="77777777" w:rsidTr="00661D29">
        <w:tc>
          <w:tcPr>
            <w:tcW w:w="3539" w:type="dxa"/>
          </w:tcPr>
          <w:p w14:paraId="10D1ECBE" w14:textId="526ABAAC" w:rsidR="00661D29" w:rsidRDefault="00661D29" w:rsidP="00CA189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Queen Victoria Market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3ECEB" w14:textId="7A99E401" w:rsidR="00661D29" w:rsidRPr="008F55EC" w:rsidRDefault="00661D29" w:rsidP="00CA189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282,000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4E08A" w14:textId="026341E9" w:rsidR="00661D29" w:rsidRDefault="00661D29" w:rsidP="00CA189C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299,000</w:t>
            </w:r>
          </w:p>
        </w:tc>
      </w:tr>
      <w:tr w:rsidR="00661D29" w14:paraId="54317EEC" w14:textId="77777777" w:rsidTr="00661D29">
        <w:tc>
          <w:tcPr>
            <w:tcW w:w="3539" w:type="dxa"/>
          </w:tcPr>
          <w:p w14:paraId="457BDE66" w14:textId="7BB0F94F" w:rsidR="00661D29" w:rsidRDefault="00661D29" w:rsidP="00CA189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Great Ocean Road (incl Twelve Apostles)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C54C" w14:textId="195520B9" w:rsidR="00661D29" w:rsidRPr="008F55EC" w:rsidRDefault="00661D29" w:rsidP="00CA189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301,000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0D112" w14:textId="06EA47E9" w:rsidR="00661D29" w:rsidRDefault="00661D29" w:rsidP="00CA189C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150,000</w:t>
            </w:r>
          </w:p>
        </w:tc>
      </w:tr>
      <w:tr w:rsidR="00661D29" w14:paraId="727C0DAB" w14:textId="77777777" w:rsidTr="00661D29">
        <w:tc>
          <w:tcPr>
            <w:tcW w:w="3539" w:type="dxa"/>
          </w:tcPr>
          <w:p w14:paraId="23ACAF32" w14:textId="3DE5A176" w:rsidR="00661D29" w:rsidRDefault="00661D29" w:rsidP="00CA189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Docklands/Marvel Stadium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E6E2" w14:textId="64409579" w:rsidR="00661D29" w:rsidRPr="008F55EC" w:rsidRDefault="00661D29" w:rsidP="00CA189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324,000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B3E27" w14:textId="5AC6A2D3" w:rsidR="00661D29" w:rsidRDefault="00661D29" w:rsidP="00CA189C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99,000</w:t>
            </w:r>
          </w:p>
        </w:tc>
      </w:tr>
      <w:tr w:rsidR="00661D29" w14:paraId="2B709037" w14:textId="77777777" w:rsidTr="00661D29">
        <w:tc>
          <w:tcPr>
            <w:tcW w:w="3539" w:type="dxa"/>
          </w:tcPr>
          <w:p w14:paraId="05E36221" w14:textId="11426B28" w:rsidR="00661D29" w:rsidRDefault="00661D29" w:rsidP="00CA189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Crown Casino/ entertainment complex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47DA" w14:textId="34D0768D" w:rsidR="00661D29" w:rsidRPr="008F55EC" w:rsidRDefault="00661D29" w:rsidP="00CA189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315,000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97B6B" w14:textId="1F4B8FDE" w:rsidR="00661D29" w:rsidRDefault="00661D29" w:rsidP="00CA189C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104,000</w:t>
            </w:r>
          </w:p>
        </w:tc>
      </w:tr>
      <w:tr w:rsidR="00661D29" w14:paraId="4D11B00B" w14:textId="77777777" w:rsidTr="00661D29">
        <w:tc>
          <w:tcPr>
            <w:tcW w:w="3539" w:type="dxa"/>
          </w:tcPr>
          <w:p w14:paraId="7F0AAAE6" w14:textId="12BBA14E" w:rsidR="00661D29" w:rsidRDefault="00661D29" w:rsidP="00CA189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Federation Square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485E" w14:textId="4884240E" w:rsidR="00661D29" w:rsidRPr="008F55EC" w:rsidRDefault="00661D29" w:rsidP="00CA189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284,000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42E50" w14:textId="3B72B057" w:rsidR="00661D29" w:rsidRDefault="00661D29" w:rsidP="00CA189C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131,000</w:t>
            </w:r>
          </w:p>
        </w:tc>
      </w:tr>
      <w:tr w:rsidR="0065394E" w14:paraId="1060227F" w14:textId="77777777" w:rsidTr="00661D29">
        <w:tc>
          <w:tcPr>
            <w:tcW w:w="3539" w:type="dxa"/>
          </w:tcPr>
          <w:p w14:paraId="7863D86B" w14:textId="601CB154" w:rsidR="0065394E" w:rsidRDefault="0065394E" w:rsidP="0065394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National Gallery of Victoria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7DDA" w14:textId="3AF4222A" w:rsidR="0065394E" w:rsidRPr="0065394E" w:rsidRDefault="0065394E" w:rsidP="0065394E">
            <w:pPr>
              <w:jc w:val="right"/>
              <w:rPr>
                <w:sz w:val="22"/>
                <w:szCs w:val="22"/>
                <w:lang w:val="en-US"/>
              </w:rPr>
            </w:pPr>
            <w:r w:rsidRPr="0065394E">
              <w:rPr>
                <w:sz w:val="22"/>
                <w:szCs w:val="22"/>
              </w:rPr>
              <w:t xml:space="preserve">Domestic visitor data is below the publishable </w:t>
            </w:r>
            <w:r>
              <w:rPr>
                <w:sz w:val="22"/>
                <w:szCs w:val="22"/>
              </w:rPr>
              <w:t>threshold</w:t>
            </w:r>
            <w:r w:rsidRPr="0065394E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2ED23" w14:textId="399F97B5" w:rsidR="0065394E" w:rsidRDefault="0065394E" w:rsidP="0065394E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127,000</w:t>
            </w:r>
          </w:p>
        </w:tc>
      </w:tr>
      <w:tr w:rsidR="0065394E" w14:paraId="76D04A82" w14:textId="77777777" w:rsidTr="00661D29">
        <w:tc>
          <w:tcPr>
            <w:tcW w:w="3539" w:type="dxa"/>
          </w:tcPr>
          <w:p w14:paraId="4743CC76" w14:textId="2EBDB869" w:rsidR="0065394E" w:rsidRDefault="0065394E" w:rsidP="0065394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Phillip Island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79546" w14:textId="6607ABA7" w:rsidR="0065394E" w:rsidRPr="008F55EC" w:rsidRDefault="0065394E" w:rsidP="0065394E">
            <w:pPr>
              <w:jc w:val="right"/>
              <w:rPr>
                <w:sz w:val="22"/>
                <w:szCs w:val="22"/>
                <w:lang w:val="en-US"/>
              </w:rPr>
            </w:pPr>
            <w:r w:rsidRPr="0065394E">
              <w:rPr>
                <w:sz w:val="22"/>
                <w:szCs w:val="22"/>
              </w:rPr>
              <w:t xml:space="preserve">Domestic visitor data is below the publishable </w:t>
            </w:r>
            <w:r>
              <w:rPr>
                <w:sz w:val="22"/>
                <w:szCs w:val="22"/>
              </w:rPr>
              <w:t>threshold</w:t>
            </w:r>
            <w:r w:rsidRPr="0065394E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66011" w14:textId="1EB40E2F" w:rsidR="0065394E" w:rsidRDefault="0065394E" w:rsidP="0065394E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98,000</w:t>
            </w:r>
          </w:p>
        </w:tc>
      </w:tr>
      <w:tr w:rsidR="0065394E" w14:paraId="2D1A34EF" w14:textId="77777777" w:rsidTr="00661D29">
        <w:tc>
          <w:tcPr>
            <w:tcW w:w="3539" w:type="dxa"/>
          </w:tcPr>
          <w:p w14:paraId="794861E2" w14:textId="33C29FF8" w:rsidR="0065394E" w:rsidRDefault="0065394E" w:rsidP="0065394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Chadstone Shopping Centre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057F" w14:textId="3819F5DF" w:rsidR="0065394E" w:rsidRPr="008F55EC" w:rsidRDefault="0065394E" w:rsidP="0065394E">
            <w:pPr>
              <w:jc w:val="right"/>
              <w:rPr>
                <w:sz w:val="22"/>
                <w:szCs w:val="22"/>
                <w:lang w:val="en-US"/>
              </w:rPr>
            </w:pPr>
            <w:r w:rsidRPr="0065394E">
              <w:rPr>
                <w:sz w:val="22"/>
                <w:szCs w:val="22"/>
              </w:rPr>
              <w:t xml:space="preserve">Domestic visitor data is below the publishable </w:t>
            </w:r>
            <w:r>
              <w:rPr>
                <w:sz w:val="22"/>
                <w:szCs w:val="22"/>
              </w:rPr>
              <w:t>threshold</w:t>
            </w:r>
            <w:r w:rsidRPr="0065394E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FD6A4" w14:textId="6FE35A77" w:rsidR="0065394E" w:rsidRDefault="0065394E" w:rsidP="0065394E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80,000</w:t>
            </w:r>
          </w:p>
        </w:tc>
      </w:tr>
    </w:tbl>
    <w:p w14:paraId="04082D7F" w14:textId="36CD641B" w:rsidR="005C3F28" w:rsidRPr="00F61A91" w:rsidRDefault="45EC3D86" w:rsidP="00891621">
      <w:pPr>
        <w:pStyle w:val="Heading2"/>
        <w:rPr>
          <w:rFonts w:hint="eastAsia"/>
        </w:rPr>
      </w:pPr>
      <w:bookmarkStart w:id="7" w:name="_Toc182490806"/>
      <w:bookmarkStart w:id="8" w:name="_Toc192604330"/>
      <w:r>
        <w:t xml:space="preserve">Table 2 </w:t>
      </w:r>
      <w:r w:rsidR="00A50617">
        <w:t>–</w:t>
      </w:r>
      <w:r>
        <w:t xml:space="preserve"> </w:t>
      </w:r>
      <w:bookmarkEnd w:id="7"/>
      <w:r w:rsidR="00661D29" w:rsidRPr="00661D29">
        <w:t>Of all international</w:t>
      </w:r>
      <w:r w:rsidR="0065394E">
        <w:t xml:space="preserve"> overnight</w:t>
      </w:r>
      <w:r w:rsidR="00661D29" w:rsidRPr="00661D29">
        <w:t xml:space="preserve"> visitors to Victoria in the September quarter, a massive 71% visited the Melbourne CBD Shopping Precinct, and 52% visited the Queen Victoria</w:t>
      </w:r>
      <w:r w:rsidR="00891621">
        <w:t xml:space="preserve"> </w:t>
      </w:r>
      <w:r w:rsidR="00661D29" w:rsidRPr="00661D29">
        <w:t>Market.</w:t>
      </w:r>
      <w:bookmarkEnd w:id="8"/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2547"/>
        <w:gridCol w:w="2835"/>
        <w:gridCol w:w="2835"/>
      </w:tblGrid>
      <w:tr w:rsidR="00A50617" w14:paraId="13AB6C80" w14:textId="3BD52BED" w:rsidTr="0008240E">
        <w:trPr>
          <w:trHeight w:val="415"/>
        </w:trPr>
        <w:tc>
          <w:tcPr>
            <w:tcW w:w="2547" w:type="dxa"/>
          </w:tcPr>
          <w:p w14:paraId="09D091E0" w14:textId="62EC3B92" w:rsidR="00A50617" w:rsidRPr="008F55EC" w:rsidRDefault="00661D29" w:rsidP="009252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Attraction</w:t>
            </w:r>
          </w:p>
        </w:tc>
        <w:tc>
          <w:tcPr>
            <w:tcW w:w="2835" w:type="dxa"/>
          </w:tcPr>
          <w:p w14:paraId="4C55E1EE" w14:textId="7AAFEC93" w:rsidR="00A50617" w:rsidRPr="008F55EC" w:rsidRDefault="00661D29" w:rsidP="0092528F">
            <w:pPr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Visiting Attraction</w:t>
            </w:r>
          </w:p>
        </w:tc>
        <w:tc>
          <w:tcPr>
            <w:tcW w:w="2835" w:type="dxa"/>
          </w:tcPr>
          <w:p w14:paraId="6AC62BD4" w14:textId="4940F2E8" w:rsidR="00A50617" w:rsidRPr="008F55EC" w:rsidRDefault="00661D29" w:rsidP="4E54D03C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not Visiting Attraction</w:t>
            </w:r>
          </w:p>
        </w:tc>
      </w:tr>
      <w:tr w:rsidR="00A50617" w14:paraId="46DD5951" w14:textId="4CF2937A" w:rsidTr="0008240E">
        <w:trPr>
          <w:trHeight w:val="433"/>
        </w:trPr>
        <w:tc>
          <w:tcPr>
            <w:tcW w:w="2547" w:type="dxa"/>
          </w:tcPr>
          <w:p w14:paraId="359E63FE" w14:textId="4B3788D0" w:rsidR="00A50617" w:rsidRPr="008F55EC" w:rsidRDefault="00661D29" w:rsidP="00757EEC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Melbourne CBD Shopping Precinct</w:t>
            </w:r>
          </w:p>
        </w:tc>
        <w:tc>
          <w:tcPr>
            <w:tcW w:w="2835" w:type="dxa"/>
            <w:vAlign w:val="bottom"/>
          </w:tcPr>
          <w:p w14:paraId="165C3F6C" w14:textId="551F8D1B" w:rsidR="00A50617" w:rsidRPr="008F55EC" w:rsidRDefault="00661D29" w:rsidP="00CA18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08240E">
              <w:rPr>
                <w:sz w:val="22"/>
                <w:szCs w:val="22"/>
              </w:rPr>
              <w:t>%</w:t>
            </w:r>
          </w:p>
        </w:tc>
        <w:tc>
          <w:tcPr>
            <w:tcW w:w="2835" w:type="dxa"/>
            <w:vAlign w:val="bottom"/>
          </w:tcPr>
          <w:p w14:paraId="057FE03F" w14:textId="56D22501" w:rsidR="00A50617" w:rsidRPr="008F55EC" w:rsidRDefault="00661D29" w:rsidP="00CA18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A189C">
              <w:rPr>
                <w:sz w:val="22"/>
                <w:szCs w:val="22"/>
              </w:rPr>
              <w:t>%</w:t>
            </w:r>
          </w:p>
        </w:tc>
      </w:tr>
      <w:tr w:rsidR="0030394E" w14:paraId="0E5CDBEE" w14:textId="77777777" w:rsidTr="0008240E">
        <w:trPr>
          <w:trHeight w:val="433"/>
        </w:trPr>
        <w:tc>
          <w:tcPr>
            <w:tcW w:w="2547" w:type="dxa"/>
          </w:tcPr>
          <w:p w14:paraId="65E13384" w14:textId="68C01956" w:rsidR="0030394E" w:rsidRDefault="00661D29" w:rsidP="0030394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Queen Victoria Market</w:t>
            </w:r>
          </w:p>
        </w:tc>
        <w:tc>
          <w:tcPr>
            <w:tcW w:w="2835" w:type="dxa"/>
            <w:vAlign w:val="bottom"/>
          </w:tcPr>
          <w:p w14:paraId="0B823B87" w14:textId="742A7DC6" w:rsidR="0030394E" w:rsidRDefault="00661D29" w:rsidP="00CA18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08240E">
              <w:rPr>
                <w:sz w:val="22"/>
                <w:szCs w:val="22"/>
              </w:rPr>
              <w:t>%</w:t>
            </w:r>
          </w:p>
        </w:tc>
        <w:tc>
          <w:tcPr>
            <w:tcW w:w="2835" w:type="dxa"/>
            <w:vAlign w:val="bottom"/>
          </w:tcPr>
          <w:p w14:paraId="1E326517" w14:textId="445420C8" w:rsidR="0030394E" w:rsidRDefault="00661D29" w:rsidP="00CA189C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48</w:t>
            </w:r>
            <w:r w:rsidR="00CA189C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292C1514" w14:textId="3A6582BD" w:rsidR="00A5193E" w:rsidRPr="00AF02E0" w:rsidRDefault="00661D29" w:rsidP="00891621">
      <w:pPr>
        <w:pStyle w:val="Heading1"/>
        <w:rPr>
          <w:rFonts w:hint="eastAsia"/>
        </w:rPr>
      </w:pPr>
      <w:bookmarkStart w:id="9" w:name="_Toc192604331"/>
      <w:bookmarkEnd w:id="0"/>
      <w:bookmarkEnd w:id="1"/>
      <w:bookmarkEnd w:id="2"/>
      <w:bookmarkEnd w:id="3"/>
      <w:r w:rsidRPr="00661D29">
        <w:t>Making Melbourne the best place to do business</w:t>
      </w:r>
      <w:bookmarkEnd w:id="9"/>
    </w:p>
    <w:p w14:paraId="5CAB8FD5" w14:textId="50DDBE1A" w:rsidR="00661D29" w:rsidRDefault="00661D29" w:rsidP="00661D29">
      <w:bookmarkStart w:id="10" w:name="_Toc182490809"/>
      <w:r w:rsidRPr="00661D29">
        <w:t>Melbourne is the hottest spot for shopping in the state, so it’s no wonder more and more people are setting up business here. We’re here</w:t>
      </w:r>
      <w:r>
        <w:t xml:space="preserve"> </w:t>
      </w:r>
      <w:r w:rsidRPr="00661D29">
        <w:t>to support them every step of the way with our personalised Business Concierge service, the largest of its kind in the country. This one</w:t>
      </w:r>
      <w:r>
        <w:t>-</w:t>
      </w:r>
      <w:r w:rsidRPr="00661D29">
        <w:t>stop-shop cuts red tape and offers valuable connections for new and growing businesses. It’s helped open 187 new businesses, engaged</w:t>
      </w:r>
      <w:r>
        <w:t xml:space="preserve"> </w:t>
      </w:r>
      <w:r w:rsidRPr="00661D29">
        <w:t>with over 67,000 clients, and created more than 645 full time jobs, contributing $63 million to the local economy.</w:t>
      </w:r>
    </w:p>
    <w:p w14:paraId="7D5A6A53" w14:textId="46B421D7" w:rsidR="006172D1" w:rsidRDefault="0EF83AAF" w:rsidP="00891621">
      <w:pPr>
        <w:pStyle w:val="Heading2"/>
        <w:rPr>
          <w:rFonts w:hint="eastAsia"/>
        </w:rPr>
      </w:pPr>
      <w:bookmarkStart w:id="11" w:name="_Toc192604332"/>
      <w:r>
        <w:t xml:space="preserve">Table </w:t>
      </w:r>
      <w:r w:rsidR="00CF6F1F">
        <w:t>3</w:t>
      </w:r>
      <w:r w:rsidR="1139249F">
        <w:t xml:space="preserve"> </w:t>
      </w:r>
      <w:r w:rsidR="00F93CD4">
        <w:t>–</w:t>
      </w:r>
      <w:r w:rsidR="1139249F">
        <w:t xml:space="preserve"> </w:t>
      </w:r>
      <w:bookmarkEnd w:id="10"/>
      <w:r w:rsidR="00661D29" w:rsidRPr="00661D29">
        <w:rPr>
          <w:lang w:val="en-AU"/>
        </w:rPr>
        <w:t xml:space="preserve">Change each year (%) in the number of </w:t>
      </w:r>
      <w:r w:rsidR="00661D29" w:rsidRPr="00891621">
        <w:t>businesses</w:t>
      </w:r>
      <w:r w:rsidR="00661D29" w:rsidRPr="00661D29">
        <w:rPr>
          <w:lang w:val="en-AU"/>
        </w:rPr>
        <w:t xml:space="preserve"> in the City of Melbourne</w:t>
      </w:r>
      <w:bookmarkEnd w:id="11"/>
    </w:p>
    <w:tbl>
      <w:tblPr>
        <w:tblStyle w:val="TableGrid"/>
        <w:tblW w:w="5382" w:type="dxa"/>
        <w:tblLook w:val="04A0" w:firstRow="1" w:lastRow="0" w:firstColumn="1" w:lastColumn="0" w:noHBand="0" w:noVBand="1"/>
      </w:tblPr>
      <w:tblGrid>
        <w:gridCol w:w="2122"/>
        <w:gridCol w:w="3260"/>
      </w:tblGrid>
      <w:tr w:rsidR="00CF6F1F" w14:paraId="3F901BF0" w14:textId="77777777" w:rsidTr="00CF6F1F">
        <w:trPr>
          <w:trHeight w:val="415"/>
        </w:trPr>
        <w:tc>
          <w:tcPr>
            <w:tcW w:w="2122" w:type="dxa"/>
          </w:tcPr>
          <w:p w14:paraId="27E018EA" w14:textId="03715212" w:rsidR="00CF6F1F" w:rsidRPr="008F55EC" w:rsidRDefault="00CF6F1F" w:rsidP="003410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3260" w:type="dxa"/>
          </w:tcPr>
          <w:p w14:paraId="5B289EF3" w14:textId="746EB1EE" w:rsidR="00CF6F1F" w:rsidRPr="008F55EC" w:rsidRDefault="00CF6F1F" w:rsidP="003410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Percent Increase</w:t>
            </w:r>
          </w:p>
        </w:tc>
      </w:tr>
      <w:tr w:rsidR="00CF6F1F" w14:paraId="1DA13768" w14:textId="77777777" w:rsidTr="00CF6F1F">
        <w:trPr>
          <w:trHeight w:val="433"/>
        </w:trPr>
        <w:tc>
          <w:tcPr>
            <w:tcW w:w="2122" w:type="dxa"/>
          </w:tcPr>
          <w:p w14:paraId="168CA74C" w14:textId="5A25A40C" w:rsidR="00CF6F1F" w:rsidRDefault="00CF6F1F" w:rsidP="00341042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260" w:type="dxa"/>
            <w:vAlign w:val="bottom"/>
          </w:tcPr>
          <w:p w14:paraId="2CFAD1AC" w14:textId="131138FA" w:rsidR="00CF6F1F" w:rsidRDefault="00CF6F1F" w:rsidP="003410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2.5%</w:t>
            </w:r>
          </w:p>
        </w:tc>
      </w:tr>
      <w:tr w:rsidR="00CF6F1F" w14:paraId="2C4BFCAC" w14:textId="77777777" w:rsidTr="00CF6F1F">
        <w:trPr>
          <w:trHeight w:val="415"/>
        </w:trPr>
        <w:tc>
          <w:tcPr>
            <w:tcW w:w="2122" w:type="dxa"/>
          </w:tcPr>
          <w:p w14:paraId="4CD76034" w14:textId="1E5E90D9" w:rsidR="00CF6F1F" w:rsidRPr="008F55EC" w:rsidRDefault="00CF6F1F" w:rsidP="00341042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260" w:type="dxa"/>
            <w:vAlign w:val="bottom"/>
          </w:tcPr>
          <w:p w14:paraId="7D929968" w14:textId="23425956" w:rsidR="00CF6F1F" w:rsidRPr="008F55EC" w:rsidRDefault="00CF6F1F" w:rsidP="003410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4.4%</w:t>
            </w:r>
          </w:p>
        </w:tc>
      </w:tr>
      <w:tr w:rsidR="00CF6F1F" w14:paraId="3713D7D2" w14:textId="77777777" w:rsidTr="00CF6F1F">
        <w:trPr>
          <w:trHeight w:val="415"/>
        </w:trPr>
        <w:tc>
          <w:tcPr>
            <w:tcW w:w="2122" w:type="dxa"/>
          </w:tcPr>
          <w:p w14:paraId="7A292307" w14:textId="642C206C" w:rsidR="00CF6F1F" w:rsidRDefault="00CF6F1F" w:rsidP="00341042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260" w:type="dxa"/>
            <w:vAlign w:val="bottom"/>
          </w:tcPr>
          <w:p w14:paraId="1731CDDD" w14:textId="3A7BF693" w:rsidR="00CF6F1F" w:rsidRDefault="00CF6F1F" w:rsidP="003410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0.4%</w:t>
            </w:r>
          </w:p>
        </w:tc>
      </w:tr>
      <w:tr w:rsidR="00CF6F1F" w14:paraId="444BD0F8" w14:textId="77777777" w:rsidTr="00CF6F1F">
        <w:trPr>
          <w:trHeight w:val="415"/>
        </w:trPr>
        <w:tc>
          <w:tcPr>
            <w:tcW w:w="2122" w:type="dxa"/>
          </w:tcPr>
          <w:p w14:paraId="0F4B65A3" w14:textId="4F264581" w:rsidR="00CF6F1F" w:rsidRDefault="00CF6F1F" w:rsidP="00341042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260" w:type="dxa"/>
            <w:vAlign w:val="bottom"/>
          </w:tcPr>
          <w:p w14:paraId="5A86E997" w14:textId="7CD56FD8" w:rsidR="00CF6F1F" w:rsidRDefault="00CF6F1F" w:rsidP="003410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2.5%</w:t>
            </w:r>
          </w:p>
        </w:tc>
      </w:tr>
    </w:tbl>
    <w:p w14:paraId="607CA61C" w14:textId="1DEEFE3B" w:rsidR="003F25BE" w:rsidRPr="00CF6F1F" w:rsidRDefault="00661D29" w:rsidP="00CF6F1F">
      <w:pPr>
        <w:pStyle w:val="ListParagraph"/>
        <w:numPr>
          <w:ilvl w:val="0"/>
          <w:numId w:val="24"/>
        </w:numPr>
      </w:pPr>
      <w:r w:rsidRPr="00661D29">
        <w:t>Last year, there were 44,709 businesses in the City of Melbourne, 2.5%</w:t>
      </w:r>
      <w:r w:rsidR="00CF6F1F">
        <w:t xml:space="preserve"> </w:t>
      </w:r>
      <w:r w:rsidRPr="00661D29">
        <w:t>more than there were in 2023.</w:t>
      </w:r>
    </w:p>
    <w:p w14:paraId="3201BEDC" w14:textId="2D496D9C" w:rsidR="00772AEA" w:rsidRDefault="00772AEA" w:rsidP="00891621">
      <w:pPr>
        <w:pStyle w:val="Heading2"/>
        <w:rPr>
          <w:rFonts w:hint="eastAsia"/>
        </w:rPr>
      </w:pPr>
      <w:bookmarkStart w:id="12" w:name="_Toc182490810"/>
      <w:bookmarkStart w:id="13" w:name="_Toc192604333"/>
      <w:r>
        <w:t xml:space="preserve">Table 4– </w:t>
      </w:r>
      <w:bookmarkEnd w:id="12"/>
      <w:r w:rsidR="00CF6F1F" w:rsidRPr="00CF6F1F">
        <w:t>Number of businesses supported by Business Concierge yearly</w:t>
      </w:r>
      <w:bookmarkEnd w:id="13"/>
    </w:p>
    <w:tbl>
      <w:tblPr>
        <w:tblStyle w:val="TableGrid"/>
        <w:tblW w:w="5382" w:type="dxa"/>
        <w:tblLook w:val="04A0" w:firstRow="1" w:lastRow="0" w:firstColumn="1" w:lastColumn="0" w:noHBand="0" w:noVBand="1"/>
      </w:tblPr>
      <w:tblGrid>
        <w:gridCol w:w="2122"/>
        <w:gridCol w:w="3260"/>
      </w:tblGrid>
      <w:tr w:rsidR="00CF6F1F" w14:paraId="79CAC360" w14:textId="77777777" w:rsidTr="00CF6F1F">
        <w:trPr>
          <w:trHeight w:val="415"/>
        </w:trPr>
        <w:tc>
          <w:tcPr>
            <w:tcW w:w="2122" w:type="dxa"/>
          </w:tcPr>
          <w:p w14:paraId="302AE69E" w14:textId="77777777" w:rsidR="00CF6F1F" w:rsidRPr="008F55EC" w:rsidRDefault="00CF6F1F" w:rsidP="002220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3260" w:type="dxa"/>
          </w:tcPr>
          <w:p w14:paraId="78DE0DF7" w14:textId="77777777" w:rsidR="00CF6F1F" w:rsidRPr="008F55EC" w:rsidRDefault="00CF6F1F" w:rsidP="002220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Percent Increase</w:t>
            </w:r>
          </w:p>
        </w:tc>
      </w:tr>
      <w:tr w:rsidR="00CF6F1F" w14:paraId="1198A35A" w14:textId="77777777" w:rsidTr="00CF6F1F">
        <w:trPr>
          <w:trHeight w:val="415"/>
        </w:trPr>
        <w:tc>
          <w:tcPr>
            <w:tcW w:w="2122" w:type="dxa"/>
          </w:tcPr>
          <w:p w14:paraId="49DAAA84" w14:textId="77777777" w:rsidR="00CF6F1F" w:rsidRPr="008F55EC" w:rsidRDefault="00CF6F1F" w:rsidP="002220B8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260" w:type="dxa"/>
            <w:vAlign w:val="bottom"/>
          </w:tcPr>
          <w:p w14:paraId="64CC6DAE" w14:textId="3F58D933" w:rsidR="00CF6F1F" w:rsidRPr="008F55EC" w:rsidRDefault="00CF6F1F" w:rsidP="002220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CF6F1F" w14:paraId="79278122" w14:textId="77777777" w:rsidTr="00CF6F1F">
        <w:trPr>
          <w:trHeight w:val="415"/>
        </w:trPr>
        <w:tc>
          <w:tcPr>
            <w:tcW w:w="2122" w:type="dxa"/>
          </w:tcPr>
          <w:p w14:paraId="27BF5FD4" w14:textId="77777777" w:rsidR="00CF6F1F" w:rsidRDefault="00CF6F1F" w:rsidP="002220B8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260" w:type="dxa"/>
            <w:vAlign w:val="bottom"/>
          </w:tcPr>
          <w:p w14:paraId="73CC2154" w14:textId="287CA7B2" w:rsidR="00CF6F1F" w:rsidRDefault="00CF6F1F" w:rsidP="002220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  <w:tr w:rsidR="00CF6F1F" w14:paraId="3C5E75BF" w14:textId="77777777" w:rsidTr="00CF6F1F">
        <w:trPr>
          <w:trHeight w:val="415"/>
        </w:trPr>
        <w:tc>
          <w:tcPr>
            <w:tcW w:w="2122" w:type="dxa"/>
          </w:tcPr>
          <w:p w14:paraId="7B91EBA9" w14:textId="77777777" w:rsidR="00CF6F1F" w:rsidRDefault="00CF6F1F" w:rsidP="002220B8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260" w:type="dxa"/>
            <w:vAlign w:val="bottom"/>
          </w:tcPr>
          <w:p w14:paraId="280AAB68" w14:textId="322143EE" w:rsidR="00CF6F1F" w:rsidRDefault="00CF6F1F" w:rsidP="002220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</w:tbl>
    <w:p w14:paraId="687C6264" w14:textId="77DF6009" w:rsidR="00E05E1C" w:rsidRDefault="00CF6F1F" w:rsidP="00CF6F1F">
      <w:pPr>
        <w:pStyle w:val="ListParagraph"/>
        <w:numPr>
          <w:ilvl w:val="0"/>
          <w:numId w:val="24"/>
        </w:numPr>
      </w:pPr>
      <w:r w:rsidRPr="00CF6F1F">
        <w:t>Since its inception in 2022, Business Concierge has more than doubled the amount of businesses supported each year.</w:t>
      </w:r>
    </w:p>
    <w:p w14:paraId="15DC666B" w14:textId="77777777" w:rsidR="00E05E1C" w:rsidRDefault="00E05E1C">
      <w:pPr>
        <w:spacing w:after="0" w:line="240" w:lineRule="auto"/>
        <w:rPr>
          <w:rFonts w:ascii="Arial Bold" w:eastAsia="MS Gothic" w:hAnsi="Arial Bold" w:hint="eastAsia"/>
          <w:bCs/>
          <w:sz w:val="28"/>
          <w:szCs w:val="32"/>
          <w:lang w:val="en-US"/>
        </w:rPr>
      </w:pPr>
      <w:r>
        <w:rPr>
          <w:rFonts w:hint="eastAsia"/>
        </w:rPr>
        <w:br w:type="page"/>
      </w:r>
    </w:p>
    <w:p w14:paraId="3D677209" w14:textId="06D78A2C" w:rsidR="000437C5" w:rsidRDefault="00E05E1C" w:rsidP="00F221E1">
      <w:pPr>
        <w:pStyle w:val="Heading1"/>
        <w:rPr>
          <w:rFonts w:hint="eastAsia"/>
        </w:rPr>
      </w:pPr>
      <w:bookmarkStart w:id="14" w:name="_Toc182490813"/>
      <w:bookmarkStart w:id="15" w:name="_Toc192604334"/>
      <w:r>
        <w:lastRenderedPageBreak/>
        <w:t>N</w:t>
      </w:r>
      <w:r w:rsidR="009F7577">
        <w:t>eighbourhood Spend Trends</w:t>
      </w:r>
      <w:bookmarkEnd w:id="14"/>
      <w:bookmarkEnd w:id="15"/>
    </w:p>
    <w:p w14:paraId="0F323027" w14:textId="02478E39" w:rsidR="009B2762" w:rsidRDefault="00CF6F1F" w:rsidP="00CF6F1F">
      <w:pPr>
        <w:rPr>
          <w:bCs/>
        </w:rPr>
      </w:pPr>
      <w:r w:rsidRPr="00CF6F1F">
        <w:t>Explore your unique neighbourhood with our Neighbourhood Spend Trends. Understanding when people spend, what they're buying,</w:t>
      </w:r>
      <w:r>
        <w:t xml:space="preserve"> </w:t>
      </w:r>
      <w:r w:rsidRPr="00CF6F1F">
        <w:t>and where they're coming from can help you work smarter and tailor your offering to boost your business. Explore the impressive impact</w:t>
      </w:r>
      <w:r>
        <w:t xml:space="preserve"> </w:t>
      </w:r>
      <w:r w:rsidRPr="00CF6F1F">
        <w:t>our thriving retail industry has on our four biggest shopping destinations in the City of Melbourne. These areas demonstrate high retail</w:t>
      </w:r>
      <w:r>
        <w:t xml:space="preserve"> </w:t>
      </w:r>
      <w:r w:rsidRPr="00CF6F1F">
        <w:t>spend and strong growth in Q4 (October to December 2024).</w:t>
      </w:r>
    </w:p>
    <w:p w14:paraId="26A945E7" w14:textId="0C6D238C" w:rsidR="009F7577" w:rsidRPr="009F7577" w:rsidRDefault="009F7577" w:rsidP="00F221E1">
      <w:pPr>
        <w:pStyle w:val="Heading2"/>
        <w:rPr>
          <w:rFonts w:hint="eastAsia"/>
        </w:rPr>
      </w:pPr>
      <w:bookmarkStart w:id="16" w:name="_Toc182490814"/>
      <w:bookmarkStart w:id="17" w:name="_Toc192604335"/>
      <w:r>
        <w:t>Melbourne CBD</w:t>
      </w:r>
      <w:r w:rsidR="00C55B65">
        <w:t xml:space="preserve"> – </w:t>
      </w:r>
      <w:r w:rsidR="009B2762">
        <w:t>East</w:t>
      </w:r>
      <w:bookmarkEnd w:id="16"/>
      <w:bookmarkEnd w:id="17"/>
    </w:p>
    <w:p w14:paraId="41A4505F" w14:textId="4323B799" w:rsidR="00723A75" w:rsidRDefault="0EF83AAF" w:rsidP="4E54D03C">
      <w:pPr>
        <w:pStyle w:val="Heading3"/>
        <w:rPr>
          <w:rFonts w:hint="eastAsia"/>
        </w:rPr>
      </w:pPr>
      <w:bookmarkStart w:id="18" w:name="_Toc182490815"/>
      <w:bookmarkStart w:id="19" w:name="_Toc192604336"/>
      <w:r>
        <w:t xml:space="preserve">Table </w:t>
      </w:r>
      <w:r w:rsidR="00891621">
        <w:t>5</w:t>
      </w:r>
      <w:r w:rsidR="6CA1FDE4">
        <w:t xml:space="preserve"> </w:t>
      </w:r>
      <w:r w:rsidR="009F7577">
        <w:t>–</w:t>
      </w:r>
      <w:r w:rsidR="6CA1FDE4">
        <w:t xml:space="preserve"> </w:t>
      </w:r>
      <w:r w:rsidR="009F7577">
        <w:t>Spending</w:t>
      </w:r>
      <w:r w:rsidR="00E84AAE">
        <w:t xml:space="preserve"> by</w:t>
      </w:r>
      <w:r w:rsidR="009F7577">
        <w:t xml:space="preserve"> </w:t>
      </w:r>
      <w:r w:rsidR="00F64925">
        <w:t>c</w:t>
      </w:r>
      <w:r w:rsidR="009F7577">
        <w:t>ategor</w:t>
      </w:r>
      <w:r w:rsidR="000F3A62">
        <w:t>y</w:t>
      </w:r>
      <w:r w:rsidR="009F7577">
        <w:t>, Q</w:t>
      </w:r>
      <w:r w:rsidR="00CF6F1F">
        <w:t>4</w:t>
      </w:r>
      <w:r w:rsidR="009F7577">
        <w:t xml:space="preserve"> 2024</w:t>
      </w:r>
      <w:bookmarkEnd w:id="18"/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</w:tblGrid>
      <w:tr w:rsidR="00F64925" w:rsidRPr="008F55EC" w14:paraId="26E5A4B1" w14:textId="77777777" w:rsidTr="00F1256F">
        <w:tc>
          <w:tcPr>
            <w:tcW w:w="1980" w:type="dxa"/>
            <w:vAlign w:val="center"/>
          </w:tcPr>
          <w:p w14:paraId="2C98157F" w14:textId="6FA641CB" w:rsidR="00F64925" w:rsidRPr="00F64925" w:rsidRDefault="00F64925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F64925">
              <w:rPr>
                <w:rFonts w:cs="Arial"/>
                <w:b/>
                <w:bCs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2977" w:type="dxa"/>
            <w:vAlign w:val="center"/>
          </w:tcPr>
          <w:p w14:paraId="617D81B3" w14:textId="61FBE0AE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</w:tr>
      <w:tr w:rsidR="00F64925" w:rsidRPr="008F55EC" w14:paraId="13108588" w14:textId="77777777" w:rsidTr="00F1256F">
        <w:tc>
          <w:tcPr>
            <w:tcW w:w="1980" w:type="dxa"/>
            <w:vAlign w:val="center"/>
          </w:tcPr>
          <w:p w14:paraId="52EBED05" w14:textId="0B5D911C" w:rsidR="00F64925" w:rsidRPr="008F55EC" w:rsidRDefault="000A53E6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Retail</w:t>
            </w:r>
          </w:p>
        </w:tc>
        <w:tc>
          <w:tcPr>
            <w:tcW w:w="2977" w:type="dxa"/>
            <w:vAlign w:val="center"/>
          </w:tcPr>
          <w:p w14:paraId="3FF0C709" w14:textId="65EE3235" w:rsidR="00F64925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518,613,100</w:t>
            </w:r>
          </w:p>
        </w:tc>
      </w:tr>
      <w:tr w:rsidR="00F64925" w:rsidRPr="008F55EC" w14:paraId="1F9C9639" w14:textId="77777777" w:rsidTr="00F1256F">
        <w:tc>
          <w:tcPr>
            <w:tcW w:w="1980" w:type="dxa"/>
            <w:vAlign w:val="center"/>
          </w:tcPr>
          <w:p w14:paraId="7BDF5D0A" w14:textId="5C0877AD" w:rsidR="00F64925" w:rsidRPr="008F55EC" w:rsidRDefault="000A53E6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Entertainment</w:t>
            </w:r>
          </w:p>
        </w:tc>
        <w:tc>
          <w:tcPr>
            <w:tcW w:w="2977" w:type="dxa"/>
            <w:vAlign w:val="center"/>
          </w:tcPr>
          <w:p w14:paraId="43013009" w14:textId="084CE9B8" w:rsidR="00F64925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365,692,600</w:t>
            </w:r>
          </w:p>
        </w:tc>
      </w:tr>
      <w:tr w:rsidR="00F64925" w:rsidRPr="008F55EC" w14:paraId="5C543805" w14:textId="77777777" w:rsidTr="00F1256F">
        <w:tc>
          <w:tcPr>
            <w:tcW w:w="1980" w:type="dxa"/>
            <w:vAlign w:val="center"/>
          </w:tcPr>
          <w:p w14:paraId="5350B8E9" w14:textId="7BA47A5E" w:rsidR="00F64925" w:rsidRDefault="000A53E6" w:rsidP="00AA3C1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Commercial</w:t>
            </w:r>
          </w:p>
        </w:tc>
        <w:tc>
          <w:tcPr>
            <w:tcW w:w="2977" w:type="dxa"/>
            <w:vAlign w:val="center"/>
          </w:tcPr>
          <w:p w14:paraId="5AD29969" w14:textId="3B549613" w:rsidR="00F64925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89,579,010</w:t>
            </w:r>
          </w:p>
        </w:tc>
      </w:tr>
      <w:tr w:rsidR="00F64925" w:rsidRPr="008F55EC" w14:paraId="0FA24A07" w14:textId="77777777" w:rsidTr="00F1256F">
        <w:tc>
          <w:tcPr>
            <w:tcW w:w="1980" w:type="dxa"/>
            <w:vAlign w:val="center"/>
          </w:tcPr>
          <w:p w14:paraId="60F975CD" w14:textId="4A5802A3" w:rsidR="00F64925" w:rsidRDefault="000A53E6" w:rsidP="00AA3C1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Tourism</w:t>
            </w:r>
          </w:p>
        </w:tc>
        <w:tc>
          <w:tcPr>
            <w:tcW w:w="2977" w:type="dxa"/>
            <w:vAlign w:val="center"/>
          </w:tcPr>
          <w:p w14:paraId="5D292CA3" w14:textId="4986D04F" w:rsidR="00F64925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69,238,000</w:t>
            </w:r>
          </w:p>
        </w:tc>
      </w:tr>
    </w:tbl>
    <w:p w14:paraId="30D90A39" w14:textId="63EBC4FE" w:rsidR="009F7577" w:rsidRDefault="009F7577" w:rsidP="009F7577">
      <w:pPr>
        <w:pStyle w:val="Heading3"/>
        <w:rPr>
          <w:rFonts w:hint="eastAsia"/>
        </w:rPr>
      </w:pPr>
      <w:bookmarkStart w:id="20" w:name="_Toc182490816"/>
      <w:bookmarkStart w:id="21" w:name="_Toc192604337"/>
      <w:r>
        <w:t xml:space="preserve">Table </w:t>
      </w:r>
      <w:r w:rsidR="00891621">
        <w:t>6</w:t>
      </w:r>
      <w:r>
        <w:t xml:space="preserve"> – Work </w:t>
      </w:r>
      <w:r w:rsidR="00F64925">
        <w:t>h</w:t>
      </w:r>
      <w:r>
        <w:t xml:space="preserve">ours and </w:t>
      </w:r>
      <w:r w:rsidR="00F64925">
        <w:t>n</w:t>
      </w:r>
      <w:r>
        <w:t xml:space="preserve">on-work </w:t>
      </w:r>
      <w:r w:rsidR="00F64925">
        <w:t>h</w:t>
      </w:r>
      <w:r>
        <w:t xml:space="preserve">ours </w:t>
      </w:r>
      <w:r w:rsidR="00F64925">
        <w:t>s</w:t>
      </w:r>
      <w:r>
        <w:t>pend</w:t>
      </w:r>
      <w:r w:rsidR="00CA203B">
        <w:t>ing</w:t>
      </w:r>
      <w:r w:rsidR="00B776A9">
        <w:t xml:space="preserve"> in Melbourne CBD – </w:t>
      </w:r>
      <w:r w:rsidR="009B2762">
        <w:t>East</w:t>
      </w:r>
      <w:r>
        <w:t>, Q</w:t>
      </w:r>
      <w:r w:rsidR="00CF6F1F">
        <w:t>4</w:t>
      </w:r>
      <w:r>
        <w:t xml:space="preserve"> 2024</w:t>
      </w:r>
      <w:bookmarkEnd w:id="20"/>
      <w:bookmarkEnd w:id="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3118"/>
      </w:tblGrid>
      <w:tr w:rsidR="00F64925" w:rsidRPr="008F55EC" w14:paraId="4CEE8B83" w14:textId="04A459C0" w:rsidTr="00F64925">
        <w:tc>
          <w:tcPr>
            <w:tcW w:w="2689" w:type="dxa"/>
            <w:vAlign w:val="center"/>
          </w:tcPr>
          <w:p w14:paraId="4E87028C" w14:textId="28FD47F2" w:rsidR="00F64925" w:rsidRPr="00F64925" w:rsidRDefault="00F64925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Time Period</w:t>
            </w:r>
          </w:p>
        </w:tc>
        <w:tc>
          <w:tcPr>
            <w:tcW w:w="2268" w:type="dxa"/>
            <w:vAlign w:val="center"/>
          </w:tcPr>
          <w:p w14:paraId="2C7984F6" w14:textId="16AFE991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  <w:tc>
          <w:tcPr>
            <w:tcW w:w="3118" w:type="dxa"/>
          </w:tcPr>
          <w:p w14:paraId="3013D9C4" w14:textId="342EDAC2" w:rsidR="00F64925" w:rsidRDefault="00F64925" w:rsidP="00AA3C1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of Average Spend</w:t>
            </w:r>
          </w:p>
        </w:tc>
      </w:tr>
      <w:tr w:rsidR="00C55B65" w:rsidRPr="008F55EC" w14:paraId="722E7603" w14:textId="049604D4" w:rsidTr="00F64925">
        <w:tc>
          <w:tcPr>
            <w:tcW w:w="2689" w:type="dxa"/>
            <w:vAlign w:val="center"/>
          </w:tcPr>
          <w:p w14:paraId="766AF8A1" w14:textId="6F54513D" w:rsidR="00C55B65" w:rsidRPr="008F55EC" w:rsidRDefault="00C55B65" w:rsidP="00C55B65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Work hours</w:t>
            </w:r>
          </w:p>
        </w:tc>
        <w:tc>
          <w:tcPr>
            <w:tcW w:w="2268" w:type="dxa"/>
            <w:vAlign w:val="center"/>
          </w:tcPr>
          <w:p w14:paraId="00D122BE" w14:textId="16AE11F2" w:rsidR="00C55B65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578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0A43FD94" w14:textId="4123DDDD" w:rsidR="00C55B65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5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6</w:t>
            </w:r>
            <w:r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  <w:tr w:rsidR="00C55B65" w:rsidRPr="008F55EC" w14:paraId="71CF9BA6" w14:textId="6D63D1F5" w:rsidTr="00F64925">
        <w:tc>
          <w:tcPr>
            <w:tcW w:w="2689" w:type="dxa"/>
            <w:vAlign w:val="center"/>
          </w:tcPr>
          <w:p w14:paraId="7B724A9F" w14:textId="10BD9569" w:rsidR="00C55B65" w:rsidRPr="008F55EC" w:rsidRDefault="00C55B65" w:rsidP="00C55B65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Non-work hours</w:t>
            </w:r>
          </w:p>
        </w:tc>
        <w:tc>
          <w:tcPr>
            <w:tcW w:w="2268" w:type="dxa"/>
            <w:vAlign w:val="center"/>
          </w:tcPr>
          <w:p w14:paraId="6AA5B2F7" w14:textId="5412A326" w:rsidR="00C55B65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463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297A90E0" w14:textId="4D51180B" w:rsidR="00C55B65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4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4</w:t>
            </w:r>
            <w:r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</w:tbl>
    <w:p w14:paraId="2D6CEC97" w14:textId="1492CCD4" w:rsidR="004B0A87" w:rsidRDefault="004B0A87" w:rsidP="004B0A87">
      <w:pPr>
        <w:pStyle w:val="ListParagraph"/>
        <w:numPr>
          <w:ilvl w:val="0"/>
          <w:numId w:val="21"/>
        </w:numPr>
      </w:pPr>
      <w:r w:rsidRPr="005B476C">
        <w:t>Work hours are 8am to 6pm, Monday to Friday.</w:t>
      </w:r>
    </w:p>
    <w:p w14:paraId="66538CCA" w14:textId="4D3977E5" w:rsidR="002031FC" w:rsidRDefault="002031FC" w:rsidP="002031FC">
      <w:pPr>
        <w:pStyle w:val="Heading3"/>
        <w:rPr>
          <w:rFonts w:hint="eastAsia"/>
        </w:rPr>
      </w:pPr>
      <w:bookmarkStart w:id="22" w:name="_Toc182490817"/>
      <w:bookmarkStart w:id="23" w:name="_Toc192604338"/>
      <w:r>
        <w:t xml:space="preserve">Table </w:t>
      </w:r>
      <w:r w:rsidR="00891621">
        <w:t>7</w:t>
      </w:r>
      <w:r>
        <w:t xml:space="preserve"> – </w:t>
      </w:r>
      <w:r w:rsidRPr="002031FC">
        <w:t>Weekday and weekend spend</w:t>
      </w:r>
      <w:r w:rsidR="00CA203B">
        <w:t>ing</w:t>
      </w:r>
      <w:r w:rsidRPr="002031FC">
        <w:t xml:space="preserve"> in Melbourne CBD</w:t>
      </w:r>
      <w:r w:rsidR="00C55B65">
        <w:t xml:space="preserve"> – </w:t>
      </w:r>
      <w:r w:rsidR="009B2762">
        <w:t>East</w:t>
      </w:r>
      <w:r w:rsidRPr="002031FC">
        <w:t>, Q</w:t>
      </w:r>
      <w:r w:rsidR="00CF6F1F">
        <w:t>4</w:t>
      </w:r>
      <w:r w:rsidRPr="002031FC">
        <w:t xml:space="preserve"> 2024</w:t>
      </w:r>
      <w:bookmarkEnd w:id="22"/>
      <w:bookmarkEnd w:id="23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3118"/>
      </w:tblGrid>
      <w:tr w:rsidR="00C55B65" w:rsidRPr="008F55EC" w14:paraId="17F54338" w14:textId="77777777" w:rsidTr="00922857">
        <w:tc>
          <w:tcPr>
            <w:tcW w:w="2689" w:type="dxa"/>
            <w:vAlign w:val="center"/>
          </w:tcPr>
          <w:p w14:paraId="2E4CFDFF" w14:textId="6FDE38F0" w:rsidR="00C55B65" w:rsidRPr="00F64925" w:rsidRDefault="00C55B65" w:rsidP="00C55B65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Time Period</w:t>
            </w:r>
          </w:p>
        </w:tc>
        <w:tc>
          <w:tcPr>
            <w:tcW w:w="2268" w:type="dxa"/>
            <w:vAlign w:val="center"/>
          </w:tcPr>
          <w:p w14:paraId="5AB8E698" w14:textId="3B3B5097" w:rsidR="00C55B65" w:rsidRPr="008F55EC" w:rsidRDefault="00C55B65" w:rsidP="00C55B65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  <w:tc>
          <w:tcPr>
            <w:tcW w:w="3118" w:type="dxa"/>
          </w:tcPr>
          <w:p w14:paraId="02732F96" w14:textId="6D8F7F01" w:rsidR="00C55B65" w:rsidRDefault="00C55B65" w:rsidP="00C55B6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of Average Spend</w:t>
            </w:r>
          </w:p>
        </w:tc>
      </w:tr>
      <w:tr w:rsidR="00C55B65" w:rsidRPr="008F55EC" w14:paraId="3CFC5ABF" w14:textId="77777777" w:rsidTr="00922857">
        <w:tc>
          <w:tcPr>
            <w:tcW w:w="2689" w:type="dxa"/>
            <w:vAlign w:val="center"/>
          </w:tcPr>
          <w:p w14:paraId="372077E4" w14:textId="4D3E99DA" w:rsidR="00C55B65" w:rsidRPr="008F55EC" w:rsidRDefault="00C55B65" w:rsidP="00C55B65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Weekdays</w:t>
            </w:r>
          </w:p>
        </w:tc>
        <w:tc>
          <w:tcPr>
            <w:tcW w:w="2268" w:type="dxa"/>
            <w:vAlign w:val="center"/>
          </w:tcPr>
          <w:p w14:paraId="73A42750" w14:textId="45D5D9C9" w:rsidR="00C55B65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729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7B851ED2" w14:textId="768E675D" w:rsidR="00C55B65" w:rsidRPr="008F55EC" w:rsidRDefault="00CF6F1F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70</w:t>
            </w:r>
            <w:r w:rsidR="000A53E6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  <w:tr w:rsidR="00C55B65" w:rsidRPr="008F55EC" w14:paraId="0B046565" w14:textId="77777777" w:rsidTr="00922857">
        <w:tc>
          <w:tcPr>
            <w:tcW w:w="2689" w:type="dxa"/>
            <w:vAlign w:val="center"/>
          </w:tcPr>
          <w:p w14:paraId="38321FFD" w14:textId="75A13036" w:rsidR="00C55B65" w:rsidRPr="008F55EC" w:rsidRDefault="00C55B65" w:rsidP="00C55B65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Weekends</w:t>
            </w:r>
          </w:p>
        </w:tc>
        <w:tc>
          <w:tcPr>
            <w:tcW w:w="2268" w:type="dxa"/>
            <w:vAlign w:val="center"/>
          </w:tcPr>
          <w:p w14:paraId="7601F523" w14:textId="1FDCB803" w:rsidR="00C55B65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313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442643D0" w14:textId="24682EA1" w:rsidR="00C55B65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3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0</w:t>
            </w:r>
            <w:r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</w:tbl>
    <w:p w14:paraId="0BEFA9AD" w14:textId="2AD0BA97" w:rsidR="009F7577" w:rsidRDefault="009F7577" w:rsidP="009F7577">
      <w:pPr>
        <w:pStyle w:val="Heading3"/>
        <w:rPr>
          <w:rFonts w:hint="eastAsia"/>
        </w:rPr>
      </w:pPr>
      <w:bookmarkStart w:id="24" w:name="_Toc182490818"/>
      <w:bookmarkStart w:id="25" w:name="_Toc192604339"/>
      <w:r>
        <w:t xml:space="preserve">Table </w:t>
      </w:r>
      <w:r w:rsidR="00891621">
        <w:t>8</w:t>
      </w:r>
      <w:r w:rsidR="002031FC">
        <w:t>.</w:t>
      </w:r>
      <w:r w:rsidR="002F4DE8">
        <w:t>a</w:t>
      </w:r>
      <w:r>
        <w:t xml:space="preserve"> – </w:t>
      </w:r>
      <w:r w:rsidR="000F3A62" w:rsidRPr="000F3A62">
        <w:t>Where spending in Melbourne CBD</w:t>
      </w:r>
      <w:r w:rsidR="00C55B65">
        <w:t xml:space="preserve"> –</w:t>
      </w:r>
      <w:r w:rsidR="009B2762">
        <w:t xml:space="preserve"> East</w:t>
      </w:r>
      <w:r w:rsidR="000F3A62" w:rsidRPr="000F3A62">
        <w:t xml:space="preserve"> came from, Q</w:t>
      </w:r>
      <w:r w:rsidR="00B9025E">
        <w:t>4</w:t>
      </w:r>
      <w:r w:rsidR="000F3A62" w:rsidRPr="000F3A62">
        <w:t xml:space="preserve"> 2024</w:t>
      </w:r>
      <w:bookmarkEnd w:id="24"/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3118"/>
      </w:tblGrid>
      <w:tr w:rsidR="00BA5216" w:rsidRPr="008F55EC" w14:paraId="225C4378" w14:textId="77777777" w:rsidTr="00AA3C19">
        <w:tc>
          <w:tcPr>
            <w:tcW w:w="2972" w:type="dxa"/>
            <w:vAlign w:val="center"/>
          </w:tcPr>
          <w:p w14:paraId="6CDF0906" w14:textId="77777777" w:rsidR="00BA5216" w:rsidRPr="00F64925" w:rsidRDefault="00BA5216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Customer Type</w:t>
            </w:r>
          </w:p>
        </w:tc>
        <w:tc>
          <w:tcPr>
            <w:tcW w:w="1985" w:type="dxa"/>
            <w:vAlign w:val="center"/>
          </w:tcPr>
          <w:p w14:paraId="436A0B3D" w14:textId="77777777" w:rsidR="00BA5216" w:rsidRPr="008F55EC" w:rsidRDefault="00BA5216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  <w:tc>
          <w:tcPr>
            <w:tcW w:w="3118" w:type="dxa"/>
          </w:tcPr>
          <w:p w14:paraId="563DF7E7" w14:textId="77777777" w:rsidR="00BA5216" w:rsidRDefault="00BA5216" w:rsidP="00AA3C1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of Average Spend</w:t>
            </w:r>
          </w:p>
        </w:tc>
      </w:tr>
      <w:tr w:rsidR="00BA5216" w:rsidRPr="008F55EC" w14:paraId="7561685D" w14:textId="77777777" w:rsidTr="00AA3C19">
        <w:tc>
          <w:tcPr>
            <w:tcW w:w="2972" w:type="dxa"/>
            <w:vAlign w:val="center"/>
          </w:tcPr>
          <w:p w14:paraId="4895114F" w14:textId="77777777" w:rsidR="00BA5216" w:rsidRPr="008F55EC" w:rsidRDefault="00BA5216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City of Melbourne residents</w:t>
            </w:r>
          </w:p>
        </w:tc>
        <w:tc>
          <w:tcPr>
            <w:tcW w:w="1985" w:type="dxa"/>
            <w:vAlign w:val="center"/>
          </w:tcPr>
          <w:p w14:paraId="19C5DED1" w14:textId="41479329" w:rsidR="00BA5216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9</w:t>
            </w:r>
            <w:r w:rsidR="001C6A3B">
              <w:rPr>
                <w:rFonts w:cs="Arial"/>
                <w:sz w:val="22"/>
                <w:szCs w:val="22"/>
                <w:lang w:val="en-US"/>
              </w:rPr>
              <w:t>5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5701A69B" w14:textId="70D00271" w:rsidR="00BA5216" w:rsidRPr="008F55EC" w:rsidRDefault="001C6A3B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9</w:t>
            </w:r>
            <w:r w:rsidR="000A53E6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  <w:tr w:rsidR="00BA5216" w:rsidRPr="008F55EC" w14:paraId="1F7EF73E" w14:textId="77777777" w:rsidTr="00AA3C19">
        <w:tc>
          <w:tcPr>
            <w:tcW w:w="2972" w:type="dxa"/>
            <w:vAlign w:val="center"/>
          </w:tcPr>
          <w:p w14:paraId="34EDB2BE" w14:textId="77777777" w:rsidR="00BA5216" w:rsidRPr="008F55EC" w:rsidRDefault="00BA5216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Visitors</w:t>
            </w:r>
          </w:p>
        </w:tc>
        <w:tc>
          <w:tcPr>
            <w:tcW w:w="1985" w:type="dxa"/>
            <w:vAlign w:val="center"/>
          </w:tcPr>
          <w:p w14:paraId="1DEEFFB6" w14:textId="42EAB56F" w:rsidR="00BA5216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CF6F1F">
              <w:rPr>
                <w:rFonts w:cs="Arial"/>
                <w:sz w:val="22"/>
                <w:szCs w:val="22"/>
                <w:lang w:val="en-US"/>
              </w:rPr>
              <w:t>946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74D4B70A" w14:textId="61B3A21E" w:rsidR="00BA5216" w:rsidRPr="008F55EC" w:rsidRDefault="001C6A3B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91</w:t>
            </w:r>
            <w:r w:rsidR="000A53E6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</w:tbl>
    <w:p w14:paraId="1195A177" w14:textId="3C814444" w:rsidR="009F7577" w:rsidRDefault="009F7577" w:rsidP="009F7577">
      <w:pPr>
        <w:pStyle w:val="Heading3"/>
        <w:rPr>
          <w:rFonts w:hint="eastAsia"/>
        </w:rPr>
      </w:pPr>
      <w:bookmarkStart w:id="26" w:name="_Toc182490819"/>
      <w:bookmarkStart w:id="27" w:name="_Toc192604340"/>
      <w:r>
        <w:lastRenderedPageBreak/>
        <w:t xml:space="preserve">Table </w:t>
      </w:r>
      <w:r w:rsidR="00891621">
        <w:t>8</w:t>
      </w:r>
      <w:r w:rsidR="002031FC">
        <w:t>.</w:t>
      </w:r>
      <w:r w:rsidR="002F4DE8">
        <w:t>b</w:t>
      </w:r>
      <w:r>
        <w:t xml:space="preserve"> – </w:t>
      </w:r>
      <w:r w:rsidR="002031FC" w:rsidRPr="000F3A62">
        <w:t>Where spending in Melbourne CBD</w:t>
      </w:r>
      <w:r w:rsidR="00C55B65">
        <w:t xml:space="preserve"> – </w:t>
      </w:r>
      <w:r w:rsidR="009B2762">
        <w:t>East</w:t>
      </w:r>
      <w:r w:rsidR="002031FC" w:rsidRPr="000F3A62">
        <w:t xml:space="preserve"> came from, Q</w:t>
      </w:r>
      <w:r w:rsidR="002F341E">
        <w:t>4</w:t>
      </w:r>
      <w:r w:rsidR="002031FC" w:rsidRPr="000F3A62">
        <w:t xml:space="preserve"> 2024</w:t>
      </w:r>
      <w:bookmarkEnd w:id="26"/>
      <w:bookmarkEnd w:id="2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</w:tblGrid>
      <w:tr w:rsidR="0009455A" w:rsidRPr="008F55EC" w14:paraId="347534B0" w14:textId="77777777" w:rsidTr="002F341E">
        <w:tc>
          <w:tcPr>
            <w:tcW w:w="2972" w:type="dxa"/>
            <w:vAlign w:val="center"/>
          </w:tcPr>
          <w:p w14:paraId="65AB01C5" w14:textId="2E359215" w:rsidR="0009455A" w:rsidRPr="00F64925" w:rsidRDefault="009B4DE8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Council Area</w:t>
            </w:r>
          </w:p>
        </w:tc>
        <w:tc>
          <w:tcPr>
            <w:tcW w:w="1985" w:type="dxa"/>
            <w:vAlign w:val="center"/>
          </w:tcPr>
          <w:p w14:paraId="6C6FC5FE" w14:textId="50F63F6D" w:rsidR="0009455A" w:rsidRPr="008F55EC" w:rsidRDefault="0009455A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</w:tr>
      <w:tr w:rsidR="0009455A" w:rsidRPr="008F55EC" w14:paraId="657AB0E9" w14:textId="77777777" w:rsidTr="002F341E">
        <w:tc>
          <w:tcPr>
            <w:tcW w:w="2972" w:type="dxa"/>
            <w:vAlign w:val="center"/>
          </w:tcPr>
          <w:p w14:paraId="0F730355" w14:textId="31E2245E" w:rsidR="0009455A" w:rsidRPr="008F55EC" w:rsidRDefault="000A53E6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Boroondara</w:t>
            </w:r>
          </w:p>
        </w:tc>
        <w:tc>
          <w:tcPr>
            <w:tcW w:w="1985" w:type="dxa"/>
            <w:vAlign w:val="center"/>
          </w:tcPr>
          <w:p w14:paraId="4A537A9E" w14:textId="1DCDE108" w:rsidR="0009455A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44,290,300</w:t>
            </w:r>
          </w:p>
        </w:tc>
      </w:tr>
      <w:tr w:rsidR="0009455A" w:rsidRPr="008F55EC" w14:paraId="69C0E613" w14:textId="77777777" w:rsidTr="002F341E">
        <w:tc>
          <w:tcPr>
            <w:tcW w:w="2972" w:type="dxa"/>
            <w:vAlign w:val="center"/>
          </w:tcPr>
          <w:p w14:paraId="2EE1B5FC" w14:textId="60367ECF" w:rsidR="0009455A" w:rsidRPr="008F55EC" w:rsidRDefault="001C6A3B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Port Phillip</w:t>
            </w:r>
          </w:p>
        </w:tc>
        <w:tc>
          <w:tcPr>
            <w:tcW w:w="1985" w:type="dxa"/>
            <w:vAlign w:val="center"/>
          </w:tcPr>
          <w:p w14:paraId="240F4822" w14:textId="5E4AB49E" w:rsidR="0009455A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41,789,400</w:t>
            </w:r>
          </w:p>
        </w:tc>
      </w:tr>
      <w:tr w:rsidR="0009455A" w:rsidRPr="008F55EC" w14:paraId="505FC20A" w14:textId="77777777" w:rsidTr="002F341E">
        <w:tc>
          <w:tcPr>
            <w:tcW w:w="2972" w:type="dxa"/>
            <w:vAlign w:val="center"/>
          </w:tcPr>
          <w:p w14:paraId="28475F50" w14:textId="7270E53C" w:rsidR="0009455A" w:rsidRPr="008F55EC" w:rsidRDefault="001C6A3B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Yarra</w:t>
            </w:r>
          </w:p>
        </w:tc>
        <w:tc>
          <w:tcPr>
            <w:tcW w:w="1985" w:type="dxa"/>
            <w:vAlign w:val="center"/>
          </w:tcPr>
          <w:p w14:paraId="552055EE" w14:textId="5F0D04F0" w:rsidR="0009455A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39,730,700</w:t>
            </w:r>
          </w:p>
        </w:tc>
      </w:tr>
      <w:tr w:rsidR="0009455A" w:rsidRPr="008F55EC" w14:paraId="12BEB79F" w14:textId="77777777" w:rsidTr="002F341E">
        <w:tc>
          <w:tcPr>
            <w:tcW w:w="2972" w:type="dxa"/>
            <w:vAlign w:val="center"/>
          </w:tcPr>
          <w:p w14:paraId="04A3DA5F" w14:textId="37D0C297" w:rsidR="0009455A" w:rsidRPr="008F55EC" w:rsidRDefault="001C6A3B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Stonnington</w:t>
            </w:r>
            <w:r w:rsidR="000A53E6">
              <w:rPr>
                <w:rFonts w:cs="Arial"/>
                <w:sz w:val="22"/>
                <w:szCs w:val="22"/>
                <w:lang w:val="en-US"/>
              </w:rPr>
              <w:t xml:space="preserve"> – </w:t>
            </w:r>
            <w:r>
              <w:rPr>
                <w:rFonts w:cs="Arial"/>
                <w:sz w:val="22"/>
                <w:szCs w:val="22"/>
                <w:lang w:val="en-US"/>
              </w:rPr>
              <w:t>West</w:t>
            </w:r>
          </w:p>
        </w:tc>
        <w:tc>
          <w:tcPr>
            <w:tcW w:w="1985" w:type="dxa"/>
            <w:vAlign w:val="center"/>
          </w:tcPr>
          <w:p w14:paraId="1CFD0EBC" w14:textId="44B19704" w:rsidR="0009455A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27,894,000</w:t>
            </w:r>
          </w:p>
        </w:tc>
      </w:tr>
      <w:tr w:rsidR="0009455A" w:rsidRPr="008F55EC" w14:paraId="60C50255" w14:textId="77777777" w:rsidTr="002F341E">
        <w:tc>
          <w:tcPr>
            <w:tcW w:w="2972" w:type="dxa"/>
            <w:vAlign w:val="center"/>
          </w:tcPr>
          <w:p w14:paraId="3997096E" w14:textId="7B9199DF" w:rsidR="0009455A" w:rsidRPr="008F55EC" w:rsidRDefault="001C6A3B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Brunswick – Coburg</w:t>
            </w:r>
          </w:p>
        </w:tc>
        <w:tc>
          <w:tcPr>
            <w:tcW w:w="1985" w:type="dxa"/>
            <w:vAlign w:val="center"/>
          </w:tcPr>
          <w:p w14:paraId="7251A36A" w14:textId="4C2CD450" w:rsidR="0009455A" w:rsidRPr="008F55EC" w:rsidRDefault="000A53E6" w:rsidP="000A53E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23,962,900</w:t>
            </w:r>
          </w:p>
        </w:tc>
      </w:tr>
    </w:tbl>
    <w:p w14:paraId="162E34AB" w14:textId="2B1E48D6" w:rsidR="009B2762" w:rsidRPr="009F7577" w:rsidRDefault="002F341E" w:rsidP="009B2762">
      <w:pPr>
        <w:pStyle w:val="Heading2"/>
        <w:rPr>
          <w:rFonts w:hint="eastAsia"/>
        </w:rPr>
      </w:pPr>
      <w:bookmarkStart w:id="28" w:name="_Toc192604341"/>
      <w:r>
        <w:t>Southbank</w:t>
      </w:r>
      <w:bookmarkEnd w:id="28"/>
    </w:p>
    <w:p w14:paraId="594C2F00" w14:textId="07059655" w:rsidR="00F64925" w:rsidRDefault="00F64925" w:rsidP="00F64925">
      <w:pPr>
        <w:pStyle w:val="Heading3"/>
        <w:rPr>
          <w:rFonts w:hint="eastAsia"/>
        </w:rPr>
      </w:pPr>
      <w:bookmarkStart w:id="29" w:name="_Toc182490821"/>
      <w:bookmarkStart w:id="30" w:name="_Toc192604342"/>
      <w:r>
        <w:t>Table 1</w:t>
      </w:r>
      <w:r w:rsidR="00891621">
        <w:t>0</w:t>
      </w:r>
      <w:r>
        <w:t xml:space="preserve"> – Spending</w:t>
      </w:r>
      <w:r w:rsidR="000F3A62">
        <w:t xml:space="preserve"> by</w:t>
      </w:r>
      <w:r>
        <w:t xml:space="preserve"> categor</w:t>
      </w:r>
      <w:r w:rsidR="000F3A62">
        <w:t>y</w:t>
      </w:r>
      <w:r>
        <w:t>, Q</w:t>
      </w:r>
      <w:r w:rsidR="002F341E">
        <w:t>4</w:t>
      </w:r>
      <w:r>
        <w:t xml:space="preserve"> 2024</w:t>
      </w:r>
      <w:bookmarkEnd w:id="29"/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</w:tblGrid>
      <w:tr w:rsidR="00F1256F" w:rsidRPr="008F55EC" w14:paraId="552FD9E6" w14:textId="77777777" w:rsidTr="00AA3C19">
        <w:tc>
          <w:tcPr>
            <w:tcW w:w="1980" w:type="dxa"/>
            <w:vAlign w:val="center"/>
          </w:tcPr>
          <w:p w14:paraId="32602796" w14:textId="77777777" w:rsidR="00F1256F" w:rsidRPr="00F64925" w:rsidRDefault="00F1256F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F64925">
              <w:rPr>
                <w:rFonts w:cs="Arial"/>
                <w:b/>
                <w:bCs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2977" w:type="dxa"/>
            <w:vAlign w:val="center"/>
          </w:tcPr>
          <w:p w14:paraId="2DDB67F4" w14:textId="77777777" w:rsidR="00F1256F" w:rsidRPr="008F55EC" w:rsidRDefault="00F1256F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</w:tr>
      <w:tr w:rsidR="00F1256F" w:rsidRPr="008F55EC" w14:paraId="59DBFAF7" w14:textId="77777777" w:rsidTr="00AA3C19">
        <w:tc>
          <w:tcPr>
            <w:tcW w:w="1980" w:type="dxa"/>
            <w:vAlign w:val="center"/>
          </w:tcPr>
          <w:p w14:paraId="27C739BA" w14:textId="6A0B456D" w:rsidR="00F1256F" w:rsidRPr="008F55EC" w:rsidRDefault="002F341E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Retail</w:t>
            </w:r>
          </w:p>
        </w:tc>
        <w:tc>
          <w:tcPr>
            <w:tcW w:w="2977" w:type="dxa"/>
            <w:vAlign w:val="center"/>
          </w:tcPr>
          <w:p w14:paraId="20FE6100" w14:textId="36053D19" w:rsidR="00F1256F" w:rsidRPr="008F55EC" w:rsidRDefault="00387840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146,713,100</w:t>
            </w:r>
          </w:p>
        </w:tc>
      </w:tr>
      <w:tr w:rsidR="00F1256F" w:rsidRPr="008F55EC" w14:paraId="25A21A5F" w14:textId="77777777" w:rsidTr="00AA3C19">
        <w:tc>
          <w:tcPr>
            <w:tcW w:w="1980" w:type="dxa"/>
            <w:vAlign w:val="center"/>
          </w:tcPr>
          <w:p w14:paraId="6737B7E2" w14:textId="4FD7E4D4" w:rsidR="00F1256F" w:rsidRPr="008F55EC" w:rsidRDefault="002F341E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Entertainment</w:t>
            </w:r>
          </w:p>
        </w:tc>
        <w:tc>
          <w:tcPr>
            <w:tcW w:w="2977" w:type="dxa"/>
            <w:vAlign w:val="center"/>
          </w:tcPr>
          <w:p w14:paraId="5F96575B" w14:textId="31D4C004" w:rsidR="00F1256F" w:rsidRPr="008F55EC" w:rsidRDefault="00387840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110,465,700</w:t>
            </w:r>
          </w:p>
        </w:tc>
      </w:tr>
      <w:tr w:rsidR="00F1256F" w:rsidRPr="008F55EC" w14:paraId="1C6BB9C9" w14:textId="77777777" w:rsidTr="00AA3C19">
        <w:tc>
          <w:tcPr>
            <w:tcW w:w="1980" w:type="dxa"/>
            <w:vAlign w:val="center"/>
          </w:tcPr>
          <w:p w14:paraId="56DA7FF5" w14:textId="29E117CA" w:rsidR="00F1256F" w:rsidRDefault="001C6A3B" w:rsidP="00AA3C1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Tourism</w:t>
            </w:r>
          </w:p>
        </w:tc>
        <w:tc>
          <w:tcPr>
            <w:tcW w:w="2977" w:type="dxa"/>
            <w:vAlign w:val="center"/>
          </w:tcPr>
          <w:p w14:paraId="176BC4DB" w14:textId="5905D864" w:rsidR="00F1256F" w:rsidRPr="008F55EC" w:rsidRDefault="00387840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107,003,000</w:t>
            </w:r>
          </w:p>
        </w:tc>
      </w:tr>
      <w:tr w:rsidR="00F1256F" w:rsidRPr="008F55EC" w14:paraId="1C3D02E2" w14:textId="77777777" w:rsidTr="00AA3C19">
        <w:tc>
          <w:tcPr>
            <w:tcW w:w="1980" w:type="dxa"/>
            <w:vAlign w:val="center"/>
          </w:tcPr>
          <w:p w14:paraId="6BC31EA5" w14:textId="13E569DF" w:rsidR="00F1256F" w:rsidRDefault="001C6A3B" w:rsidP="00AA3C1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Commercial</w:t>
            </w:r>
          </w:p>
        </w:tc>
        <w:tc>
          <w:tcPr>
            <w:tcW w:w="2977" w:type="dxa"/>
            <w:vAlign w:val="center"/>
          </w:tcPr>
          <w:p w14:paraId="377B9CD9" w14:textId="7A1C5C78" w:rsidR="00F1256F" w:rsidRPr="008F55EC" w:rsidRDefault="00387840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11,014,500</w:t>
            </w:r>
          </w:p>
        </w:tc>
      </w:tr>
    </w:tbl>
    <w:p w14:paraId="5AB3FD66" w14:textId="47246A37" w:rsidR="00F64925" w:rsidRDefault="00F64925" w:rsidP="00F64925">
      <w:pPr>
        <w:pStyle w:val="Heading3"/>
        <w:rPr>
          <w:rFonts w:hint="eastAsia"/>
        </w:rPr>
      </w:pPr>
      <w:bookmarkStart w:id="31" w:name="_Toc182490822"/>
      <w:bookmarkStart w:id="32" w:name="_Toc192604343"/>
      <w:r>
        <w:t>Table 1</w:t>
      </w:r>
      <w:r w:rsidR="00891621">
        <w:t>1</w:t>
      </w:r>
      <w:r>
        <w:t xml:space="preserve"> – Work hours and non-work hours spend</w:t>
      </w:r>
      <w:r w:rsidR="00CA203B">
        <w:t>ing</w:t>
      </w:r>
      <w:r w:rsidR="00B776A9">
        <w:t xml:space="preserve"> </w:t>
      </w:r>
      <w:r w:rsidR="00B776A9" w:rsidRPr="002031FC">
        <w:t xml:space="preserve">in </w:t>
      </w:r>
      <w:r w:rsidR="002F341E">
        <w:t>Southbank</w:t>
      </w:r>
      <w:r>
        <w:t>, Q</w:t>
      </w:r>
      <w:r w:rsidR="002F341E">
        <w:t>4</w:t>
      </w:r>
      <w:r>
        <w:t xml:space="preserve"> 2024</w:t>
      </w:r>
      <w:bookmarkEnd w:id="31"/>
      <w:bookmarkEnd w:id="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3118"/>
      </w:tblGrid>
      <w:tr w:rsidR="00BA5216" w:rsidRPr="008F55EC" w14:paraId="1E14B8A4" w14:textId="77777777" w:rsidTr="00BA5216">
        <w:tc>
          <w:tcPr>
            <w:tcW w:w="2972" w:type="dxa"/>
            <w:vAlign w:val="center"/>
          </w:tcPr>
          <w:p w14:paraId="3B41BC8E" w14:textId="77777777" w:rsidR="00F64925" w:rsidRPr="00F64925" w:rsidRDefault="00F64925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Time Period</w:t>
            </w:r>
          </w:p>
        </w:tc>
        <w:tc>
          <w:tcPr>
            <w:tcW w:w="1985" w:type="dxa"/>
            <w:vAlign w:val="center"/>
          </w:tcPr>
          <w:p w14:paraId="63EB6255" w14:textId="77777777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  <w:tc>
          <w:tcPr>
            <w:tcW w:w="3118" w:type="dxa"/>
          </w:tcPr>
          <w:p w14:paraId="58285369" w14:textId="77777777" w:rsidR="00F64925" w:rsidRDefault="00F64925" w:rsidP="00AA3C1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of Average Spend</w:t>
            </w:r>
          </w:p>
        </w:tc>
      </w:tr>
      <w:tr w:rsidR="00BA5216" w:rsidRPr="008F55EC" w14:paraId="445B3108" w14:textId="77777777" w:rsidTr="00BA5216">
        <w:tc>
          <w:tcPr>
            <w:tcW w:w="2972" w:type="dxa"/>
            <w:vAlign w:val="center"/>
          </w:tcPr>
          <w:p w14:paraId="1BFC28B9" w14:textId="77777777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Work hours</w:t>
            </w:r>
          </w:p>
        </w:tc>
        <w:tc>
          <w:tcPr>
            <w:tcW w:w="1985" w:type="dxa"/>
            <w:vAlign w:val="center"/>
          </w:tcPr>
          <w:p w14:paraId="33B2FD13" w14:textId="08FCB0AE" w:rsidR="00F64925" w:rsidRPr="008F55EC" w:rsidRDefault="00387840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F44EDC">
              <w:rPr>
                <w:rFonts w:cs="Arial"/>
                <w:sz w:val="22"/>
                <w:szCs w:val="22"/>
                <w:lang w:val="en-US"/>
              </w:rPr>
              <w:t>1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75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74A3A0C2" w14:textId="373031B4" w:rsidR="00F64925" w:rsidRPr="008F55EC" w:rsidRDefault="002F341E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47</w:t>
            </w:r>
            <w:r w:rsidR="00387840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  <w:tr w:rsidR="00BA5216" w:rsidRPr="008F55EC" w14:paraId="0E667ED7" w14:textId="77777777" w:rsidTr="00BA5216">
        <w:tc>
          <w:tcPr>
            <w:tcW w:w="2972" w:type="dxa"/>
            <w:vAlign w:val="center"/>
          </w:tcPr>
          <w:p w14:paraId="7974D1CD" w14:textId="77777777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Non-work hours</w:t>
            </w:r>
          </w:p>
        </w:tc>
        <w:tc>
          <w:tcPr>
            <w:tcW w:w="1985" w:type="dxa"/>
            <w:vAlign w:val="center"/>
          </w:tcPr>
          <w:p w14:paraId="11A193C5" w14:textId="137EA701" w:rsidR="00F64925" w:rsidRPr="008F55EC" w:rsidRDefault="00387840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198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7EAEAE6D" w14:textId="1B5C2BE9" w:rsidR="00F64925" w:rsidRPr="008F55EC" w:rsidRDefault="002F341E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53</w:t>
            </w:r>
            <w:r w:rsidR="00387840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</w:tbl>
    <w:p w14:paraId="5D4489CB" w14:textId="3A0D5253" w:rsidR="004B0A87" w:rsidRDefault="004B0A87" w:rsidP="002F341E">
      <w:pPr>
        <w:pStyle w:val="ListParagraph"/>
        <w:numPr>
          <w:ilvl w:val="0"/>
          <w:numId w:val="0"/>
        </w:numPr>
        <w:ind w:left="720"/>
      </w:pPr>
    </w:p>
    <w:p w14:paraId="53D041BE" w14:textId="6494FBEE" w:rsidR="009B4DE8" w:rsidRDefault="009B4DE8" w:rsidP="009B4DE8">
      <w:pPr>
        <w:pStyle w:val="Heading3"/>
        <w:rPr>
          <w:rFonts w:hint="eastAsia"/>
        </w:rPr>
      </w:pPr>
      <w:bookmarkStart w:id="33" w:name="_Toc182490823"/>
      <w:bookmarkStart w:id="34" w:name="_Toc192604344"/>
      <w:r>
        <w:t>Table 1</w:t>
      </w:r>
      <w:r w:rsidR="00891621">
        <w:t>2</w:t>
      </w:r>
      <w:r>
        <w:t xml:space="preserve"> – </w:t>
      </w:r>
      <w:r w:rsidRPr="002031FC">
        <w:t>Weekday and weekend spend</w:t>
      </w:r>
      <w:r w:rsidR="00CA203B">
        <w:t>ing</w:t>
      </w:r>
      <w:r w:rsidRPr="002031FC">
        <w:t xml:space="preserve"> in </w:t>
      </w:r>
      <w:r w:rsidR="002F341E">
        <w:t>Southbank</w:t>
      </w:r>
      <w:r w:rsidR="009B2762">
        <w:t>, Q</w:t>
      </w:r>
      <w:r w:rsidR="002F341E">
        <w:t>4</w:t>
      </w:r>
      <w:r w:rsidR="009B2762">
        <w:t xml:space="preserve"> </w:t>
      </w:r>
      <w:r w:rsidRPr="002031FC">
        <w:t>2024</w:t>
      </w:r>
      <w:bookmarkEnd w:id="33"/>
      <w:bookmarkEnd w:id="34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3118"/>
      </w:tblGrid>
      <w:tr w:rsidR="009B4DE8" w:rsidRPr="008F55EC" w14:paraId="0D8C98E4" w14:textId="77777777" w:rsidTr="00922857">
        <w:tc>
          <w:tcPr>
            <w:tcW w:w="2689" w:type="dxa"/>
            <w:vAlign w:val="center"/>
          </w:tcPr>
          <w:p w14:paraId="7776F807" w14:textId="77777777" w:rsidR="009B4DE8" w:rsidRPr="00F64925" w:rsidRDefault="009B4DE8" w:rsidP="00922857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Time Period</w:t>
            </w:r>
          </w:p>
        </w:tc>
        <w:tc>
          <w:tcPr>
            <w:tcW w:w="2268" w:type="dxa"/>
            <w:vAlign w:val="center"/>
          </w:tcPr>
          <w:p w14:paraId="2A1614DD" w14:textId="77777777" w:rsidR="009B4DE8" w:rsidRPr="008F55EC" w:rsidRDefault="009B4DE8" w:rsidP="00922857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  <w:tc>
          <w:tcPr>
            <w:tcW w:w="3118" w:type="dxa"/>
          </w:tcPr>
          <w:p w14:paraId="2C2B208D" w14:textId="77777777" w:rsidR="009B4DE8" w:rsidRDefault="009B4DE8" w:rsidP="00922857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of Average Spend</w:t>
            </w:r>
          </w:p>
        </w:tc>
      </w:tr>
      <w:tr w:rsidR="009B4DE8" w:rsidRPr="008F55EC" w14:paraId="6C49F10F" w14:textId="77777777" w:rsidTr="00922857">
        <w:tc>
          <w:tcPr>
            <w:tcW w:w="2689" w:type="dxa"/>
            <w:vAlign w:val="center"/>
          </w:tcPr>
          <w:p w14:paraId="65D22A3C" w14:textId="77777777" w:rsidR="009B4DE8" w:rsidRPr="008F55EC" w:rsidRDefault="009B4DE8" w:rsidP="00922857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Weekdays</w:t>
            </w:r>
          </w:p>
        </w:tc>
        <w:tc>
          <w:tcPr>
            <w:tcW w:w="2268" w:type="dxa"/>
            <w:vAlign w:val="center"/>
          </w:tcPr>
          <w:p w14:paraId="4AAB1D9B" w14:textId="363E6F53" w:rsidR="009B4DE8" w:rsidRPr="008F55EC" w:rsidRDefault="00387840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241,000,000</w:t>
            </w:r>
          </w:p>
        </w:tc>
        <w:tc>
          <w:tcPr>
            <w:tcW w:w="3118" w:type="dxa"/>
          </w:tcPr>
          <w:p w14:paraId="219BAD09" w14:textId="777D99FC" w:rsidR="009B4DE8" w:rsidRPr="008F55EC" w:rsidRDefault="002F341E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6</w:t>
            </w:r>
            <w:r w:rsidR="00F44EDC">
              <w:rPr>
                <w:rFonts w:cs="Arial"/>
                <w:sz w:val="22"/>
                <w:szCs w:val="22"/>
                <w:lang w:val="en-US"/>
              </w:rPr>
              <w:t>4</w:t>
            </w:r>
            <w:r w:rsidR="00387840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  <w:tr w:rsidR="009B4DE8" w:rsidRPr="008F55EC" w14:paraId="1AA10B1D" w14:textId="77777777" w:rsidTr="00922857">
        <w:tc>
          <w:tcPr>
            <w:tcW w:w="2689" w:type="dxa"/>
            <w:vAlign w:val="center"/>
          </w:tcPr>
          <w:p w14:paraId="6BB1AE87" w14:textId="77777777" w:rsidR="009B4DE8" w:rsidRPr="008F55EC" w:rsidRDefault="009B4DE8" w:rsidP="00922857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Weekends</w:t>
            </w:r>
          </w:p>
        </w:tc>
        <w:tc>
          <w:tcPr>
            <w:tcW w:w="2268" w:type="dxa"/>
            <w:vAlign w:val="center"/>
          </w:tcPr>
          <w:p w14:paraId="1A816868" w14:textId="5A37DF46" w:rsidR="009B4DE8" w:rsidRPr="008F55EC" w:rsidRDefault="00387840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134,000,000</w:t>
            </w:r>
          </w:p>
        </w:tc>
        <w:tc>
          <w:tcPr>
            <w:tcW w:w="3118" w:type="dxa"/>
          </w:tcPr>
          <w:p w14:paraId="718F1EE4" w14:textId="6027F8CC" w:rsidR="009B4DE8" w:rsidRPr="008F55EC" w:rsidRDefault="002F341E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3</w:t>
            </w:r>
            <w:r w:rsidR="00F44EDC">
              <w:rPr>
                <w:rFonts w:cs="Arial"/>
                <w:sz w:val="22"/>
                <w:szCs w:val="22"/>
                <w:lang w:val="en-US"/>
              </w:rPr>
              <w:t>6</w:t>
            </w:r>
            <w:r w:rsidR="00387840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</w:tbl>
    <w:p w14:paraId="460D0932" w14:textId="6AE31F48" w:rsidR="00F64925" w:rsidRDefault="00F64925" w:rsidP="00F64925">
      <w:pPr>
        <w:pStyle w:val="Heading3"/>
        <w:rPr>
          <w:rFonts w:hint="eastAsia"/>
        </w:rPr>
      </w:pPr>
      <w:bookmarkStart w:id="35" w:name="_Toc182490824"/>
      <w:bookmarkStart w:id="36" w:name="_Toc192604345"/>
      <w:r>
        <w:lastRenderedPageBreak/>
        <w:t>Table 1</w:t>
      </w:r>
      <w:r w:rsidR="00891621">
        <w:t>3</w:t>
      </w:r>
      <w:r w:rsidR="009B4DE8">
        <w:t>.</w:t>
      </w:r>
      <w:r w:rsidR="002F4DE8">
        <w:t>a</w:t>
      </w:r>
      <w:r>
        <w:t xml:space="preserve"> – </w:t>
      </w:r>
      <w:r w:rsidR="009B4DE8" w:rsidRPr="009B4DE8">
        <w:t xml:space="preserve">Where spending in </w:t>
      </w:r>
      <w:r w:rsidR="002F341E">
        <w:t>Southbank</w:t>
      </w:r>
      <w:r w:rsidR="009B2762">
        <w:t xml:space="preserve"> </w:t>
      </w:r>
      <w:r w:rsidR="009B4DE8" w:rsidRPr="009B4DE8">
        <w:t>came from, Q</w:t>
      </w:r>
      <w:r w:rsidR="002F341E">
        <w:t>4</w:t>
      </w:r>
      <w:r w:rsidR="009B4DE8" w:rsidRPr="009B4DE8">
        <w:t xml:space="preserve"> 2024</w:t>
      </w:r>
      <w:bookmarkEnd w:id="35"/>
      <w:bookmarkEnd w:id="3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3118"/>
      </w:tblGrid>
      <w:tr w:rsidR="00F64925" w:rsidRPr="008F55EC" w14:paraId="78F0521C" w14:textId="77777777" w:rsidTr="00BA5216">
        <w:tc>
          <w:tcPr>
            <w:tcW w:w="2972" w:type="dxa"/>
            <w:vAlign w:val="center"/>
          </w:tcPr>
          <w:p w14:paraId="22FDE77B" w14:textId="4BB53821" w:rsidR="00F64925" w:rsidRPr="00F64925" w:rsidRDefault="00F64925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bookmarkStart w:id="37" w:name="_Hlk167445344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Customer Type</w:t>
            </w:r>
          </w:p>
        </w:tc>
        <w:tc>
          <w:tcPr>
            <w:tcW w:w="1985" w:type="dxa"/>
            <w:vAlign w:val="center"/>
          </w:tcPr>
          <w:p w14:paraId="01A60F30" w14:textId="77777777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  <w:tc>
          <w:tcPr>
            <w:tcW w:w="3118" w:type="dxa"/>
          </w:tcPr>
          <w:p w14:paraId="5AA14C13" w14:textId="77777777" w:rsidR="00F64925" w:rsidRDefault="00F64925" w:rsidP="00AA3C1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of Average Spend</w:t>
            </w:r>
          </w:p>
        </w:tc>
      </w:tr>
      <w:tr w:rsidR="00F64925" w:rsidRPr="008F55EC" w14:paraId="35D4D472" w14:textId="77777777" w:rsidTr="00BA5216">
        <w:tc>
          <w:tcPr>
            <w:tcW w:w="2972" w:type="dxa"/>
            <w:vAlign w:val="center"/>
          </w:tcPr>
          <w:p w14:paraId="368B0657" w14:textId="38C67887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City of Melbourne residents</w:t>
            </w:r>
          </w:p>
        </w:tc>
        <w:tc>
          <w:tcPr>
            <w:tcW w:w="1985" w:type="dxa"/>
            <w:vAlign w:val="center"/>
          </w:tcPr>
          <w:p w14:paraId="0E7F0F5A" w14:textId="2D38917B" w:rsidR="00F64925" w:rsidRPr="008F55EC" w:rsidRDefault="00387840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22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3B7C97B5" w14:textId="0C09D9D9" w:rsidR="00F64925" w:rsidRPr="008F55EC" w:rsidRDefault="002F341E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6</w:t>
            </w:r>
            <w:r w:rsidR="00387840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  <w:tr w:rsidR="00F64925" w:rsidRPr="008F55EC" w14:paraId="465D5834" w14:textId="77777777" w:rsidTr="00BA5216">
        <w:tc>
          <w:tcPr>
            <w:tcW w:w="2972" w:type="dxa"/>
            <w:vAlign w:val="center"/>
          </w:tcPr>
          <w:p w14:paraId="40E6DD26" w14:textId="4645EA6C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Visitors</w:t>
            </w:r>
          </w:p>
        </w:tc>
        <w:tc>
          <w:tcPr>
            <w:tcW w:w="1985" w:type="dxa"/>
            <w:vAlign w:val="center"/>
          </w:tcPr>
          <w:p w14:paraId="73BEDC6F" w14:textId="6910B672" w:rsidR="00F64925" w:rsidRPr="008F55EC" w:rsidRDefault="00387840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347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7C1B8229" w14:textId="08402202" w:rsidR="00F64925" w:rsidRPr="008F55EC" w:rsidRDefault="00387840" w:rsidP="00387840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9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4</w:t>
            </w:r>
            <w:r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</w:tbl>
    <w:p w14:paraId="7D26A684" w14:textId="3694AEC5" w:rsidR="00F64925" w:rsidRDefault="00F64925" w:rsidP="00F64925">
      <w:pPr>
        <w:pStyle w:val="Heading3"/>
        <w:rPr>
          <w:rFonts w:hint="eastAsia"/>
        </w:rPr>
      </w:pPr>
      <w:bookmarkStart w:id="38" w:name="_Toc182490825"/>
      <w:bookmarkStart w:id="39" w:name="_Toc192604346"/>
      <w:bookmarkEnd w:id="37"/>
      <w:r>
        <w:t>Table 1</w:t>
      </w:r>
      <w:r w:rsidR="00891621">
        <w:t>3</w:t>
      </w:r>
      <w:r w:rsidR="009B4DE8">
        <w:t>.</w:t>
      </w:r>
      <w:r w:rsidR="002F4DE8">
        <w:t>b</w:t>
      </w:r>
      <w:r>
        <w:t xml:space="preserve"> – </w:t>
      </w:r>
      <w:r w:rsidR="009B4DE8" w:rsidRPr="009B4DE8">
        <w:t xml:space="preserve">Where spending in </w:t>
      </w:r>
      <w:r w:rsidR="002F341E">
        <w:t>Southbank</w:t>
      </w:r>
      <w:r w:rsidR="009B2762">
        <w:t xml:space="preserve"> </w:t>
      </w:r>
      <w:r w:rsidR="009B2762" w:rsidRPr="009B4DE8">
        <w:t>came from, Q</w:t>
      </w:r>
      <w:r w:rsidR="00B9025E">
        <w:t>4</w:t>
      </w:r>
      <w:r w:rsidR="009B2762" w:rsidRPr="009B4DE8">
        <w:t xml:space="preserve"> </w:t>
      </w:r>
      <w:r w:rsidR="009B4DE8" w:rsidRPr="009B4DE8">
        <w:t>2024</w:t>
      </w:r>
      <w:bookmarkEnd w:id="38"/>
      <w:bookmarkEnd w:id="3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</w:tblGrid>
      <w:tr w:rsidR="0009455A" w:rsidRPr="008F55EC" w14:paraId="33A336EC" w14:textId="77777777" w:rsidTr="00AA3C19">
        <w:tc>
          <w:tcPr>
            <w:tcW w:w="2972" w:type="dxa"/>
            <w:vAlign w:val="center"/>
          </w:tcPr>
          <w:p w14:paraId="0753FC37" w14:textId="387CDA76" w:rsidR="0009455A" w:rsidRPr="00F64925" w:rsidRDefault="009B4DE8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Council Area</w:t>
            </w:r>
          </w:p>
        </w:tc>
        <w:tc>
          <w:tcPr>
            <w:tcW w:w="1985" w:type="dxa"/>
            <w:vAlign w:val="center"/>
          </w:tcPr>
          <w:p w14:paraId="3BFF725E" w14:textId="77777777" w:rsidR="0009455A" w:rsidRPr="008F55EC" w:rsidRDefault="0009455A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</w:tr>
      <w:tr w:rsidR="003F09EC" w:rsidRPr="008F55EC" w14:paraId="5F7F41F6" w14:textId="77777777" w:rsidTr="00AA3C19">
        <w:tc>
          <w:tcPr>
            <w:tcW w:w="2972" w:type="dxa"/>
            <w:vAlign w:val="center"/>
          </w:tcPr>
          <w:p w14:paraId="177EB8E1" w14:textId="21DD4084" w:rsidR="003F09EC" w:rsidRPr="008F55EC" w:rsidRDefault="002F341E" w:rsidP="003F09EC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Port Phillip</w:t>
            </w:r>
          </w:p>
        </w:tc>
        <w:tc>
          <w:tcPr>
            <w:tcW w:w="1985" w:type="dxa"/>
            <w:vAlign w:val="center"/>
          </w:tcPr>
          <w:p w14:paraId="73874B9A" w14:textId="2DEA5439" w:rsidR="003F09EC" w:rsidRPr="008F55EC" w:rsidRDefault="003F09EC" w:rsidP="003F09EC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13,657</w:t>
            </w:r>
            <w:r>
              <w:rPr>
                <w:rFonts w:cs="Arial"/>
                <w:sz w:val="22"/>
                <w:szCs w:val="22"/>
                <w:lang w:val="en-US"/>
              </w:rPr>
              <w:t>,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3</w:t>
            </w:r>
            <w:r>
              <w:rPr>
                <w:rFonts w:cs="Arial"/>
                <w:sz w:val="22"/>
                <w:szCs w:val="22"/>
                <w:lang w:val="en-US"/>
              </w:rPr>
              <w:t>00</w:t>
            </w:r>
          </w:p>
        </w:tc>
      </w:tr>
      <w:tr w:rsidR="003F09EC" w:rsidRPr="008F55EC" w14:paraId="008E08A8" w14:textId="77777777" w:rsidTr="00AA3C19">
        <w:tc>
          <w:tcPr>
            <w:tcW w:w="2972" w:type="dxa"/>
            <w:vAlign w:val="center"/>
          </w:tcPr>
          <w:p w14:paraId="30125A20" w14:textId="16466127" w:rsidR="003F09EC" w:rsidRPr="008F55EC" w:rsidRDefault="002F341E" w:rsidP="003F09EC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Boroondara</w:t>
            </w:r>
          </w:p>
        </w:tc>
        <w:tc>
          <w:tcPr>
            <w:tcW w:w="1985" w:type="dxa"/>
            <w:vAlign w:val="center"/>
          </w:tcPr>
          <w:p w14:paraId="4B185CB5" w14:textId="2A9F1C43" w:rsidR="003F09EC" w:rsidRPr="008F55EC" w:rsidRDefault="003F09EC" w:rsidP="003F09EC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$7,4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81</w:t>
            </w:r>
            <w:r>
              <w:rPr>
                <w:rFonts w:cs="Arial"/>
                <w:sz w:val="22"/>
                <w:szCs w:val="22"/>
                <w:lang w:val="en-US"/>
              </w:rPr>
              <w:t>,800</w:t>
            </w:r>
          </w:p>
        </w:tc>
      </w:tr>
      <w:tr w:rsidR="003F09EC" w:rsidRPr="008F55EC" w14:paraId="508B4388" w14:textId="77777777" w:rsidTr="00AA3C19">
        <w:tc>
          <w:tcPr>
            <w:tcW w:w="2972" w:type="dxa"/>
            <w:vAlign w:val="center"/>
          </w:tcPr>
          <w:p w14:paraId="63EED71E" w14:textId="2FCD1138" w:rsidR="003F09EC" w:rsidRPr="008F55EC" w:rsidRDefault="002F341E" w:rsidP="003F09EC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Whyndham</w:t>
            </w:r>
          </w:p>
        </w:tc>
        <w:tc>
          <w:tcPr>
            <w:tcW w:w="1985" w:type="dxa"/>
            <w:vAlign w:val="center"/>
          </w:tcPr>
          <w:p w14:paraId="5CBF872D" w14:textId="3A05DBF0" w:rsidR="003F09EC" w:rsidRPr="008F55EC" w:rsidRDefault="003F09EC" w:rsidP="003F09EC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7,018,7</w:t>
            </w:r>
            <w:r>
              <w:rPr>
                <w:rFonts w:cs="Arial"/>
                <w:sz w:val="22"/>
                <w:szCs w:val="22"/>
                <w:lang w:val="en-US"/>
              </w:rPr>
              <w:t>00</w:t>
            </w:r>
          </w:p>
        </w:tc>
      </w:tr>
      <w:tr w:rsidR="003F09EC" w:rsidRPr="008F55EC" w14:paraId="1AD9930A" w14:textId="77777777" w:rsidTr="00AA3C19">
        <w:tc>
          <w:tcPr>
            <w:tcW w:w="2972" w:type="dxa"/>
            <w:vAlign w:val="center"/>
          </w:tcPr>
          <w:p w14:paraId="09AAAB6D" w14:textId="4C44AF92" w:rsidR="003F09EC" w:rsidRPr="008F55EC" w:rsidRDefault="002F341E" w:rsidP="003F09EC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Hobsons Bay</w:t>
            </w:r>
          </w:p>
        </w:tc>
        <w:tc>
          <w:tcPr>
            <w:tcW w:w="1985" w:type="dxa"/>
            <w:vAlign w:val="center"/>
          </w:tcPr>
          <w:p w14:paraId="737F211A" w14:textId="0F2C6A78" w:rsidR="003F09EC" w:rsidRPr="008F55EC" w:rsidRDefault="003F09EC" w:rsidP="003F09EC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5,960,600</w:t>
            </w:r>
          </w:p>
        </w:tc>
      </w:tr>
      <w:tr w:rsidR="003F09EC" w:rsidRPr="008F55EC" w14:paraId="0D0FBB63" w14:textId="77777777" w:rsidTr="00AA3C19">
        <w:tc>
          <w:tcPr>
            <w:tcW w:w="2972" w:type="dxa"/>
            <w:vAlign w:val="center"/>
          </w:tcPr>
          <w:p w14:paraId="27EA9910" w14:textId="09419860" w:rsidR="003F09EC" w:rsidRPr="008F55EC" w:rsidRDefault="002F341E" w:rsidP="003F09EC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Bayside</w:t>
            </w:r>
          </w:p>
        </w:tc>
        <w:tc>
          <w:tcPr>
            <w:tcW w:w="1985" w:type="dxa"/>
            <w:vAlign w:val="center"/>
          </w:tcPr>
          <w:p w14:paraId="6DFEB7A7" w14:textId="005725E6" w:rsidR="003F09EC" w:rsidRPr="008F55EC" w:rsidRDefault="003F09EC" w:rsidP="003F09EC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2F341E">
              <w:rPr>
                <w:rFonts w:cs="Arial"/>
                <w:sz w:val="22"/>
                <w:szCs w:val="22"/>
                <w:lang w:val="en-US"/>
              </w:rPr>
              <w:t>5,936,600</w:t>
            </w:r>
          </w:p>
        </w:tc>
      </w:tr>
    </w:tbl>
    <w:p w14:paraId="4F0B8CDB" w14:textId="6F20ED75" w:rsidR="009B2762" w:rsidRPr="009B2762" w:rsidRDefault="00C55B65" w:rsidP="009B2762">
      <w:pPr>
        <w:pStyle w:val="Heading2"/>
        <w:rPr>
          <w:rFonts w:hint="eastAsia"/>
        </w:rPr>
      </w:pPr>
      <w:bookmarkStart w:id="40" w:name="_Toc182490826"/>
      <w:bookmarkStart w:id="41" w:name="_Toc192604347"/>
      <w:r>
        <w:t>Melbourne</w:t>
      </w:r>
      <w:r w:rsidR="009B2762">
        <w:t xml:space="preserve"> CBD – North</w:t>
      </w:r>
      <w:bookmarkEnd w:id="40"/>
      <w:bookmarkEnd w:id="41"/>
    </w:p>
    <w:p w14:paraId="3C684FE7" w14:textId="31EAB4C0" w:rsidR="00F64925" w:rsidRDefault="00F64925" w:rsidP="00F64925">
      <w:pPr>
        <w:pStyle w:val="Heading3"/>
        <w:rPr>
          <w:rFonts w:hint="eastAsia"/>
        </w:rPr>
      </w:pPr>
      <w:bookmarkStart w:id="42" w:name="_Toc182490827"/>
      <w:bookmarkStart w:id="43" w:name="_Toc192604348"/>
      <w:r>
        <w:t>Table 1</w:t>
      </w:r>
      <w:r w:rsidR="00891621">
        <w:t>4</w:t>
      </w:r>
      <w:r>
        <w:t xml:space="preserve"> – Spending </w:t>
      </w:r>
      <w:r w:rsidR="000F3A62">
        <w:t xml:space="preserve">by </w:t>
      </w:r>
      <w:r>
        <w:t>categor</w:t>
      </w:r>
      <w:r w:rsidR="000F3A62">
        <w:t>y</w:t>
      </w:r>
      <w:r>
        <w:t>, Q</w:t>
      </w:r>
      <w:r w:rsidR="000C7E20">
        <w:t xml:space="preserve">4 </w:t>
      </w:r>
      <w:r>
        <w:t>2024</w:t>
      </w:r>
      <w:bookmarkEnd w:id="42"/>
      <w:bookmarkEnd w:id="4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</w:tblGrid>
      <w:tr w:rsidR="00F1256F" w:rsidRPr="008F55EC" w14:paraId="18783BF3" w14:textId="77777777" w:rsidTr="000C7E20">
        <w:tc>
          <w:tcPr>
            <w:tcW w:w="1980" w:type="dxa"/>
            <w:vAlign w:val="center"/>
          </w:tcPr>
          <w:p w14:paraId="6BA4479B" w14:textId="77777777" w:rsidR="00F1256F" w:rsidRPr="00F64925" w:rsidRDefault="00F1256F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F64925">
              <w:rPr>
                <w:rFonts w:cs="Arial"/>
                <w:b/>
                <w:bCs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2977" w:type="dxa"/>
            <w:vAlign w:val="center"/>
          </w:tcPr>
          <w:p w14:paraId="185BE54B" w14:textId="77777777" w:rsidR="00F1256F" w:rsidRPr="008F55EC" w:rsidRDefault="00F1256F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</w:tr>
      <w:tr w:rsidR="00F1256F" w:rsidRPr="008F55EC" w14:paraId="24AF132F" w14:textId="77777777" w:rsidTr="000C7E20">
        <w:tc>
          <w:tcPr>
            <w:tcW w:w="1980" w:type="dxa"/>
            <w:vAlign w:val="center"/>
          </w:tcPr>
          <w:p w14:paraId="57A09A9D" w14:textId="357F5E46" w:rsidR="00F1256F" w:rsidRPr="008F55EC" w:rsidRDefault="00B95A9B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Retail</w:t>
            </w:r>
          </w:p>
        </w:tc>
        <w:tc>
          <w:tcPr>
            <w:tcW w:w="2977" w:type="dxa"/>
            <w:vAlign w:val="center"/>
          </w:tcPr>
          <w:p w14:paraId="475861DC" w14:textId="4B958D50" w:rsidR="00F1256F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153,708,900</w:t>
            </w:r>
          </w:p>
        </w:tc>
      </w:tr>
      <w:tr w:rsidR="00F1256F" w:rsidRPr="008F55EC" w14:paraId="6270595F" w14:textId="77777777" w:rsidTr="000C7E20">
        <w:tc>
          <w:tcPr>
            <w:tcW w:w="1980" w:type="dxa"/>
            <w:vAlign w:val="center"/>
          </w:tcPr>
          <w:p w14:paraId="6B7FB8E1" w14:textId="5B526BF1" w:rsidR="00F1256F" w:rsidRPr="008F55EC" w:rsidRDefault="00B95A9B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Entertainment</w:t>
            </w:r>
          </w:p>
        </w:tc>
        <w:tc>
          <w:tcPr>
            <w:tcW w:w="2977" w:type="dxa"/>
            <w:vAlign w:val="center"/>
          </w:tcPr>
          <w:p w14:paraId="1DE48288" w14:textId="2A3B47F9" w:rsidR="00F1256F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62,550,900</w:t>
            </w:r>
          </w:p>
        </w:tc>
      </w:tr>
      <w:tr w:rsidR="00F1256F" w:rsidRPr="008F55EC" w14:paraId="6A013266" w14:textId="77777777" w:rsidTr="000C7E20">
        <w:tc>
          <w:tcPr>
            <w:tcW w:w="1980" w:type="dxa"/>
            <w:vAlign w:val="center"/>
          </w:tcPr>
          <w:p w14:paraId="0B2173AC" w14:textId="39E51B0D" w:rsidR="00F1256F" w:rsidRDefault="002E7B8E" w:rsidP="00AA3C1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Tourism</w:t>
            </w:r>
          </w:p>
        </w:tc>
        <w:tc>
          <w:tcPr>
            <w:tcW w:w="2977" w:type="dxa"/>
            <w:vAlign w:val="center"/>
          </w:tcPr>
          <w:p w14:paraId="1D5F3F04" w14:textId="0091789C" w:rsidR="00F1256F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14,461,900</w:t>
            </w:r>
          </w:p>
        </w:tc>
      </w:tr>
      <w:tr w:rsidR="00F1256F" w:rsidRPr="008F55EC" w14:paraId="6BA571F0" w14:textId="77777777" w:rsidTr="000C7E20">
        <w:tc>
          <w:tcPr>
            <w:tcW w:w="1980" w:type="dxa"/>
            <w:vAlign w:val="center"/>
          </w:tcPr>
          <w:p w14:paraId="4AF76ADD" w14:textId="141F598F" w:rsidR="00F1256F" w:rsidRDefault="002E7B8E" w:rsidP="00AA3C1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Commercial</w:t>
            </w:r>
          </w:p>
        </w:tc>
        <w:tc>
          <w:tcPr>
            <w:tcW w:w="2977" w:type="dxa"/>
            <w:vAlign w:val="center"/>
          </w:tcPr>
          <w:p w14:paraId="10CB8B23" w14:textId="1303CE00" w:rsidR="00F1256F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10,467,700</w:t>
            </w:r>
          </w:p>
        </w:tc>
      </w:tr>
    </w:tbl>
    <w:p w14:paraId="08CE2AE9" w14:textId="67F10D17" w:rsidR="00F64925" w:rsidRDefault="00F64925" w:rsidP="00F64925">
      <w:pPr>
        <w:pStyle w:val="Heading3"/>
        <w:rPr>
          <w:rFonts w:hint="eastAsia"/>
        </w:rPr>
      </w:pPr>
      <w:bookmarkStart w:id="44" w:name="_Toc182490828"/>
      <w:bookmarkStart w:id="45" w:name="_Toc192604349"/>
      <w:r>
        <w:t>Table 1</w:t>
      </w:r>
      <w:r w:rsidR="00891621">
        <w:t>5</w:t>
      </w:r>
      <w:r>
        <w:t xml:space="preserve"> – Work hours and non-work hours spend</w:t>
      </w:r>
      <w:r w:rsidR="00CA203B">
        <w:t>ing</w:t>
      </w:r>
      <w:r w:rsidR="00B776A9">
        <w:t xml:space="preserve"> </w:t>
      </w:r>
      <w:r w:rsidR="00B776A9" w:rsidRPr="002031FC">
        <w:t xml:space="preserve">in </w:t>
      </w:r>
      <w:r w:rsidR="009B2762" w:rsidRPr="000F3A62">
        <w:t>Melbourne CBD</w:t>
      </w:r>
      <w:r w:rsidR="009B2762">
        <w:t xml:space="preserve"> – North</w:t>
      </w:r>
      <w:r>
        <w:t>, Q</w:t>
      </w:r>
      <w:r w:rsidR="000C7E20">
        <w:t>4</w:t>
      </w:r>
      <w:r>
        <w:t xml:space="preserve"> 2024</w:t>
      </w:r>
      <w:bookmarkEnd w:id="44"/>
      <w:bookmarkEnd w:id="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3118"/>
      </w:tblGrid>
      <w:tr w:rsidR="00F64925" w:rsidRPr="008F55EC" w14:paraId="46B4EA5B" w14:textId="77777777" w:rsidTr="00AA3C19">
        <w:tc>
          <w:tcPr>
            <w:tcW w:w="2689" w:type="dxa"/>
            <w:vAlign w:val="center"/>
          </w:tcPr>
          <w:p w14:paraId="3357BF4F" w14:textId="77777777" w:rsidR="00F64925" w:rsidRPr="00F64925" w:rsidRDefault="00F64925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Time Period</w:t>
            </w:r>
          </w:p>
        </w:tc>
        <w:tc>
          <w:tcPr>
            <w:tcW w:w="2268" w:type="dxa"/>
            <w:vAlign w:val="center"/>
          </w:tcPr>
          <w:p w14:paraId="485301A1" w14:textId="77777777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  <w:tc>
          <w:tcPr>
            <w:tcW w:w="3118" w:type="dxa"/>
          </w:tcPr>
          <w:p w14:paraId="337265B7" w14:textId="77777777" w:rsidR="00F64925" w:rsidRDefault="00F64925" w:rsidP="00AA3C1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of Average Spend</w:t>
            </w:r>
          </w:p>
        </w:tc>
      </w:tr>
      <w:tr w:rsidR="00F64925" w:rsidRPr="008F55EC" w14:paraId="7222ABCE" w14:textId="77777777" w:rsidTr="00AA3C19">
        <w:tc>
          <w:tcPr>
            <w:tcW w:w="2689" w:type="dxa"/>
            <w:vAlign w:val="center"/>
          </w:tcPr>
          <w:p w14:paraId="258F8CD6" w14:textId="77777777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Work hours</w:t>
            </w:r>
          </w:p>
        </w:tc>
        <w:tc>
          <w:tcPr>
            <w:tcW w:w="2268" w:type="dxa"/>
            <w:vAlign w:val="center"/>
          </w:tcPr>
          <w:p w14:paraId="0F1AB72D" w14:textId="75874A01" w:rsidR="00F64925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135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0EF1ED20" w14:textId="03E3E2B0" w:rsidR="00F64925" w:rsidRPr="008F55EC" w:rsidRDefault="00FA7EFD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56</w:t>
            </w:r>
            <w:r w:rsidR="00B95A9B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  <w:tr w:rsidR="00F64925" w:rsidRPr="008F55EC" w14:paraId="77889DDC" w14:textId="77777777" w:rsidTr="00AA3C19">
        <w:tc>
          <w:tcPr>
            <w:tcW w:w="2689" w:type="dxa"/>
            <w:vAlign w:val="center"/>
          </w:tcPr>
          <w:p w14:paraId="3725ED1B" w14:textId="77777777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Non-work hours</w:t>
            </w:r>
          </w:p>
        </w:tc>
        <w:tc>
          <w:tcPr>
            <w:tcW w:w="2268" w:type="dxa"/>
            <w:vAlign w:val="center"/>
          </w:tcPr>
          <w:p w14:paraId="4505F49B" w14:textId="73F9C0FE" w:rsidR="00F64925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106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1085C94F" w14:textId="2BEBA1B7" w:rsidR="00F64925" w:rsidRPr="008F55EC" w:rsidRDefault="00FA7EFD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44</w:t>
            </w:r>
            <w:r w:rsidR="00B95A9B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</w:tbl>
    <w:p w14:paraId="62230873" w14:textId="2B3BE35A" w:rsidR="004B0A87" w:rsidRDefault="004B0A87" w:rsidP="004B0A87">
      <w:pPr>
        <w:pStyle w:val="ListParagraph"/>
        <w:numPr>
          <w:ilvl w:val="0"/>
          <w:numId w:val="21"/>
        </w:numPr>
      </w:pPr>
      <w:r w:rsidRPr="005B476C">
        <w:t>Work hours are 8am to 6pm, Monday to Friday.</w:t>
      </w:r>
    </w:p>
    <w:p w14:paraId="34C12089" w14:textId="242F1DCA" w:rsidR="009B4DE8" w:rsidRDefault="009B4DE8" w:rsidP="009B4DE8">
      <w:pPr>
        <w:pStyle w:val="Heading3"/>
        <w:rPr>
          <w:rFonts w:hint="eastAsia"/>
        </w:rPr>
      </w:pPr>
      <w:bookmarkStart w:id="46" w:name="_Toc182490829"/>
      <w:bookmarkStart w:id="47" w:name="_Toc192604350"/>
      <w:r>
        <w:lastRenderedPageBreak/>
        <w:t>Table 1</w:t>
      </w:r>
      <w:r w:rsidR="00891621">
        <w:t>6</w:t>
      </w:r>
      <w:r>
        <w:t xml:space="preserve"> – </w:t>
      </w:r>
      <w:r w:rsidRPr="002031FC">
        <w:t>Weekday and weekend spend</w:t>
      </w:r>
      <w:r w:rsidR="00CA203B">
        <w:t>ing</w:t>
      </w:r>
      <w:r w:rsidRPr="002031FC">
        <w:t xml:space="preserve"> in </w:t>
      </w:r>
      <w:r w:rsidR="009B2762" w:rsidRPr="000F3A62">
        <w:t>Melbourne CBD</w:t>
      </w:r>
      <w:r w:rsidR="009B2762">
        <w:t xml:space="preserve"> – North</w:t>
      </w:r>
      <w:r w:rsidRPr="002031FC">
        <w:t>, Q</w:t>
      </w:r>
      <w:r w:rsidR="000C7E20">
        <w:t>4</w:t>
      </w:r>
      <w:r w:rsidRPr="002031FC">
        <w:t xml:space="preserve"> 2024</w:t>
      </w:r>
      <w:bookmarkEnd w:id="46"/>
      <w:bookmarkEnd w:id="47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3118"/>
      </w:tblGrid>
      <w:tr w:rsidR="009B4DE8" w:rsidRPr="008F55EC" w14:paraId="76D67C29" w14:textId="77777777" w:rsidTr="00922857">
        <w:tc>
          <w:tcPr>
            <w:tcW w:w="2689" w:type="dxa"/>
            <w:vAlign w:val="center"/>
          </w:tcPr>
          <w:p w14:paraId="7009ED27" w14:textId="77777777" w:rsidR="009B4DE8" w:rsidRPr="00F64925" w:rsidRDefault="009B4DE8" w:rsidP="00922857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Time Period</w:t>
            </w:r>
          </w:p>
        </w:tc>
        <w:tc>
          <w:tcPr>
            <w:tcW w:w="2268" w:type="dxa"/>
            <w:vAlign w:val="center"/>
          </w:tcPr>
          <w:p w14:paraId="47DBD2A6" w14:textId="77777777" w:rsidR="009B4DE8" w:rsidRPr="008F55EC" w:rsidRDefault="009B4DE8" w:rsidP="00922857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  <w:tc>
          <w:tcPr>
            <w:tcW w:w="3118" w:type="dxa"/>
          </w:tcPr>
          <w:p w14:paraId="572D1048" w14:textId="77777777" w:rsidR="009B4DE8" w:rsidRDefault="009B4DE8" w:rsidP="00922857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of Average Spend</w:t>
            </w:r>
          </w:p>
        </w:tc>
      </w:tr>
      <w:tr w:rsidR="009B4DE8" w:rsidRPr="008F55EC" w14:paraId="1636B825" w14:textId="77777777" w:rsidTr="00922857">
        <w:tc>
          <w:tcPr>
            <w:tcW w:w="2689" w:type="dxa"/>
            <w:vAlign w:val="center"/>
          </w:tcPr>
          <w:p w14:paraId="1D662137" w14:textId="77777777" w:rsidR="009B4DE8" w:rsidRPr="008F55EC" w:rsidRDefault="009B4DE8" w:rsidP="00922857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Weekdays</w:t>
            </w:r>
          </w:p>
        </w:tc>
        <w:tc>
          <w:tcPr>
            <w:tcW w:w="2268" w:type="dxa"/>
            <w:vAlign w:val="center"/>
          </w:tcPr>
          <w:p w14:paraId="7214F93E" w14:textId="104E82E0" w:rsidR="009B4DE8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$1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65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29AABD8E" w14:textId="0563EDEF" w:rsidR="009B4DE8" w:rsidRPr="008F55EC" w:rsidRDefault="00FA7EFD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68</w:t>
            </w:r>
            <w:r w:rsidR="00B95A9B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  <w:tr w:rsidR="009B4DE8" w:rsidRPr="008F55EC" w14:paraId="395426A7" w14:textId="77777777" w:rsidTr="00922857">
        <w:tc>
          <w:tcPr>
            <w:tcW w:w="2689" w:type="dxa"/>
            <w:vAlign w:val="center"/>
          </w:tcPr>
          <w:p w14:paraId="4C4328D3" w14:textId="77777777" w:rsidR="009B4DE8" w:rsidRPr="008F55EC" w:rsidRDefault="009B4DE8" w:rsidP="00922857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Weekends</w:t>
            </w:r>
          </w:p>
        </w:tc>
        <w:tc>
          <w:tcPr>
            <w:tcW w:w="2268" w:type="dxa"/>
            <w:vAlign w:val="center"/>
          </w:tcPr>
          <w:p w14:paraId="47820822" w14:textId="0DF3C42E" w:rsidR="009B4DE8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76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627EE641" w14:textId="4244F7BA" w:rsidR="009B4DE8" w:rsidRPr="008F55EC" w:rsidRDefault="00FA7EFD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32</w:t>
            </w:r>
            <w:r w:rsidR="00B95A9B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</w:tbl>
    <w:p w14:paraId="6850E5E3" w14:textId="34940B0A" w:rsidR="00F64925" w:rsidRDefault="00F64925" w:rsidP="00F64925">
      <w:pPr>
        <w:pStyle w:val="Heading3"/>
        <w:rPr>
          <w:rFonts w:hint="eastAsia"/>
        </w:rPr>
      </w:pPr>
      <w:bookmarkStart w:id="48" w:name="_Toc182490830"/>
      <w:bookmarkStart w:id="49" w:name="_Toc192604351"/>
      <w:r>
        <w:t>Table 1</w:t>
      </w:r>
      <w:r w:rsidR="00891621">
        <w:t>7</w:t>
      </w:r>
      <w:r w:rsidR="009B4DE8">
        <w:t>.</w:t>
      </w:r>
      <w:r w:rsidR="002F4DE8">
        <w:t>a</w:t>
      </w:r>
      <w:r>
        <w:t xml:space="preserve"> – </w:t>
      </w:r>
      <w:r w:rsidR="009B4DE8" w:rsidRPr="009B4DE8">
        <w:t xml:space="preserve">Where spending in </w:t>
      </w:r>
      <w:r w:rsidR="009B2762" w:rsidRPr="000F3A62">
        <w:t>Melbourne CBD</w:t>
      </w:r>
      <w:r w:rsidR="009B2762">
        <w:t xml:space="preserve"> – North </w:t>
      </w:r>
      <w:r w:rsidR="009B4DE8" w:rsidRPr="009B4DE8">
        <w:t>came from, Q</w:t>
      </w:r>
      <w:r w:rsidR="00B9025E">
        <w:t>4</w:t>
      </w:r>
      <w:r w:rsidR="009B4DE8" w:rsidRPr="009B4DE8">
        <w:t xml:space="preserve"> 2024</w:t>
      </w:r>
      <w:bookmarkEnd w:id="48"/>
      <w:bookmarkEnd w:id="4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3118"/>
      </w:tblGrid>
      <w:tr w:rsidR="00BA5216" w:rsidRPr="008F55EC" w14:paraId="6D6C69AB" w14:textId="77777777" w:rsidTr="00AA3C19">
        <w:tc>
          <w:tcPr>
            <w:tcW w:w="2972" w:type="dxa"/>
            <w:vAlign w:val="center"/>
          </w:tcPr>
          <w:p w14:paraId="703B16A8" w14:textId="77777777" w:rsidR="00BA5216" w:rsidRPr="00F64925" w:rsidRDefault="00BA5216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Customer Type</w:t>
            </w:r>
          </w:p>
        </w:tc>
        <w:tc>
          <w:tcPr>
            <w:tcW w:w="1985" w:type="dxa"/>
            <w:vAlign w:val="center"/>
          </w:tcPr>
          <w:p w14:paraId="25E13188" w14:textId="77777777" w:rsidR="00BA5216" w:rsidRPr="008F55EC" w:rsidRDefault="00BA5216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  <w:tc>
          <w:tcPr>
            <w:tcW w:w="3118" w:type="dxa"/>
          </w:tcPr>
          <w:p w14:paraId="4B35E3AE" w14:textId="77777777" w:rsidR="00BA5216" w:rsidRDefault="00BA5216" w:rsidP="00AA3C1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of Average Spend</w:t>
            </w:r>
          </w:p>
        </w:tc>
      </w:tr>
      <w:tr w:rsidR="00BA5216" w:rsidRPr="008F55EC" w14:paraId="319B9AD3" w14:textId="77777777" w:rsidTr="00AA3C19">
        <w:tc>
          <w:tcPr>
            <w:tcW w:w="2972" w:type="dxa"/>
            <w:vAlign w:val="center"/>
          </w:tcPr>
          <w:p w14:paraId="731EAEB1" w14:textId="77777777" w:rsidR="00BA5216" w:rsidRPr="008F55EC" w:rsidRDefault="00BA5216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City of Melbourne residents</w:t>
            </w:r>
          </w:p>
        </w:tc>
        <w:tc>
          <w:tcPr>
            <w:tcW w:w="1985" w:type="dxa"/>
            <w:vAlign w:val="center"/>
          </w:tcPr>
          <w:p w14:paraId="7B20B9F4" w14:textId="4849B56D" w:rsidR="00BA5216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FA7EFD">
              <w:rPr>
                <w:rFonts w:cs="Arial"/>
                <w:sz w:val="22"/>
                <w:szCs w:val="22"/>
                <w:lang w:val="en-US"/>
              </w:rPr>
              <w:t>3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9,</w:t>
            </w:r>
            <w:r>
              <w:rPr>
                <w:rFonts w:cs="Arial"/>
                <w:sz w:val="22"/>
                <w:szCs w:val="22"/>
                <w:lang w:val="en-US"/>
              </w:rPr>
              <w:t>000,000</w:t>
            </w:r>
          </w:p>
        </w:tc>
        <w:tc>
          <w:tcPr>
            <w:tcW w:w="3118" w:type="dxa"/>
          </w:tcPr>
          <w:p w14:paraId="318AB702" w14:textId="67C6C4A3" w:rsidR="00BA5216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6</w:t>
            </w:r>
            <w:r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  <w:tr w:rsidR="00BA5216" w:rsidRPr="008F55EC" w14:paraId="7C78D5DD" w14:textId="77777777" w:rsidTr="00AA3C19">
        <w:tc>
          <w:tcPr>
            <w:tcW w:w="2972" w:type="dxa"/>
            <w:vAlign w:val="center"/>
          </w:tcPr>
          <w:p w14:paraId="398F54FD" w14:textId="77777777" w:rsidR="00BA5216" w:rsidRPr="008F55EC" w:rsidRDefault="00BA5216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Visitors</w:t>
            </w:r>
          </w:p>
        </w:tc>
        <w:tc>
          <w:tcPr>
            <w:tcW w:w="1985" w:type="dxa"/>
            <w:vAlign w:val="center"/>
          </w:tcPr>
          <w:p w14:paraId="4ABC3A90" w14:textId="0377C88F" w:rsidR="00BA5216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200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321F792F" w14:textId="79A4CEB0" w:rsidR="00BA5216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8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4</w:t>
            </w:r>
            <w:r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</w:tbl>
    <w:p w14:paraId="02902CFB" w14:textId="5AB02E14" w:rsidR="00F64925" w:rsidRDefault="00F64925" w:rsidP="00F64925">
      <w:pPr>
        <w:pStyle w:val="Heading3"/>
        <w:rPr>
          <w:rFonts w:hint="eastAsia"/>
        </w:rPr>
      </w:pPr>
      <w:bookmarkStart w:id="50" w:name="_Toc182490831"/>
      <w:bookmarkStart w:id="51" w:name="_Toc192604352"/>
      <w:r>
        <w:t>Table 1</w:t>
      </w:r>
      <w:r w:rsidR="00891621">
        <w:t>7</w:t>
      </w:r>
      <w:r w:rsidR="009B4DE8">
        <w:t>.</w:t>
      </w:r>
      <w:r w:rsidR="002F4DE8">
        <w:t>b</w:t>
      </w:r>
      <w:r>
        <w:t xml:space="preserve"> – </w:t>
      </w:r>
      <w:r w:rsidR="009B4DE8" w:rsidRPr="009B4DE8">
        <w:t xml:space="preserve">Where spending in </w:t>
      </w:r>
      <w:r w:rsidR="009B2762" w:rsidRPr="000F3A62">
        <w:t>Melbourne CBD</w:t>
      </w:r>
      <w:r w:rsidR="009B2762">
        <w:t xml:space="preserve"> – North </w:t>
      </w:r>
      <w:r w:rsidR="009B4DE8" w:rsidRPr="009B4DE8">
        <w:t>came from, Q</w:t>
      </w:r>
      <w:r w:rsidR="00B9025E">
        <w:t>4</w:t>
      </w:r>
      <w:r w:rsidR="009B4DE8" w:rsidRPr="009B4DE8">
        <w:t xml:space="preserve"> 2024</w:t>
      </w:r>
      <w:bookmarkEnd w:id="50"/>
      <w:bookmarkEnd w:id="5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</w:tblGrid>
      <w:tr w:rsidR="0009455A" w:rsidRPr="008F55EC" w14:paraId="686EA463" w14:textId="77777777" w:rsidTr="00AA3C19">
        <w:tc>
          <w:tcPr>
            <w:tcW w:w="2972" w:type="dxa"/>
            <w:vAlign w:val="center"/>
          </w:tcPr>
          <w:p w14:paraId="7BA0247B" w14:textId="101F1079" w:rsidR="0009455A" w:rsidRPr="00F64925" w:rsidRDefault="009B4DE8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Council Area</w:t>
            </w:r>
          </w:p>
        </w:tc>
        <w:tc>
          <w:tcPr>
            <w:tcW w:w="1985" w:type="dxa"/>
            <w:vAlign w:val="center"/>
          </w:tcPr>
          <w:p w14:paraId="49A478EC" w14:textId="77777777" w:rsidR="0009455A" w:rsidRPr="008F55EC" w:rsidRDefault="0009455A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</w:tr>
      <w:tr w:rsidR="00FA7EFD" w:rsidRPr="008F55EC" w14:paraId="0A2FF1B0" w14:textId="77777777" w:rsidTr="00AA3C19">
        <w:tc>
          <w:tcPr>
            <w:tcW w:w="2972" w:type="dxa"/>
            <w:vAlign w:val="center"/>
          </w:tcPr>
          <w:p w14:paraId="77A54AD8" w14:textId="27F335B0" w:rsidR="00FA7EFD" w:rsidRPr="008F55EC" w:rsidRDefault="000C7E20" w:rsidP="00FA7EFD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Yarra</w:t>
            </w:r>
          </w:p>
        </w:tc>
        <w:tc>
          <w:tcPr>
            <w:tcW w:w="1985" w:type="dxa"/>
            <w:vAlign w:val="center"/>
          </w:tcPr>
          <w:p w14:paraId="1B353B5B" w14:textId="6393CFEA" w:rsidR="00FA7EFD" w:rsidRPr="008F55EC" w:rsidRDefault="00FA7EFD" w:rsidP="00FA7EFD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7,764,000</w:t>
            </w:r>
          </w:p>
        </w:tc>
      </w:tr>
      <w:tr w:rsidR="00FA7EFD" w:rsidRPr="008F55EC" w14:paraId="1F2CCE27" w14:textId="77777777" w:rsidTr="00AA3C19">
        <w:tc>
          <w:tcPr>
            <w:tcW w:w="2972" w:type="dxa"/>
            <w:vAlign w:val="center"/>
          </w:tcPr>
          <w:p w14:paraId="6C57A090" w14:textId="6579699F" w:rsidR="00FA7EFD" w:rsidRPr="008F55EC" w:rsidRDefault="000C7E20" w:rsidP="00FA7EFD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Boorondara</w:t>
            </w:r>
          </w:p>
        </w:tc>
        <w:tc>
          <w:tcPr>
            <w:tcW w:w="1985" w:type="dxa"/>
            <w:vAlign w:val="center"/>
          </w:tcPr>
          <w:p w14:paraId="78B793EB" w14:textId="6C63FFCE" w:rsidR="00FA7EFD" w:rsidRPr="008F55EC" w:rsidRDefault="00FA7EFD" w:rsidP="00FA7EFD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7,188,000</w:t>
            </w:r>
          </w:p>
        </w:tc>
      </w:tr>
      <w:tr w:rsidR="00FA7EFD" w:rsidRPr="008F55EC" w14:paraId="5FC52678" w14:textId="77777777" w:rsidTr="00AA3C19">
        <w:tc>
          <w:tcPr>
            <w:tcW w:w="2972" w:type="dxa"/>
            <w:vAlign w:val="center"/>
          </w:tcPr>
          <w:p w14:paraId="7D0138B9" w14:textId="5465A285" w:rsidR="00FA7EFD" w:rsidRPr="008F55EC" w:rsidRDefault="00FA7EFD" w:rsidP="00FA7EFD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Port Phillip</w:t>
            </w:r>
          </w:p>
        </w:tc>
        <w:tc>
          <w:tcPr>
            <w:tcW w:w="1985" w:type="dxa"/>
            <w:vAlign w:val="center"/>
          </w:tcPr>
          <w:p w14:paraId="32EA18C1" w14:textId="3797538E" w:rsidR="00FA7EFD" w:rsidRPr="008F55EC" w:rsidRDefault="00FA7EFD" w:rsidP="00FA7EFD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6,688,000</w:t>
            </w:r>
          </w:p>
        </w:tc>
      </w:tr>
      <w:tr w:rsidR="00FA7EFD" w:rsidRPr="008F55EC" w14:paraId="06863948" w14:textId="77777777" w:rsidTr="00AA3C19">
        <w:tc>
          <w:tcPr>
            <w:tcW w:w="2972" w:type="dxa"/>
            <w:vAlign w:val="center"/>
          </w:tcPr>
          <w:p w14:paraId="70B8DD8A" w14:textId="4582D3A7" w:rsidR="00FA7EFD" w:rsidRPr="008F55EC" w:rsidRDefault="00FA7EFD" w:rsidP="00FA7EFD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Brunswick – Coburg</w:t>
            </w:r>
          </w:p>
        </w:tc>
        <w:tc>
          <w:tcPr>
            <w:tcW w:w="1985" w:type="dxa"/>
            <w:vAlign w:val="center"/>
          </w:tcPr>
          <w:p w14:paraId="7F17F4A2" w14:textId="7A7A9D73" w:rsidR="00FA7EFD" w:rsidRPr="008F55EC" w:rsidRDefault="00FA7EFD" w:rsidP="00FA7EFD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5,865,900</w:t>
            </w:r>
          </w:p>
        </w:tc>
      </w:tr>
      <w:tr w:rsidR="00FA7EFD" w:rsidRPr="008F55EC" w14:paraId="05A9652B" w14:textId="77777777" w:rsidTr="00AA3C19">
        <w:tc>
          <w:tcPr>
            <w:tcW w:w="2972" w:type="dxa"/>
            <w:vAlign w:val="center"/>
          </w:tcPr>
          <w:p w14:paraId="15EA245D" w14:textId="16F983FE" w:rsidR="00FA7EFD" w:rsidRPr="008F55EC" w:rsidRDefault="00FA7EFD" w:rsidP="00FA7EFD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Maribyrnong</w:t>
            </w:r>
          </w:p>
        </w:tc>
        <w:tc>
          <w:tcPr>
            <w:tcW w:w="1985" w:type="dxa"/>
            <w:vAlign w:val="center"/>
          </w:tcPr>
          <w:p w14:paraId="5281B35D" w14:textId="0479296E" w:rsidR="00FA7EFD" w:rsidRPr="008F55EC" w:rsidRDefault="00EB64C9" w:rsidP="00FA7EFD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4,323,000</w:t>
            </w:r>
          </w:p>
        </w:tc>
      </w:tr>
    </w:tbl>
    <w:p w14:paraId="76E2F2E2" w14:textId="4CFE9531" w:rsidR="00F64925" w:rsidRPr="009F7577" w:rsidRDefault="000C7E20" w:rsidP="00F221E1">
      <w:pPr>
        <w:pStyle w:val="Heading2"/>
        <w:rPr>
          <w:rFonts w:hint="eastAsia"/>
        </w:rPr>
      </w:pPr>
      <w:bookmarkStart w:id="52" w:name="_Toc192604353"/>
      <w:r>
        <w:t>Melbourne CBD - West</w:t>
      </w:r>
      <w:bookmarkEnd w:id="52"/>
    </w:p>
    <w:p w14:paraId="615ABC30" w14:textId="70F316AA" w:rsidR="00F64925" w:rsidRDefault="000F3A62" w:rsidP="000F3A62">
      <w:pPr>
        <w:pStyle w:val="Heading3"/>
        <w:rPr>
          <w:rFonts w:hint="eastAsia"/>
        </w:rPr>
      </w:pPr>
      <w:bookmarkStart w:id="53" w:name="_Toc182490833"/>
      <w:bookmarkStart w:id="54" w:name="_Toc192604354"/>
      <w:r>
        <w:t>Table 1</w:t>
      </w:r>
      <w:r w:rsidR="00891621">
        <w:t>8</w:t>
      </w:r>
      <w:r>
        <w:t xml:space="preserve"> – Spending by category, Q</w:t>
      </w:r>
      <w:r w:rsidR="000C7E20">
        <w:t>4</w:t>
      </w:r>
      <w:r>
        <w:t xml:space="preserve"> 2024</w:t>
      </w:r>
      <w:bookmarkEnd w:id="53"/>
      <w:bookmarkEnd w:id="5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</w:tblGrid>
      <w:tr w:rsidR="00F1256F" w:rsidRPr="008F55EC" w14:paraId="6934DB95" w14:textId="77777777" w:rsidTr="00AA3C19">
        <w:tc>
          <w:tcPr>
            <w:tcW w:w="1980" w:type="dxa"/>
            <w:vAlign w:val="center"/>
          </w:tcPr>
          <w:p w14:paraId="4510F52E" w14:textId="77777777" w:rsidR="00F1256F" w:rsidRPr="00F64925" w:rsidRDefault="00F1256F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F64925">
              <w:rPr>
                <w:rFonts w:cs="Arial"/>
                <w:b/>
                <w:bCs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2977" w:type="dxa"/>
            <w:vAlign w:val="center"/>
          </w:tcPr>
          <w:p w14:paraId="369ABC41" w14:textId="77777777" w:rsidR="00F1256F" w:rsidRPr="008F55EC" w:rsidRDefault="00F1256F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</w:tr>
      <w:tr w:rsidR="00F1256F" w:rsidRPr="008F55EC" w14:paraId="44376793" w14:textId="77777777" w:rsidTr="00AA3C19">
        <w:tc>
          <w:tcPr>
            <w:tcW w:w="1980" w:type="dxa"/>
            <w:vAlign w:val="center"/>
          </w:tcPr>
          <w:p w14:paraId="2BD8D865" w14:textId="15A4A7F7" w:rsidR="00F1256F" w:rsidRPr="008F55EC" w:rsidRDefault="000C7E20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Entertainment</w:t>
            </w:r>
          </w:p>
        </w:tc>
        <w:tc>
          <w:tcPr>
            <w:tcW w:w="2977" w:type="dxa"/>
            <w:vAlign w:val="center"/>
          </w:tcPr>
          <w:p w14:paraId="38F2586F" w14:textId="0515996D" w:rsidR="00F1256F" w:rsidRPr="008F55EC" w:rsidRDefault="00850060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132,494,300</w:t>
            </w:r>
          </w:p>
        </w:tc>
      </w:tr>
      <w:tr w:rsidR="00F1256F" w:rsidRPr="008F55EC" w14:paraId="0A8CAE5C" w14:textId="77777777" w:rsidTr="00AA3C19">
        <w:tc>
          <w:tcPr>
            <w:tcW w:w="1980" w:type="dxa"/>
            <w:vAlign w:val="center"/>
          </w:tcPr>
          <w:p w14:paraId="1C8D56A9" w14:textId="430EB321" w:rsidR="00F1256F" w:rsidRPr="008F55EC" w:rsidRDefault="000C7E20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Retail</w:t>
            </w:r>
          </w:p>
        </w:tc>
        <w:tc>
          <w:tcPr>
            <w:tcW w:w="2977" w:type="dxa"/>
            <w:vAlign w:val="center"/>
          </w:tcPr>
          <w:p w14:paraId="75424637" w14:textId="045F0753" w:rsidR="00F1256F" w:rsidRPr="008F55EC" w:rsidRDefault="00850060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115,496,000</w:t>
            </w:r>
          </w:p>
        </w:tc>
      </w:tr>
      <w:tr w:rsidR="00F1256F" w:rsidRPr="008F55EC" w14:paraId="6FD36665" w14:textId="77777777" w:rsidTr="00AA3C19">
        <w:tc>
          <w:tcPr>
            <w:tcW w:w="1980" w:type="dxa"/>
            <w:vAlign w:val="center"/>
          </w:tcPr>
          <w:p w14:paraId="5209B4FF" w14:textId="5DCC34CB" w:rsidR="00F1256F" w:rsidRDefault="000C7E20" w:rsidP="00AA3C1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Tourism</w:t>
            </w:r>
          </w:p>
        </w:tc>
        <w:tc>
          <w:tcPr>
            <w:tcW w:w="2977" w:type="dxa"/>
            <w:vAlign w:val="center"/>
          </w:tcPr>
          <w:p w14:paraId="59716F9B" w14:textId="5BBE3AF0" w:rsidR="00F1256F" w:rsidRPr="008F55EC" w:rsidRDefault="00850060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55,871400</w:t>
            </w:r>
          </w:p>
        </w:tc>
      </w:tr>
      <w:tr w:rsidR="00F1256F" w:rsidRPr="008F55EC" w14:paraId="593ACD50" w14:textId="77777777" w:rsidTr="00AA3C19">
        <w:tc>
          <w:tcPr>
            <w:tcW w:w="1980" w:type="dxa"/>
            <w:vAlign w:val="center"/>
          </w:tcPr>
          <w:p w14:paraId="1C0C2FC6" w14:textId="2A73395E" w:rsidR="00F1256F" w:rsidRDefault="00D24DA3" w:rsidP="00AA3C1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Commercial</w:t>
            </w:r>
          </w:p>
        </w:tc>
        <w:tc>
          <w:tcPr>
            <w:tcW w:w="2977" w:type="dxa"/>
            <w:vAlign w:val="center"/>
          </w:tcPr>
          <w:p w14:paraId="1A9174CE" w14:textId="083CBC5A" w:rsidR="00F1256F" w:rsidRPr="008F55EC" w:rsidRDefault="00850060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23,738,081</w:t>
            </w:r>
          </w:p>
        </w:tc>
      </w:tr>
    </w:tbl>
    <w:p w14:paraId="70F25F5E" w14:textId="5138D256" w:rsidR="00F64925" w:rsidRDefault="00F64925" w:rsidP="00F64925">
      <w:pPr>
        <w:pStyle w:val="Heading3"/>
        <w:rPr>
          <w:rFonts w:hint="eastAsia"/>
        </w:rPr>
      </w:pPr>
      <w:bookmarkStart w:id="55" w:name="_Toc182490834"/>
      <w:bookmarkStart w:id="56" w:name="_Toc192604355"/>
      <w:r>
        <w:t xml:space="preserve">Table </w:t>
      </w:r>
      <w:r w:rsidR="00891621">
        <w:t>19</w:t>
      </w:r>
      <w:r>
        <w:t xml:space="preserve"> – Work hours and non-work hours spend</w:t>
      </w:r>
      <w:r w:rsidR="00CA203B">
        <w:t>ing</w:t>
      </w:r>
      <w:r w:rsidR="00B776A9">
        <w:t xml:space="preserve"> in </w:t>
      </w:r>
      <w:r w:rsidR="000C7E20">
        <w:t>Melbourne CBD - West</w:t>
      </w:r>
      <w:r>
        <w:t>, Q</w:t>
      </w:r>
      <w:r w:rsidR="000C7E20">
        <w:t xml:space="preserve">4 </w:t>
      </w:r>
      <w:r>
        <w:t>2024</w:t>
      </w:r>
      <w:bookmarkEnd w:id="55"/>
      <w:bookmarkEnd w:id="5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3118"/>
      </w:tblGrid>
      <w:tr w:rsidR="00F64925" w:rsidRPr="008F55EC" w14:paraId="54036F09" w14:textId="77777777" w:rsidTr="00AA3C19">
        <w:tc>
          <w:tcPr>
            <w:tcW w:w="2689" w:type="dxa"/>
            <w:vAlign w:val="center"/>
          </w:tcPr>
          <w:p w14:paraId="003D56F8" w14:textId="77777777" w:rsidR="00F64925" w:rsidRPr="00F64925" w:rsidRDefault="00F64925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lastRenderedPageBreak/>
              <w:t>Time Period</w:t>
            </w:r>
          </w:p>
        </w:tc>
        <w:tc>
          <w:tcPr>
            <w:tcW w:w="2268" w:type="dxa"/>
            <w:vAlign w:val="center"/>
          </w:tcPr>
          <w:p w14:paraId="4C3E058A" w14:textId="77777777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  <w:tc>
          <w:tcPr>
            <w:tcW w:w="3118" w:type="dxa"/>
          </w:tcPr>
          <w:p w14:paraId="026767BD" w14:textId="77777777" w:rsidR="00F64925" w:rsidRDefault="00F64925" w:rsidP="00AA3C1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of Average Spend</w:t>
            </w:r>
          </w:p>
        </w:tc>
      </w:tr>
      <w:tr w:rsidR="00F64925" w:rsidRPr="008F55EC" w14:paraId="1C622F60" w14:textId="77777777" w:rsidTr="00AA3C19">
        <w:tc>
          <w:tcPr>
            <w:tcW w:w="2689" w:type="dxa"/>
            <w:vAlign w:val="center"/>
          </w:tcPr>
          <w:p w14:paraId="22C7A103" w14:textId="77777777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Work hours</w:t>
            </w:r>
          </w:p>
        </w:tc>
        <w:tc>
          <w:tcPr>
            <w:tcW w:w="2268" w:type="dxa"/>
            <w:vAlign w:val="center"/>
          </w:tcPr>
          <w:p w14:paraId="5F78BA6B" w14:textId="5F23F0D9" w:rsidR="00F64925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AD184C">
              <w:rPr>
                <w:rFonts w:cs="Arial"/>
                <w:sz w:val="22"/>
                <w:szCs w:val="22"/>
                <w:lang w:val="en-US"/>
              </w:rPr>
              <w:t>1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86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35947BE7" w14:textId="5AF73F82" w:rsidR="00F64925" w:rsidRPr="008F55EC" w:rsidRDefault="000C7E20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57</w:t>
            </w:r>
            <w:r w:rsidR="00B95A9B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  <w:tr w:rsidR="00F64925" w:rsidRPr="008F55EC" w14:paraId="2D8EC084" w14:textId="77777777" w:rsidTr="00AA3C19">
        <w:tc>
          <w:tcPr>
            <w:tcW w:w="2689" w:type="dxa"/>
            <w:vAlign w:val="center"/>
          </w:tcPr>
          <w:p w14:paraId="7DC04346" w14:textId="77777777" w:rsidR="00F64925" w:rsidRPr="008F55EC" w:rsidRDefault="00F64925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Non-work hours</w:t>
            </w:r>
          </w:p>
        </w:tc>
        <w:tc>
          <w:tcPr>
            <w:tcW w:w="2268" w:type="dxa"/>
            <w:vAlign w:val="center"/>
          </w:tcPr>
          <w:p w14:paraId="53E1C69F" w14:textId="0358FE83" w:rsidR="00F64925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AD184C">
              <w:rPr>
                <w:rFonts w:cs="Arial"/>
                <w:sz w:val="22"/>
                <w:szCs w:val="22"/>
                <w:lang w:val="en-US"/>
              </w:rPr>
              <w:t>13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9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178D94B6" w14:textId="3A9E8BEC" w:rsidR="00F64925" w:rsidRPr="008F55EC" w:rsidRDefault="000C7E20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4</w:t>
            </w:r>
            <w:r w:rsidR="00AD184C">
              <w:rPr>
                <w:rFonts w:cs="Arial"/>
                <w:sz w:val="22"/>
                <w:szCs w:val="22"/>
                <w:lang w:val="en-US"/>
              </w:rPr>
              <w:t>3</w:t>
            </w:r>
            <w:r w:rsidR="00B95A9B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</w:tbl>
    <w:p w14:paraId="3196D9FD" w14:textId="25BA42D1" w:rsidR="005B476C" w:rsidRDefault="005B476C" w:rsidP="005B476C">
      <w:pPr>
        <w:pStyle w:val="ListParagraph"/>
        <w:numPr>
          <w:ilvl w:val="0"/>
          <w:numId w:val="21"/>
        </w:numPr>
      </w:pPr>
      <w:r w:rsidRPr="005B476C">
        <w:t>Work hours are 8am to 6pm, Monday to Friday.</w:t>
      </w:r>
    </w:p>
    <w:p w14:paraId="7854EA9E" w14:textId="2F96BA57" w:rsidR="005B476C" w:rsidRDefault="005B476C" w:rsidP="005B476C">
      <w:pPr>
        <w:pStyle w:val="Heading3"/>
        <w:rPr>
          <w:rFonts w:hint="eastAsia"/>
        </w:rPr>
      </w:pPr>
      <w:bookmarkStart w:id="57" w:name="_Toc182490835"/>
      <w:bookmarkStart w:id="58" w:name="_Toc192604356"/>
      <w:r>
        <w:t>Table 2</w:t>
      </w:r>
      <w:r w:rsidR="00891621">
        <w:t>0</w:t>
      </w:r>
      <w:r>
        <w:t xml:space="preserve"> – </w:t>
      </w:r>
      <w:r w:rsidRPr="002031FC">
        <w:t>Weekday and weekend spend</w:t>
      </w:r>
      <w:r w:rsidR="00CA203B">
        <w:t>ing</w:t>
      </w:r>
      <w:r w:rsidRPr="002031FC">
        <w:t xml:space="preserve"> in </w:t>
      </w:r>
      <w:r w:rsidR="000C7E20">
        <w:t>Melbourne CBD - West</w:t>
      </w:r>
      <w:r w:rsidRPr="002031FC">
        <w:t>, Q</w:t>
      </w:r>
      <w:r w:rsidR="000C7E20">
        <w:t>4</w:t>
      </w:r>
      <w:r w:rsidRPr="002031FC">
        <w:t xml:space="preserve"> 2024</w:t>
      </w:r>
      <w:bookmarkEnd w:id="57"/>
      <w:bookmarkEnd w:id="58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3118"/>
      </w:tblGrid>
      <w:tr w:rsidR="005B476C" w:rsidRPr="008F55EC" w14:paraId="4860EF49" w14:textId="77777777" w:rsidTr="00922857">
        <w:tc>
          <w:tcPr>
            <w:tcW w:w="2689" w:type="dxa"/>
            <w:vAlign w:val="center"/>
          </w:tcPr>
          <w:p w14:paraId="6CB99A18" w14:textId="77777777" w:rsidR="005B476C" w:rsidRPr="00F64925" w:rsidRDefault="005B476C" w:rsidP="00922857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Time Period</w:t>
            </w:r>
          </w:p>
        </w:tc>
        <w:tc>
          <w:tcPr>
            <w:tcW w:w="2268" w:type="dxa"/>
            <w:vAlign w:val="center"/>
          </w:tcPr>
          <w:p w14:paraId="27597DBC" w14:textId="77777777" w:rsidR="005B476C" w:rsidRPr="008F55EC" w:rsidRDefault="005B476C" w:rsidP="00922857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  <w:tc>
          <w:tcPr>
            <w:tcW w:w="3118" w:type="dxa"/>
          </w:tcPr>
          <w:p w14:paraId="2F39683E" w14:textId="77777777" w:rsidR="005B476C" w:rsidRDefault="005B476C" w:rsidP="00922857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of Average Spend</w:t>
            </w:r>
          </w:p>
        </w:tc>
      </w:tr>
      <w:tr w:rsidR="005B476C" w:rsidRPr="008F55EC" w14:paraId="2B2F8104" w14:textId="77777777" w:rsidTr="00922857">
        <w:tc>
          <w:tcPr>
            <w:tcW w:w="2689" w:type="dxa"/>
            <w:vAlign w:val="center"/>
          </w:tcPr>
          <w:p w14:paraId="49C8986A" w14:textId="77777777" w:rsidR="005B476C" w:rsidRPr="008F55EC" w:rsidRDefault="005B476C" w:rsidP="00922857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Weekdays</w:t>
            </w:r>
          </w:p>
        </w:tc>
        <w:tc>
          <w:tcPr>
            <w:tcW w:w="2268" w:type="dxa"/>
            <w:vAlign w:val="center"/>
          </w:tcPr>
          <w:p w14:paraId="2F8BECA1" w14:textId="3753334D" w:rsidR="005B476C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241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2601B954" w14:textId="01B811F5" w:rsidR="005B476C" w:rsidRPr="008F55EC" w:rsidRDefault="000C7E20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74</w:t>
            </w:r>
            <w:r w:rsidR="00B95A9B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  <w:tr w:rsidR="005B476C" w:rsidRPr="008F55EC" w14:paraId="5FE9E507" w14:textId="77777777" w:rsidTr="00922857">
        <w:tc>
          <w:tcPr>
            <w:tcW w:w="2689" w:type="dxa"/>
            <w:vAlign w:val="center"/>
          </w:tcPr>
          <w:p w14:paraId="58754474" w14:textId="77777777" w:rsidR="005B476C" w:rsidRPr="008F55EC" w:rsidRDefault="005B476C" w:rsidP="00922857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Weekends</w:t>
            </w:r>
          </w:p>
        </w:tc>
        <w:tc>
          <w:tcPr>
            <w:tcW w:w="2268" w:type="dxa"/>
            <w:vAlign w:val="center"/>
          </w:tcPr>
          <w:p w14:paraId="25CFF35A" w14:textId="2C23721A" w:rsidR="005B476C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86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35B79C09" w14:textId="1A474692" w:rsidR="005B476C" w:rsidRPr="008F55EC" w:rsidRDefault="000C7E20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26</w:t>
            </w:r>
            <w:r w:rsidR="00B95A9B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</w:tbl>
    <w:p w14:paraId="1D418280" w14:textId="2A0BA360" w:rsidR="00F64925" w:rsidRDefault="00F64925" w:rsidP="00F64925">
      <w:pPr>
        <w:pStyle w:val="Heading3"/>
        <w:rPr>
          <w:rFonts w:hint="eastAsia"/>
        </w:rPr>
      </w:pPr>
      <w:bookmarkStart w:id="59" w:name="_Toc182490836"/>
      <w:bookmarkStart w:id="60" w:name="_Toc192604357"/>
      <w:r>
        <w:t>Table 2</w:t>
      </w:r>
      <w:r w:rsidR="00891621">
        <w:t>1</w:t>
      </w:r>
      <w:r w:rsidR="005B476C">
        <w:t>.</w:t>
      </w:r>
      <w:r w:rsidR="002F4DE8">
        <w:t>a</w:t>
      </w:r>
      <w:r>
        <w:t xml:space="preserve"> – </w:t>
      </w:r>
      <w:r w:rsidR="005B476C" w:rsidRPr="005B476C">
        <w:t xml:space="preserve">Where spending in </w:t>
      </w:r>
      <w:r w:rsidR="00B9025E">
        <w:t>Melbourne CBD - West</w:t>
      </w:r>
      <w:r w:rsidR="009B2762" w:rsidRPr="005B476C">
        <w:t xml:space="preserve"> </w:t>
      </w:r>
      <w:r w:rsidR="005B476C" w:rsidRPr="005B476C">
        <w:t>came from, Q</w:t>
      </w:r>
      <w:r w:rsidR="000C7E20">
        <w:t>4</w:t>
      </w:r>
      <w:r w:rsidR="005B476C" w:rsidRPr="005B476C">
        <w:t xml:space="preserve"> 2024</w:t>
      </w:r>
      <w:bookmarkEnd w:id="59"/>
      <w:bookmarkEnd w:id="6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3118"/>
      </w:tblGrid>
      <w:tr w:rsidR="00BA5216" w:rsidRPr="008F55EC" w14:paraId="3CDFE7C2" w14:textId="77777777" w:rsidTr="00AA3C19">
        <w:tc>
          <w:tcPr>
            <w:tcW w:w="2972" w:type="dxa"/>
            <w:vAlign w:val="center"/>
          </w:tcPr>
          <w:p w14:paraId="108D6239" w14:textId="77777777" w:rsidR="00BA5216" w:rsidRPr="00F64925" w:rsidRDefault="00BA5216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Customer Type</w:t>
            </w:r>
          </w:p>
        </w:tc>
        <w:tc>
          <w:tcPr>
            <w:tcW w:w="1985" w:type="dxa"/>
            <w:vAlign w:val="center"/>
          </w:tcPr>
          <w:p w14:paraId="1AFDEED0" w14:textId="77777777" w:rsidR="00BA5216" w:rsidRPr="008F55EC" w:rsidRDefault="00BA5216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  <w:tc>
          <w:tcPr>
            <w:tcW w:w="3118" w:type="dxa"/>
          </w:tcPr>
          <w:p w14:paraId="1ABF6DB1" w14:textId="77777777" w:rsidR="00BA5216" w:rsidRDefault="00BA5216" w:rsidP="00AA3C1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Percent of Average Spend</w:t>
            </w:r>
          </w:p>
        </w:tc>
      </w:tr>
      <w:tr w:rsidR="00BA5216" w:rsidRPr="008F55EC" w14:paraId="052BE35B" w14:textId="77777777" w:rsidTr="00AA3C19">
        <w:tc>
          <w:tcPr>
            <w:tcW w:w="2972" w:type="dxa"/>
            <w:vAlign w:val="center"/>
          </w:tcPr>
          <w:p w14:paraId="74CAC9C0" w14:textId="77777777" w:rsidR="00BA5216" w:rsidRPr="008F55EC" w:rsidRDefault="00BA5216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City of Melbourne residents</w:t>
            </w:r>
          </w:p>
        </w:tc>
        <w:tc>
          <w:tcPr>
            <w:tcW w:w="1985" w:type="dxa"/>
            <w:vAlign w:val="center"/>
          </w:tcPr>
          <w:p w14:paraId="22AAC782" w14:textId="67B59D56" w:rsidR="00BA5216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25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0CB48A57" w14:textId="2A48C07C" w:rsidR="00BA5216" w:rsidRPr="008F55EC" w:rsidRDefault="000C7E20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8</w:t>
            </w:r>
            <w:r w:rsidR="00B95A9B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  <w:tr w:rsidR="00BA5216" w:rsidRPr="008F55EC" w14:paraId="5EDC959D" w14:textId="77777777" w:rsidTr="00AA3C19">
        <w:tc>
          <w:tcPr>
            <w:tcW w:w="2972" w:type="dxa"/>
            <w:vAlign w:val="center"/>
          </w:tcPr>
          <w:p w14:paraId="7FBDD2ED" w14:textId="77777777" w:rsidR="00BA5216" w:rsidRPr="008F55EC" w:rsidRDefault="00BA5216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Visitors</w:t>
            </w:r>
          </w:p>
        </w:tc>
        <w:tc>
          <w:tcPr>
            <w:tcW w:w="1985" w:type="dxa"/>
            <w:vAlign w:val="center"/>
          </w:tcPr>
          <w:p w14:paraId="3051C922" w14:textId="6174BBCD" w:rsidR="00BA5216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300</w:t>
            </w:r>
            <w:r>
              <w:rPr>
                <w:rFonts w:cs="Arial"/>
                <w:sz w:val="22"/>
                <w:szCs w:val="22"/>
                <w:lang w:val="en-US"/>
              </w:rPr>
              <w:t>,000,000</w:t>
            </w:r>
          </w:p>
        </w:tc>
        <w:tc>
          <w:tcPr>
            <w:tcW w:w="3118" w:type="dxa"/>
          </w:tcPr>
          <w:p w14:paraId="4C9DDAB8" w14:textId="46BE83CE" w:rsidR="00BA5216" w:rsidRPr="008F55EC" w:rsidRDefault="006A7F7E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9</w:t>
            </w:r>
            <w:r w:rsidR="000C7E20">
              <w:rPr>
                <w:rFonts w:cs="Arial"/>
                <w:sz w:val="22"/>
                <w:szCs w:val="22"/>
                <w:lang w:val="en-US"/>
              </w:rPr>
              <w:t>2</w:t>
            </w:r>
            <w:r w:rsidR="00B95A9B">
              <w:rPr>
                <w:rFonts w:cs="Arial"/>
                <w:sz w:val="22"/>
                <w:szCs w:val="22"/>
                <w:lang w:val="en-US"/>
              </w:rPr>
              <w:t>%</w:t>
            </w:r>
          </w:p>
        </w:tc>
      </w:tr>
    </w:tbl>
    <w:p w14:paraId="75382AF5" w14:textId="34436FA4" w:rsidR="00F64925" w:rsidRDefault="00F64925" w:rsidP="00F64925">
      <w:pPr>
        <w:pStyle w:val="Heading3"/>
        <w:rPr>
          <w:rFonts w:hint="eastAsia"/>
        </w:rPr>
      </w:pPr>
      <w:bookmarkStart w:id="61" w:name="_Toc182490837"/>
      <w:bookmarkStart w:id="62" w:name="_Toc192604358"/>
      <w:r>
        <w:t>Table 2</w:t>
      </w:r>
      <w:r w:rsidR="00891621">
        <w:t>1</w:t>
      </w:r>
      <w:r w:rsidR="005B476C">
        <w:t>.</w:t>
      </w:r>
      <w:r w:rsidR="002F4DE8">
        <w:t>b</w:t>
      </w:r>
      <w:r>
        <w:t xml:space="preserve"> – </w:t>
      </w:r>
      <w:r w:rsidR="005B476C" w:rsidRPr="005B476C">
        <w:t xml:space="preserve">Where spending in </w:t>
      </w:r>
      <w:r w:rsidR="00B9025E">
        <w:t>Melbourne CBD - West</w:t>
      </w:r>
      <w:r w:rsidR="009B2762" w:rsidRPr="005B476C">
        <w:t xml:space="preserve"> </w:t>
      </w:r>
      <w:r w:rsidR="005B476C" w:rsidRPr="005B476C">
        <w:t>came from, Q</w:t>
      </w:r>
      <w:r w:rsidR="000C7E20">
        <w:t>4</w:t>
      </w:r>
      <w:r w:rsidR="005B476C" w:rsidRPr="005B476C">
        <w:t xml:space="preserve"> 2024</w:t>
      </w:r>
      <w:bookmarkEnd w:id="61"/>
      <w:bookmarkEnd w:id="6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843"/>
      </w:tblGrid>
      <w:tr w:rsidR="00DA2F88" w:rsidRPr="008F55EC" w14:paraId="637B2AD6" w14:textId="77777777" w:rsidTr="00891621">
        <w:tc>
          <w:tcPr>
            <w:tcW w:w="2972" w:type="dxa"/>
            <w:vAlign w:val="center"/>
          </w:tcPr>
          <w:p w14:paraId="2463D70C" w14:textId="77777777" w:rsidR="00DA2F88" w:rsidRPr="00F64925" w:rsidRDefault="00DA2F88" w:rsidP="00AA3C19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Neighborhood Origin</w:t>
            </w:r>
          </w:p>
        </w:tc>
        <w:tc>
          <w:tcPr>
            <w:tcW w:w="1843" w:type="dxa"/>
            <w:vAlign w:val="center"/>
          </w:tcPr>
          <w:p w14:paraId="253DA1BB" w14:textId="77777777" w:rsidR="00DA2F88" w:rsidRPr="008F55EC" w:rsidRDefault="00DA2F88" w:rsidP="00AA3C19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Adjusted Spend</w:t>
            </w:r>
          </w:p>
        </w:tc>
      </w:tr>
      <w:tr w:rsidR="00DA2F88" w:rsidRPr="008F55EC" w14:paraId="1148155B" w14:textId="77777777" w:rsidTr="00891621">
        <w:tc>
          <w:tcPr>
            <w:tcW w:w="2972" w:type="dxa"/>
            <w:vAlign w:val="center"/>
          </w:tcPr>
          <w:p w14:paraId="07274470" w14:textId="190D1327" w:rsidR="00DA2F88" w:rsidRPr="008F55EC" w:rsidRDefault="00617655" w:rsidP="00DA2F88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Port Phillip</w:t>
            </w:r>
          </w:p>
        </w:tc>
        <w:tc>
          <w:tcPr>
            <w:tcW w:w="1843" w:type="dxa"/>
            <w:vAlign w:val="center"/>
          </w:tcPr>
          <w:p w14:paraId="0879375C" w14:textId="68311AB0" w:rsidR="00DA2F88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891621">
              <w:rPr>
                <w:rFonts w:cs="Arial"/>
                <w:sz w:val="22"/>
                <w:szCs w:val="22"/>
                <w:lang w:val="en-US"/>
              </w:rPr>
              <w:t>10,163,100</w:t>
            </w:r>
          </w:p>
        </w:tc>
      </w:tr>
      <w:tr w:rsidR="00DA2F88" w:rsidRPr="008F55EC" w14:paraId="1C64EB2D" w14:textId="77777777" w:rsidTr="00891621">
        <w:tc>
          <w:tcPr>
            <w:tcW w:w="2972" w:type="dxa"/>
            <w:vAlign w:val="center"/>
          </w:tcPr>
          <w:p w14:paraId="15680FE4" w14:textId="1BD18A03" w:rsidR="00DA2F88" w:rsidRPr="008F55EC" w:rsidRDefault="00617655" w:rsidP="00DA2F88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Boroondara</w:t>
            </w:r>
          </w:p>
        </w:tc>
        <w:tc>
          <w:tcPr>
            <w:tcW w:w="1843" w:type="dxa"/>
            <w:vAlign w:val="center"/>
          </w:tcPr>
          <w:p w14:paraId="54364A69" w14:textId="6BC2700B" w:rsidR="00DA2F88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891621">
              <w:rPr>
                <w:rFonts w:cs="Arial"/>
                <w:sz w:val="22"/>
                <w:szCs w:val="22"/>
                <w:lang w:val="en-US"/>
              </w:rPr>
              <w:t>9,883,500</w:t>
            </w:r>
          </w:p>
        </w:tc>
      </w:tr>
      <w:tr w:rsidR="00DA2F88" w:rsidRPr="008F55EC" w14:paraId="31414ACE" w14:textId="77777777" w:rsidTr="00891621">
        <w:tc>
          <w:tcPr>
            <w:tcW w:w="2972" w:type="dxa"/>
            <w:vAlign w:val="center"/>
          </w:tcPr>
          <w:p w14:paraId="669EEF78" w14:textId="78ADAB90" w:rsidR="00DA2F88" w:rsidRPr="008F55EC" w:rsidRDefault="000C7E20" w:rsidP="00DA2F88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Yarra</w:t>
            </w:r>
          </w:p>
        </w:tc>
        <w:tc>
          <w:tcPr>
            <w:tcW w:w="1843" w:type="dxa"/>
            <w:vAlign w:val="center"/>
          </w:tcPr>
          <w:p w14:paraId="7A55AB6D" w14:textId="5230C38A" w:rsidR="00DA2F88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891621">
              <w:rPr>
                <w:rFonts w:cs="Arial"/>
                <w:sz w:val="22"/>
                <w:szCs w:val="22"/>
                <w:lang w:val="en-US"/>
              </w:rPr>
              <w:t>8,519,500</w:t>
            </w:r>
          </w:p>
        </w:tc>
      </w:tr>
      <w:tr w:rsidR="00DA2F88" w:rsidRPr="008F55EC" w14:paraId="75356000" w14:textId="77777777" w:rsidTr="00891621">
        <w:tc>
          <w:tcPr>
            <w:tcW w:w="2972" w:type="dxa"/>
            <w:vAlign w:val="center"/>
          </w:tcPr>
          <w:p w14:paraId="30DF859F" w14:textId="255DE942" w:rsidR="00DA2F88" w:rsidRPr="008F55EC" w:rsidRDefault="000C7E20" w:rsidP="00DA2F88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Stonnnington - West</w:t>
            </w:r>
          </w:p>
        </w:tc>
        <w:tc>
          <w:tcPr>
            <w:tcW w:w="1843" w:type="dxa"/>
            <w:vAlign w:val="center"/>
          </w:tcPr>
          <w:p w14:paraId="0A15F4DD" w14:textId="7AB01038" w:rsidR="00DA2F88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891621">
              <w:rPr>
                <w:rFonts w:cs="Arial"/>
                <w:sz w:val="22"/>
                <w:szCs w:val="22"/>
                <w:lang w:val="en-US"/>
              </w:rPr>
              <w:t>6,243,200</w:t>
            </w:r>
          </w:p>
        </w:tc>
      </w:tr>
      <w:tr w:rsidR="00DA2F88" w:rsidRPr="008F55EC" w14:paraId="60DB44FC" w14:textId="77777777" w:rsidTr="00891621">
        <w:tc>
          <w:tcPr>
            <w:tcW w:w="2972" w:type="dxa"/>
            <w:vAlign w:val="center"/>
          </w:tcPr>
          <w:p w14:paraId="1BB0CA40" w14:textId="365F2242" w:rsidR="00DA2F88" w:rsidRPr="008F55EC" w:rsidRDefault="000C7E20" w:rsidP="00DA2F88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Brunswick - Coburg</w:t>
            </w:r>
          </w:p>
        </w:tc>
        <w:tc>
          <w:tcPr>
            <w:tcW w:w="1843" w:type="dxa"/>
            <w:vAlign w:val="center"/>
          </w:tcPr>
          <w:p w14:paraId="684BC29A" w14:textId="196CB408" w:rsidR="00DA2F88" w:rsidRPr="008F55EC" w:rsidRDefault="00B95A9B" w:rsidP="00B95A9B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$</w:t>
            </w:r>
            <w:r w:rsidR="00891621">
              <w:rPr>
                <w:rFonts w:cs="Arial"/>
                <w:sz w:val="22"/>
                <w:szCs w:val="22"/>
                <w:lang w:val="en-US"/>
              </w:rPr>
              <w:t>6,015,800</w:t>
            </w:r>
          </w:p>
        </w:tc>
      </w:tr>
    </w:tbl>
    <w:p w14:paraId="06F3CC21" w14:textId="7ACDCBC0" w:rsidR="00891621" w:rsidRPr="00891621" w:rsidRDefault="187E780C" w:rsidP="00891621">
      <w:pPr>
        <w:pStyle w:val="Heading2"/>
        <w:rPr>
          <w:rFonts w:hint="eastAsia"/>
        </w:rPr>
      </w:pPr>
      <w:bookmarkStart w:id="63" w:name="_Toc182490838"/>
      <w:bookmarkStart w:id="64" w:name="_Toc192604359"/>
      <w:r>
        <w:t>Appendix 1</w:t>
      </w:r>
      <w:r w:rsidR="1E69780F">
        <w:t>:</w:t>
      </w:r>
      <w:r>
        <w:t xml:space="preserve"> Data sources</w:t>
      </w:r>
      <w:bookmarkEnd w:id="63"/>
      <w:bookmarkEnd w:id="64"/>
    </w:p>
    <w:p w14:paraId="6B700DAA" w14:textId="77777777" w:rsidR="00892ABA" w:rsidRPr="00892ABA" w:rsidRDefault="005B476C" w:rsidP="00892ABA">
      <w:pPr>
        <w:pStyle w:val="NormalWeb"/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B476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Spendmapp by Geografia </w:t>
      </w:r>
      <w:r w:rsidR="00891621" w:rsidRPr="0089162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(Nominal Figures)</w:t>
      </w:r>
      <w:r w:rsidR="0089162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="00891621" w:rsidRPr="00891621">
        <w:rPr>
          <w:rFonts w:ascii="Gotham SSm" w:eastAsia="MS Mincho" w:hAnsi="Gotham SSm"/>
          <w:color w:val="A2A2A2"/>
          <w:sz w:val="36"/>
          <w:szCs w:val="36"/>
          <w:shd w:val="clear" w:color="auto" w:fill="FFFFFF"/>
          <w:lang w:eastAsia="en-US"/>
        </w:rPr>
        <w:t xml:space="preserve"> </w:t>
      </w:r>
      <w:r w:rsidR="00892ABA">
        <w:rPr>
          <w:rFonts w:ascii="Gotham SSm" w:eastAsia="MS Mincho" w:hAnsi="Gotham SSm"/>
          <w:color w:val="A2A2A2"/>
          <w:sz w:val="36"/>
          <w:szCs w:val="36"/>
          <w:shd w:val="clear" w:color="auto" w:fill="FFFFFF"/>
          <w:lang w:eastAsia="en-US"/>
        </w:rPr>
        <w:br/>
      </w:r>
      <w:r w:rsidR="00891621" w:rsidRPr="0089162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International Visitor Survey, September 2024, Tourism Research Australia, released December 2024. </w:t>
      </w:r>
      <w:r w:rsidR="00892AB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  <w:r w:rsidR="00892ABA" w:rsidRPr="00892AB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International visitors are people travelling from overseas on a tourism trip. Domestic visitors are Australian residents on a tourism trip. For more information: https://www.tra.gov.au/en/about-tra/methodology.</w:t>
      </w:r>
    </w:p>
    <w:p w14:paraId="7CA176A4" w14:textId="44C91C08" w:rsidR="005B476C" w:rsidRPr="00454F3D" w:rsidRDefault="00891621" w:rsidP="00E67C31">
      <w:pPr>
        <w:pStyle w:val="NormalWeb"/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br/>
      </w:r>
      <w:r w:rsidRPr="0089162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City of Melbourne Business Concierge.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  <w:r w:rsidRPr="0089162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Australian Bureau of Statistics – Business register – originally sourced from ATO data.</w:t>
      </w:r>
    </w:p>
    <w:sectPr w:rsidR="005B476C" w:rsidRPr="00454F3D" w:rsidSect="003258DE">
      <w:endnotePr>
        <w:numFmt w:val="decimal"/>
      </w:endnotePr>
      <w:pgSz w:w="11900" w:h="16840"/>
      <w:pgMar w:top="1135" w:right="98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B00A" w14:textId="77777777" w:rsidR="00D70FFC" w:rsidRDefault="00D70FFC" w:rsidP="00BC719D">
      <w:pPr>
        <w:spacing w:after="0"/>
      </w:pPr>
      <w:r>
        <w:separator/>
      </w:r>
    </w:p>
  </w:endnote>
  <w:endnote w:type="continuationSeparator" w:id="0">
    <w:p w14:paraId="60061E4C" w14:textId="77777777" w:rsidR="00D70FFC" w:rsidRDefault="00D70FFC" w:rsidP="00E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SSm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D5A5" w14:textId="77777777" w:rsidR="00D70FFC" w:rsidRDefault="00D70FFC" w:rsidP="00577A39">
      <w:pPr>
        <w:spacing w:after="40" w:line="240" w:lineRule="auto"/>
      </w:pPr>
      <w:r>
        <w:separator/>
      </w:r>
    </w:p>
  </w:footnote>
  <w:footnote w:type="continuationSeparator" w:id="0">
    <w:p w14:paraId="3DEEC669" w14:textId="77777777" w:rsidR="00D70FFC" w:rsidRDefault="00D70FFC" w:rsidP="00EA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704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16E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2B036AB"/>
    <w:multiLevelType w:val="hybridMultilevel"/>
    <w:tmpl w:val="6C96502C"/>
    <w:lvl w:ilvl="0" w:tplc="8EE8C2C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D51CC"/>
    <w:multiLevelType w:val="multilevel"/>
    <w:tmpl w:val="41269988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1431"/>
        </w:tabs>
        <w:ind w:left="1428" w:hanging="35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8"/>
        </w:tabs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4" w15:restartNumberingAfterBreak="0">
    <w:nsid w:val="12A57FDB"/>
    <w:multiLevelType w:val="hybridMultilevel"/>
    <w:tmpl w:val="9A7A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25E9"/>
    <w:multiLevelType w:val="multilevel"/>
    <w:tmpl w:val="16506B6C"/>
    <w:styleLink w:val="ListNumber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6" w15:restartNumberingAfterBreak="0">
    <w:nsid w:val="28394ED0"/>
    <w:multiLevelType w:val="hybridMultilevel"/>
    <w:tmpl w:val="7A069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B5D1C"/>
    <w:multiLevelType w:val="multilevel"/>
    <w:tmpl w:val="16506B6C"/>
    <w:numStyleLink w:val="ListNumbers"/>
  </w:abstractNum>
  <w:abstractNum w:abstractNumId="8" w15:restartNumberingAfterBreak="0">
    <w:nsid w:val="2B801772"/>
    <w:multiLevelType w:val="hybridMultilevel"/>
    <w:tmpl w:val="6FE2C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56F47"/>
    <w:multiLevelType w:val="hybridMultilevel"/>
    <w:tmpl w:val="9126D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10957"/>
    <w:multiLevelType w:val="multilevel"/>
    <w:tmpl w:val="16506B6C"/>
    <w:numStyleLink w:val="ListNumbers"/>
  </w:abstractNum>
  <w:abstractNum w:abstractNumId="11" w15:restartNumberingAfterBreak="0">
    <w:nsid w:val="3E405118"/>
    <w:multiLevelType w:val="hybridMultilevel"/>
    <w:tmpl w:val="9894F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90013"/>
    <w:multiLevelType w:val="hybridMultilevel"/>
    <w:tmpl w:val="501CC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1D39"/>
    <w:multiLevelType w:val="hybridMultilevel"/>
    <w:tmpl w:val="B3B47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209CA"/>
    <w:multiLevelType w:val="multilevel"/>
    <w:tmpl w:val="16506B6C"/>
    <w:numStyleLink w:val="ListNumbers"/>
  </w:abstractNum>
  <w:abstractNum w:abstractNumId="15" w15:restartNumberingAfterBreak="0">
    <w:nsid w:val="6F7B1210"/>
    <w:multiLevelType w:val="hybridMultilevel"/>
    <w:tmpl w:val="5964A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C43DC"/>
    <w:multiLevelType w:val="multilevel"/>
    <w:tmpl w:val="16506B6C"/>
    <w:numStyleLink w:val="ListNumbers"/>
  </w:abstractNum>
  <w:abstractNum w:abstractNumId="17" w15:restartNumberingAfterBreak="0">
    <w:nsid w:val="7DD1201F"/>
    <w:multiLevelType w:val="multilevel"/>
    <w:tmpl w:val="16506B6C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num w:numId="1" w16cid:durableId="1275137882">
    <w:abstractNumId w:val="3"/>
  </w:num>
  <w:num w:numId="2" w16cid:durableId="405613552">
    <w:abstractNumId w:val="5"/>
  </w:num>
  <w:num w:numId="3" w16cid:durableId="233589251">
    <w:abstractNumId w:val="16"/>
  </w:num>
  <w:num w:numId="4" w16cid:durableId="1036200147">
    <w:abstractNumId w:val="0"/>
  </w:num>
  <w:num w:numId="5" w16cid:durableId="957033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3458045">
    <w:abstractNumId w:val="7"/>
  </w:num>
  <w:num w:numId="7" w16cid:durableId="1711957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7336334">
    <w:abstractNumId w:val="14"/>
  </w:num>
  <w:num w:numId="9" w16cid:durableId="50619418">
    <w:abstractNumId w:val="10"/>
  </w:num>
  <w:num w:numId="10" w16cid:durableId="2089185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0251299">
    <w:abstractNumId w:val="1"/>
  </w:num>
  <w:num w:numId="12" w16cid:durableId="285091406">
    <w:abstractNumId w:val="9"/>
  </w:num>
  <w:num w:numId="13" w16cid:durableId="494489681">
    <w:abstractNumId w:val="13"/>
  </w:num>
  <w:num w:numId="14" w16cid:durableId="1930893562">
    <w:abstractNumId w:val="17"/>
  </w:num>
  <w:num w:numId="15" w16cid:durableId="18204894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5824233">
    <w:abstractNumId w:val="2"/>
  </w:num>
  <w:num w:numId="17" w16cid:durableId="1957834181">
    <w:abstractNumId w:val="6"/>
  </w:num>
  <w:num w:numId="18" w16cid:durableId="741022207">
    <w:abstractNumId w:val="3"/>
  </w:num>
  <w:num w:numId="19" w16cid:durableId="2146309773">
    <w:abstractNumId w:val="3"/>
  </w:num>
  <w:num w:numId="20" w16cid:durableId="1552888415">
    <w:abstractNumId w:val="4"/>
  </w:num>
  <w:num w:numId="21" w16cid:durableId="236475997">
    <w:abstractNumId w:val="15"/>
  </w:num>
  <w:num w:numId="22" w16cid:durableId="449007518">
    <w:abstractNumId w:val="8"/>
  </w:num>
  <w:num w:numId="23" w16cid:durableId="977105555">
    <w:abstractNumId w:val="11"/>
  </w:num>
  <w:num w:numId="24" w16cid:durableId="152929127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91"/>
    <w:rsid w:val="00020B35"/>
    <w:rsid w:val="00032F51"/>
    <w:rsid w:val="00043793"/>
    <w:rsid w:val="000437C5"/>
    <w:rsid w:val="000474AE"/>
    <w:rsid w:val="000532DE"/>
    <w:rsid w:val="00071857"/>
    <w:rsid w:val="0008240E"/>
    <w:rsid w:val="00094246"/>
    <w:rsid w:val="0009455A"/>
    <w:rsid w:val="000A2BDA"/>
    <w:rsid w:val="000A48D5"/>
    <w:rsid w:val="000A53E6"/>
    <w:rsid w:val="000B5EAA"/>
    <w:rsid w:val="000C1D7A"/>
    <w:rsid w:val="000C7E20"/>
    <w:rsid w:val="000E616B"/>
    <w:rsid w:val="000F28AB"/>
    <w:rsid w:val="000F3535"/>
    <w:rsid w:val="000F3A62"/>
    <w:rsid w:val="00124A99"/>
    <w:rsid w:val="00126138"/>
    <w:rsid w:val="00135F5D"/>
    <w:rsid w:val="00151C6A"/>
    <w:rsid w:val="001772B1"/>
    <w:rsid w:val="00190B0E"/>
    <w:rsid w:val="001B51BF"/>
    <w:rsid w:val="001C6A3B"/>
    <w:rsid w:val="001D69B8"/>
    <w:rsid w:val="001F46B4"/>
    <w:rsid w:val="001F554D"/>
    <w:rsid w:val="002031FC"/>
    <w:rsid w:val="00210889"/>
    <w:rsid w:val="002436A6"/>
    <w:rsid w:val="002438B7"/>
    <w:rsid w:val="0024773F"/>
    <w:rsid w:val="00247B25"/>
    <w:rsid w:val="00260A86"/>
    <w:rsid w:val="00283798"/>
    <w:rsid w:val="00293B5C"/>
    <w:rsid w:val="002A0493"/>
    <w:rsid w:val="002A3841"/>
    <w:rsid w:val="002A4C65"/>
    <w:rsid w:val="002C031E"/>
    <w:rsid w:val="002D630D"/>
    <w:rsid w:val="002E01B9"/>
    <w:rsid w:val="002E4153"/>
    <w:rsid w:val="002E7B8E"/>
    <w:rsid w:val="002F341E"/>
    <w:rsid w:val="002F47B6"/>
    <w:rsid w:val="002F4DE8"/>
    <w:rsid w:val="002F646F"/>
    <w:rsid w:val="002F6A88"/>
    <w:rsid w:val="0030394E"/>
    <w:rsid w:val="003258DE"/>
    <w:rsid w:val="003560A1"/>
    <w:rsid w:val="00380F44"/>
    <w:rsid w:val="00387840"/>
    <w:rsid w:val="00392688"/>
    <w:rsid w:val="003C1BF2"/>
    <w:rsid w:val="003C49CE"/>
    <w:rsid w:val="003D63A8"/>
    <w:rsid w:val="003E3A9F"/>
    <w:rsid w:val="003F09EC"/>
    <w:rsid w:val="003F25BE"/>
    <w:rsid w:val="003F6DFC"/>
    <w:rsid w:val="00407429"/>
    <w:rsid w:val="00411D07"/>
    <w:rsid w:val="00423541"/>
    <w:rsid w:val="00426584"/>
    <w:rsid w:val="00431D45"/>
    <w:rsid w:val="00454F3D"/>
    <w:rsid w:val="004564F4"/>
    <w:rsid w:val="00456FAB"/>
    <w:rsid w:val="00457042"/>
    <w:rsid w:val="0045832B"/>
    <w:rsid w:val="00464284"/>
    <w:rsid w:val="004878DB"/>
    <w:rsid w:val="004921FD"/>
    <w:rsid w:val="00493E0A"/>
    <w:rsid w:val="00494A2D"/>
    <w:rsid w:val="004A26E3"/>
    <w:rsid w:val="004B0A87"/>
    <w:rsid w:val="004C1AB5"/>
    <w:rsid w:val="004D00DD"/>
    <w:rsid w:val="004E1ECE"/>
    <w:rsid w:val="004F54F5"/>
    <w:rsid w:val="00505ACC"/>
    <w:rsid w:val="00535159"/>
    <w:rsid w:val="0053666A"/>
    <w:rsid w:val="00557799"/>
    <w:rsid w:val="005620A0"/>
    <w:rsid w:val="0056634E"/>
    <w:rsid w:val="0057264C"/>
    <w:rsid w:val="00577A39"/>
    <w:rsid w:val="005814F5"/>
    <w:rsid w:val="005B3CA6"/>
    <w:rsid w:val="005B476C"/>
    <w:rsid w:val="005B506B"/>
    <w:rsid w:val="005C3F28"/>
    <w:rsid w:val="005C7F51"/>
    <w:rsid w:val="005D0A71"/>
    <w:rsid w:val="005D30BA"/>
    <w:rsid w:val="005F3CEB"/>
    <w:rsid w:val="005F4391"/>
    <w:rsid w:val="00600AE1"/>
    <w:rsid w:val="00610356"/>
    <w:rsid w:val="0061211D"/>
    <w:rsid w:val="006172D1"/>
    <w:rsid w:val="00617655"/>
    <w:rsid w:val="006443D9"/>
    <w:rsid w:val="0065394E"/>
    <w:rsid w:val="00661D29"/>
    <w:rsid w:val="00687D4A"/>
    <w:rsid w:val="006A2F63"/>
    <w:rsid w:val="006A3718"/>
    <w:rsid w:val="006A7F7E"/>
    <w:rsid w:val="006C0085"/>
    <w:rsid w:val="006C7F7B"/>
    <w:rsid w:val="007100E4"/>
    <w:rsid w:val="00712950"/>
    <w:rsid w:val="00715B3E"/>
    <w:rsid w:val="00723A75"/>
    <w:rsid w:val="0073401D"/>
    <w:rsid w:val="007361D8"/>
    <w:rsid w:val="00737A99"/>
    <w:rsid w:val="00756954"/>
    <w:rsid w:val="00757EEC"/>
    <w:rsid w:val="00772AEA"/>
    <w:rsid w:val="00782E37"/>
    <w:rsid w:val="007967C3"/>
    <w:rsid w:val="007A0AA6"/>
    <w:rsid w:val="007A2C76"/>
    <w:rsid w:val="007E291E"/>
    <w:rsid w:val="007E6347"/>
    <w:rsid w:val="007F0661"/>
    <w:rsid w:val="007F2FF2"/>
    <w:rsid w:val="00802A52"/>
    <w:rsid w:val="00806F0F"/>
    <w:rsid w:val="00823A07"/>
    <w:rsid w:val="00825D3D"/>
    <w:rsid w:val="00831224"/>
    <w:rsid w:val="00850060"/>
    <w:rsid w:val="0085013A"/>
    <w:rsid w:val="00850D66"/>
    <w:rsid w:val="00855F84"/>
    <w:rsid w:val="0086439A"/>
    <w:rsid w:val="00881C97"/>
    <w:rsid w:val="0088586D"/>
    <w:rsid w:val="00891621"/>
    <w:rsid w:val="00892ABA"/>
    <w:rsid w:val="008973E9"/>
    <w:rsid w:val="008A42B1"/>
    <w:rsid w:val="008A5C96"/>
    <w:rsid w:val="008B4414"/>
    <w:rsid w:val="008B512A"/>
    <w:rsid w:val="008C2916"/>
    <w:rsid w:val="008D1BB5"/>
    <w:rsid w:val="008D2DDA"/>
    <w:rsid w:val="008E2476"/>
    <w:rsid w:val="008F08AC"/>
    <w:rsid w:val="008F55EC"/>
    <w:rsid w:val="009043FC"/>
    <w:rsid w:val="009050C6"/>
    <w:rsid w:val="00905373"/>
    <w:rsid w:val="00906338"/>
    <w:rsid w:val="0091365A"/>
    <w:rsid w:val="0092528F"/>
    <w:rsid w:val="009522EA"/>
    <w:rsid w:val="00955E32"/>
    <w:rsid w:val="009565CE"/>
    <w:rsid w:val="0097181E"/>
    <w:rsid w:val="00990B3C"/>
    <w:rsid w:val="009A37F3"/>
    <w:rsid w:val="009A4F83"/>
    <w:rsid w:val="009B2762"/>
    <w:rsid w:val="009B4DE8"/>
    <w:rsid w:val="009B6E1F"/>
    <w:rsid w:val="009C5A76"/>
    <w:rsid w:val="009D1FBA"/>
    <w:rsid w:val="009F4681"/>
    <w:rsid w:val="009F7577"/>
    <w:rsid w:val="00A01D13"/>
    <w:rsid w:val="00A0CCC5"/>
    <w:rsid w:val="00A121B3"/>
    <w:rsid w:val="00A175CD"/>
    <w:rsid w:val="00A20ABD"/>
    <w:rsid w:val="00A27DF9"/>
    <w:rsid w:val="00A50617"/>
    <w:rsid w:val="00A5193E"/>
    <w:rsid w:val="00A74C66"/>
    <w:rsid w:val="00A8651A"/>
    <w:rsid w:val="00AA4303"/>
    <w:rsid w:val="00AB6132"/>
    <w:rsid w:val="00AD184C"/>
    <w:rsid w:val="00AD2B6E"/>
    <w:rsid w:val="00AD7FE7"/>
    <w:rsid w:val="00AF02E0"/>
    <w:rsid w:val="00AF4B64"/>
    <w:rsid w:val="00B152AF"/>
    <w:rsid w:val="00B334DD"/>
    <w:rsid w:val="00B53D5A"/>
    <w:rsid w:val="00B61F7F"/>
    <w:rsid w:val="00B718B7"/>
    <w:rsid w:val="00B776A9"/>
    <w:rsid w:val="00B80ADB"/>
    <w:rsid w:val="00B9025E"/>
    <w:rsid w:val="00B93B1F"/>
    <w:rsid w:val="00B94B3A"/>
    <w:rsid w:val="00B95A9B"/>
    <w:rsid w:val="00BA5216"/>
    <w:rsid w:val="00BC5E8E"/>
    <w:rsid w:val="00BC719D"/>
    <w:rsid w:val="00BE100F"/>
    <w:rsid w:val="00BE1269"/>
    <w:rsid w:val="00BE4B49"/>
    <w:rsid w:val="00BE6801"/>
    <w:rsid w:val="00C0291B"/>
    <w:rsid w:val="00C05740"/>
    <w:rsid w:val="00C07190"/>
    <w:rsid w:val="00C14F9F"/>
    <w:rsid w:val="00C2007C"/>
    <w:rsid w:val="00C37F6A"/>
    <w:rsid w:val="00C42412"/>
    <w:rsid w:val="00C55B65"/>
    <w:rsid w:val="00C72568"/>
    <w:rsid w:val="00C73DA2"/>
    <w:rsid w:val="00C75211"/>
    <w:rsid w:val="00CA189C"/>
    <w:rsid w:val="00CA203B"/>
    <w:rsid w:val="00CA3730"/>
    <w:rsid w:val="00CB2D6A"/>
    <w:rsid w:val="00CB5C49"/>
    <w:rsid w:val="00CB6145"/>
    <w:rsid w:val="00CD382D"/>
    <w:rsid w:val="00CF6F1F"/>
    <w:rsid w:val="00D00427"/>
    <w:rsid w:val="00D02C4A"/>
    <w:rsid w:val="00D1252D"/>
    <w:rsid w:val="00D23D2B"/>
    <w:rsid w:val="00D24DA3"/>
    <w:rsid w:val="00D378BC"/>
    <w:rsid w:val="00D46770"/>
    <w:rsid w:val="00D54403"/>
    <w:rsid w:val="00D57437"/>
    <w:rsid w:val="00D70FFC"/>
    <w:rsid w:val="00D77363"/>
    <w:rsid w:val="00D77423"/>
    <w:rsid w:val="00DA2F88"/>
    <w:rsid w:val="00DB4981"/>
    <w:rsid w:val="00DE63D0"/>
    <w:rsid w:val="00E05E1C"/>
    <w:rsid w:val="00E16E93"/>
    <w:rsid w:val="00E4646D"/>
    <w:rsid w:val="00E5089C"/>
    <w:rsid w:val="00E54E84"/>
    <w:rsid w:val="00E617E0"/>
    <w:rsid w:val="00E63C2E"/>
    <w:rsid w:val="00E63D29"/>
    <w:rsid w:val="00E67C31"/>
    <w:rsid w:val="00E82344"/>
    <w:rsid w:val="00E84AAE"/>
    <w:rsid w:val="00E86DCD"/>
    <w:rsid w:val="00E94A1C"/>
    <w:rsid w:val="00EA2130"/>
    <w:rsid w:val="00EB4501"/>
    <w:rsid w:val="00EB64C9"/>
    <w:rsid w:val="00EC4AF9"/>
    <w:rsid w:val="00ED7629"/>
    <w:rsid w:val="00EF11AE"/>
    <w:rsid w:val="00F03DF7"/>
    <w:rsid w:val="00F07FBE"/>
    <w:rsid w:val="00F1256F"/>
    <w:rsid w:val="00F221E1"/>
    <w:rsid w:val="00F24B46"/>
    <w:rsid w:val="00F353EB"/>
    <w:rsid w:val="00F4048D"/>
    <w:rsid w:val="00F41FC6"/>
    <w:rsid w:val="00F44EDC"/>
    <w:rsid w:val="00F61A91"/>
    <w:rsid w:val="00F61B69"/>
    <w:rsid w:val="00F62D9C"/>
    <w:rsid w:val="00F63593"/>
    <w:rsid w:val="00F64925"/>
    <w:rsid w:val="00F7371C"/>
    <w:rsid w:val="00F83261"/>
    <w:rsid w:val="00F84BB4"/>
    <w:rsid w:val="00F91691"/>
    <w:rsid w:val="00F93CD4"/>
    <w:rsid w:val="00FA2DFF"/>
    <w:rsid w:val="00FA7EFD"/>
    <w:rsid w:val="00FC6D23"/>
    <w:rsid w:val="00FE3C74"/>
    <w:rsid w:val="00FF1497"/>
    <w:rsid w:val="0145CC04"/>
    <w:rsid w:val="014A4C4F"/>
    <w:rsid w:val="02BBB97C"/>
    <w:rsid w:val="0348DECB"/>
    <w:rsid w:val="03663EB7"/>
    <w:rsid w:val="03AD7957"/>
    <w:rsid w:val="03C134BF"/>
    <w:rsid w:val="03D36A49"/>
    <w:rsid w:val="03E78DCD"/>
    <w:rsid w:val="042BB4CD"/>
    <w:rsid w:val="04512D8C"/>
    <w:rsid w:val="045B0738"/>
    <w:rsid w:val="05428B3C"/>
    <w:rsid w:val="0610C301"/>
    <w:rsid w:val="06C4207D"/>
    <w:rsid w:val="07005A6D"/>
    <w:rsid w:val="07624D09"/>
    <w:rsid w:val="07D9B43F"/>
    <w:rsid w:val="082ED43B"/>
    <w:rsid w:val="08DD5BDE"/>
    <w:rsid w:val="09820762"/>
    <w:rsid w:val="09B6A70F"/>
    <w:rsid w:val="0A7158FB"/>
    <w:rsid w:val="0BF76274"/>
    <w:rsid w:val="0C9ADCCB"/>
    <w:rsid w:val="0CC5343C"/>
    <w:rsid w:val="0CCC6100"/>
    <w:rsid w:val="0D12CE77"/>
    <w:rsid w:val="0D316584"/>
    <w:rsid w:val="0D3BC60C"/>
    <w:rsid w:val="0D5FC073"/>
    <w:rsid w:val="0E68C946"/>
    <w:rsid w:val="0E82E29E"/>
    <w:rsid w:val="0EF83AAF"/>
    <w:rsid w:val="0F0795DC"/>
    <w:rsid w:val="0F80CD0C"/>
    <w:rsid w:val="0FF72CE0"/>
    <w:rsid w:val="1001101E"/>
    <w:rsid w:val="10DC2FFF"/>
    <w:rsid w:val="1139249F"/>
    <w:rsid w:val="11781967"/>
    <w:rsid w:val="123C9FDF"/>
    <w:rsid w:val="12B11292"/>
    <w:rsid w:val="1362A70F"/>
    <w:rsid w:val="14283F80"/>
    <w:rsid w:val="14755713"/>
    <w:rsid w:val="14F93311"/>
    <w:rsid w:val="158991A8"/>
    <w:rsid w:val="15A44170"/>
    <w:rsid w:val="15C1A20D"/>
    <w:rsid w:val="167583B8"/>
    <w:rsid w:val="170E7BD2"/>
    <w:rsid w:val="17317FE7"/>
    <w:rsid w:val="17F91915"/>
    <w:rsid w:val="183FC745"/>
    <w:rsid w:val="187E780C"/>
    <w:rsid w:val="18AE1C69"/>
    <w:rsid w:val="197AB14E"/>
    <w:rsid w:val="197B1902"/>
    <w:rsid w:val="198047DA"/>
    <w:rsid w:val="1A7CC4F3"/>
    <w:rsid w:val="1AE4DCB1"/>
    <w:rsid w:val="1B1897B9"/>
    <w:rsid w:val="1B53B10C"/>
    <w:rsid w:val="1CABCAC2"/>
    <w:rsid w:val="1D487513"/>
    <w:rsid w:val="1DD86966"/>
    <w:rsid w:val="1E035516"/>
    <w:rsid w:val="1E222B87"/>
    <w:rsid w:val="1E279452"/>
    <w:rsid w:val="1E69780F"/>
    <w:rsid w:val="1F3FD9C2"/>
    <w:rsid w:val="20B38B2F"/>
    <w:rsid w:val="20C91A7C"/>
    <w:rsid w:val="2103C8E2"/>
    <w:rsid w:val="214F514D"/>
    <w:rsid w:val="221CE01B"/>
    <w:rsid w:val="231FC18D"/>
    <w:rsid w:val="233D8265"/>
    <w:rsid w:val="236BE615"/>
    <w:rsid w:val="241A495C"/>
    <w:rsid w:val="243132B1"/>
    <w:rsid w:val="24C978B0"/>
    <w:rsid w:val="24D7A7CB"/>
    <w:rsid w:val="2560A39C"/>
    <w:rsid w:val="2574B3FB"/>
    <w:rsid w:val="258C8D59"/>
    <w:rsid w:val="26607E69"/>
    <w:rsid w:val="26FA3C68"/>
    <w:rsid w:val="27797E7F"/>
    <w:rsid w:val="27880DCC"/>
    <w:rsid w:val="28960CC9"/>
    <w:rsid w:val="28E0477A"/>
    <w:rsid w:val="28E64AA0"/>
    <w:rsid w:val="299B0A93"/>
    <w:rsid w:val="2ADA1679"/>
    <w:rsid w:val="2B1071F5"/>
    <w:rsid w:val="2B11FC09"/>
    <w:rsid w:val="2BDC474C"/>
    <w:rsid w:val="2C397881"/>
    <w:rsid w:val="2C6D538B"/>
    <w:rsid w:val="2CB86921"/>
    <w:rsid w:val="2D254E1D"/>
    <w:rsid w:val="2D891BB8"/>
    <w:rsid w:val="2DA1FE0A"/>
    <w:rsid w:val="2DFCB352"/>
    <w:rsid w:val="2E4E3B0A"/>
    <w:rsid w:val="2F1E76AA"/>
    <w:rsid w:val="2FAFC587"/>
    <w:rsid w:val="30A86A5C"/>
    <w:rsid w:val="30FBFD97"/>
    <w:rsid w:val="3123BD02"/>
    <w:rsid w:val="316D2B27"/>
    <w:rsid w:val="31893B85"/>
    <w:rsid w:val="3194E1A1"/>
    <w:rsid w:val="3256176C"/>
    <w:rsid w:val="326307A3"/>
    <w:rsid w:val="334FA992"/>
    <w:rsid w:val="33F1E7CD"/>
    <w:rsid w:val="3408D65E"/>
    <w:rsid w:val="343FB8EE"/>
    <w:rsid w:val="34404030"/>
    <w:rsid w:val="345E3437"/>
    <w:rsid w:val="35578C1C"/>
    <w:rsid w:val="357C7D57"/>
    <w:rsid w:val="357CD871"/>
    <w:rsid w:val="36517721"/>
    <w:rsid w:val="36574FC1"/>
    <w:rsid w:val="36607FFB"/>
    <w:rsid w:val="36C12A01"/>
    <w:rsid w:val="36CF0EF0"/>
    <w:rsid w:val="36E52243"/>
    <w:rsid w:val="370F00C0"/>
    <w:rsid w:val="389AF5BC"/>
    <w:rsid w:val="38CBE130"/>
    <w:rsid w:val="39634DB4"/>
    <w:rsid w:val="3A315ED5"/>
    <w:rsid w:val="3B24621D"/>
    <w:rsid w:val="3BE2EED2"/>
    <w:rsid w:val="3BFAAFAF"/>
    <w:rsid w:val="3CD79448"/>
    <w:rsid w:val="3D65DE49"/>
    <w:rsid w:val="3DACB734"/>
    <w:rsid w:val="3DE9FCCD"/>
    <w:rsid w:val="3E1ACAD5"/>
    <w:rsid w:val="3E7859D6"/>
    <w:rsid w:val="3F29E304"/>
    <w:rsid w:val="3F7E106D"/>
    <w:rsid w:val="408399E8"/>
    <w:rsid w:val="41F4DED7"/>
    <w:rsid w:val="44B33698"/>
    <w:rsid w:val="44BD4FA5"/>
    <w:rsid w:val="44C9D3BF"/>
    <w:rsid w:val="4543BE19"/>
    <w:rsid w:val="45EC3D86"/>
    <w:rsid w:val="46F98A23"/>
    <w:rsid w:val="47159F14"/>
    <w:rsid w:val="485B753B"/>
    <w:rsid w:val="48D16E43"/>
    <w:rsid w:val="49125138"/>
    <w:rsid w:val="49125F3A"/>
    <w:rsid w:val="4A4D3FD6"/>
    <w:rsid w:val="4AF64FFC"/>
    <w:rsid w:val="4B5BDEE2"/>
    <w:rsid w:val="4B845550"/>
    <w:rsid w:val="4B98CF33"/>
    <w:rsid w:val="4C67D49C"/>
    <w:rsid w:val="4CD0BF5F"/>
    <w:rsid w:val="4CD29EF8"/>
    <w:rsid w:val="4D7C8862"/>
    <w:rsid w:val="4E1B9E89"/>
    <w:rsid w:val="4E54D03C"/>
    <w:rsid w:val="4EBE4ADD"/>
    <w:rsid w:val="4FD24E3C"/>
    <w:rsid w:val="5074F170"/>
    <w:rsid w:val="5099C81D"/>
    <w:rsid w:val="51402F2F"/>
    <w:rsid w:val="5248B933"/>
    <w:rsid w:val="52FCD427"/>
    <w:rsid w:val="53216078"/>
    <w:rsid w:val="545A2F48"/>
    <w:rsid w:val="5490B6C4"/>
    <w:rsid w:val="5520FABF"/>
    <w:rsid w:val="55EF2DFC"/>
    <w:rsid w:val="56FA8925"/>
    <w:rsid w:val="580D722C"/>
    <w:rsid w:val="58ECF327"/>
    <w:rsid w:val="590B054F"/>
    <w:rsid w:val="5A12C811"/>
    <w:rsid w:val="5A17F09F"/>
    <w:rsid w:val="5A2F1EB5"/>
    <w:rsid w:val="5A4CB05E"/>
    <w:rsid w:val="5AC7F228"/>
    <w:rsid w:val="5B5E1CE4"/>
    <w:rsid w:val="5B6FF901"/>
    <w:rsid w:val="5B8C7642"/>
    <w:rsid w:val="5C1FB3B5"/>
    <w:rsid w:val="5D360104"/>
    <w:rsid w:val="5D5C36C7"/>
    <w:rsid w:val="5DDD5DE2"/>
    <w:rsid w:val="5E6BB41B"/>
    <w:rsid w:val="5E759EF8"/>
    <w:rsid w:val="5F4C9C60"/>
    <w:rsid w:val="5F645A1A"/>
    <w:rsid w:val="5FCB2623"/>
    <w:rsid w:val="6001D6D8"/>
    <w:rsid w:val="60347B3F"/>
    <w:rsid w:val="6104DC5D"/>
    <w:rsid w:val="611DCA08"/>
    <w:rsid w:val="615EA0A4"/>
    <w:rsid w:val="61B67A2E"/>
    <w:rsid w:val="620630CE"/>
    <w:rsid w:val="628F57B8"/>
    <w:rsid w:val="62A4B937"/>
    <w:rsid w:val="62CDDF22"/>
    <w:rsid w:val="62FE7EC7"/>
    <w:rsid w:val="631B860B"/>
    <w:rsid w:val="6339CEE7"/>
    <w:rsid w:val="633B5BA8"/>
    <w:rsid w:val="658F05AB"/>
    <w:rsid w:val="6652CD05"/>
    <w:rsid w:val="66B2ABA8"/>
    <w:rsid w:val="66C019B0"/>
    <w:rsid w:val="6944A808"/>
    <w:rsid w:val="6A0DB341"/>
    <w:rsid w:val="6A14EC0C"/>
    <w:rsid w:val="6A5E0301"/>
    <w:rsid w:val="6AD3462F"/>
    <w:rsid w:val="6B7ABC11"/>
    <w:rsid w:val="6BAF0BE1"/>
    <w:rsid w:val="6BB764FD"/>
    <w:rsid w:val="6BC275C3"/>
    <w:rsid w:val="6C478F04"/>
    <w:rsid w:val="6C857157"/>
    <w:rsid w:val="6CA1FDE4"/>
    <w:rsid w:val="6DD68F26"/>
    <w:rsid w:val="6DD85439"/>
    <w:rsid w:val="6E05E174"/>
    <w:rsid w:val="6E0E4118"/>
    <w:rsid w:val="6E7F3C05"/>
    <w:rsid w:val="6E831894"/>
    <w:rsid w:val="6EC05636"/>
    <w:rsid w:val="6ECB9F36"/>
    <w:rsid w:val="6F41F810"/>
    <w:rsid w:val="6F7971CE"/>
    <w:rsid w:val="6F91A30E"/>
    <w:rsid w:val="71999C99"/>
    <w:rsid w:val="71AFD59B"/>
    <w:rsid w:val="71BC0529"/>
    <w:rsid w:val="71CB510A"/>
    <w:rsid w:val="71EE8478"/>
    <w:rsid w:val="71F26184"/>
    <w:rsid w:val="72B6D088"/>
    <w:rsid w:val="731A514E"/>
    <w:rsid w:val="73ABA245"/>
    <w:rsid w:val="7413D658"/>
    <w:rsid w:val="743C5AD7"/>
    <w:rsid w:val="7445C518"/>
    <w:rsid w:val="74B3E851"/>
    <w:rsid w:val="75B99BD8"/>
    <w:rsid w:val="761044F5"/>
    <w:rsid w:val="761B0CEF"/>
    <w:rsid w:val="76287AD1"/>
    <w:rsid w:val="762D7D8A"/>
    <w:rsid w:val="769EC22D"/>
    <w:rsid w:val="76AEC020"/>
    <w:rsid w:val="7751C2CF"/>
    <w:rsid w:val="777C0DE6"/>
    <w:rsid w:val="786A1B8E"/>
    <w:rsid w:val="795B45EE"/>
    <w:rsid w:val="79EE9DE5"/>
    <w:rsid w:val="79F0DE77"/>
    <w:rsid w:val="7BABBD47"/>
    <w:rsid w:val="7BEDE1DB"/>
    <w:rsid w:val="7C76DB2B"/>
    <w:rsid w:val="7C89A8F5"/>
    <w:rsid w:val="7CBF6A36"/>
    <w:rsid w:val="7CFEA517"/>
    <w:rsid w:val="7D7C5774"/>
    <w:rsid w:val="7D8DCEE4"/>
    <w:rsid w:val="7EED4622"/>
    <w:rsid w:val="7F4FA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FB7D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F1F"/>
    <w:pPr>
      <w:spacing w:after="200" w:line="276" w:lineRule="auto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802A52"/>
    <w:pPr>
      <w:spacing w:before="400" w:after="240" w:line="276" w:lineRule="auto"/>
      <w:outlineLvl w:val="0"/>
    </w:pPr>
    <w:rPr>
      <w:rFonts w:ascii="Arial Bold" w:eastAsia="MS Gothic" w:hAnsi="Arial Bold"/>
      <w:bCs/>
      <w:sz w:val="28"/>
      <w:szCs w:val="32"/>
      <w:lang w:val="en-US" w:eastAsia="en-US"/>
    </w:rPr>
  </w:style>
  <w:style w:type="paragraph" w:styleId="Heading2">
    <w:name w:val="heading 2"/>
    <w:next w:val="Normal"/>
    <w:link w:val="Heading2Char"/>
    <w:qFormat/>
    <w:rsid w:val="00802A52"/>
    <w:pPr>
      <w:spacing w:before="320" w:after="200" w:line="276" w:lineRule="auto"/>
      <w:outlineLvl w:val="1"/>
    </w:pPr>
    <w:rPr>
      <w:rFonts w:ascii="Arial Bold" w:eastAsia="MS Gothic" w:hAnsi="Arial Bold"/>
      <w:bCs/>
      <w:sz w:val="24"/>
      <w:szCs w:val="26"/>
      <w:lang w:val="en-US" w:eastAsia="en-US"/>
    </w:rPr>
  </w:style>
  <w:style w:type="paragraph" w:styleId="Heading3">
    <w:name w:val="heading 3"/>
    <w:basedOn w:val="Heading2"/>
    <w:next w:val="Normal"/>
    <w:link w:val="Heading3Char"/>
    <w:qFormat/>
    <w:rsid w:val="00802A52"/>
    <w:pPr>
      <w:spacing w:before="280" w:after="160"/>
      <w:outlineLvl w:val="2"/>
    </w:pPr>
    <w:rPr>
      <w:bCs w:val="0"/>
      <w:sz w:val="22"/>
    </w:rPr>
  </w:style>
  <w:style w:type="paragraph" w:styleId="Heading4">
    <w:name w:val="heading 4"/>
    <w:basedOn w:val="Heading3"/>
    <w:next w:val="Normal"/>
    <w:link w:val="Heading4Char"/>
    <w:rsid w:val="00802A52"/>
    <w:pPr>
      <w:spacing w:before="200" w:after="120"/>
      <w:outlineLvl w:val="3"/>
    </w:pPr>
    <w:rPr>
      <w:rFonts w:eastAsia="MS Mincho"/>
      <w:bCs/>
      <w:sz w:val="20"/>
      <w:szCs w:val="28"/>
    </w:rPr>
  </w:style>
  <w:style w:type="paragraph" w:styleId="Heading5">
    <w:name w:val="heading 5"/>
    <w:basedOn w:val="Heading4"/>
    <w:next w:val="Normal"/>
    <w:link w:val="Heading5Char"/>
    <w:rsid w:val="00802A52"/>
    <w:pPr>
      <w:spacing w:after="80"/>
      <w:outlineLvl w:val="4"/>
    </w:pPr>
    <w:rPr>
      <w:rFonts w:ascii="Arial" w:hAnsi="Arial"/>
      <w:bCs w:val="0"/>
      <w:iCs/>
      <w:szCs w:val="26"/>
    </w:rPr>
  </w:style>
  <w:style w:type="paragraph" w:styleId="Heading6">
    <w:name w:val="heading 6"/>
    <w:basedOn w:val="Normal"/>
    <w:next w:val="Normal"/>
    <w:link w:val="Heading6Char"/>
    <w:rsid w:val="00C2007C"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rsid w:val="00C2007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2A52"/>
    <w:rPr>
      <w:rFonts w:ascii="Arial Bold" w:eastAsia="MS Gothic" w:hAnsi="Arial Bold"/>
      <w:bCs/>
      <w:sz w:val="28"/>
      <w:szCs w:val="32"/>
      <w:lang w:val="en-US" w:eastAsia="en-US"/>
    </w:rPr>
  </w:style>
  <w:style w:type="character" w:customStyle="1" w:styleId="Heading2Char">
    <w:name w:val="Heading 2 Char"/>
    <w:link w:val="Heading2"/>
    <w:rsid w:val="00802A52"/>
    <w:rPr>
      <w:rFonts w:ascii="Arial Bold" w:eastAsia="MS Gothic" w:hAnsi="Arial Bold"/>
      <w:bCs/>
      <w:sz w:val="24"/>
      <w:szCs w:val="26"/>
      <w:lang w:val="en-US" w:eastAsia="en-US"/>
    </w:rPr>
  </w:style>
  <w:style w:type="character" w:customStyle="1" w:styleId="Heading3Char">
    <w:name w:val="Heading 3 Char"/>
    <w:link w:val="Heading3"/>
    <w:rsid w:val="00802A52"/>
    <w:rPr>
      <w:rFonts w:ascii="Arial Bold" w:eastAsia="MS Gothic" w:hAnsi="Arial Bold"/>
      <w:sz w:val="22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2130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11AE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EF11AE"/>
    <w:rPr>
      <w:rFonts w:ascii="Arial" w:hAnsi="Arial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190B0E"/>
    <w:rPr>
      <w:rFonts w:ascii="Arial" w:eastAsia="Cambria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DocumentMap">
    <w:name w:val="Document Map"/>
    <w:basedOn w:val="Normal"/>
    <w:link w:val="DocumentMapChar"/>
    <w:uiPriority w:val="99"/>
    <w:unhideWhenUsed/>
    <w:rsid w:val="00881C97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rsid w:val="00881C97"/>
    <w:rPr>
      <w:rFonts w:ascii="Lucida Grande" w:hAnsi="Lucida Grande" w:cs="Lucida Grande"/>
    </w:rPr>
  </w:style>
  <w:style w:type="paragraph" w:styleId="TOCHeading">
    <w:name w:val="TOC Heading"/>
    <w:basedOn w:val="Heading1"/>
    <w:next w:val="TOC1"/>
    <w:uiPriority w:val="39"/>
    <w:qFormat/>
    <w:rsid w:val="00C14F9F"/>
    <w:pPr>
      <w:outlineLvl w:val="9"/>
    </w:pPr>
    <w:rPr>
      <w:bCs w:val="0"/>
    </w:rPr>
  </w:style>
  <w:style w:type="paragraph" w:styleId="TOC1">
    <w:name w:val="toc 1"/>
    <w:basedOn w:val="Normal"/>
    <w:next w:val="Normal"/>
    <w:uiPriority w:val="39"/>
    <w:rsid w:val="00F07FBE"/>
    <w:pPr>
      <w:spacing w:after="120"/>
    </w:pPr>
  </w:style>
  <w:style w:type="character" w:customStyle="1" w:styleId="ItalicText">
    <w:name w:val="Italic Text"/>
    <w:qFormat/>
    <w:rsid w:val="00F63593"/>
    <w:rPr>
      <w:rFonts w:ascii="Arial" w:hAnsi="Arial"/>
      <w:i/>
      <w:sz w:val="20"/>
    </w:rPr>
  </w:style>
  <w:style w:type="paragraph" w:styleId="Header">
    <w:name w:val="header"/>
    <w:basedOn w:val="Normal"/>
    <w:next w:val="Normal"/>
    <w:link w:val="HeaderChar"/>
    <w:rsid w:val="00A121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21B3"/>
    <w:rPr>
      <w:sz w:val="24"/>
      <w:szCs w:val="24"/>
      <w:lang w:val="en-US" w:eastAsia="en-US"/>
    </w:rPr>
  </w:style>
  <w:style w:type="paragraph" w:styleId="ListBullet">
    <w:name w:val="List Bullet"/>
    <w:basedOn w:val="Normal"/>
    <w:qFormat/>
    <w:rsid w:val="007E291E"/>
    <w:pPr>
      <w:numPr>
        <w:numId w:val="1"/>
      </w:numPr>
      <w:spacing w:after="120"/>
    </w:pPr>
    <w:rPr>
      <w:lang w:val="en-US"/>
    </w:rPr>
  </w:style>
  <w:style w:type="paragraph" w:styleId="EndnoteText">
    <w:name w:val="endnote text"/>
    <w:basedOn w:val="Normal"/>
    <w:link w:val="EndnoteTextChar"/>
    <w:rsid w:val="00EF11AE"/>
    <w:pPr>
      <w:spacing w:after="40"/>
    </w:pPr>
    <w:rPr>
      <w:sz w:val="16"/>
      <w:szCs w:val="20"/>
    </w:rPr>
  </w:style>
  <w:style w:type="character" w:customStyle="1" w:styleId="EndnoteTextChar">
    <w:name w:val="Endnote Text Char"/>
    <w:link w:val="EndnoteText"/>
    <w:rsid w:val="00EF11AE"/>
    <w:rPr>
      <w:rFonts w:ascii="Arial" w:hAnsi="Arial"/>
      <w:sz w:val="16"/>
      <w:lang w:eastAsia="en-US"/>
    </w:rPr>
  </w:style>
  <w:style w:type="character" w:styleId="EndnoteReference">
    <w:name w:val="endnote reference"/>
    <w:rsid w:val="001F554D"/>
    <w:rPr>
      <w:vertAlign w:val="superscript"/>
    </w:rPr>
  </w:style>
  <w:style w:type="paragraph" w:styleId="FootnoteText">
    <w:name w:val="footnote text"/>
    <w:basedOn w:val="Normal"/>
    <w:link w:val="FootnoteTextChar"/>
    <w:rsid w:val="00EF11AE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EF11AE"/>
    <w:rPr>
      <w:rFonts w:ascii="Arial" w:hAnsi="Arial"/>
      <w:sz w:val="16"/>
      <w:lang w:eastAsia="en-US"/>
    </w:rPr>
  </w:style>
  <w:style w:type="character" w:styleId="FootnoteReference">
    <w:name w:val="footnote reference"/>
    <w:rsid w:val="001F554D"/>
    <w:rPr>
      <w:vertAlign w:val="superscript"/>
    </w:rPr>
  </w:style>
  <w:style w:type="paragraph" w:styleId="ListNumber">
    <w:name w:val="List Number"/>
    <w:basedOn w:val="Normal"/>
    <w:qFormat/>
    <w:rsid w:val="004878DB"/>
    <w:pPr>
      <w:numPr>
        <w:numId w:val="14"/>
      </w:numPr>
      <w:spacing w:after="120"/>
    </w:pPr>
  </w:style>
  <w:style w:type="paragraph" w:styleId="ListNumber2">
    <w:name w:val="List Number 2"/>
    <w:basedOn w:val="ListNumber"/>
    <w:rsid w:val="004878DB"/>
    <w:pPr>
      <w:numPr>
        <w:ilvl w:val="1"/>
      </w:numPr>
    </w:pPr>
  </w:style>
  <w:style w:type="paragraph" w:styleId="TableofFigures">
    <w:name w:val="table of figures"/>
    <w:basedOn w:val="Normal"/>
    <w:qFormat/>
    <w:rsid w:val="00493E0A"/>
    <w:pPr>
      <w:spacing w:after="0"/>
    </w:pPr>
    <w:rPr>
      <w:lang w:val="en-US"/>
    </w:rPr>
  </w:style>
  <w:style w:type="numbering" w:customStyle="1" w:styleId="ListBullets">
    <w:name w:val="ListBullets"/>
    <w:uiPriority w:val="99"/>
    <w:rsid w:val="00CA3730"/>
    <w:pPr>
      <w:numPr>
        <w:numId w:val="1"/>
      </w:numPr>
    </w:pPr>
  </w:style>
  <w:style w:type="paragraph" w:styleId="ListBullet2">
    <w:name w:val="List Bullet 2"/>
    <w:basedOn w:val="Normal"/>
    <w:rsid w:val="007E291E"/>
    <w:pPr>
      <w:numPr>
        <w:ilvl w:val="1"/>
        <w:numId w:val="1"/>
      </w:numPr>
      <w:spacing w:after="120"/>
    </w:pPr>
    <w:rPr>
      <w:lang w:val="en-US"/>
    </w:rPr>
  </w:style>
  <w:style w:type="paragraph" w:styleId="ListParagraph">
    <w:name w:val="List Paragraph"/>
    <w:basedOn w:val="Normal"/>
    <w:rsid w:val="004A26E3"/>
    <w:pPr>
      <w:numPr>
        <w:numId w:val="16"/>
      </w:numPr>
      <w:spacing w:after="120"/>
    </w:pPr>
    <w:rPr>
      <w:lang w:val="en-US"/>
    </w:rPr>
  </w:style>
  <w:style w:type="paragraph" w:styleId="ListBullet3">
    <w:name w:val="List Bullet 3"/>
    <w:basedOn w:val="Normal"/>
    <w:rsid w:val="007E291E"/>
    <w:pPr>
      <w:numPr>
        <w:ilvl w:val="2"/>
        <w:numId w:val="1"/>
      </w:numPr>
      <w:spacing w:after="120"/>
    </w:pPr>
  </w:style>
  <w:style w:type="paragraph" w:styleId="ListBullet4">
    <w:name w:val="List Bullet 4"/>
    <w:basedOn w:val="Normal"/>
    <w:rsid w:val="007E291E"/>
    <w:pPr>
      <w:numPr>
        <w:ilvl w:val="3"/>
        <w:numId w:val="1"/>
      </w:numPr>
      <w:spacing w:after="120"/>
      <w:ind w:left="1429"/>
    </w:pPr>
  </w:style>
  <w:style w:type="paragraph" w:styleId="ListBullet5">
    <w:name w:val="List Bullet 5"/>
    <w:basedOn w:val="Normal"/>
    <w:rsid w:val="007E291E"/>
    <w:pPr>
      <w:numPr>
        <w:ilvl w:val="4"/>
        <w:numId w:val="1"/>
      </w:numPr>
      <w:spacing w:after="120"/>
      <w:ind w:left="1786"/>
    </w:pPr>
  </w:style>
  <w:style w:type="paragraph" w:styleId="ListNumber3">
    <w:name w:val="List Number 3"/>
    <w:basedOn w:val="Normal"/>
    <w:rsid w:val="004878DB"/>
    <w:pPr>
      <w:numPr>
        <w:ilvl w:val="2"/>
        <w:numId w:val="14"/>
      </w:numPr>
      <w:spacing w:after="120"/>
    </w:pPr>
  </w:style>
  <w:style w:type="paragraph" w:styleId="ListNumber4">
    <w:name w:val="List Number 4"/>
    <w:basedOn w:val="Normal"/>
    <w:rsid w:val="004878DB"/>
    <w:pPr>
      <w:numPr>
        <w:ilvl w:val="3"/>
        <w:numId w:val="14"/>
      </w:numPr>
      <w:spacing w:after="120"/>
    </w:pPr>
  </w:style>
  <w:style w:type="numbering" w:customStyle="1" w:styleId="ListNumbers">
    <w:name w:val="ListNumbers"/>
    <w:uiPriority w:val="99"/>
    <w:rsid w:val="00D02C4A"/>
    <w:pPr>
      <w:numPr>
        <w:numId w:val="2"/>
      </w:numPr>
    </w:pPr>
  </w:style>
  <w:style w:type="character" w:customStyle="1" w:styleId="Heading4Char">
    <w:name w:val="Heading 4 Char"/>
    <w:link w:val="Heading4"/>
    <w:rsid w:val="00802A52"/>
    <w:rPr>
      <w:rFonts w:ascii="Arial Bold" w:hAnsi="Arial Bold"/>
      <w:bCs/>
      <w:szCs w:val="28"/>
      <w:lang w:val="en-US" w:eastAsia="en-US"/>
    </w:rPr>
  </w:style>
  <w:style w:type="paragraph" w:customStyle="1" w:styleId="Bold">
    <w:name w:val="Bold"/>
    <w:basedOn w:val="Normal"/>
    <w:next w:val="Normal"/>
    <w:link w:val="BoldChar"/>
    <w:qFormat/>
    <w:rsid w:val="008D2DDA"/>
    <w:rPr>
      <w:b/>
    </w:rPr>
  </w:style>
  <w:style w:type="paragraph" w:styleId="TOC2">
    <w:name w:val="toc 2"/>
    <w:basedOn w:val="Normal"/>
    <w:next w:val="Normal"/>
    <w:autoRedefine/>
    <w:uiPriority w:val="39"/>
    <w:rsid w:val="00C14F9F"/>
    <w:pPr>
      <w:tabs>
        <w:tab w:val="right" w:leader="dot" w:pos="9769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rsid w:val="00C2007C"/>
    <w:pPr>
      <w:tabs>
        <w:tab w:val="right" w:leader="dot" w:pos="9769"/>
      </w:tabs>
      <w:spacing w:after="120"/>
      <w:ind w:left="567"/>
    </w:pPr>
  </w:style>
  <w:style w:type="character" w:styleId="Hyperlink">
    <w:name w:val="Hyperlink"/>
    <w:uiPriority w:val="99"/>
    <w:unhideWhenUsed/>
    <w:rsid w:val="004E1ECE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C2007C"/>
    <w:pPr>
      <w:spacing w:after="120"/>
      <w:ind w:left="851"/>
    </w:pPr>
  </w:style>
  <w:style w:type="character" w:customStyle="1" w:styleId="Heading5Char">
    <w:name w:val="Heading 5 Char"/>
    <w:link w:val="Heading5"/>
    <w:rsid w:val="00802A52"/>
    <w:rPr>
      <w:rFonts w:ascii="Arial" w:hAnsi="Arial"/>
      <w:iCs/>
      <w:szCs w:val="26"/>
      <w:lang w:val="en-US" w:eastAsia="en-US"/>
    </w:rPr>
  </w:style>
  <w:style w:type="character" w:customStyle="1" w:styleId="Heading6Char">
    <w:name w:val="Heading 6 Char"/>
    <w:link w:val="Heading6"/>
    <w:rsid w:val="00C2007C"/>
    <w:rPr>
      <w:rFonts w:ascii="Arial" w:eastAsia="MS Mincho" w:hAnsi="Arial" w:cs="Times New Roman"/>
      <w:bCs/>
      <w:szCs w:val="22"/>
      <w:lang w:eastAsia="en-US"/>
    </w:rPr>
  </w:style>
  <w:style w:type="character" w:customStyle="1" w:styleId="Heading7Char">
    <w:name w:val="Heading 7 Char"/>
    <w:link w:val="Heading7"/>
    <w:rsid w:val="00C2007C"/>
    <w:rPr>
      <w:rFonts w:ascii="Arial" w:eastAsia="MS Mincho" w:hAnsi="Arial" w:cs="Times New Roman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B152AF"/>
    <w:pPr>
      <w:spacing w:after="120"/>
      <w:ind w:left="1134"/>
    </w:pPr>
  </w:style>
  <w:style w:type="character" w:customStyle="1" w:styleId="BoldChar">
    <w:name w:val="Bold Char"/>
    <w:link w:val="Bold"/>
    <w:rsid w:val="00190B0E"/>
    <w:rPr>
      <w:rFonts w:ascii="Arial" w:hAnsi="Arial"/>
      <w:b/>
      <w:szCs w:val="24"/>
      <w:lang w:eastAsia="en-US"/>
    </w:rPr>
  </w:style>
  <w:style w:type="paragraph" w:styleId="Caption">
    <w:name w:val="caption"/>
    <w:basedOn w:val="Normal"/>
    <w:next w:val="Normal"/>
    <w:rsid w:val="0091365A"/>
    <w:pPr>
      <w:spacing w:before="240"/>
    </w:pPr>
    <w:rPr>
      <w:rFonts w:ascii="Arial Bold" w:hAnsi="Arial Bold"/>
      <w:b/>
      <w:bCs/>
      <w:szCs w:val="18"/>
    </w:rPr>
  </w:style>
  <w:style w:type="paragraph" w:styleId="TOAHeading">
    <w:name w:val="toa heading"/>
    <w:basedOn w:val="Normal"/>
    <w:next w:val="Normal"/>
    <w:rsid w:val="00380F44"/>
    <w:pPr>
      <w:spacing w:before="120"/>
    </w:pPr>
    <w:rPr>
      <w:rFonts w:ascii="Calibri" w:eastAsia="MS Gothic" w:hAnsi="Calibri"/>
      <w:b/>
      <w:bCs/>
      <w:sz w:val="24"/>
    </w:rPr>
  </w:style>
  <w:style w:type="character" w:styleId="Strong">
    <w:name w:val="Strong"/>
    <w:rsid w:val="00380F44"/>
    <w:rPr>
      <w:b/>
      <w:bCs/>
    </w:rPr>
  </w:style>
  <w:style w:type="paragraph" w:customStyle="1" w:styleId="DocumentTitle">
    <w:name w:val="Document Title"/>
    <w:basedOn w:val="Normal"/>
    <w:next w:val="Subtitle"/>
    <w:qFormat/>
    <w:rsid w:val="00C14F9F"/>
    <w:pPr>
      <w:spacing w:before="600" w:after="480"/>
    </w:pPr>
    <w:rPr>
      <w:noProof/>
      <w:sz w:val="52"/>
    </w:rPr>
  </w:style>
  <w:style w:type="paragraph" w:styleId="Title">
    <w:name w:val="Title"/>
    <w:basedOn w:val="Normal"/>
    <w:next w:val="Normal"/>
    <w:link w:val="TitleChar"/>
    <w:rsid w:val="00380F4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0F3535"/>
    <w:pPr>
      <w:spacing w:after="360"/>
    </w:pPr>
    <w:rPr>
      <w:rFonts w:eastAsia="MS Gothic"/>
      <w:sz w:val="44"/>
    </w:rPr>
  </w:style>
  <w:style w:type="character" w:customStyle="1" w:styleId="SubtitleChar">
    <w:name w:val="Subtitle Char"/>
    <w:link w:val="Subtitle"/>
    <w:rsid w:val="000F3535"/>
    <w:rPr>
      <w:rFonts w:ascii="Arial" w:eastAsia="MS Gothic" w:hAnsi="Arial" w:cs="Times New Roman"/>
      <w:sz w:val="44"/>
      <w:szCs w:val="24"/>
      <w:lang w:eastAsia="en-US"/>
    </w:rPr>
  </w:style>
  <w:style w:type="paragraph" w:customStyle="1" w:styleId="Subtitle2">
    <w:name w:val="Subtitle2"/>
    <w:basedOn w:val="Subtitle"/>
    <w:next w:val="Heading1"/>
    <w:qFormat/>
    <w:rsid w:val="00380F44"/>
    <w:rPr>
      <w:sz w:val="36"/>
    </w:rPr>
  </w:style>
  <w:style w:type="character" w:customStyle="1" w:styleId="TitleChar">
    <w:name w:val="Title Char"/>
    <w:link w:val="Title"/>
    <w:rsid w:val="00380F44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Nospace">
    <w:name w:val="No space"/>
    <w:basedOn w:val="Normal"/>
    <w:qFormat/>
    <w:rsid w:val="00E86DCD"/>
    <w:pPr>
      <w:spacing w:after="0"/>
    </w:pPr>
    <w:rPr>
      <w:noProof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33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character" w:customStyle="1" w:styleId="normaltextrun">
    <w:name w:val="normaltextrun"/>
    <w:basedOn w:val="DefaultParagraphFont"/>
    <w:rsid w:val="00C72568"/>
  </w:style>
  <w:style w:type="character" w:customStyle="1" w:styleId="eop">
    <w:name w:val="eop"/>
    <w:basedOn w:val="DefaultParagraphFont"/>
    <w:rsid w:val="00C72568"/>
  </w:style>
  <w:style w:type="character" w:styleId="UnresolvedMention">
    <w:name w:val="Unresolved Mention"/>
    <w:basedOn w:val="DefaultParagraphFont"/>
    <w:uiPriority w:val="99"/>
    <w:semiHidden/>
    <w:unhideWhenUsed/>
    <w:rsid w:val="007A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FF92-ED41-4762-BEEC-97BFE120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1813</Words>
  <Characters>10338</Characters>
  <Application>Microsoft Office Word</Application>
  <DocSecurity>0</DocSecurity>
  <Lines>86</Lines>
  <Paragraphs>24</Paragraphs>
  <ScaleCrop>false</ScaleCrop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2025-03-16T22:19:00Z</dcterms:created>
  <dcterms:modified xsi:type="dcterms:W3CDTF">2025-03-16T22:20:00Z</dcterms:modified>
  <cp:contentStatus/>
</cp:coreProperties>
</file>