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86FFB" w14:textId="60F26DDB" w:rsidR="00737A99" w:rsidRPr="005814F5" w:rsidRDefault="00523643" w:rsidP="00020B35">
      <w:pPr>
        <w:spacing w:after="0"/>
        <w:jc w:val="right"/>
      </w:pPr>
      <w:r w:rsidRPr="00B23B9A">
        <w:rPr>
          <w:noProof/>
          <w:lang w:eastAsia="en-AU"/>
        </w:rPr>
        <w:drawing>
          <wp:inline distT="0" distB="0" distL="0" distR="0" wp14:anchorId="022BE941" wp14:editId="38C7B834">
            <wp:extent cx="990600" cy="962025"/>
            <wp:effectExtent l="0" t="0" r="0" b="0"/>
            <wp:docPr id="1"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962025"/>
                    </a:xfrm>
                    <a:prstGeom prst="rect">
                      <a:avLst/>
                    </a:prstGeom>
                    <a:noFill/>
                    <a:ln>
                      <a:noFill/>
                    </a:ln>
                  </pic:spPr>
                </pic:pic>
              </a:graphicData>
            </a:graphic>
          </wp:inline>
        </w:drawing>
      </w:r>
    </w:p>
    <w:p w14:paraId="69ACC6A6" w14:textId="77777777" w:rsidR="000F3535" w:rsidRDefault="00482EF3" w:rsidP="00482EF3">
      <w:pPr>
        <w:pStyle w:val="DocumentTitle"/>
        <w:spacing w:before="3360"/>
      </w:pPr>
      <w:r>
        <w:t xml:space="preserve">Council Plan 2021-25 </w:t>
      </w:r>
      <w:r>
        <w:br/>
        <w:t>quarterly report card</w:t>
      </w:r>
    </w:p>
    <w:p w14:paraId="244DBFAC" w14:textId="77777777" w:rsidR="000F3535" w:rsidRDefault="00720E0C" w:rsidP="00FF3A35">
      <w:pPr>
        <w:pStyle w:val="Subtitle2"/>
        <w:jc w:val="both"/>
      </w:pPr>
      <w:r>
        <w:t>July to September</w:t>
      </w:r>
      <w:r w:rsidR="004A293F" w:rsidRPr="004A293F">
        <w:t xml:space="preserve"> 202</w:t>
      </w:r>
      <w:r w:rsidR="003E4B56">
        <w:t>4</w:t>
      </w:r>
    </w:p>
    <w:p w14:paraId="55BEFC81" w14:textId="77777777" w:rsidR="00B152AF" w:rsidRPr="00E5089C" w:rsidRDefault="00020B35" w:rsidP="00020B35">
      <w:pPr>
        <w:pStyle w:val="TOCHeading"/>
        <w:rPr>
          <w:rFonts w:hint="eastAsia"/>
        </w:rPr>
      </w:pPr>
      <w:r>
        <w:br w:type="page"/>
      </w:r>
      <w:bookmarkStart w:id="0" w:name="_Toc403992663"/>
      <w:bookmarkStart w:id="1" w:name="_Toc403992345"/>
      <w:bookmarkStart w:id="2" w:name="_Toc403992580"/>
      <w:r w:rsidR="00B152AF" w:rsidRPr="00E5089C">
        <w:lastRenderedPageBreak/>
        <w:t>Contents</w:t>
      </w:r>
      <w:bookmarkEnd w:id="0"/>
    </w:p>
    <w:p w14:paraId="1AE9C498" w14:textId="77777777" w:rsidR="004376F2" w:rsidRPr="00935983" w:rsidRDefault="00B152AF">
      <w:pPr>
        <w:pStyle w:val="TOC1"/>
        <w:tabs>
          <w:tab w:val="right" w:leader="dot" w:pos="9769"/>
        </w:tabs>
        <w:rPr>
          <w:rFonts w:ascii="Aptos" w:eastAsia="Times New Roman" w:hAnsi="Aptos"/>
          <w:noProof/>
          <w:kern w:val="2"/>
          <w:sz w:val="24"/>
          <w:lang w:eastAsia="en-AU"/>
        </w:rPr>
      </w:pPr>
      <w:r>
        <w:fldChar w:fldCharType="begin"/>
      </w:r>
      <w:r>
        <w:instrText xml:space="preserve"> TOC \o "1-3" \h \z \u </w:instrText>
      </w:r>
      <w:r>
        <w:fldChar w:fldCharType="separate"/>
      </w:r>
      <w:hyperlink w:anchor="_Toc192746234" w:history="1">
        <w:r w:rsidR="004376F2" w:rsidRPr="008C211B">
          <w:rPr>
            <w:rStyle w:val="Hyperlink"/>
            <w:noProof/>
          </w:rPr>
          <w:t>Economy of the Future</w:t>
        </w:r>
        <w:r w:rsidR="004376F2">
          <w:rPr>
            <w:noProof/>
            <w:webHidden/>
          </w:rPr>
          <w:tab/>
        </w:r>
        <w:r w:rsidR="004376F2">
          <w:rPr>
            <w:noProof/>
            <w:webHidden/>
          </w:rPr>
          <w:fldChar w:fldCharType="begin"/>
        </w:r>
        <w:r w:rsidR="004376F2">
          <w:rPr>
            <w:noProof/>
            <w:webHidden/>
          </w:rPr>
          <w:instrText xml:space="preserve"> PAGEREF _Toc192746234 \h </w:instrText>
        </w:r>
        <w:r w:rsidR="004376F2">
          <w:rPr>
            <w:noProof/>
            <w:webHidden/>
          </w:rPr>
        </w:r>
        <w:r w:rsidR="004376F2">
          <w:rPr>
            <w:noProof/>
            <w:webHidden/>
          </w:rPr>
          <w:fldChar w:fldCharType="separate"/>
        </w:r>
        <w:r w:rsidR="004376F2">
          <w:rPr>
            <w:noProof/>
            <w:webHidden/>
          </w:rPr>
          <w:t>3</w:t>
        </w:r>
        <w:r w:rsidR="004376F2">
          <w:rPr>
            <w:noProof/>
            <w:webHidden/>
          </w:rPr>
          <w:fldChar w:fldCharType="end"/>
        </w:r>
      </w:hyperlink>
    </w:p>
    <w:p w14:paraId="1527CBFF" w14:textId="77777777" w:rsidR="004376F2" w:rsidRPr="00935983" w:rsidRDefault="004376F2">
      <w:pPr>
        <w:pStyle w:val="TOC2"/>
        <w:rPr>
          <w:rFonts w:ascii="Aptos" w:eastAsia="Times New Roman" w:hAnsi="Aptos"/>
          <w:noProof/>
          <w:kern w:val="2"/>
          <w:sz w:val="24"/>
          <w:lang w:eastAsia="en-AU"/>
        </w:rPr>
      </w:pPr>
      <w:hyperlink w:anchor="_Toc192746235" w:history="1">
        <w:r w:rsidRPr="008C211B">
          <w:rPr>
            <w:rStyle w:val="Hyperlink"/>
            <w:noProof/>
          </w:rPr>
          <w:t>Highlights for quarter one (July to September 2024)</w:t>
        </w:r>
        <w:r>
          <w:rPr>
            <w:noProof/>
            <w:webHidden/>
          </w:rPr>
          <w:tab/>
        </w:r>
        <w:r>
          <w:rPr>
            <w:noProof/>
            <w:webHidden/>
          </w:rPr>
          <w:fldChar w:fldCharType="begin"/>
        </w:r>
        <w:r>
          <w:rPr>
            <w:noProof/>
            <w:webHidden/>
          </w:rPr>
          <w:instrText xml:space="preserve"> PAGEREF _Toc192746235 \h </w:instrText>
        </w:r>
        <w:r>
          <w:rPr>
            <w:noProof/>
            <w:webHidden/>
          </w:rPr>
        </w:r>
        <w:r>
          <w:rPr>
            <w:noProof/>
            <w:webHidden/>
          </w:rPr>
          <w:fldChar w:fldCharType="separate"/>
        </w:r>
        <w:r>
          <w:rPr>
            <w:noProof/>
            <w:webHidden/>
          </w:rPr>
          <w:t>3</w:t>
        </w:r>
        <w:r>
          <w:rPr>
            <w:noProof/>
            <w:webHidden/>
          </w:rPr>
          <w:fldChar w:fldCharType="end"/>
        </w:r>
      </w:hyperlink>
    </w:p>
    <w:p w14:paraId="32C9A1C5" w14:textId="77777777" w:rsidR="004376F2" w:rsidRPr="00935983" w:rsidRDefault="004376F2">
      <w:pPr>
        <w:pStyle w:val="TOC2"/>
        <w:rPr>
          <w:rFonts w:ascii="Aptos" w:eastAsia="Times New Roman" w:hAnsi="Aptos"/>
          <w:noProof/>
          <w:kern w:val="2"/>
          <w:sz w:val="24"/>
          <w:lang w:eastAsia="en-AU"/>
        </w:rPr>
      </w:pPr>
      <w:hyperlink w:anchor="_Toc192746236" w:history="1">
        <w:r w:rsidRPr="008C211B">
          <w:rPr>
            <w:rStyle w:val="Hyperlink"/>
            <w:noProof/>
          </w:rPr>
          <w:t>Our progress</w:t>
        </w:r>
        <w:r>
          <w:rPr>
            <w:noProof/>
            <w:webHidden/>
          </w:rPr>
          <w:tab/>
        </w:r>
        <w:r>
          <w:rPr>
            <w:noProof/>
            <w:webHidden/>
          </w:rPr>
          <w:fldChar w:fldCharType="begin"/>
        </w:r>
        <w:r>
          <w:rPr>
            <w:noProof/>
            <w:webHidden/>
          </w:rPr>
          <w:instrText xml:space="preserve"> PAGEREF _Toc192746236 \h </w:instrText>
        </w:r>
        <w:r>
          <w:rPr>
            <w:noProof/>
            <w:webHidden/>
          </w:rPr>
        </w:r>
        <w:r>
          <w:rPr>
            <w:noProof/>
            <w:webHidden/>
          </w:rPr>
          <w:fldChar w:fldCharType="separate"/>
        </w:r>
        <w:r>
          <w:rPr>
            <w:noProof/>
            <w:webHidden/>
          </w:rPr>
          <w:t>3</w:t>
        </w:r>
        <w:r>
          <w:rPr>
            <w:noProof/>
            <w:webHidden/>
          </w:rPr>
          <w:fldChar w:fldCharType="end"/>
        </w:r>
      </w:hyperlink>
    </w:p>
    <w:p w14:paraId="7C4FDBE1" w14:textId="77777777" w:rsidR="004376F2" w:rsidRPr="00935983" w:rsidRDefault="004376F2">
      <w:pPr>
        <w:pStyle w:val="TOC2"/>
        <w:rPr>
          <w:rFonts w:ascii="Aptos" w:eastAsia="Times New Roman" w:hAnsi="Aptos"/>
          <w:noProof/>
          <w:kern w:val="2"/>
          <w:sz w:val="24"/>
          <w:lang w:eastAsia="en-AU"/>
        </w:rPr>
      </w:pPr>
      <w:hyperlink w:anchor="_Toc192746237" w:history="1">
        <w:r w:rsidRPr="008C211B">
          <w:rPr>
            <w:rStyle w:val="Hyperlink"/>
            <w:noProof/>
          </w:rPr>
          <w:t>The major initiatives we’re delivering this year</w:t>
        </w:r>
        <w:r>
          <w:rPr>
            <w:noProof/>
            <w:webHidden/>
          </w:rPr>
          <w:tab/>
        </w:r>
        <w:r>
          <w:rPr>
            <w:noProof/>
            <w:webHidden/>
          </w:rPr>
          <w:fldChar w:fldCharType="begin"/>
        </w:r>
        <w:r>
          <w:rPr>
            <w:noProof/>
            <w:webHidden/>
          </w:rPr>
          <w:instrText xml:space="preserve"> PAGEREF _Toc192746237 \h </w:instrText>
        </w:r>
        <w:r>
          <w:rPr>
            <w:noProof/>
            <w:webHidden/>
          </w:rPr>
        </w:r>
        <w:r>
          <w:rPr>
            <w:noProof/>
            <w:webHidden/>
          </w:rPr>
          <w:fldChar w:fldCharType="separate"/>
        </w:r>
        <w:r>
          <w:rPr>
            <w:noProof/>
            <w:webHidden/>
          </w:rPr>
          <w:t>4</w:t>
        </w:r>
        <w:r>
          <w:rPr>
            <w:noProof/>
            <w:webHidden/>
          </w:rPr>
          <w:fldChar w:fldCharType="end"/>
        </w:r>
      </w:hyperlink>
    </w:p>
    <w:p w14:paraId="1EB3345C" w14:textId="77777777" w:rsidR="004376F2" w:rsidRPr="00935983" w:rsidRDefault="004376F2">
      <w:pPr>
        <w:pStyle w:val="TOC2"/>
        <w:rPr>
          <w:rFonts w:ascii="Aptos" w:eastAsia="Times New Roman" w:hAnsi="Aptos"/>
          <w:noProof/>
          <w:kern w:val="2"/>
          <w:sz w:val="24"/>
          <w:lang w:eastAsia="en-AU"/>
        </w:rPr>
      </w:pPr>
      <w:hyperlink w:anchor="_Toc192746238" w:history="1">
        <w:r w:rsidRPr="008C211B">
          <w:rPr>
            <w:rStyle w:val="Hyperlink"/>
            <w:noProof/>
          </w:rPr>
          <w:t>How we’re measuring progress over four years</w:t>
        </w:r>
        <w:r>
          <w:rPr>
            <w:noProof/>
            <w:webHidden/>
          </w:rPr>
          <w:tab/>
        </w:r>
        <w:r>
          <w:rPr>
            <w:noProof/>
            <w:webHidden/>
          </w:rPr>
          <w:fldChar w:fldCharType="begin"/>
        </w:r>
        <w:r>
          <w:rPr>
            <w:noProof/>
            <w:webHidden/>
          </w:rPr>
          <w:instrText xml:space="preserve"> PAGEREF _Toc192746238 \h </w:instrText>
        </w:r>
        <w:r>
          <w:rPr>
            <w:noProof/>
            <w:webHidden/>
          </w:rPr>
        </w:r>
        <w:r>
          <w:rPr>
            <w:noProof/>
            <w:webHidden/>
          </w:rPr>
          <w:fldChar w:fldCharType="separate"/>
        </w:r>
        <w:r>
          <w:rPr>
            <w:noProof/>
            <w:webHidden/>
          </w:rPr>
          <w:t>5</w:t>
        </w:r>
        <w:r>
          <w:rPr>
            <w:noProof/>
            <w:webHidden/>
          </w:rPr>
          <w:fldChar w:fldCharType="end"/>
        </w:r>
      </w:hyperlink>
    </w:p>
    <w:p w14:paraId="5BEC7D5E" w14:textId="77777777" w:rsidR="004376F2" w:rsidRPr="00935983" w:rsidRDefault="004376F2">
      <w:pPr>
        <w:pStyle w:val="TOC1"/>
        <w:tabs>
          <w:tab w:val="right" w:leader="dot" w:pos="9769"/>
        </w:tabs>
        <w:rPr>
          <w:rFonts w:ascii="Aptos" w:eastAsia="Times New Roman" w:hAnsi="Aptos"/>
          <w:noProof/>
          <w:kern w:val="2"/>
          <w:sz w:val="24"/>
          <w:lang w:eastAsia="en-AU"/>
        </w:rPr>
      </w:pPr>
      <w:hyperlink w:anchor="_Toc192746239" w:history="1">
        <w:r w:rsidRPr="008C211B">
          <w:rPr>
            <w:rStyle w:val="Hyperlink"/>
            <w:noProof/>
          </w:rPr>
          <w:t>Melbourne’s unique identity and place</w:t>
        </w:r>
        <w:r>
          <w:rPr>
            <w:noProof/>
            <w:webHidden/>
          </w:rPr>
          <w:tab/>
        </w:r>
        <w:r>
          <w:rPr>
            <w:noProof/>
            <w:webHidden/>
          </w:rPr>
          <w:fldChar w:fldCharType="begin"/>
        </w:r>
        <w:r>
          <w:rPr>
            <w:noProof/>
            <w:webHidden/>
          </w:rPr>
          <w:instrText xml:space="preserve"> PAGEREF _Toc192746239 \h </w:instrText>
        </w:r>
        <w:r>
          <w:rPr>
            <w:noProof/>
            <w:webHidden/>
          </w:rPr>
        </w:r>
        <w:r>
          <w:rPr>
            <w:noProof/>
            <w:webHidden/>
          </w:rPr>
          <w:fldChar w:fldCharType="separate"/>
        </w:r>
        <w:r>
          <w:rPr>
            <w:noProof/>
            <w:webHidden/>
          </w:rPr>
          <w:t>6</w:t>
        </w:r>
        <w:r>
          <w:rPr>
            <w:noProof/>
            <w:webHidden/>
          </w:rPr>
          <w:fldChar w:fldCharType="end"/>
        </w:r>
      </w:hyperlink>
    </w:p>
    <w:p w14:paraId="1A927816" w14:textId="77777777" w:rsidR="004376F2" w:rsidRPr="00935983" w:rsidRDefault="004376F2">
      <w:pPr>
        <w:pStyle w:val="TOC2"/>
        <w:rPr>
          <w:rFonts w:ascii="Aptos" w:eastAsia="Times New Roman" w:hAnsi="Aptos"/>
          <w:noProof/>
          <w:kern w:val="2"/>
          <w:sz w:val="24"/>
          <w:lang w:eastAsia="en-AU"/>
        </w:rPr>
      </w:pPr>
      <w:hyperlink w:anchor="_Toc192746240" w:history="1">
        <w:r w:rsidRPr="008C211B">
          <w:rPr>
            <w:rStyle w:val="Hyperlink"/>
            <w:noProof/>
          </w:rPr>
          <w:t>Highlights for quarter one (July to September 2024)</w:t>
        </w:r>
        <w:r>
          <w:rPr>
            <w:noProof/>
            <w:webHidden/>
          </w:rPr>
          <w:tab/>
        </w:r>
        <w:r>
          <w:rPr>
            <w:noProof/>
            <w:webHidden/>
          </w:rPr>
          <w:fldChar w:fldCharType="begin"/>
        </w:r>
        <w:r>
          <w:rPr>
            <w:noProof/>
            <w:webHidden/>
          </w:rPr>
          <w:instrText xml:space="preserve"> PAGEREF _Toc192746240 \h </w:instrText>
        </w:r>
        <w:r>
          <w:rPr>
            <w:noProof/>
            <w:webHidden/>
          </w:rPr>
        </w:r>
        <w:r>
          <w:rPr>
            <w:noProof/>
            <w:webHidden/>
          </w:rPr>
          <w:fldChar w:fldCharType="separate"/>
        </w:r>
        <w:r>
          <w:rPr>
            <w:noProof/>
            <w:webHidden/>
          </w:rPr>
          <w:t>6</w:t>
        </w:r>
        <w:r>
          <w:rPr>
            <w:noProof/>
            <w:webHidden/>
          </w:rPr>
          <w:fldChar w:fldCharType="end"/>
        </w:r>
      </w:hyperlink>
    </w:p>
    <w:p w14:paraId="00159DEA" w14:textId="77777777" w:rsidR="004376F2" w:rsidRPr="00935983" w:rsidRDefault="004376F2">
      <w:pPr>
        <w:pStyle w:val="TOC2"/>
        <w:rPr>
          <w:rFonts w:ascii="Aptos" w:eastAsia="Times New Roman" w:hAnsi="Aptos"/>
          <w:noProof/>
          <w:kern w:val="2"/>
          <w:sz w:val="24"/>
          <w:lang w:eastAsia="en-AU"/>
        </w:rPr>
      </w:pPr>
      <w:hyperlink w:anchor="_Toc192746241" w:history="1">
        <w:r w:rsidRPr="008C211B">
          <w:rPr>
            <w:rStyle w:val="Hyperlink"/>
            <w:noProof/>
          </w:rPr>
          <w:t>Our progress</w:t>
        </w:r>
        <w:r>
          <w:rPr>
            <w:noProof/>
            <w:webHidden/>
          </w:rPr>
          <w:tab/>
        </w:r>
        <w:r>
          <w:rPr>
            <w:noProof/>
            <w:webHidden/>
          </w:rPr>
          <w:fldChar w:fldCharType="begin"/>
        </w:r>
        <w:r>
          <w:rPr>
            <w:noProof/>
            <w:webHidden/>
          </w:rPr>
          <w:instrText xml:space="preserve"> PAGEREF _Toc192746241 \h </w:instrText>
        </w:r>
        <w:r>
          <w:rPr>
            <w:noProof/>
            <w:webHidden/>
          </w:rPr>
        </w:r>
        <w:r>
          <w:rPr>
            <w:noProof/>
            <w:webHidden/>
          </w:rPr>
          <w:fldChar w:fldCharType="separate"/>
        </w:r>
        <w:r>
          <w:rPr>
            <w:noProof/>
            <w:webHidden/>
          </w:rPr>
          <w:t>6</w:t>
        </w:r>
        <w:r>
          <w:rPr>
            <w:noProof/>
            <w:webHidden/>
          </w:rPr>
          <w:fldChar w:fldCharType="end"/>
        </w:r>
      </w:hyperlink>
    </w:p>
    <w:p w14:paraId="5857DD24" w14:textId="77777777" w:rsidR="004376F2" w:rsidRPr="00935983" w:rsidRDefault="004376F2">
      <w:pPr>
        <w:pStyle w:val="TOC2"/>
        <w:rPr>
          <w:rFonts w:ascii="Aptos" w:eastAsia="Times New Roman" w:hAnsi="Aptos"/>
          <w:noProof/>
          <w:kern w:val="2"/>
          <w:sz w:val="24"/>
          <w:lang w:eastAsia="en-AU"/>
        </w:rPr>
      </w:pPr>
      <w:hyperlink w:anchor="_Toc192746242" w:history="1">
        <w:r w:rsidRPr="008C211B">
          <w:rPr>
            <w:rStyle w:val="Hyperlink"/>
            <w:noProof/>
          </w:rPr>
          <w:t>The major initiatives we’re delivering this year</w:t>
        </w:r>
        <w:r>
          <w:rPr>
            <w:noProof/>
            <w:webHidden/>
          </w:rPr>
          <w:tab/>
        </w:r>
        <w:r>
          <w:rPr>
            <w:noProof/>
            <w:webHidden/>
          </w:rPr>
          <w:fldChar w:fldCharType="begin"/>
        </w:r>
        <w:r>
          <w:rPr>
            <w:noProof/>
            <w:webHidden/>
          </w:rPr>
          <w:instrText xml:space="preserve"> PAGEREF _Toc192746242 \h </w:instrText>
        </w:r>
        <w:r>
          <w:rPr>
            <w:noProof/>
            <w:webHidden/>
          </w:rPr>
        </w:r>
        <w:r>
          <w:rPr>
            <w:noProof/>
            <w:webHidden/>
          </w:rPr>
          <w:fldChar w:fldCharType="separate"/>
        </w:r>
        <w:r>
          <w:rPr>
            <w:noProof/>
            <w:webHidden/>
          </w:rPr>
          <w:t>8</w:t>
        </w:r>
        <w:r>
          <w:rPr>
            <w:noProof/>
            <w:webHidden/>
          </w:rPr>
          <w:fldChar w:fldCharType="end"/>
        </w:r>
      </w:hyperlink>
    </w:p>
    <w:p w14:paraId="3DCBA4B1" w14:textId="77777777" w:rsidR="004376F2" w:rsidRPr="00935983" w:rsidRDefault="004376F2">
      <w:pPr>
        <w:pStyle w:val="TOC2"/>
        <w:rPr>
          <w:rFonts w:ascii="Aptos" w:eastAsia="Times New Roman" w:hAnsi="Aptos"/>
          <w:noProof/>
          <w:kern w:val="2"/>
          <w:sz w:val="24"/>
          <w:lang w:eastAsia="en-AU"/>
        </w:rPr>
      </w:pPr>
      <w:hyperlink w:anchor="_Toc192746243" w:history="1">
        <w:r w:rsidRPr="008C211B">
          <w:rPr>
            <w:rStyle w:val="Hyperlink"/>
            <w:noProof/>
          </w:rPr>
          <w:t>How we’re measuring progress over four years</w:t>
        </w:r>
        <w:r>
          <w:rPr>
            <w:noProof/>
            <w:webHidden/>
          </w:rPr>
          <w:tab/>
        </w:r>
        <w:r>
          <w:rPr>
            <w:noProof/>
            <w:webHidden/>
          </w:rPr>
          <w:fldChar w:fldCharType="begin"/>
        </w:r>
        <w:r>
          <w:rPr>
            <w:noProof/>
            <w:webHidden/>
          </w:rPr>
          <w:instrText xml:space="preserve"> PAGEREF _Toc192746243 \h </w:instrText>
        </w:r>
        <w:r>
          <w:rPr>
            <w:noProof/>
            <w:webHidden/>
          </w:rPr>
        </w:r>
        <w:r>
          <w:rPr>
            <w:noProof/>
            <w:webHidden/>
          </w:rPr>
          <w:fldChar w:fldCharType="separate"/>
        </w:r>
        <w:r>
          <w:rPr>
            <w:noProof/>
            <w:webHidden/>
          </w:rPr>
          <w:t>9</w:t>
        </w:r>
        <w:r>
          <w:rPr>
            <w:noProof/>
            <w:webHidden/>
          </w:rPr>
          <w:fldChar w:fldCharType="end"/>
        </w:r>
      </w:hyperlink>
    </w:p>
    <w:p w14:paraId="4879F005" w14:textId="77777777" w:rsidR="004376F2" w:rsidRPr="00935983" w:rsidRDefault="004376F2">
      <w:pPr>
        <w:pStyle w:val="TOC1"/>
        <w:tabs>
          <w:tab w:val="right" w:leader="dot" w:pos="9769"/>
        </w:tabs>
        <w:rPr>
          <w:rFonts w:ascii="Aptos" w:eastAsia="Times New Roman" w:hAnsi="Aptos"/>
          <w:noProof/>
          <w:kern w:val="2"/>
          <w:sz w:val="24"/>
          <w:lang w:eastAsia="en-AU"/>
        </w:rPr>
      </w:pPr>
      <w:hyperlink w:anchor="_Toc192746244" w:history="1">
        <w:r w:rsidRPr="008C211B">
          <w:rPr>
            <w:rStyle w:val="Hyperlink"/>
            <w:noProof/>
          </w:rPr>
          <w:t>Aboriginal Melbourne</w:t>
        </w:r>
        <w:r>
          <w:rPr>
            <w:noProof/>
            <w:webHidden/>
          </w:rPr>
          <w:tab/>
        </w:r>
        <w:r>
          <w:rPr>
            <w:noProof/>
            <w:webHidden/>
          </w:rPr>
          <w:fldChar w:fldCharType="begin"/>
        </w:r>
        <w:r>
          <w:rPr>
            <w:noProof/>
            <w:webHidden/>
          </w:rPr>
          <w:instrText xml:space="preserve"> PAGEREF _Toc192746244 \h </w:instrText>
        </w:r>
        <w:r>
          <w:rPr>
            <w:noProof/>
            <w:webHidden/>
          </w:rPr>
        </w:r>
        <w:r>
          <w:rPr>
            <w:noProof/>
            <w:webHidden/>
          </w:rPr>
          <w:fldChar w:fldCharType="separate"/>
        </w:r>
        <w:r>
          <w:rPr>
            <w:noProof/>
            <w:webHidden/>
          </w:rPr>
          <w:t>10</w:t>
        </w:r>
        <w:r>
          <w:rPr>
            <w:noProof/>
            <w:webHidden/>
          </w:rPr>
          <w:fldChar w:fldCharType="end"/>
        </w:r>
      </w:hyperlink>
    </w:p>
    <w:p w14:paraId="08F9C1DE" w14:textId="77777777" w:rsidR="004376F2" w:rsidRPr="00935983" w:rsidRDefault="004376F2">
      <w:pPr>
        <w:pStyle w:val="TOC2"/>
        <w:rPr>
          <w:rFonts w:ascii="Aptos" w:eastAsia="Times New Roman" w:hAnsi="Aptos"/>
          <w:noProof/>
          <w:kern w:val="2"/>
          <w:sz w:val="24"/>
          <w:lang w:eastAsia="en-AU"/>
        </w:rPr>
      </w:pPr>
      <w:hyperlink w:anchor="_Toc192746245" w:history="1">
        <w:r w:rsidRPr="008C211B">
          <w:rPr>
            <w:rStyle w:val="Hyperlink"/>
            <w:noProof/>
          </w:rPr>
          <w:t>Highlights for quarter one (July to September 2024)</w:t>
        </w:r>
        <w:r>
          <w:rPr>
            <w:noProof/>
            <w:webHidden/>
          </w:rPr>
          <w:tab/>
        </w:r>
        <w:r>
          <w:rPr>
            <w:noProof/>
            <w:webHidden/>
          </w:rPr>
          <w:fldChar w:fldCharType="begin"/>
        </w:r>
        <w:r>
          <w:rPr>
            <w:noProof/>
            <w:webHidden/>
          </w:rPr>
          <w:instrText xml:space="preserve"> PAGEREF _Toc192746245 \h </w:instrText>
        </w:r>
        <w:r>
          <w:rPr>
            <w:noProof/>
            <w:webHidden/>
          </w:rPr>
        </w:r>
        <w:r>
          <w:rPr>
            <w:noProof/>
            <w:webHidden/>
          </w:rPr>
          <w:fldChar w:fldCharType="separate"/>
        </w:r>
        <w:r>
          <w:rPr>
            <w:noProof/>
            <w:webHidden/>
          </w:rPr>
          <w:t>10</w:t>
        </w:r>
        <w:r>
          <w:rPr>
            <w:noProof/>
            <w:webHidden/>
          </w:rPr>
          <w:fldChar w:fldCharType="end"/>
        </w:r>
      </w:hyperlink>
    </w:p>
    <w:p w14:paraId="708F1126" w14:textId="77777777" w:rsidR="004376F2" w:rsidRPr="00935983" w:rsidRDefault="004376F2">
      <w:pPr>
        <w:pStyle w:val="TOC2"/>
        <w:rPr>
          <w:rFonts w:ascii="Aptos" w:eastAsia="Times New Roman" w:hAnsi="Aptos"/>
          <w:noProof/>
          <w:kern w:val="2"/>
          <w:sz w:val="24"/>
          <w:lang w:eastAsia="en-AU"/>
        </w:rPr>
      </w:pPr>
      <w:hyperlink w:anchor="_Toc192746246" w:history="1">
        <w:r w:rsidRPr="008C211B">
          <w:rPr>
            <w:rStyle w:val="Hyperlink"/>
            <w:noProof/>
          </w:rPr>
          <w:t>Our progress</w:t>
        </w:r>
        <w:r>
          <w:rPr>
            <w:noProof/>
            <w:webHidden/>
          </w:rPr>
          <w:tab/>
        </w:r>
        <w:r>
          <w:rPr>
            <w:noProof/>
            <w:webHidden/>
          </w:rPr>
          <w:fldChar w:fldCharType="begin"/>
        </w:r>
        <w:r>
          <w:rPr>
            <w:noProof/>
            <w:webHidden/>
          </w:rPr>
          <w:instrText xml:space="preserve"> PAGEREF _Toc192746246 \h </w:instrText>
        </w:r>
        <w:r>
          <w:rPr>
            <w:noProof/>
            <w:webHidden/>
          </w:rPr>
        </w:r>
        <w:r>
          <w:rPr>
            <w:noProof/>
            <w:webHidden/>
          </w:rPr>
          <w:fldChar w:fldCharType="separate"/>
        </w:r>
        <w:r>
          <w:rPr>
            <w:noProof/>
            <w:webHidden/>
          </w:rPr>
          <w:t>10</w:t>
        </w:r>
        <w:r>
          <w:rPr>
            <w:noProof/>
            <w:webHidden/>
          </w:rPr>
          <w:fldChar w:fldCharType="end"/>
        </w:r>
      </w:hyperlink>
    </w:p>
    <w:p w14:paraId="3B91E527" w14:textId="77777777" w:rsidR="004376F2" w:rsidRPr="00935983" w:rsidRDefault="004376F2">
      <w:pPr>
        <w:pStyle w:val="TOC2"/>
        <w:rPr>
          <w:rFonts w:ascii="Aptos" w:eastAsia="Times New Roman" w:hAnsi="Aptos"/>
          <w:noProof/>
          <w:kern w:val="2"/>
          <w:sz w:val="24"/>
          <w:lang w:eastAsia="en-AU"/>
        </w:rPr>
      </w:pPr>
      <w:hyperlink w:anchor="_Toc192746247" w:history="1">
        <w:r w:rsidRPr="008C211B">
          <w:rPr>
            <w:rStyle w:val="Hyperlink"/>
            <w:noProof/>
          </w:rPr>
          <w:t>The major initiatives we’re delivering this year</w:t>
        </w:r>
        <w:r>
          <w:rPr>
            <w:noProof/>
            <w:webHidden/>
          </w:rPr>
          <w:tab/>
        </w:r>
        <w:r>
          <w:rPr>
            <w:noProof/>
            <w:webHidden/>
          </w:rPr>
          <w:fldChar w:fldCharType="begin"/>
        </w:r>
        <w:r>
          <w:rPr>
            <w:noProof/>
            <w:webHidden/>
          </w:rPr>
          <w:instrText xml:space="preserve"> PAGEREF _Toc192746247 \h </w:instrText>
        </w:r>
        <w:r>
          <w:rPr>
            <w:noProof/>
            <w:webHidden/>
          </w:rPr>
        </w:r>
        <w:r>
          <w:rPr>
            <w:noProof/>
            <w:webHidden/>
          </w:rPr>
          <w:fldChar w:fldCharType="separate"/>
        </w:r>
        <w:r>
          <w:rPr>
            <w:noProof/>
            <w:webHidden/>
          </w:rPr>
          <w:t>10</w:t>
        </w:r>
        <w:r>
          <w:rPr>
            <w:noProof/>
            <w:webHidden/>
          </w:rPr>
          <w:fldChar w:fldCharType="end"/>
        </w:r>
      </w:hyperlink>
    </w:p>
    <w:p w14:paraId="6710D6DE" w14:textId="77777777" w:rsidR="004376F2" w:rsidRPr="00935983" w:rsidRDefault="004376F2">
      <w:pPr>
        <w:pStyle w:val="TOC2"/>
        <w:rPr>
          <w:rFonts w:ascii="Aptos" w:eastAsia="Times New Roman" w:hAnsi="Aptos"/>
          <w:noProof/>
          <w:kern w:val="2"/>
          <w:sz w:val="24"/>
          <w:lang w:eastAsia="en-AU"/>
        </w:rPr>
      </w:pPr>
      <w:hyperlink w:anchor="_Toc192746248" w:history="1">
        <w:r w:rsidRPr="008C211B">
          <w:rPr>
            <w:rStyle w:val="Hyperlink"/>
            <w:noProof/>
          </w:rPr>
          <w:t>How we’re measuring progress over four years</w:t>
        </w:r>
        <w:r>
          <w:rPr>
            <w:noProof/>
            <w:webHidden/>
          </w:rPr>
          <w:tab/>
        </w:r>
        <w:r>
          <w:rPr>
            <w:noProof/>
            <w:webHidden/>
          </w:rPr>
          <w:fldChar w:fldCharType="begin"/>
        </w:r>
        <w:r>
          <w:rPr>
            <w:noProof/>
            <w:webHidden/>
          </w:rPr>
          <w:instrText xml:space="preserve"> PAGEREF _Toc192746248 \h </w:instrText>
        </w:r>
        <w:r>
          <w:rPr>
            <w:noProof/>
            <w:webHidden/>
          </w:rPr>
        </w:r>
        <w:r>
          <w:rPr>
            <w:noProof/>
            <w:webHidden/>
          </w:rPr>
          <w:fldChar w:fldCharType="separate"/>
        </w:r>
        <w:r>
          <w:rPr>
            <w:noProof/>
            <w:webHidden/>
          </w:rPr>
          <w:t>11</w:t>
        </w:r>
        <w:r>
          <w:rPr>
            <w:noProof/>
            <w:webHidden/>
          </w:rPr>
          <w:fldChar w:fldCharType="end"/>
        </w:r>
      </w:hyperlink>
    </w:p>
    <w:p w14:paraId="0C0FEA5A" w14:textId="77777777" w:rsidR="004376F2" w:rsidRPr="00935983" w:rsidRDefault="004376F2">
      <w:pPr>
        <w:pStyle w:val="TOC1"/>
        <w:tabs>
          <w:tab w:val="right" w:leader="dot" w:pos="9769"/>
        </w:tabs>
        <w:rPr>
          <w:rFonts w:ascii="Aptos" w:eastAsia="Times New Roman" w:hAnsi="Aptos"/>
          <w:noProof/>
          <w:kern w:val="2"/>
          <w:sz w:val="24"/>
          <w:lang w:eastAsia="en-AU"/>
        </w:rPr>
      </w:pPr>
      <w:hyperlink w:anchor="_Toc192746249" w:history="1">
        <w:r w:rsidRPr="008C211B">
          <w:rPr>
            <w:rStyle w:val="Hyperlink"/>
            <w:noProof/>
          </w:rPr>
          <w:t>Climate and biodiversity emergency</w:t>
        </w:r>
        <w:r>
          <w:rPr>
            <w:noProof/>
            <w:webHidden/>
          </w:rPr>
          <w:tab/>
        </w:r>
        <w:r>
          <w:rPr>
            <w:noProof/>
            <w:webHidden/>
          </w:rPr>
          <w:fldChar w:fldCharType="begin"/>
        </w:r>
        <w:r>
          <w:rPr>
            <w:noProof/>
            <w:webHidden/>
          </w:rPr>
          <w:instrText xml:space="preserve"> PAGEREF _Toc192746249 \h </w:instrText>
        </w:r>
        <w:r>
          <w:rPr>
            <w:noProof/>
            <w:webHidden/>
          </w:rPr>
        </w:r>
        <w:r>
          <w:rPr>
            <w:noProof/>
            <w:webHidden/>
          </w:rPr>
          <w:fldChar w:fldCharType="separate"/>
        </w:r>
        <w:r>
          <w:rPr>
            <w:noProof/>
            <w:webHidden/>
          </w:rPr>
          <w:t>12</w:t>
        </w:r>
        <w:r>
          <w:rPr>
            <w:noProof/>
            <w:webHidden/>
          </w:rPr>
          <w:fldChar w:fldCharType="end"/>
        </w:r>
      </w:hyperlink>
    </w:p>
    <w:p w14:paraId="599E4128" w14:textId="77777777" w:rsidR="004376F2" w:rsidRPr="00935983" w:rsidRDefault="004376F2">
      <w:pPr>
        <w:pStyle w:val="TOC2"/>
        <w:rPr>
          <w:rFonts w:ascii="Aptos" w:eastAsia="Times New Roman" w:hAnsi="Aptos"/>
          <w:noProof/>
          <w:kern w:val="2"/>
          <w:sz w:val="24"/>
          <w:lang w:eastAsia="en-AU"/>
        </w:rPr>
      </w:pPr>
      <w:hyperlink w:anchor="_Toc192746250" w:history="1">
        <w:r w:rsidRPr="008C211B">
          <w:rPr>
            <w:rStyle w:val="Hyperlink"/>
            <w:noProof/>
          </w:rPr>
          <w:t>Highlights for quarter one (July to September 2024)</w:t>
        </w:r>
        <w:r>
          <w:rPr>
            <w:noProof/>
            <w:webHidden/>
          </w:rPr>
          <w:tab/>
        </w:r>
        <w:r>
          <w:rPr>
            <w:noProof/>
            <w:webHidden/>
          </w:rPr>
          <w:fldChar w:fldCharType="begin"/>
        </w:r>
        <w:r>
          <w:rPr>
            <w:noProof/>
            <w:webHidden/>
          </w:rPr>
          <w:instrText xml:space="preserve"> PAGEREF _Toc192746250 \h </w:instrText>
        </w:r>
        <w:r>
          <w:rPr>
            <w:noProof/>
            <w:webHidden/>
          </w:rPr>
        </w:r>
        <w:r>
          <w:rPr>
            <w:noProof/>
            <w:webHidden/>
          </w:rPr>
          <w:fldChar w:fldCharType="separate"/>
        </w:r>
        <w:r>
          <w:rPr>
            <w:noProof/>
            <w:webHidden/>
          </w:rPr>
          <w:t>12</w:t>
        </w:r>
        <w:r>
          <w:rPr>
            <w:noProof/>
            <w:webHidden/>
          </w:rPr>
          <w:fldChar w:fldCharType="end"/>
        </w:r>
      </w:hyperlink>
    </w:p>
    <w:p w14:paraId="273679CB" w14:textId="77777777" w:rsidR="004376F2" w:rsidRPr="00935983" w:rsidRDefault="004376F2">
      <w:pPr>
        <w:pStyle w:val="TOC2"/>
        <w:rPr>
          <w:rFonts w:ascii="Aptos" w:eastAsia="Times New Roman" w:hAnsi="Aptos"/>
          <w:noProof/>
          <w:kern w:val="2"/>
          <w:sz w:val="24"/>
          <w:lang w:eastAsia="en-AU"/>
        </w:rPr>
      </w:pPr>
      <w:hyperlink w:anchor="_Toc192746251" w:history="1">
        <w:r w:rsidRPr="008C211B">
          <w:rPr>
            <w:rStyle w:val="Hyperlink"/>
            <w:noProof/>
          </w:rPr>
          <w:t>Our progress</w:t>
        </w:r>
        <w:r>
          <w:rPr>
            <w:noProof/>
            <w:webHidden/>
          </w:rPr>
          <w:tab/>
        </w:r>
        <w:r>
          <w:rPr>
            <w:noProof/>
            <w:webHidden/>
          </w:rPr>
          <w:fldChar w:fldCharType="begin"/>
        </w:r>
        <w:r>
          <w:rPr>
            <w:noProof/>
            <w:webHidden/>
          </w:rPr>
          <w:instrText xml:space="preserve"> PAGEREF _Toc192746251 \h </w:instrText>
        </w:r>
        <w:r>
          <w:rPr>
            <w:noProof/>
            <w:webHidden/>
          </w:rPr>
        </w:r>
        <w:r>
          <w:rPr>
            <w:noProof/>
            <w:webHidden/>
          </w:rPr>
          <w:fldChar w:fldCharType="separate"/>
        </w:r>
        <w:r>
          <w:rPr>
            <w:noProof/>
            <w:webHidden/>
          </w:rPr>
          <w:t>13</w:t>
        </w:r>
        <w:r>
          <w:rPr>
            <w:noProof/>
            <w:webHidden/>
          </w:rPr>
          <w:fldChar w:fldCharType="end"/>
        </w:r>
      </w:hyperlink>
    </w:p>
    <w:p w14:paraId="6FEB278D" w14:textId="77777777" w:rsidR="004376F2" w:rsidRPr="00935983" w:rsidRDefault="004376F2">
      <w:pPr>
        <w:pStyle w:val="TOC2"/>
        <w:rPr>
          <w:rFonts w:ascii="Aptos" w:eastAsia="Times New Roman" w:hAnsi="Aptos"/>
          <w:noProof/>
          <w:kern w:val="2"/>
          <w:sz w:val="24"/>
          <w:lang w:eastAsia="en-AU"/>
        </w:rPr>
      </w:pPr>
      <w:hyperlink w:anchor="_Toc192746252" w:history="1">
        <w:r w:rsidRPr="008C211B">
          <w:rPr>
            <w:rStyle w:val="Hyperlink"/>
            <w:noProof/>
          </w:rPr>
          <w:t>The major initiatives we’re delivering this year</w:t>
        </w:r>
        <w:r>
          <w:rPr>
            <w:noProof/>
            <w:webHidden/>
          </w:rPr>
          <w:tab/>
        </w:r>
        <w:r>
          <w:rPr>
            <w:noProof/>
            <w:webHidden/>
          </w:rPr>
          <w:fldChar w:fldCharType="begin"/>
        </w:r>
        <w:r>
          <w:rPr>
            <w:noProof/>
            <w:webHidden/>
          </w:rPr>
          <w:instrText xml:space="preserve"> PAGEREF _Toc192746252 \h </w:instrText>
        </w:r>
        <w:r>
          <w:rPr>
            <w:noProof/>
            <w:webHidden/>
          </w:rPr>
        </w:r>
        <w:r>
          <w:rPr>
            <w:noProof/>
            <w:webHidden/>
          </w:rPr>
          <w:fldChar w:fldCharType="separate"/>
        </w:r>
        <w:r>
          <w:rPr>
            <w:noProof/>
            <w:webHidden/>
          </w:rPr>
          <w:t>14</w:t>
        </w:r>
        <w:r>
          <w:rPr>
            <w:noProof/>
            <w:webHidden/>
          </w:rPr>
          <w:fldChar w:fldCharType="end"/>
        </w:r>
      </w:hyperlink>
    </w:p>
    <w:p w14:paraId="2B593F04" w14:textId="77777777" w:rsidR="004376F2" w:rsidRPr="00935983" w:rsidRDefault="004376F2">
      <w:pPr>
        <w:pStyle w:val="TOC2"/>
        <w:rPr>
          <w:rFonts w:ascii="Aptos" w:eastAsia="Times New Roman" w:hAnsi="Aptos"/>
          <w:noProof/>
          <w:kern w:val="2"/>
          <w:sz w:val="24"/>
          <w:lang w:eastAsia="en-AU"/>
        </w:rPr>
      </w:pPr>
      <w:hyperlink w:anchor="_Toc192746253" w:history="1">
        <w:r w:rsidRPr="008C211B">
          <w:rPr>
            <w:rStyle w:val="Hyperlink"/>
            <w:noProof/>
          </w:rPr>
          <w:t>How we’re measuring progress over four years</w:t>
        </w:r>
        <w:r>
          <w:rPr>
            <w:noProof/>
            <w:webHidden/>
          </w:rPr>
          <w:tab/>
        </w:r>
        <w:r>
          <w:rPr>
            <w:noProof/>
            <w:webHidden/>
          </w:rPr>
          <w:fldChar w:fldCharType="begin"/>
        </w:r>
        <w:r>
          <w:rPr>
            <w:noProof/>
            <w:webHidden/>
          </w:rPr>
          <w:instrText xml:space="preserve"> PAGEREF _Toc192746253 \h </w:instrText>
        </w:r>
        <w:r>
          <w:rPr>
            <w:noProof/>
            <w:webHidden/>
          </w:rPr>
        </w:r>
        <w:r>
          <w:rPr>
            <w:noProof/>
            <w:webHidden/>
          </w:rPr>
          <w:fldChar w:fldCharType="separate"/>
        </w:r>
        <w:r>
          <w:rPr>
            <w:noProof/>
            <w:webHidden/>
          </w:rPr>
          <w:t>15</w:t>
        </w:r>
        <w:r>
          <w:rPr>
            <w:noProof/>
            <w:webHidden/>
          </w:rPr>
          <w:fldChar w:fldCharType="end"/>
        </w:r>
      </w:hyperlink>
    </w:p>
    <w:p w14:paraId="19D33A6C" w14:textId="77777777" w:rsidR="004376F2" w:rsidRPr="00935983" w:rsidRDefault="004376F2">
      <w:pPr>
        <w:pStyle w:val="TOC1"/>
        <w:tabs>
          <w:tab w:val="right" w:leader="dot" w:pos="9769"/>
        </w:tabs>
        <w:rPr>
          <w:rFonts w:ascii="Aptos" w:eastAsia="Times New Roman" w:hAnsi="Aptos"/>
          <w:noProof/>
          <w:kern w:val="2"/>
          <w:sz w:val="24"/>
          <w:lang w:eastAsia="en-AU"/>
        </w:rPr>
      </w:pPr>
      <w:hyperlink w:anchor="_Toc192746254" w:history="1">
        <w:r w:rsidRPr="008C211B">
          <w:rPr>
            <w:rStyle w:val="Hyperlink"/>
            <w:noProof/>
          </w:rPr>
          <w:t>Access and affordability</w:t>
        </w:r>
        <w:r>
          <w:rPr>
            <w:noProof/>
            <w:webHidden/>
          </w:rPr>
          <w:tab/>
        </w:r>
        <w:r>
          <w:rPr>
            <w:noProof/>
            <w:webHidden/>
          </w:rPr>
          <w:fldChar w:fldCharType="begin"/>
        </w:r>
        <w:r>
          <w:rPr>
            <w:noProof/>
            <w:webHidden/>
          </w:rPr>
          <w:instrText xml:space="preserve"> PAGEREF _Toc192746254 \h </w:instrText>
        </w:r>
        <w:r>
          <w:rPr>
            <w:noProof/>
            <w:webHidden/>
          </w:rPr>
        </w:r>
        <w:r>
          <w:rPr>
            <w:noProof/>
            <w:webHidden/>
          </w:rPr>
          <w:fldChar w:fldCharType="separate"/>
        </w:r>
        <w:r>
          <w:rPr>
            <w:noProof/>
            <w:webHidden/>
          </w:rPr>
          <w:t>16</w:t>
        </w:r>
        <w:r>
          <w:rPr>
            <w:noProof/>
            <w:webHidden/>
          </w:rPr>
          <w:fldChar w:fldCharType="end"/>
        </w:r>
      </w:hyperlink>
    </w:p>
    <w:p w14:paraId="5774FD07" w14:textId="77777777" w:rsidR="004376F2" w:rsidRPr="00935983" w:rsidRDefault="004376F2">
      <w:pPr>
        <w:pStyle w:val="TOC2"/>
        <w:rPr>
          <w:rFonts w:ascii="Aptos" w:eastAsia="Times New Roman" w:hAnsi="Aptos"/>
          <w:noProof/>
          <w:kern w:val="2"/>
          <w:sz w:val="24"/>
          <w:lang w:eastAsia="en-AU"/>
        </w:rPr>
      </w:pPr>
      <w:hyperlink w:anchor="_Toc192746255" w:history="1">
        <w:r w:rsidRPr="008C211B">
          <w:rPr>
            <w:rStyle w:val="Hyperlink"/>
            <w:noProof/>
          </w:rPr>
          <w:t>Highlights for quarter one (July to September 2024)</w:t>
        </w:r>
        <w:r>
          <w:rPr>
            <w:noProof/>
            <w:webHidden/>
          </w:rPr>
          <w:tab/>
        </w:r>
        <w:r>
          <w:rPr>
            <w:noProof/>
            <w:webHidden/>
          </w:rPr>
          <w:fldChar w:fldCharType="begin"/>
        </w:r>
        <w:r>
          <w:rPr>
            <w:noProof/>
            <w:webHidden/>
          </w:rPr>
          <w:instrText xml:space="preserve"> PAGEREF _Toc192746255 \h </w:instrText>
        </w:r>
        <w:r>
          <w:rPr>
            <w:noProof/>
            <w:webHidden/>
          </w:rPr>
        </w:r>
        <w:r>
          <w:rPr>
            <w:noProof/>
            <w:webHidden/>
          </w:rPr>
          <w:fldChar w:fldCharType="separate"/>
        </w:r>
        <w:r>
          <w:rPr>
            <w:noProof/>
            <w:webHidden/>
          </w:rPr>
          <w:t>16</w:t>
        </w:r>
        <w:r>
          <w:rPr>
            <w:noProof/>
            <w:webHidden/>
          </w:rPr>
          <w:fldChar w:fldCharType="end"/>
        </w:r>
      </w:hyperlink>
    </w:p>
    <w:p w14:paraId="3E1BCD6F" w14:textId="77777777" w:rsidR="004376F2" w:rsidRPr="00935983" w:rsidRDefault="004376F2">
      <w:pPr>
        <w:pStyle w:val="TOC2"/>
        <w:rPr>
          <w:rFonts w:ascii="Aptos" w:eastAsia="Times New Roman" w:hAnsi="Aptos"/>
          <w:noProof/>
          <w:kern w:val="2"/>
          <w:sz w:val="24"/>
          <w:lang w:eastAsia="en-AU"/>
        </w:rPr>
      </w:pPr>
      <w:hyperlink w:anchor="_Toc192746256" w:history="1">
        <w:r w:rsidRPr="008C211B">
          <w:rPr>
            <w:rStyle w:val="Hyperlink"/>
            <w:noProof/>
          </w:rPr>
          <w:t>Our progress</w:t>
        </w:r>
        <w:r>
          <w:rPr>
            <w:noProof/>
            <w:webHidden/>
          </w:rPr>
          <w:tab/>
        </w:r>
        <w:r>
          <w:rPr>
            <w:noProof/>
            <w:webHidden/>
          </w:rPr>
          <w:fldChar w:fldCharType="begin"/>
        </w:r>
        <w:r>
          <w:rPr>
            <w:noProof/>
            <w:webHidden/>
          </w:rPr>
          <w:instrText xml:space="preserve"> PAGEREF _Toc192746256 \h </w:instrText>
        </w:r>
        <w:r>
          <w:rPr>
            <w:noProof/>
            <w:webHidden/>
          </w:rPr>
        </w:r>
        <w:r>
          <w:rPr>
            <w:noProof/>
            <w:webHidden/>
          </w:rPr>
          <w:fldChar w:fldCharType="separate"/>
        </w:r>
        <w:r>
          <w:rPr>
            <w:noProof/>
            <w:webHidden/>
          </w:rPr>
          <w:t>16</w:t>
        </w:r>
        <w:r>
          <w:rPr>
            <w:noProof/>
            <w:webHidden/>
          </w:rPr>
          <w:fldChar w:fldCharType="end"/>
        </w:r>
      </w:hyperlink>
    </w:p>
    <w:p w14:paraId="4BA4F7A3" w14:textId="77777777" w:rsidR="004376F2" w:rsidRPr="00935983" w:rsidRDefault="004376F2">
      <w:pPr>
        <w:pStyle w:val="TOC2"/>
        <w:rPr>
          <w:rFonts w:ascii="Aptos" w:eastAsia="Times New Roman" w:hAnsi="Aptos"/>
          <w:noProof/>
          <w:kern w:val="2"/>
          <w:sz w:val="24"/>
          <w:lang w:eastAsia="en-AU"/>
        </w:rPr>
      </w:pPr>
      <w:hyperlink w:anchor="_Toc192746257" w:history="1">
        <w:r w:rsidRPr="008C211B">
          <w:rPr>
            <w:rStyle w:val="Hyperlink"/>
            <w:noProof/>
          </w:rPr>
          <w:t>The major initiatives we’re delivering this year</w:t>
        </w:r>
        <w:r>
          <w:rPr>
            <w:noProof/>
            <w:webHidden/>
          </w:rPr>
          <w:tab/>
        </w:r>
        <w:r>
          <w:rPr>
            <w:noProof/>
            <w:webHidden/>
          </w:rPr>
          <w:fldChar w:fldCharType="begin"/>
        </w:r>
        <w:r>
          <w:rPr>
            <w:noProof/>
            <w:webHidden/>
          </w:rPr>
          <w:instrText xml:space="preserve"> PAGEREF _Toc192746257 \h </w:instrText>
        </w:r>
        <w:r>
          <w:rPr>
            <w:noProof/>
            <w:webHidden/>
          </w:rPr>
        </w:r>
        <w:r>
          <w:rPr>
            <w:noProof/>
            <w:webHidden/>
          </w:rPr>
          <w:fldChar w:fldCharType="separate"/>
        </w:r>
        <w:r>
          <w:rPr>
            <w:noProof/>
            <w:webHidden/>
          </w:rPr>
          <w:t>17</w:t>
        </w:r>
        <w:r>
          <w:rPr>
            <w:noProof/>
            <w:webHidden/>
          </w:rPr>
          <w:fldChar w:fldCharType="end"/>
        </w:r>
      </w:hyperlink>
    </w:p>
    <w:p w14:paraId="12BCF9AA" w14:textId="77777777" w:rsidR="004376F2" w:rsidRPr="00935983" w:rsidRDefault="004376F2">
      <w:pPr>
        <w:pStyle w:val="TOC2"/>
        <w:rPr>
          <w:rFonts w:ascii="Aptos" w:eastAsia="Times New Roman" w:hAnsi="Aptos"/>
          <w:noProof/>
          <w:kern w:val="2"/>
          <w:sz w:val="24"/>
          <w:lang w:eastAsia="en-AU"/>
        </w:rPr>
      </w:pPr>
      <w:hyperlink w:anchor="_Toc192746258" w:history="1">
        <w:r w:rsidRPr="008C211B">
          <w:rPr>
            <w:rStyle w:val="Hyperlink"/>
            <w:noProof/>
          </w:rPr>
          <w:t>How we’re measuring progress over four years</w:t>
        </w:r>
        <w:r>
          <w:rPr>
            <w:noProof/>
            <w:webHidden/>
          </w:rPr>
          <w:tab/>
        </w:r>
        <w:r>
          <w:rPr>
            <w:noProof/>
            <w:webHidden/>
          </w:rPr>
          <w:fldChar w:fldCharType="begin"/>
        </w:r>
        <w:r>
          <w:rPr>
            <w:noProof/>
            <w:webHidden/>
          </w:rPr>
          <w:instrText xml:space="preserve"> PAGEREF _Toc192746258 \h </w:instrText>
        </w:r>
        <w:r>
          <w:rPr>
            <w:noProof/>
            <w:webHidden/>
          </w:rPr>
        </w:r>
        <w:r>
          <w:rPr>
            <w:noProof/>
            <w:webHidden/>
          </w:rPr>
          <w:fldChar w:fldCharType="separate"/>
        </w:r>
        <w:r>
          <w:rPr>
            <w:noProof/>
            <w:webHidden/>
          </w:rPr>
          <w:t>18</w:t>
        </w:r>
        <w:r>
          <w:rPr>
            <w:noProof/>
            <w:webHidden/>
          </w:rPr>
          <w:fldChar w:fldCharType="end"/>
        </w:r>
      </w:hyperlink>
    </w:p>
    <w:p w14:paraId="76C2B33D" w14:textId="77777777" w:rsidR="004376F2" w:rsidRPr="00935983" w:rsidRDefault="004376F2">
      <w:pPr>
        <w:pStyle w:val="TOC1"/>
        <w:tabs>
          <w:tab w:val="right" w:leader="dot" w:pos="9769"/>
        </w:tabs>
        <w:rPr>
          <w:rFonts w:ascii="Aptos" w:eastAsia="Times New Roman" w:hAnsi="Aptos"/>
          <w:noProof/>
          <w:kern w:val="2"/>
          <w:sz w:val="24"/>
          <w:lang w:eastAsia="en-AU"/>
        </w:rPr>
      </w:pPr>
      <w:hyperlink w:anchor="_Toc192746259" w:history="1">
        <w:r w:rsidRPr="008C211B">
          <w:rPr>
            <w:rStyle w:val="Hyperlink"/>
            <w:noProof/>
          </w:rPr>
          <w:t>Safety and wellbeing</w:t>
        </w:r>
        <w:r>
          <w:rPr>
            <w:noProof/>
            <w:webHidden/>
          </w:rPr>
          <w:tab/>
        </w:r>
        <w:r>
          <w:rPr>
            <w:noProof/>
            <w:webHidden/>
          </w:rPr>
          <w:fldChar w:fldCharType="begin"/>
        </w:r>
        <w:r>
          <w:rPr>
            <w:noProof/>
            <w:webHidden/>
          </w:rPr>
          <w:instrText xml:space="preserve"> PAGEREF _Toc192746259 \h </w:instrText>
        </w:r>
        <w:r>
          <w:rPr>
            <w:noProof/>
            <w:webHidden/>
          </w:rPr>
        </w:r>
        <w:r>
          <w:rPr>
            <w:noProof/>
            <w:webHidden/>
          </w:rPr>
          <w:fldChar w:fldCharType="separate"/>
        </w:r>
        <w:r>
          <w:rPr>
            <w:noProof/>
            <w:webHidden/>
          </w:rPr>
          <w:t>19</w:t>
        </w:r>
        <w:r>
          <w:rPr>
            <w:noProof/>
            <w:webHidden/>
          </w:rPr>
          <w:fldChar w:fldCharType="end"/>
        </w:r>
      </w:hyperlink>
    </w:p>
    <w:p w14:paraId="26632C1D" w14:textId="77777777" w:rsidR="004376F2" w:rsidRPr="00935983" w:rsidRDefault="004376F2">
      <w:pPr>
        <w:pStyle w:val="TOC2"/>
        <w:rPr>
          <w:rFonts w:ascii="Aptos" w:eastAsia="Times New Roman" w:hAnsi="Aptos"/>
          <w:noProof/>
          <w:kern w:val="2"/>
          <w:sz w:val="24"/>
          <w:lang w:eastAsia="en-AU"/>
        </w:rPr>
      </w:pPr>
      <w:hyperlink w:anchor="_Toc192746260" w:history="1">
        <w:r w:rsidRPr="008C211B">
          <w:rPr>
            <w:rStyle w:val="Hyperlink"/>
            <w:noProof/>
          </w:rPr>
          <w:t>Highlights for quarter one (July to September 2024)</w:t>
        </w:r>
        <w:r>
          <w:rPr>
            <w:noProof/>
            <w:webHidden/>
          </w:rPr>
          <w:tab/>
        </w:r>
        <w:r>
          <w:rPr>
            <w:noProof/>
            <w:webHidden/>
          </w:rPr>
          <w:fldChar w:fldCharType="begin"/>
        </w:r>
        <w:r>
          <w:rPr>
            <w:noProof/>
            <w:webHidden/>
          </w:rPr>
          <w:instrText xml:space="preserve"> PAGEREF _Toc192746260 \h </w:instrText>
        </w:r>
        <w:r>
          <w:rPr>
            <w:noProof/>
            <w:webHidden/>
          </w:rPr>
        </w:r>
        <w:r>
          <w:rPr>
            <w:noProof/>
            <w:webHidden/>
          </w:rPr>
          <w:fldChar w:fldCharType="separate"/>
        </w:r>
        <w:r>
          <w:rPr>
            <w:noProof/>
            <w:webHidden/>
          </w:rPr>
          <w:t>19</w:t>
        </w:r>
        <w:r>
          <w:rPr>
            <w:noProof/>
            <w:webHidden/>
          </w:rPr>
          <w:fldChar w:fldCharType="end"/>
        </w:r>
      </w:hyperlink>
    </w:p>
    <w:p w14:paraId="45A01F3D" w14:textId="77777777" w:rsidR="004376F2" w:rsidRPr="00935983" w:rsidRDefault="004376F2">
      <w:pPr>
        <w:pStyle w:val="TOC2"/>
        <w:rPr>
          <w:rFonts w:ascii="Aptos" w:eastAsia="Times New Roman" w:hAnsi="Aptos"/>
          <w:noProof/>
          <w:kern w:val="2"/>
          <w:sz w:val="24"/>
          <w:lang w:eastAsia="en-AU"/>
        </w:rPr>
      </w:pPr>
      <w:hyperlink w:anchor="_Toc192746261" w:history="1">
        <w:r w:rsidRPr="008C211B">
          <w:rPr>
            <w:rStyle w:val="Hyperlink"/>
            <w:noProof/>
          </w:rPr>
          <w:t>Our progress</w:t>
        </w:r>
        <w:r>
          <w:rPr>
            <w:noProof/>
            <w:webHidden/>
          </w:rPr>
          <w:tab/>
        </w:r>
        <w:r>
          <w:rPr>
            <w:noProof/>
            <w:webHidden/>
          </w:rPr>
          <w:fldChar w:fldCharType="begin"/>
        </w:r>
        <w:r>
          <w:rPr>
            <w:noProof/>
            <w:webHidden/>
          </w:rPr>
          <w:instrText xml:space="preserve"> PAGEREF _Toc192746261 \h </w:instrText>
        </w:r>
        <w:r>
          <w:rPr>
            <w:noProof/>
            <w:webHidden/>
          </w:rPr>
        </w:r>
        <w:r>
          <w:rPr>
            <w:noProof/>
            <w:webHidden/>
          </w:rPr>
          <w:fldChar w:fldCharType="separate"/>
        </w:r>
        <w:r>
          <w:rPr>
            <w:noProof/>
            <w:webHidden/>
          </w:rPr>
          <w:t>20</w:t>
        </w:r>
        <w:r>
          <w:rPr>
            <w:noProof/>
            <w:webHidden/>
          </w:rPr>
          <w:fldChar w:fldCharType="end"/>
        </w:r>
      </w:hyperlink>
    </w:p>
    <w:p w14:paraId="2ADB44AC" w14:textId="77777777" w:rsidR="004376F2" w:rsidRPr="00935983" w:rsidRDefault="004376F2">
      <w:pPr>
        <w:pStyle w:val="TOC2"/>
        <w:rPr>
          <w:rFonts w:ascii="Aptos" w:eastAsia="Times New Roman" w:hAnsi="Aptos"/>
          <w:noProof/>
          <w:kern w:val="2"/>
          <w:sz w:val="24"/>
          <w:lang w:eastAsia="en-AU"/>
        </w:rPr>
      </w:pPr>
      <w:hyperlink w:anchor="_Toc192746262" w:history="1">
        <w:r w:rsidRPr="008C211B">
          <w:rPr>
            <w:rStyle w:val="Hyperlink"/>
            <w:noProof/>
          </w:rPr>
          <w:t>The major initiatives we’re delivering this year</w:t>
        </w:r>
        <w:r>
          <w:rPr>
            <w:noProof/>
            <w:webHidden/>
          </w:rPr>
          <w:tab/>
        </w:r>
        <w:r>
          <w:rPr>
            <w:noProof/>
            <w:webHidden/>
          </w:rPr>
          <w:fldChar w:fldCharType="begin"/>
        </w:r>
        <w:r>
          <w:rPr>
            <w:noProof/>
            <w:webHidden/>
          </w:rPr>
          <w:instrText xml:space="preserve"> PAGEREF _Toc192746262 \h </w:instrText>
        </w:r>
        <w:r>
          <w:rPr>
            <w:noProof/>
            <w:webHidden/>
          </w:rPr>
        </w:r>
        <w:r>
          <w:rPr>
            <w:noProof/>
            <w:webHidden/>
          </w:rPr>
          <w:fldChar w:fldCharType="separate"/>
        </w:r>
        <w:r>
          <w:rPr>
            <w:noProof/>
            <w:webHidden/>
          </w:rPr>
          <w:t>20</w:t>
        </w:r>
        <w:r>
          <w:rPr>
            <w:noProof/>
            <w:webHidden/>
          </w:rPr>
          <w:fldChar w:fldCharType="end"/>
        </w:r>
      </w:hyperlink>
    </w:p>
    <w:p w14:paraId="38E64856" w14:textId="77777777" w:rsidR="004376F2" w:rsidRPr="00935983" w:rsidRDefault="004376F2">
      <w:pPr>
        <w:pStyle w:val="TOC2"/>
        <w:rPr>
          <w:rFonts w:ascii="Aptos" w:eastAsia="Times New Roman" w:hAnsi="Aptos"/>
          <w:noProof/>
          <w:kern w:val="2"/>
          <w:sz w:val="24"/>
          <w:lang w:eastAsia="en-AU"/>
        </w:rPr>
      </w:pPr>
      <w:hyperlink w:anchor="_Toc192746263" w:history="1">
        <w:r w:rsidRPr="008C211B">
          <w:rPr>
            <w:rStyle w:val="Hyperlink"/>
            <w:noProof/>
          </w:rPr>
          <w:t>How we’re measuring progress over four years</w:t>
        </w:r>
        <w:r>
          <w:rPr>
            <w:noProof/>
            <w:webHidden/>
          </w:rPr>
          <w:tab/>
        </w:r>
        <w:r>
          <w:rPr>
            <w:noProof/>
            <w:webHidden/>
          </w:rPr>
          <w:fldChar w:fldCharType="begin"/>
        </w:r>
        <w:r>
          <w:rPr>
            <w:noProof/>
            <w:webHidden/>
          </w:rPr>
          <w:instrText xml:space="preserve"> PAGEREF _Toc192746263 \h </w:instrText>
        </w:r>
        <w:r>
          <w:rPr>
            <w:noProof/>
            <w:webHidden/>
          </w:rPr>
        </w:r>
        <w:r>
          <w:rPr>
            <w:noProof/>
            <w:webHidden/>
          </w:rPr>
          <w:fldChar w:fldCharType="separate"/>
        </w:r>
        <w:r>
          <w:rPr>
            <w:noProof/>
            <w:webHidden/>
          </w:rPr>
          <w:t>21</w:t>
        </w:r>
        <w:r>
          <w:rPr>
            <w:noProof/>
            <w:webHidden/>
          </w:rPr>
          <w:fldChar w:fldCharType="end"/>
        </w:r>
      </w:hyperlink>
    </w:p>
    <w:p w14:paraId="7571DA83" w14:textId="77777777" w:rsidR="00D8650A" w:rsidRDefault="00B152AF" w:rsidP="00802A52">
      <w:pPr>
        <w:pStyle w:val="Heading1"/>
        <w:rPr>
          <w:rFonts w:hint="eastAsia"/>
        </w:rPr>
        <w:sectPr w:rsidR="00D8650A" w:rsidSect="00EF11AE">
          <w:headerReference w:type="even" r:id="rId12"/>
          <w:headerReference w:type="default" r:id="rId13"/>
          <w:footerReference w:type="even" r:id="rId14"/>
          <w:footerReference w:type="default" r:id="rId15"/>
          <w:headerReference w:type="first" r:id="rId16"/>
          <w:footerReference w:type="first" r:id="rId17"/>
          <w:endnotePr>
            <w:numFmt w:val="decimal"/>
          </w:endnotePr>
          <w:pgSz w:w="11900" w:h="16840"/>
          <w:pgMar w:top="1418" w:right="987" w:bottom="1134" w:left="1134" w:header="709" w:footer="709" w:gutter="0"/>
          <w:cols w:space="708"/>
          <w:docGrid w:linePitch="360"/>
        </w:sectPr>
      </w:pPr>
      <w:r>
        <w:rPr>
          <w:noProof/>
        </w:rPr>
        <w:fldChar w:fldCharType="end"/>
      </w:r>
      <w:bookmarkEnd w:id="1"/>
      <w:bookmarkEnd w:id="2"/>
    </w:p>
    <w:p w14:paraId="2BD8DA8A" w14:textId="77777777" w:rsidR="00BE6801" w:rsidRPr="00802A52" w:rsidRDefault="00482EF3" w:rsidP="00D8650A">
      <w:pPr>
        <w:pStyle w:val="Heading1"/>
        <w:spacing w:before="0"/>
        <w:rPr>
          <w:rFonts w:hint="eastAsia"/>
        </w:rPr>
      </w:pPr>
      <w:bookmarkStart w:id="3" w:name="_Toc192746234"/>
      <w:r w:rsidRPr="00482EF3">
        <w:lastRenderedPageBreak/>
        <w:t>Economy of the Future</w:t>
      </w:r>
      <w:bookmarkEnd w:id="3"/>
    </w:p>
    <w:p w14:paraId="394498DB" w14:textId="77777777" w:rsidR="00482EF3" w:rsidRDefault="004A293F" w:rsidP="00482EF3">
      <w:bookmarkStart w:id="4" w:name="_Toc403992346"/>
      <w:bookmarkStart w:id="5" w:name="_Toc403992581"/>
      <w:bookmarkStart w:id="6" w:name="_Toc419982306"/>
      <w:r>
        <w:t>W</w:t>
      </w:r>
      <w:r w:rsidR="00482EF3" w:rsidRPr="00482EF3">
        <w:t>e will focus on driving economic recovery and creating the conditions for a strong, adaptive, sustainable and thriving future city economy supported by a diverse mix of industries and jobs that provide dignity and opportunity.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4062"/>
      </w:tblGrid>
      <w:tr w:rsidR="00482EF3" w14:paraId="6E2C6618" w14:textId="77777777" w:rsidTr="00004EFF">
        <w:tc>
          <w:tcPr>
            <w:tcW w:w="14062" w:type="dxa"/>
            <w:shd w:val="clear" w:color="auto" w:fill="auto"/>
          </w:tcPr>
          <w:p w14:paraId="17A8D04B" w14:textId="77777777" w:rsidR="009E6BAD" w:rsidRPr="009E6BAD" w:rsidRDefault="009E6BAD" w:rsidP="009E6BAD">
            <w:pPr>
              <w:pStyle w:val="Heading2"/>
              <w:spacing w:before="0"/>
            </w:pPr>
            <w:bookmarkStart w:id="7" w:name="_Toc192746235"/>
            <w:r w:rsidRPr="009E6BAD">
              <w:t>Highlights for quarter</w:t>
            </w:r>
            <w:r w:rsidR="004A293F">
              <w:t xml:space="preserve"> </w:t>
            </w:r>
            <w:r w:rsidR="003E4B56">
              <w:t>one</w:t>
            </w:r>
            <w:r w:rsidRPr="009E6BAD">
              <w:t xml:space="preserve"> (</w:t>
            </w:r>
            <w:r w:rsidR="00720E0C">
              <w:t>July to September</w:t>
            </w:r>
            <w:r w:rsidR="004A293F" w:rsidRPr="004A293F">
              <w:t xml:space="preserve"> 202</w:t>
            </w:r>
            <w:r w:rsidR="003E4B56">
              <w:t>4</w:t>
            </w:r>
            <w:r w:rsidRPr="009E6BAD">
              <w:t>)</w:t>
            </w:r>
            <w:bookmarkEnd w:id="7"/>
          </w:p>
          <w:p w14:paraId="424B92B4" w14:textId="77777777" w:rsidR="007563A5" w:rsidRDefault="007563A5" w:rsidP="007563A5">
            <w:r>
              <w:t>The Small Business Grants Program received significant interest with 370 applications totalling $7.88 million in requests across four streams.</w:t>
            </w:r>
          </w:p>
          <w:p w14:paraId="6847EBD7" w14:textId="77777777" w:rsidR="007563A5" w:rsidRDefault="007563A5" w:rsidP="007563A5">
            <w:r>
              <w:t>A roundtable with hospitality businesses identified key support areas: safety, marketing, city disruption, and patronage. Draft roadmaps for the hospitality and music sectors will be circulated in December 2024.</w:t>
            </w:r>
          </w:p>
          <w:p w14:paraId="2A2F78E3" w14:textId="77777777" w:rsidR="007563A5" w:rsidRDefault="007563A5" w:rsidP="007563A5">
            <w:r>
              <w:t>The Melbourne Economy Snapshot in September focused on twilight trading, aiding retailers with industry data. Future updates will be posted after the caretaker period. Precinct associations received $881,200 in funding, with individual amounts to be shared on the Council’s website after the caretaker period.</w:t>
            </w:r>
          </w:p>
          <w:p w14:paraId="7A3D77E0" w14:textId="77777777" w:rsidR="007563A5" w:rsidRDefault="007563A5" w:rsidP="007563A5">
            <w:r>
              <w:t>Melbourne's Economic Development Strategy is progressing, and key stakeholder interviews are underway for a program review by SGS Economics, with a report due in November. Employability outcomes for international students have been enhanced through a paid internship program involving over 1,400 students.</w:t>
            </w:r>
          </w:p>
          <w:p w14:paraId="232CBD4B" w14:textId="77777777" w:rsidR="007563A5" w:rsidRDefault="007563A5" w:rsidP="007563A5">
            <w:r>
              <w:t>Development is ongoing for separated bike lanes on Arden Street and preparations for the Fishermans Bend Standing Advisory Committee.</w:t>
            </w:r>
          </w:p>
          <w:p w14:paraId="0666B5E6" w14:textId="77777777" w:rsidR="007563A5" w:rsidRDefault="007563A5" w:rsidP="007563A5">
            <w:r>
              <w:t>Revitalisation of Central Pier Waterfront includes activations for Wurundjeri Woiwurrung culture, landscaping, and major civic spaces.</w:t>
            </w:r>
          </w:p>
          <w:p w14:paraId="2D5CEF41" w14:textId="77777777" w:rsidR="007563A5" w:rsidRDefault="007563A5" w:rsidP="007563A5">
            <w:r>
              <w:t>Melbourne’s global connections were strengthened through initiatives like the 2024 NexStar program connecting international students with Chinese technology firms and hosting a panel on India’s growing digital gaming industry. The She Loves Tech competition was held in Melbourne, empowering women</w:t>
            </w:r>
            <w:r w:rsidR="004376F2">
              <w:t>-</w:t>
            </w:r>
            <w:r>
              <w:t>led tech startups, with the winner representing Oceania in Singapore.</w:t>
            </w:r>
          </w:p>
          <w:p w14:paraId="61535B04" w14:textId="77777777" w:rsidR="00CF27A2" w:rsidRPr="00EA3CBF" w:rsidRDefault="00CF27A2" w:rsidP="007563A5">
            <w:pPr>
              <w:pStyle w:val="Heading2"/>
            </w:pPr>
            <w:bookmarkStart w:id="8" w:name="_Toc192746236"/>
            <w:r w:rsidRPr="00EA3CBF">
              <w:t>Our progress</w:t>
            </w:r>
            <w:bookmarkEnd w:id="8"/>
          </w:p>
          <w:p w14:paraId="55D79074" w14:textId="77777777" w:rsidR="00CF27A2" w:rsidRDefault="007563A5" w:rsidP="007563A5">
            <w:pPr>
              <w:rPr>
                <w:rFonts w:eastAsia="Cambria"/>
              </w:rPr>
            </w:pPr>
            <w:r w:rsidRPr="007563A5">
              <w:rPr>
                <w:rFonts w:eastAsia="Cambria"/>
              </w:rPr>
              <w:t>With central pier being a state-owned asset, there will be limited ability for the</w:t>
            </w:r>
            <w:r>
              <w:rPr>
                <w:rFonts w:eastAsia="Cambria"/>
              </w:rPr>
              <w:t xml:space="preserve"> </w:t>
            </w:r>
            <w:r w:rsidRPr="007563A5">
              <w:rPr>
                <w:rFonts w:eastAsia="Cambria"/>
              </w:rPr>
              <w:t>City of Melbourne to influence the outcome of Development Victoria’s</w:t>
            </w:r>
            <w:r>
              <w:rPr>
                <w:rFonts w:eastAsia="Cambria"/>
              </w:rPr>
              <w:t xml:space="preserve"> </w:t>
            </w:r>
            <w:r w:rsidRPr="007563A5">
              <w:rPr>
                <w:rFonts w:eastAsia="Cambria"/>
              </w:rPr>
              <w:t>"Revitalising Central Pier Waterfront - Vision and Place Principles".</w:t>
            </w:r>
          </w:p>
          <w:p w14:paraId="49CD907A" w14:textId="77777777" w:rsidR="00030407" w:rsidRPr="00CF27A2" w:rsidRDefault="00030407" w:rsidP="007563A5">
            <w:pPr>
              <w:rPr>
                <w:rFonts w:eastAsia="Cambria"/>
              </w:rPr>
            </w:pPr>
            <w:r w:rsidRPr="00D367C9">
              <w:t>Delivery of our major initiatives within the Council Plan term is on track.</w:t>
            </w:r>
          </w:p>
        </w:tc>
      </w:tr>
      <w:bookmarkEnd w:id="4"/>
      <w:bookmarkEnd w:id="5"/>
      <w:bookmarkEnd w:id="6"/>
    </w:tbl>
    <w:p w14:paraId="38559563" w14:textId="77777777" w:rsidR="007563A5" w:rsidRDefault="007563A5" w:rsidP="00784FF6">
      <w:pPr>
        <w:pStyle w:val="Heading2"/>
      </w:pPr>
    </w:p>
    <w:p w14:paraId="4650DBBE" w14:textId="77777777" w:rsidR="00482EF3" w:rsidRPr="00784FF6" w:rsidRDefault="00482EF3" w:rsidP="00784FF6">
      <w:pPr>
        <w:pStyle w:val="Heading2"/>
      </w:pPr>
      <w:bookmarkStart w:id="9" w:name="_Toc192746237"/>
      <w:r w:rsidRPr="00784FF6">
        <w:t>The major initiatives we’re delivering this year</w:t>
      </w:r>
      <w:bookmarkEnd w:id="9"/>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CF27A2" w14:paraId="24CC7CC1" w14:textId="77777777" w:rsidTr="00CF27A2">
        <w:trPr>
          <w:tblHeader/>
        </w:trPr>
        <w:tc>
          <w:tcPr>
            <w:tcW w:w="9412" w:type="dxa"/>
            <w:shd w:val="clear" w:color="auto" w:fill="auto"/>
          </w:tcPr>
          <w:p w14:paraId="270AEDA1" w14:textId="77777777" w:rsidR="00CF27A2" w:rsidRPr="00784FF6" w:rsidRDefault="00CF27A2" w:rsidP="00784FF6">
            <w:pPr>
              <w:pStyle w:val="TableofFigures"/>
              <w:rPr>
                <w:b/>
              </w:rPr>
            </w:pPr>
            <w:r w:rsidRPr="00784FF6">
              <w:rPr>
                <w:b/>
              </w:rPr>
              <w:t>Initiative</w:t>
            </w:r>
          </w:p>
        </w:tc>
        <w:tc>
          <w:tcPr>
            <w:tcW w:w="2268" w:type="dxa"/>
            <w:shd w:val="clear" w:color="auto" w:fill="auto"/>
          </w:tcPr>
          <w:p w14:paraId="694AF8A7" w14:textId="77777777" w:rsidR="00CF27A2" w:rsidRPr="00784FF6" w:rsidRDefault="00CF27A2" w:rsidP="00784FF6">
            <w:pPr>
              <w:pStyle w:val="TableofFigures"/>
              <w:rPr>
                <w:b/>
              </w:rPr>
            </w:pPr>
            <w:r w:rsidRPr="00784FF6">
              <w:rPr>
                <w:b/>
              </w:rPr>
              <w:t>Council’s role</w:t>
            </w:r>
          </w:p>
        </w:tc>
        <w:tc>
          <w:tcPr>
            <w:tcW w:w="2268" w:type="dxa"/>
            <w:shd w:val="clear" w:color="auto" w:fill="auto"/>
          </w:tcPr>
          <w:p w14:paraId="7C31FD39" w14:textId="77777777" w:rsidR="00CF27A2" w:rsidRPr="00EA3CBF" w:rsidRDefault="00CF27A2" w:rsidP="00D8650A">
            <w:pPr>
              <w:pStyle w:val="TableofFigures"/>
              <w:rPr>
                <w:b/>
              </w:rPr>
            </w:pPr>
            <w:r w:rsidRPr="00EA3CBF">
              <w:rPr>
                <w:b/>
              </w:rPr>
              <w:t>Our progress</w:t>
            </w:r>
          </w:p>
        </w:tc>
      </w:tr>
      <w:tr w:rsidR="00CF27A2" w14:paraId="6AE40E0A" w14:textId="77777777" w:rsidTr="00CF27A2">
        <w:tc>
          <w:tcPr>
            <w:tcW w:w="9412" w:type="dxa"/>
            <w:shd w:val="clear" w:color="auto" w:fill="auto"/>
          </w:tcPr>
          <w:p w14:paraId="53DAB421" w14:textId="77777777" w:rsidR="00CF27A2" w:rsidRPr="009E0344" w:rsidRDefault="00CF27A2" w:rsidP="00784FF6">
            <w:pPr>
              <w:pStyle w:val="TableofFigures"/>
            </w:pPr>
            <w:r w:rsidRPr="009E0344">
              <w:t xml:space="preserve">Continue to strengthen Melbourne’s economic recovery, including through precinct and shopfront activation, delivery of an enhanced </w:t>
            </w:r>
            <w:hyperlink r:id="rId18" w:history="1">
              <w:r w:rsidRPr="009E0344">
                <w:rPr>
                  <w:rStyle w:val="Hyperlink"/>
                </w:rPr>
                <w:t>business concierge service</w:t>
              </w:r>
            </w:hyperlink>
            <w:r w:rsidRPr="009E0344">
              <w:rPr>
                <w:rStyle w:val="FootnoteReference"/>
              </w:rPr>
              <w:footnoteReference w:id="1"/>
            </w:r>
            <w:r w:rsidRPr="009E0344">
              <w:t xml:space="preserve"> and support for the night-time economy.</w:t>
            </w:r>
          </w:p>
        </w:tc>
        <w:tc>
          <w:tcPr>
            <w:tcW w:w="2268" w:type="dxa"/>
            <w:shd w:val="clear" w:color="auto" w:fill="auto"/>
          </w:tcPr>
          <w:p w14:paraId="083D42CA" w14:textId="77777777" w:rsidR="00CF27A2" w:rsidRPr="00784FF6" w:rsidRDefault="00CF27A2" w:rsidP="00784FF6">
            <w:pPr>
              <w:pStyle w:val="TableofFigures"/>
            </w:pPr>
            <w:r w:rsidRPr="00784FF6">
              <w:t>Deliver</w:t>
            </w:r>
          </w:p>
          <w:p w14:paraId="3137E8F8" w14:textId="77777777" w:rsidR="00CF27A2" w:rsidRPr="00784FF6" w:rsidRDefault="00CF27A2" w:rsidP="00784FF6">
            <w:pPr>
              <w:pStyle w:val="TableofFigures"/>
            </w:pPr>
          </w:p>
        </w:tc>
        <w:tc>
          <w:tcPr>
            <w:tcW w:w="2268" w:type="dxa"/>
            <w:shd w:val="clear" w:color="auto" w:fill="auto"/>
          </w:tcPr>
          <w:p w14:paraId="48F144AA" w14:textId="77777777" w:rsidR="00CF27A2" w:rsidRPr="00EA3CBF" w:rsidRDefault="00CF27A2" w:rsidP="00784FF6">
            <w:pPr>
              <w:pStyle w:val="TableofFigures"/>
            </w:pPr>
            <w:r w:rsidRPr="00EA3CBF">
              <w:t>On track</w:t>
            </w:r>
          </w:p>
        </w:tc>
      </w:tr>
      <w:tr w:rsidR="00AF715F" w14:paraId="75356B57" w14:textId="77777777" w:rsidTr="00CF27A2">
        <w:tc>
          <w:tcPr>
            <w:tcW w:w="9412" w:type="dxa"/>
            <w:shd w:val="clear" w:color="auto" w:fill="auto"/>
          </w:tcPr>
          <w:p w14:paraId="49FB7F22" w14:textId="77777777" w:rsidR="00AF715F" w:rsidRPr="009E0344" w:rsidRDefault="00AF715F" w:rsidP="00AF715F">
            <w:pPr>
              <w:pStyle w:val="TableofFigures"/>
            </w:pPr>
            <w:r w:rsidRPr="009E0344">
              <w:t>Ensure Melbourne is the easiest place to start and grow a business through the establishment of Invest Melbourne.</w:t>
            </w:r>
          </w:p>
        </w:tc>
        <w:tc>
          <w:tcPr>
            <w:tcW w:w="2268" w:type="dxa"/>
            <w:shd w:val="clear" w:color="auto" w:fill="auto"/>
          </w:tcPr>
          <w:p w14:paraId="50490B99" w14:textId="77777777" w:rsidR="00AF715F" w:rsidRPr="00784FF6" w:rsidRDefault="00AF715F" w:rsidP="00AF715F">
            <w:pPr>
              <w:pStyle w:val="TableofFigures"/>
            </w:pPr>
            <w:r w:rsidRPr="00784FF6">
              <w:t>Deliver</w:t>
            </w:r>
          </w:p>
        </w:tc>
        <w:tc>
          <w:tcPr>
            <w:tcW w:w="2268" w:type="dxa"/>
            <w:shd w:val="clear" w:color="auto" w:fill="auto"/>
          </w:tcPr>
          <w:p w14:paraId="1D4EDB07" w14:textId="77777777" w:rsidR="00AF715F" w:rsidRPr="00EA3CBF" w:rsidRDefault="00AF715F" w:rsidP="00AF715F">
            <w:pPr>
              <w:pStyle w:val="TableofFigures"/>
            </w:pPr>
            <w:r>
              <w:t>Completed</w:t>
            </w:r>
          </w:p>
        </w:tc>
      </w:tr>
      <w:tr w:rsidR="00CF27A2" w14:paraId="67229345" w14:textId="77777777" w:rsidTr="00CF27A2">
        <w:tc>
          <w:tcPr>
            <w:tcW w:w="9412" w:type="dxa"/>
            <w:shd w:val="clear" w:color="auto" w:fill="auto"/>
          </w:tcPr>
          <w:p w14:paraId="1D63D39B" w14:textId="77777777" w:rsidR="00CF27A2" w:rsidRPr="009E0344" w:rsidRDefault="00CF27A2" w:rsidP="00784FF6">
            <w:pPr>
              <w:pStyle w:val="TableofFigures"/>
            </w:pPr>
            <w:r w:rsidRPr="009E0344">
              <w:t xml:space="preserve">Drive economic growth and resilience by implementing the </w:t>
            </w:r>
            <w:hyperlink r:id="rId19" w:history="1">
              <w:r w:rsidRPr="009E0344">
                <w:rPr>
                  <w:rStyle w:val="Hyperlink"/>
                </w:rPr>
                <w:t>Economic Development Strategy</w:t>
              </w:r>
            </w:hyperlink>
            <w:r w:rsidRPr="009E0344">
              <w:rPr>
                <w:rStyle w:val="FootnoteReference"/>
              </w:rPr>
              <w:footnoteReference w:id="2"/>
            </w:r>
            <w:r w:rsidRPr="009E0344">
              <w:t>, focusing support on existing and emerging industry sectors.</w:t>
            </w:r>
          </w:p>
        </w:tc>
        <w:tc>
          <w:tcPr>
            <w:tcW w:w="2268" w:type="dxa"/>
            <w:shd w:val="clear" w:color="auto" w:fill="auto"/>
          </w:tcPr>
          <w:p w14:paraId="19B9A379" w14:textId="77777777" w:rsidR="00CF27A2" w:rsidRPr="00784FF6" w:rsidRDefault="00CF27A2" w:rsidP="00784FF6">
            <w:pPr>
              <w:pStyle w:val="TableofFigures"/>
            </w:pPr>
            <w:r w:rsidRPr="00784FF6">
              <w:t>Deliver</w:t>
            </w:r>
          </w:p>
          <w:p w14:paraId="01C11B59" w14:textId="77777777" w:rsidR="00CF27A2" w:rsidRPr="00784FF6" w:rsidRDefault="00CF27A2" w:rsidP="00784FF6">
            <w:pPr>
              <w:pStyle w:val="TableofFigures"/>
            </w:pPr>
            <w:r w:rsidRPr="00784FF6">
              <w:t>Partner</w:t>
            </w:r>
          </w:p>
        </w:tc>
        <w:tc>
          <w:tcPr>
            <w:tcW w:w="2268" w:type="dxa"/>
            <w:shd w:val="clear" w:color="auto" w:fill="auto"/>
          </w:tcPr>
          <w:p w14:paraId="6842D642" w14:textId="77777777" w:rsidR="00CF27A2" w:rsidRPr="00EA3CBF" w:rsidRDefault="00CF27A2" w:rsidP="00784FF6">
            <w:pPr>
              <w:pStyle w:val="TableofFigures"/>
            </w:pPr>
            <w:r w:rsidRPr="00EA3CBF">
              <w:t>On track</w:t>
            </w:r>
          </w:p>
        </w:tc>
      </w:tr>
      <w:tr w:rsidR="00CF27A2" w14:paraId="5C2E257D" w14:textId="77777777" w:rsidTr="00CF27A2">
        <w:tc>
          <w:tcPr>
            <w:tcW w:w="9412" w:type="dxa"/>
            <w:shd w:val="clear" w:color="auto" w:fill="auto"/>
          </w:tcPr>
          <w:p w14:paraId="3478A11F" w14:textId="77777777" w:rsidR="00CF27A2" w:rsidRPr="009E0344" w:rsidRDefault="00CF27A2" w:rsidP="00784FF6">
            <w:pPr>
              <w:pStyle w:val="TableofFigures"/>
            </w:pPr>
            <w:r w:rsidRPr="009E0344">
              <w:t>Work in partnership with the Victorian Government and other stakeholders to advocate for and deliver integrated high-quality public and active transport in urban renewal areas.</w:t>
            </w:r>
          </w:p>
        </w:tc>
        <w:tc>
          <w:tcPr>
            <w:tcW w:w="2268" w:type="dxa"/>
            <w:shd w:val="clear" w:color="auto" w:fill="auto"/>
          </w:tcPr>
          <w:p w14:paraId="12CA010D" w14:textId="77777777" w:rsidR="00CF27A2" w:rsidRPr="00784FF6" w:rsidRDefault="00CF27A2" w:rsidP="00784FF6">
            <w:pPr>
              <w:pStyle w:val="TableofFigures"/>
            </w:pPr>
            <w:r w:rsidRPr="00784FF6">
              <w:t>Partner</w:t>
            </w:r>
          </w:p>
          <w:p w14:paraId="6A96FA94" w14:textId="77777777" w:rsidR="00CF27A2" w:rsidRPr="00784FF6" w:rsidRDefault="00CF27A2" w:rsidP="00784FF6">
            <w:pPr>
              <w:pStyle w:val="TableofFigures"/>
            </w:pPr>
          </w:p>
        </w:tc>
        <w:tc>
          <w:tcPr>
            <w:tcW w:w="2268" w:type="dxa"/>
            <w:shd w:val="clear" w:color="auto" w:fill="auto"/>
          </w:tcPr>
          <w:p w14:paraId="3D17FC12" w14:textId="77777777" w:rsidR="00CF27A2" w:rsidRPr="00EA3CBF" w:rsidRDefault="00505C05" w:rsidP="00784FF6">
            <w:pPr>
              <w:pStyle w:val="TableofFigures"/>
            </w:pPr>
            <w:r w:rsidRPr="00EA3CBF">
              <w:t>On track</w:t>
            </w:r>
          </w:p>
        </w:tc>
      </w:tr>
      <w:tr w:rsidR="00AF715F" w14:paraId="3EC57F6F" w14:textId="77777777" w:rsidTr="00CF27A2">
        <w:tc>
          <w:tcPr>
            <w:tcW w:w="9412" w:type="dxa"/>
            <w:shd w:val="clear" w:color="auto" w:fill="auto"/>
          </w:tcPr>
          <w:p w14:paraId="71611C47" w14:textId="77777777" w:rsidR="00AF715F" w:rsidRPr="009E0344" w:rsidRDefault="00AF715F" w:rsidP="00AF715F">
            <w:pPr>
              <w:pStyle w:val="TableofFigures"/>
            </w:pPr>
            <w:r w:rsidRPr="009E0344">
              <w:t xml:space="preserve">Establish a new tourism entity called Visit Melbourne and review and refresh the program of City of Melbourne-owned and </w:t>
            </w:r>
            <w:hyperlink r:id="rId20" w:history="1">
              <w:r w:rsidRPr="009E0344">
                <w:rPr>
                  <w:rStyle w:val="Hyperlink"/>
                </w:rPr>
                <w:t>sponsored events</w:t>
              </w:r>
            </w:hyperlink>
            <w:r w:rsidRPr="009E0344">
              <w:rPr>
                <w:rStyle w:val="FootnoteReference"/>
              </w:rPr>
              <w:footnoteReference w:id="3"/>
            </w:r>
            <w:r w:rsidRPr="009E0344">
              <w:t xml:space="preserve"> to maximise opportunities to drive visitation and spend.</w:t>
            </w:r>
          </w:p>
        </w:tc>
        <w:tc>
          <w:tcPr>
            <w:tcW w:w="2268" w:type="dxa"/>
            <w:shd w:val="clear" w:color="auto" w:fill="auto"/>
          </w:tcPr>
          <w:p w14:paraId="3586B0E7" w14:textId="77777777" w:rsidR="00AF715F" w:rsidRDefault="00AF715F" w:rsidP="00AF715F">
            <w:pPr>
              <w:pStyle w:val="TableofFigures"/>
            </w:pPr>
            <w:r w:rsidRPr="00784FF6">
              <w:t>Deliver</w:t>
            </w:r>
          </w:p>
          <w:p w14:paraId="0B3D50FB" w14:textId="77777777" w:rsidR="00AF715F" w:rsidRPr="00784FF6" w:rsidRDefault="00AF715F" w:rsidP="00AF715F">
            <w:pPr>
              <w:pStyle w:val="TableofFigures"/>
            </w:pPr>
            <w:r w:rsidRPr="00784FF6">
              <w:t>Partner</w:t>
            </w:r>
          </w:p>
        </w:tc>
        <w:tc>
          <w:tcPr>
            <w:tcW w:w="2268" w:type="dxa"/>
            <w:shd w:val="clear" w:color="auto" w:fill="auto"/>
          </w:tcPr>
          <w:p w14:paraId="4A587677" w14:textId="77777777" w:rsidR="00AF715F" w:rsidRPr="00784FF6" w:rsidRDefault="00AF715F" w:rsidP="00AF715F">
            <w:pPr>
              <w:pStyle w:val="TableofFigures"/>
            </w:pPr>
            <w:r>
              <w:t>Completed</w:t>
            </w:r>
          </w:p>
        </w:tc>
      </w:tr>
      <w:tr w:rsidR="00AF715F" w14:paraId="00459B3D" w14:textId="77777777" w:rsidTr="00CF27A2">
        <w:tc>
          <w:tcPr>
            <w:tcW w:w="9412" w:type="dxa"/>
            <w:shd w:val="clear" w:color="auto" w:fill="auto"/>
          </w:tcPr>
          <w:p w14:paraId="39B694C0" w14:textId="77777777" w:rsidR="00AF715F" w:rsidRPr="009E0344" w:rsidRDefault="00AF715F" w:rsidP="00AF715F">
            <w:pPr>
              <w:pStyle w:val="TableofFigures"/>
            </w:pPr>
            <w:r w:rsidRPr="009E0344">
              <w:t>Market and promote Melbourne as a great place to live for all, while ensuring key workers have access to affordable housing.</w:t>
            </w:r>
          </w:p>
        </w:tc>
        <w:tc>
          <w:tcPr>
            <w:tcW w:w="2268" w:type="dxa"/>
            <w:shd w:val="clear" w:color="auto" w:fill="auto"/>
          </w:tcPr>
          <w:p w14:paraId="2C7551E8" w14:textId="77777777" w:rsidR="00AF715F" w:rsidRPr="00784FF6" w:rsidRDefault="00AF715F" w:rsidP="00AF715F">
            <w:pPr>
              <w:pStyle w:val="TableofFigures"/>
            </w:pPr>
            <w:r w:rsidRPr="00784FF6">
              <w:t>Deliver</w:t>
            </w:r>
          </w:p>
        </w:tc>
        <w:tc>
          <w:tcPr>
            <w:tcW w:w="2268" w:type="dxa"/>
            <w:shd w:val="clear" w:color="auto" w:fill="auto"/>
          </w:tcPr>
          <w:p w14:paraId="2BD4080D" w14:textId="77777777" w:rsidR="00AF715F" w:rsidRPr="00784FF6" w:rsidRDefault="00AF715F" w:rsidP="00AF715F">
            <w:pPr>
              <w:pStyle w:val="TableofFigures"/>
            </w:pPr>
            <w:r>
              <w:t>Completed</w:t>
            </w:r>
          </w:p>
        </w:tc>
      </w:tr>
      <w:tr w:rsidR="00AF715F" w14:paraId="2864D181" w14:textId="77777777" w:rsidTr="00CF27A2">
        <w:tc>
          <w:tcPr>
            <w:tcW w:w="9412" w:type="dxa"/>
            <w:shd w:val="clear" w:color="auto" w:fill="auto"/>
          </w:tcPr>
          <w:p w14:paraId="096135B3" w14:textId="77777777" w:rsidR="00AF715F" w:rsidRPr="009E6BAD" w:rsidRDefault="00AF715F" w:rsidP="00AF715F">
            <w:pPr>
              <w:pStyle w:val="TableofFigures"/>
            </w:pPr>
            <w:r w:rsidRPr="009E6BAD">
              <w:t>Increase visitation to Docklands by partnering with the Victorian Government and key stakeholders to enable reconstruction and redevelopment in Central Pier and surrounds.</w:t>
            </w:r>
          </w:p>
        </w:tc>
        <w:tc>
          <w:tcPr>
            <w:tcW w:w="2268" w:type="dxa"/>
            <w:shd w:val="clear" w:color="auto" w:fill="auto"/>
          </w:tcPr>
          <w:p w14:paraId="7155D2E4" w14:textId="77777777" w:rsidR="00AF715F" w:rsidRPr="009E6BAD" w:rsidRDefault="00AF715F" w:rsidP="00AF715F">
            <w:pPr>
              <w:pStyle w:val="TableofFigures"/>
            </w:pPr>
            <w:r w:rsidRPr="009E6BAD">
              <w:t>Partner</w:t>
            </w:r>
          </w:p>
          <w:p w14:paraId="04886C42" w14:textId="77777777" w:rsidR="00AF715F" w:rsidRPr="009E6BAD" w:rsidRDefault="00AF715F" w:rsidP="00AF715F">
            <w:pPr>
              <w:pStyle w:val="TableofFigures"/>
            </w:pPr>
            <w:r w:rsidRPr="009E6BAD">
              <w:t>Advocate</w:t>
            </w:r>
          </w:p>
        </w:tc>
        <w:tc>
          <w:tcPr>
            <w:tcW w:w="2268" w:type="dxa"/>
            <w:shd w:val="clear" w:color="auto" w:fill="auto"/>
          </w:tcPr>
          <w:p w14:paraId="00ADD8DA" w14:textId="77777777" w:rsidR="00AF715F" w:rsidRPr="009E6BAD" w:rsidRDefault="00AF715F" w:rsidP="00AF715F">
            <w:pPr>
              <w:pStyle w:val="TableofFigures"/>
            </w:pPr>
            <w:r w:rsidRPr="009E6BAD">
              <w:t>On track</w:t>
            </w:r>
          </w:p>
        </w:tc>
      </w:tr>
      <w:tr w:rsidR="00AF715F" w14:paraId="4E63C6F1" w14:textId="77777777" w:rsidTr="00CF27A2">
        <w:tc>
          <w:tcPr>
            <w:tcW w:w="9412" w:type="dxa"/>
            <w:shd w:val="clear" w:color="auto" w:fill="auto"/>
          </w:tcPr>
          <w:p w14:paraId="3EC5FF15" w14:textId="77777777" w:rsidR="00AF715F" w:rsidRPr="009E0344" w:rsidRDefault="00AF715F" w:rsidP="00AF715F">
            <w:pPr>
              <w:pStyle w:val="TableofFigures"/>
            </w:pPr>
            <w:r w:rsidRPr="009E0344">
              <w:t>Review Melbourne’s international relationships to optimise future and existing partnerships to enable mutual growth and opportunity.</w:t>
            </w:r>
          </w:p>
        </w:tc>
        <w:tc>
          <w:tcPr>
            <w:tcW w:w="2268" w:type="dxa"/>
            <w:shd w:val="clear" w:color="auto" w:fill="auto"/>
          </w:tcPr>
          <w:p w14:paraId="4CD796F7" w14:textId="77777777" w:rsidR="00AF715F" w:rsidRPr="00784FF6" w:rsidRDefault="00AF715F" w:rsidP="00AF715F">
            <w:pPr>
              <w:pStyle w:val="TableofFigures"/>
            </w:pPr>
            <w:r w:rsidRPr="00784FF6">
              <w:t>Deliver</w:t>
            </w:r>
          </w:p>
        </w:tc>
        <w:tc>
          <w:tcPr>
            <w:tcW w:w="2268" w:type="dxa"/>
            <w:shd w:val="clear" w:color="auto" w:fill="auto"/>
          </w:tcPr>
          <w:p w14:paraId="05C76B15" w14:textId="77777777" w:rsidR="00AF715F" w:rsidRPr="00784FF6" w:rsidRDefault="00AF715F" w:rsidP="00AF715F">
            <w:pPr>
              <w:pStyle w:val="TableofFigures"/>
            </w:pPr>
            <w:r w:rsidRPr="00784FF6">
              <w:t>On track</w:t>
            </w:r>
          </w:p>
        </w:tc>
      </w:tr>
      <w:tr w:rsidR="00AF715F" w14:paraId="2752F97A" w14:textId="77777777" w:rsidTr="00CF27A2">
        <w:tc>
          <w:tcPr>
            <w:tcW w:w="9412" w:type="dxa"/>
            <w:shd w:val="clear" w:color="auto" w:fill="auto"/>
          </w:tcPr>
          <w:p w14:paraId="64D3DBDF" w14:textId="77777777" w:rsidR="00AF715F" w:rsidRPr="009E0344" w:rsidRDefault="00AF715F" w:rsidP="00AF715F">
            <w:pPr>
              <w:pStyle w:val="TableofFigures"/>
            </w:pPr>
            <w:r w:rsidRPr="009E0344">
              <w:t>Partner with industry to support the development of globally competitive innovation ecosystems.</w:t>
            </w:r>
          </w:p>
        </w:tc>
        <w:tc>
          <w:tcPr>
            <w:tcW w:w="2268" w:type="dxa"/>
            <w:shd w:val="clear" w:color="auto" w:fill="auto"/>
          </w:tcPr>
          <w:p w14:paraId="2EA6EF6D" w14:textId="77777777" w:rsidR="00AF715F" w:rsidRPr="00784FF6" w:rsidRDefault="00AF715F" w:rsidP="00AF715F">
            <w:pPr>
              <w:pStyle w:val="TableofFigures"/>
            </w:pPr>
            <w:r w:rsidRPr="00784FF6">
              <w:t>Partner</w:t>
            </w:r>
          </w:p>
          <w:p w14:paraId="553BF446" w14:textId="77777777" w:rsidR="00AF715F" w:rsidRPr="00784FF6" w:rsidRDefault="00AF715F" w:rsidP="00AF715F">
            <w:pPr>
              <w:pStyle w:val="TableofFigures"/>
            </w:pPr>
            <w:r w:rsidRPr="00784FF6">
              <w:t>Deliver</w:t>
            </w:r>
          </w:p>
        </w:tc>
        <w:tc>
          <w:tcPr>
            <w:tcW w:w="2268" w:type="dxa"/>
            <w:shd w:val="clear" w:color="auto" w:fill="auto"/>
          </w:tcPr>
          <w:p w14:paraId="78170CCD" w14:textId="77777777" w:rsidR="00AF715F" w:rsidRPr="00784FF6" w:rsidRDefault="00AF715F" w:rsidP="00AF715F">
            <w:pPr>
              <w:pStyle w:val="TableofFigures"/>
            </w:pPr>
            <w:r w:rsidRPr="00784FF6">
              <w:t>On track</w:t>
            </w:r>
          </w:p>
        </w:tc>
      </w:tr>
      <w:tr w:rsidR="00AF715F" w14:paraId="66886810" w14:textId="77777777" w:rsidTr="00CF27A2">
        <w:tc>
          <w:tcPr>
            <w:tcW w:w="9412" w:type="dxa"/>
            <w:shd w:val="clear" w:color="auto" w:fill="auto"/>
          </w:tcPr>
          <w:p w14:paraId="35399177" w14:textId="77777777" w:rsidR="00AF715F" w:rsidRPr="009E0344" w:rsidRDefault="00AF715F" w:rsidP="00AF715F">
            <w:pPr>
              <w:pStyle w:val="TableofFigures"/>
            </w:pPr>
            <w:r w:rsidRPr="009E0344">
              <w:t>Develop a corporate strategy for the City of Melbourne to drive exemplary customer service, digitise services and operations, improve productivity and identify new revenue opportunities.</w:t>
            </w:r>
          </w:p>
        </w:tc>
        <w:tc>
          <w:tcPr>
            <w:tcW w:w="2268" w:type="dxa"/>
            <w:shd w:val="clear" w:color="auto" w:fill="auto"/>
          </w:tcPr>
          <w:p w14:paraId="7C8E5B64" w14:textId="77777777" w:rsidR="00AF715F" w:rsidRPr="00784FF6" w:rsidRDefault="00AF715F" w:rsidP="00AF715F">
            <w:pPr>
              <w:pStyle w:val="TableofFigures"/>
            </w:pPr>
            <w:r w:rsidRPr="00784FF6">
              <w:t>Deliver</w:t>
            </w:r>
          </w:p>
        </w:tc>
        <w:tc>
          <w:tcPr>
            <w:tcW w:w="2268" w:type="dxa"/>
            <w:shd w:val="clear" w:color="auto" w:fill="auto"/>
          </w:tcPr>
          <w:p w14:paraId="7C55115F" w14:textId="77777777" w:rsidR="00AF715F" w:rsidRPr="00784FF6" w:rsidRDefault="00AF715F" w:rsidP="00AF715F">
            <w:pPr>
              <w:pStyle w:val="TableofFigures"/>
            </w:pPr>
            <w:r>
              <w:t>On track</w:t>
            </w:r>
          </w:p>
        </w:tc>
      </w:tr>
      <w:tr w:rsidR="00AF715F" w14:paraId="64150C2F" w14:textId="77777777" w:rsidTr="00CF27A2">
        <w:tc>
          <w:tcPr>
            <w:tcW w:w="9412" w:type="dxa"/>
            <w:shd w:val="clear" w:color="auto" w:fill="auto"/>
          </w:tcPr>
          <w:p w14:paraId="1A0D2613" w14:textId="77777777" w:rsidR="00AF715F" w:rsidRPr="009E0344" w:rsidRDefault="00AF715F" w:rsidP="00AF715F">
            <w:pPr>
              <w:pStyle w:val="TableofFigures"/>
            </w:pPr>
            <w:r w:rsidRPr="009E0344">
              <w:t xml:space="preserve">Embed the </w:t>
            </w:r>
            <w:hyperlink r:id="rId21" w:history="1">
              <w:r w:rsidRPr="009E0344">
                <w:rPr>
                  <w:rStyle w:val="Hyperlink"/>
                </w:rPr>
                <w:t>Sustainable Development Goals</w:t>
              </w:r>
            </w:hyperlink>
            <w:r w:rsidRPr="009E0344">
              <w:rPr>
                <w:rStyle w:val="FootnoteReference"/>
              </w:rPr>
              <w:footnoteReference w:id="4"/>
            </w:r>
            <w:r w:rsidRPr="009E0344">
              <w:t xml:space="preserve"> in the way City of Melbourne plans, prioritises its investments, reports and benchmarks against other cities.</w:t>
            </w:r>
          </w:p>
        </w:tc>
        <w:tc>
          <w:tcPr>
            <w:tcW w:w="2268" w:type="dxa"/>
            <w:shd w:val="clear" w:color="auto" w:fill="auto"/>
          </w:tcPr>
          <w:p w14:paraId="057A6ED6" w14:textId="77777777" w:rsidR="00AF715F" w:rsidRPr="00784FF6" w:rsidRDefault="00AF715F" w:rsidP="00AF715F">
            <w:pPr>
              <w:pStyle w:val="TableofFigures"/>
            </w:pPr>
            <w:r w:rsidRPr="00784FF6">
              <w:t>Deliver</w:t>
            </w:r>
          </w:p>
        </w:tc>
        <w:tc>
          <w:tcPr>
            <w:tcW w:w="2268" w:type="dxa"/>
            <w:shd w:val="clear" w:color="auto" w:fill="auto"/>
          </w:tcPr>
          <w:p w14:paraId="44FAC99B" w14:textId="77777777" w:rsidR="00AF715F" w:rsidRPr="00784FF6" w:rsidRDefault="00AF715F" w:rsidP="00AF715F">
            <w:pPr>
              <w:pStyle w:val="TableofFigures"/>
            </w:pPr>
            <w:r w:rsidRPr="00784FF6">
              <w:t>On track</w:t>
            </w:r>
          </w:p>
        </w:tc>
      </w:tr>
    </w:tbl>
    <w:p w14:paraId="16814EDA" w14:textId="77777777" w:rsidR="00CF27A2" w:rsidRPr="00CF27A2" w:rsidRDefault="00CF27A2" w:rsidP="00CF27A2">
      <w:pPr>
        <w:pStyle w:val="Heading2"/>
      </w:pPr>
      <w:bookmarkStart w:id="10" w:name="_Toc192746238"/>
      <w:r>
        <w:lastRenderedPageBreak/>
        <w:t>How we’re measuring progress over four years</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CF27A2" w14:paraId="1FBA95F6" w14:textId="77777777" w:rsidTr="00CF27A2">
        <w:trPr>
          <w:tblHeader/>
        </w:trPr>
        <w:tc>
          <w:tcPr>
            <w:tcW w:w="9412" w:type="dxa"/>
            <w:shd w:val="clear" w:color="auto" w:fill="auto"/>
          </w:tcPr>
          <w:p w14:paraId="79BACA9F" w14:textId="77777777" w:rsidR="00CF27A2" w:rsidRPr="00784FF6" w:rsidRDefault="00CF27A2" w:rsidP="0052081B">
            <w:pPr>
              <w:pStyle w:val="TableofFigures"/>
              <w:rPr>
                <w:b/>
              </w:rPr>
            </w:pPr>
            <w:r>
              <w:rPr>
                <w:b/>
              </w:rPr>
              <w:t>Indicator</w:t>
            </w:r>
          </w:p>
        </w:tc>
        <w:tc>
          <w:tcPr>
            <w:tcW w:w="4537" w:type="dxa"/>
            <w:shd w:val="clear" w:color="auto" w:fill="auto"/>
          </w:tcPr>
          <w:p w14:paraId="0DFC3644" w14:textId="77777777" w:rsidR="00CF27A2" w:rsidRPr="00784FF6" w:rsidRDefault="00CF27A2" w:rsidP="0052081B">
            <w:pPr>
              <w:pStyle w:val="TableofFigures"/>
              <w:rPr>
                <w:b/>
              </w:rPr>
            </w:pPr>
            <w:r>
              <w:rPr>
                <w:b/>
              </w:rPr>
              <w:t>Target outcome</w:t>
            </w:r>
          </w:p>
        </w:tc>
      </w:tr>
      <w:tr w:rsidR="00CF27A2" w14:paraId="05226C08" w14:textId="77777777" w:rsidTr="00CF27A2">
        <w:tc>
          <w:tcPr>
            <w:tcW w:w="9412" w:type="dxa"/>
            <w:shd w:val="clear" w:color="auto" w:fill="auto"/>
          </w:tcPr>
          <w:p w14:paraId="5417CE3D" w14:textId="77777777" w:rsidR="00CF27A2" w:rsidRPr="009E0344" w:rsidRDefault="00CF27A2" w:rsidP="0052081B">
            <w:pPr>
              <w:pStyle w:val="TableofFigures"/>
            </w:pPr>
            <w:r w:rsidRPr="009E0344">
              <w:t>Capital city gross local product.</w:t>
            </w:r>
          </w:p>
        </w:tc>
        <w:tc>
          <w:tcPr>
            <w:tcW w:w="4537" w:type="dxa"/>
            <w:shd w:val="clear" w:color="auto" w:fill="auto"/>
          </w:tcPr>
          <w:p w14:paraId="304FEC21" w14:textId="77777777" w:rsidR="00CF27A2" w:rsidRPr="00784FF6" w:rsidRDefault="00CF27A2" w:rsidP="0052081B">
            <w:pPr>
              <w:pStyle w:val="TableofFigures"/>
            </w:pPr>
            <w:r>
              <w:t>Increase</w:t>
            </w:r>
          </w:p>
        </w:tc>
      </w:tr>
      <w:tr w:rsidR="00CF27A2" w14:paraId="061B4785" w14:textId="77777777" w:rsidTr="00CF27A2">
        <w:tc>
          <w:tcPr>
            <w:tcW w:w="9412" w:type="dxa"/>
            <w:shd w:val="clear" w:color="auto" w:fill="auto"/>
          </w:tcPr>
          <w:p w14:paraId="149731AC" w14:textId="77777777" w:rsidR="00CF27A2" w:rsidRPr="009E0344" w:rsidRDefault="00CF27A2" w:rsidP="0052081B">
            <w:pPr>
              <w:pStyle w:val="TableofFigures"/>
            </w:pPr>
            <w:r w:rsidRPr="009E0344">
              <w:t>Number of businesses in the municipality.</w:t>
            </w:r>
          </w:p>
        </w:tc>
        <w:tc>
          <w:tcPr>
            <w:tcW w:w="4537" w:type="dxa"/>
            <w:shd w:val="clear" w:color="auto" w:fill="auto"/>
          </w:tcPr>
          <w:p w14:paraId="075940E5" w14:textId="77777777" w:rsidR="00CF27A2" w:rsidRPr="00784FF6" w:rsidRDefault="00CF27A2" w:rsidP="0052081B">
            <w:pPr>
              <w:pStyle w:val="TableofFigures"/>
            </w:pPr>
            <w:r>
              <w:t>Increase</w:t>
            </w:r>
          </w:p>
        </w:tc>
      </w:tr>
      <w:tr w:rsidR="00CF27A2" w14:paraId="5CA012A5" w14:textId="77777777" w:rsidTr="00CF27A2">
        <w:tc>
          <w:tcPr>
            <w:tcW w:w="9412" w:type="dxa"/>
            <w:shd w:val="clear" w:color="auto" w:fill="auto"/>
          </w:tcPr>
          <w:p w14:paraId="5F9360E0" w14:textId="77777777" w:rsidR="00CF27A2" w:rsidRPr="009E0344" w:rsidRDefault="00CF27A2" w:rsidP="0052081B">
            <w:pPr>
              <w:pStyle w:val="TableofFigures"/>
            </w:pPr>
            <w:r w:rsidRPr="009E0344">
              <w:t>Number of start-ups in the municipality.</w:t>
            </w:r>
          </w:p>
        </w:tc>
        <w:tc>
          <w:tcPr>
            <w:tcW w:w="4537" w:type="dxa"/>
            <w:shd w:val="clear" w:color="auto" w:fill="auto"/>
          </w:tcPr>
          <w:p w14:paraId="33F86DFB" w14:textId="77777777" w:rsidR="00CF27A2" w:rsidRPr="00784FF6" w:rsidRDefault="00CF27A2" w:rsidP="0052081B">
            <w:pPr>
              <w:pStyle w:val="TableofFigures"/>
            </w:pPr>
            <w:r>
              <w:t>Increase</w:t>
            </w:r>
          </w:p>
        </w:tc>
      </w:tr>
      <w:tr w:rsidR="009E0344" w14:paraId="223332D1" w14:textId="77777777" w:rsidTr="00CF27A2">
        <w:tc>
          <w:tcPr>
            <w:tcW w:w="9412" w:type="dxa"/>
            <w:shd w:val="clear" w:color="auto" w:fill="auto"/>
          </w:tcPr>
          <w:p w14:paraId="03F82354" w14:textId="77777777" w:rsidR="009E0344" w:rsidRPr="00DA045B" w:rsidRDefault="009E0344" w:rsidP="009E0344">
            <w:pPr>
              <w:pStyle w:val="TableofFigures"/>
            </w:pPr>
            <w:r w:rsidRPr="00DA045B">
              <w:t xml:space="preserve">Vacancy rate of retail premises. </w:t>
            </w:r>
          </w:p>
        </w:tc>
        <w:tc>
          <w:tcPr>
            <w:tcW w:w="4537" w:type="dxa"/>
            <w:shd w:val="clear" w:color="auto" w:fill="auto"/>
          </w:tcPr>
          <w:p w14:paraId="617009C2" w14:textId="77777777" w:rsidR="009E0344" w:rsidRPr="00DA045B" w:rsidRDefault="009E0344" w:rsidP="009E0344">
            <w:pPr>
              <w:pStyle w:val="TableofFigures"/>
            </w:pPr>
            <w:r w:rsidRPr="00DA045B">
              <w:t>Decrease</w:t>
            </w:r>
          </w:p>
        </w:tc>
      </w:tr>
      <w:tr w:rsidR="009E0344" w14:paraId="336DBE3D" w14:textId="77777777" w:rsidTr="00CF27A2">
        <w:tc>
          <w:tcPr>
            <w:tcW w:w="9412" w:type="dxa"/>
            <w:shd w:val="clear" w:color="auto" w:fill="auto"/>
          </w:tcPr>
          <w:p w14:paraId="21313F83" w14:textId="77777777" w:rsidR="009E0344" w:rsidRDefault="009E0344" w:rsidP="009E0344">
            <w:pPr>
              <w:pStyle w:val="TableofFigures"/>
            </w:pPr>
            <w:r w:rsidRPr="00DA045B">
              <w:t xml:space="preserve">Proportion of residents employed in the municipality. </w:t>
            </w:r>
          </w:p>
        </w:tc>
        <w:tc>
          <w:tcPr>
            <w:tcW w:w="4537" w:type="dxa"/>
            <w:shd w:val="clear" w:color="auto" w:fill="auto"/>
          </w:tcPr>
          <w:p w14:paraId="795E5848" w14:textId="77777777" w:rsidR="009E0344" w:rsidRDefault="009E0344" w:rsidP="009E0344">
            <w:pPr>
              <w:pStyle w:val="TableofFigures"/>
            </w:pPr>
            <w:r w:rsidRPr="00DA045B">
              <w:t>Increase</w:t>
            </w:r>
          </w:p>
        </w:tc>
      </w:tr>
      <w:tr w:rsidR="009E0344" w14:paraId="6398AC3E" w14:textId="77777777" w:rsidTr="00CF27A2">
        <w:tc>
          <w:tcPr>
            <w:tcW w:w="9412" w:type="dxa"/>
            <w:shd w:val="clear" w:color="auto" w:fill="auto"/>
          </w:tcPr>
          <w:p w14:paraId="1427FC36" w14:textId="77777777" w:rsidR="009E0344" w:rsidRPr="00D459D8" w:rsidRDefault="009E0344" w:rsidP="009E0344">
            <w:pPr>
              <w:pStyle w:val="TableofFigures"/>
            </w:pPr>
            <w:r w:rsidRPr="00D459D8">
              <w:t xml:space="preserve">Gross local product per capita per person employed. </w:t>
            </w:r>
          </w:p>
        </w:tc>
        <w:tc>
          <w:tcPr>
            <w:tcW w:w="4537" w:type="dxa"/>
            <w:shd w:val="clear" w:color="auto" w:fill="auto"/>
          </w:tcPr>
          <w:p w14:paraId="5D03531F" w14:textId="77777777" w:rsidR="009E0344" w:rsidRPr="00D459D8" w:rsidRDefault="009E0344" w:rsidP="009E0344">
            <w:pPr>
              <w:pStyle w:val="TableofFigures"/>
            </w:pPr>
            <w:r w:rsidRPr="00D459D8">
              <w:t>Increase</w:t>
            </w:r>
          </w:p>
        </w:tc>
      </w:tr>
      <w:tr w:rsidR="009E0344" w14:paraId="37CC7AD0" w14:textId="77777777" w:rsidTr="00CF27A2">
        <w:tc>
          <w:tcPr>
            <w:tcW w:w="9412" w:type="dxa"/>
            <w:shd w:val="clear" w:color="auto" w:fill="auto"/>
          </w:tcPr>
          <w:p w14:paraId="7314BA82" w14:textId="77777777" w:rsidR="009E0344" w:rsidRPr="00D459D8" w:rsidRDefault="009E0344" w:rsidP="009E0344">
            <w:pPr>
              <w:pStyle w:val="TableofFigures"/>
            </w:pPr>
            <w:r w:rsidRPr="00D459D8">
              <w:t xml:space="preserve">Number of jobs in the municipality. </w:t>
            </w:r>
          </w:p>
        </w:tc>
        <w:tc>
          <w:tcPr>
            <w:tcW w:w="4537" w:type="dxa"/>
            <w:shd w:val="clear" w:color="auto" w:fill="auto"/>
          </w:tcPr>
          <w:p w14:paraId="7D441452" w14:textId="77777777" w:rsidR="009E0344" w:rsidRPr="00D459D8" w:rsidRDefault="009E0344" w:rsidP="009E0344">
            <w:pPr>
              <w:pStyle w:val="TableofFigures"/>
            </w:pPr>
            <w:r>
              <w:t>I</w:t>
            </w:r>
            <w:r w:rsidRPr="00D459D8">
              <w:t>ncrease</w:t>
            </w:r>
          </w:p>
        </w:tc>
      </w:tr>
      <w:tr w:rsidR="009E0344" w14:paraId="4E6AA78B" w14:textId="77777777" w:rsidTr="00CF27A2">
        <w:tc>
          <w:tcPr>
            <w:tcW w:w="9412" w:type="dxa"/>
            <w:shd w:val="clear" w:color="auto" w:fill="auto"/>
          </w:tcPr>
          <w:p w14:paraId="3A903C21" w14:textId="77777777" w:rsidR="009E0344" w:rsidRPr="00D459D8" w:rsidRDefault="009E0344" w:rsidP="009E0344">
            <w:pPr>
              <w:pStyle w:val="TableofFigures"/>
            </w:pPr>
            <w:r w:rsidRPr="00D459D8">
              <w:t xml:space="preserve">Number of visitors to the municipality. </w:t>
            </w:r>
          </w:p>
        </w:tc>
        <w:tc>
          <w:tcPr>
            <w:tcW w:w="4537" w:type="dxa"/>
            <w:shd w:val="clear" w:color="auto" w:fill="auto"/>
          </w:tcPr>
          <w:p w14:paraId="4A5F8B2A" w14:textId="77777777" w:rsidR="009E0344" w:rsidRPr="00D459D8" w:rsidRDefault="009E0344" w:rsidP="009E0344">
            <w:pPr>
              <w:pStyle w:val="TableofFigures"/>
            </w:pPr>
            <w:r w:rsidRPr="00D459D8">
              <w:t>Increase</w:t>
            </w:r>
          </w:p>
        </w:tc>
      </w:tr>
      <w:tr w:rsidR="009E0344" w14:paraId="32C7617E" w14:textId="77777777" w:rsidTr="00CF27A2">
        <w:tc>
          <w:tcPr>
            <w:tcW w:w="9412" w:type="dxa"/>
            <w:shd w:val="clear" w:color="auto" w:fill="auto"/>
          </w:tcPr>
          <w:p w14:paraId="6CAA5ECD" w14:textId="77777777" w:rsidR="009E0344" w:rsidRDefault="009E0344" w:rsidP="009E0344">
            <w:pPr>
              <w:pStyle w:val="TableofFigures"/>
            </w:pPr>
            <w:r w:rsidRPr="00D459D8">
              <w:t>Planning applications deci</w:t>
            </w:r>
            <w:r>
              <w:t>ded within required timeframes.</w:t>
            </w:r>
          </w:p>
        </w:tc>
        <w:tc>
          <w:tcPr>
            <w:tcW w:w="4537" w:type="dxa"/>
            <w:shd w:val="clear" w:color="auto" w:fill="auto"/>
          </w:tcPr>
          <w:p w14:paraId="5F03E079" w14:textId="77777777" w:rsidR="009E0344" w:rsidRDefault="009E0344" w:rsidP="009E0344">
            <w:pPr>
              <w:pStyle w:val="TableofFigures"/>
            </w:pPr>
            <w:r w:rsidRPr="00D459D8">
              <w:t>100%</w:t>
            </w:r>
          </w:p>
        </w:tc>
      </w:tr>
    </w:tbl>
    <w:p w14:paraId="25F3E8F4" w14:textId="77777777" w:rsidR="00482EF3" w:rsidRDefault="00784FF6" w:rsidP="00D8650A">
      <w:pPr>
        <w:pStyle w:val="Heading1"/>
        <w:spacing w:before="0"/>
      </w:pPr>
      <w:r>
        <w:br w:type="page"/>
      </w:r>
      <w:bookmarkStart w:id="11" w:name="_Toc192746239"/>
      <w:r w:rsidRPr="00784FF6">
        <w:lastRenderedPageBreak/>
        <w:t>Melbourne’s unique identity and place</w:t>
      </w:r>
      <w:bookmarkEnd w:id="11"/>
    </w:p>
    <w:p w14:paraId="193CABBD" w14:textId="77777777" w:rsidR="00784FF6" w:rsidRDefault="00784FF6" w:rsidP="00784FF6">
      <w:r w:rsidRPr="00784FF6">
        <w:t>Over the next four years we will celebrate and protect the places, people and cultures that make Melbourne a unique, vibrant and creative city with world-leading liveability.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4062"/>
      </w:tblGrid>
      <w:tr w:rsidR="00784FF6" w14:paraId="4F5A09EE" w14:textId="77777777" w:rsidTr="007F02C9">
        <w:tc>
          <w:tcPr>
            <w:tcW w:w="14062" w:type="dxa"/>
            <w:shd w:val="clear" w:color="auto" w:fill="auto"/>
          </w:tcPr>
          <w:p w14:paraId="479535FF" w14:textId="77777777" w:rsidR="009E6BAD" w:rsidRPr="00D367C9" w:rsidRDefault="009E6BAD" w:rsidP="009E6BAD">
            <w:pPr>
              <w:pStyle w:val="Heading2"/>
              <w:spacing w:before="0"/>
            </w:pPr>
            <w:bookmarkStart w:id="12" w:name="_Toc192746240"/>
            <w:r w:rsidRPr="00D367C9">
              <w:t xml:space="preserve">Highlights for quarter </w:t>
            </w:r>
            <w:r w:rsidR="003E4B56">
              <w:t>one</w:t>
            </w:r>
            <w:r w:rsidRPr="00D367C9">
              <w:t xml:space="preserve"> (</w:t>
            </w:r>
            <w:r w:rsidR="00720E0C">
              <w:t>July to September</w:t>
            </w:r>
            <w:r w:rsidRPr="00D367C9">
              <w:t xml:space="preserve"> 202</w:t>
            </w:r>
            <w:r w:rsidR="003E4B56">
              <w:t>4</w:t>
            </w:r>
            <w:r w:rsidRPr="00D367C9">
              <w:t>)</w:t>
            </w:r>
            <w:bookmarkEnd w:id="12"/>
          </w:p>
          <w:p w14:paraId="4245444A" w14:textId="77777777" w:rsidR="00B9522F" w:rsidRDefault="00B9522F" w:rsidP="00B9522F">
            <w:r>
              <w:t>Community consultation for the Greenline Project took place between July and September 2024, with 660 people participating. The Birrarung Marr precinct work began in April 2024, with consents for main construction works nearing completion. The Birrarung Trial Floating Wetlands have been completed, with maintenance, monitoring, and additional funding secured to expand the trial for another year.</w:t>
            </w:r>
          </w:p>
          <w:p w14:paraId="76599DC0" w14:textId="77777777" w:rsidR="00B9522F" w:rsidRDefault="00B9522F" w:rsidP="00B9522F">
            <w:r>
              <w:t>Several other city projects are advancing, such as the excavation of the new Trader Shed, which will house essential market infrastructure, including storage and waste management facilities. Plans for Market Buildings and Queen Street public realm upgrades are progressing, with further community engagement on Market Square scheduled. The Bedford Street Pocket Park is expected to be completed by October 2024.</w:t>
            </w:r>
          </w:p>
          <w:p w14:paraId="6705CAE7" w14:textId="77777777" w:rsidR="00B9522F" w:rsidRDefault="00B9522F" w:rsidP="00B9522F">
            <w:r>
              <w:t>Open space projects continue to move forward, including Chelmsford Street Open Space, Miles and Dodds Street Reserve expansion, and Chapman Street Reserve. The Royal Park Master Plan will be released for community engagement later in 2024. Feasibility and design investigations for the Normanby Road Reserve and Errol Street median expansion are also in development, along with preparations for the Swanston Street Triangle landscape construction.</w:t>
            </w:r>
          </w:p>
          <w:p w14:paraId="6445FF5E" w14:textId="77777777" w:rsidR="00B9522F" w:rsidRDefault="00B9522F" w:rsidP="00B9522F">
            <w:r>
              <w:t>The Macaulay Structure Plan, first introduced in 2021, continues with community center planning and Chelmsford Street Open Space development. In Fishermans Bend, the Victorian Government confirmed rail station locations, and Development Victoria is leading the Innovation Precinct’s planning and delivery. The city is also working with the Victorian Government to advance the Arden precinct, with bike lane construction on Arden Street underway.</w:t>
            </w:r>
          </w:p>
          <w:p w14:paraId="6C62B839" w14:textId="77777777" w:rsidR="00B9522F" w:rsidRDefault="00B9522F" w:rsidP="00B9522F">
            <w:r>
              <w:t>Amendment C432, aimed at updating the Municipal Planning Strategy, was authorised in July 2024 and placed on public exhibition. A review of local planning scheme controls is underway, with further amendments planned. The Design Excellence Advisory Committee is progressing initiatives like the "Places for People" study and new competitions for design excellence, including projects at Queens Corner Building and Queensbridge Square.</w:t>
            </w:r>
          </w:p>
          <w:p w14:paraId="2242654F" w14:textId="77777777" w:rsidR="00720E0C" w:rsidRDefault="00B9522F" w:rsidP="00B9522F">
            <w:r>
              <w:t>Heritage and urban design policies are being reviewed, with substantial progress on heritage assessments and updates to the planning scheme. The final Heritage Strategy is expected to be delivered in 2025. Additionally, the Melbourne Design Review Panel has provided input on open space projects, and dynamic conversations about design excellence</w:t>
            </w:r>
            <w:r w:rsidR="00720E0C" w:rsidRPr="00720E0C">
              <w:t>.</w:t>
            </w:r>
          </w:p>
          <w:p w14:paraId="68355240" w14:textId="77777777" w:rsidR="007F02C9" w:rsidRPr="00D367C9" w:rsidRDefault="007F02C9" w:rsidP="00720E0C">
            <w:pPr>
              <w:pStyle w:val="Heading2"/>
            </w:pPr>
            <w:bookmarkStart w:id="13" w:name="_Toc192746241"/>
            <w:r w:rsidRPr="00D367C9">
              <w:t>Our progress</w:t>
            </w:r>
            <w:bookmarkEnd w:id="13"/>
          </w:p>
          <w:p w14:paraId="60A1572F" w14:textId="77777777" w:rsidR="009E6BAD" w:rsidRPr="00D367C9" w:rsidRDefault="009E6BAD" w:rsidP="009E6BAD">
            <w:r w:rsidRPr="00D367C9">
              <w:t>Challenges facing the construction sector due to rising costs continue to impact delivery timelines for the Queen Victoria Market Precinct Renewal.</w:t>
            </w:r>
          </w:p>
          <w:p w14:paraId="289AA288" w14:textId="77777777" w:rsidR="007F02C9" w:rsidRPr="00D367C9" w:rsidRDefault="009E6BAD" w:rsidP="009E6BAD">
            <w:r w:rsidRPr="00D367C9">
              <w:lastRenderedPageBreak/>
              <w:t>Delivery of our major initiatives within the Council Plan term is on track</w:t>
            </w:r>
          </w:p>
        </w:tc>
      </w:tr>
    </w:tbl>
    <w:p w14:paraId="4C3BD716" w14:textId="77777777" w:rsidR="00EE6703" w:rsidRPr="00784FF6" w:rsidRDefault="002B3919" w:rsidP="00EE6703">
      <w:pPr>
        <w:pStyle w:val="Heading2"/>
      </w:pPr>
      <w:r>
        <w:rPr>
          <w:rFonts w:hint="eastAsia"/>
        </w:rPr>
        <w:lastRenderedPageBreak/>
        <w:br w:type="page"/>
      </w:r>
      <w:bookmarkStart w:id="14" w:name="_Toc192746242"/>
      <w:r w:rsidR="00EE6703" w:rsidRPr="00784FF6">
        <w:lastRenderedPageBreak/>
        <w:t>The major initiatives we’re delivering this year</w:t>
      </w:r>
      <w:bookmarkEnd w:id="14"/>
      <w:r w:rsidR="00EE6703"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412"/>
        <w:gridCol w:w="2268"/>
        <w:gridCol w:w="2268"/>
      </w:tblGrid>
      <w:tr w:rsidR="007F02C9" w:rsidRPr="00B30455" w14:paraId="36DC6D75" w14:textId="77777777" w:rsidTr="007F02C9">
        <w:trPr>
          <w:tblHeader/>
        </w:trPr>
        <w:tc>
          <w:tcPr>
            <w:tcW w:w="9412" w:type="dxa"/>
            <w:shd w:val="clear" w:color="auto" w:fill="auto"/>
          </w:tcPr>
          <w:p w14:paraId="2EB748DA" w14:textId="77777777" w:rsidR="007F02C9" w:rsidRPr="00B30455" w:rsidRDefault="007F02C9" w:rsidP="00B30455">
            <w:pPr>
              <w:pStyle w:val="TableofFigures"/>
              <w:rPr>
                <w:b/>
              </w:rPr>
            </w:pPr>
            <w:r w:rsidRPr="00B30455">
              <w:rPr>
                <w:b/>
              </w:rPr>
              <w:t>Initiative</w:t>
            </w:r>
          </w:p>
        </w:tc>
        <w:tc>
          <w:tcPr>
            <w:tcW w:w="2268" w:type="dxa"/>
            <w:shd w:val="clear" w:color="auto" w:fill="auto"/>
          </w:tcPr>
          <w:p w14:paraId="48728F36" w14:textId="77777777" w:rsidR="007F02C9" w:rsidRPr="00B30455" w:rsidRDefault="007F02C9" w:rsidP="00B30455">
            <w:pPr>
              <w:pStyle w:val="TableofFigures"/>
              <w:rPr>
                <w:b/>
              </w:rPr>
            </w:pPr>
            <w:r w:rsidRPr="00B30455">
              <w:rPr>
                <w:b/>
              </w:rPr>
              <w:t>Council’s role</w:t>
            </w:r>
          </w:p>
        </w:tc>
        <w:tc>
          <w:tcPr>
            <w:tcW w:w="2268" w:type="dxa"/>
            <w:shd w:val="clear" w:color="auto" w:fill="auto"/>
          </w:tcPr>
          <w:p w14:paraId="6DECF769" w14:textId="77777777" w:rsidR="007F02C9" w:rsidRPr="00B30455" w:rsidRDefault="007F02C9" w:rsidP="00D8650A">
            <w:pPr>
              <w:pStyle w:val="TableofFigures"/>
              <w:rPr>
                <w:b/>
              </w:rPr>
            </w:pPr>
            <w:r w:rsidRPr="00B30455">
              <w:rPr>
                <w:b/>
              </w:rPr>
              <w:t>Our progress</w:t>
            </w:r>
          </w:p>
        </w:tc>
      </w:tr>
      <w:tr w:rsidR="007F02C9" w14:paraId="2653D0DB" w14:textId="77777777" w:rsidTr="007F02C9">
        <w:tc>
          <w:tcPr>
            <w:tcW w:w="9412" w:type="dxa"/>
            <w:shd w:val="clear" w:color="auto" w:fill="auto"/>
          </w:tcPr>
          <w:p w14:paraId="415FF426" w14:textId="77777777" w:rsidR="007F02C9" w:rsidRPr="00ED7D9E" w:rsidRDefault="007F02C9" w:rsidP="00B30455">
            <w:pPr>
              <w:pStyle w:val="TableofFigures"/>
              <w:rPr>
                <w:highlight w:val="yellow"/>
              </w:rPr>
            </w:pPr>
            <w:r w:rsidRPr="00ED7D9E">
              <w:t xml:space="preserve">Partner with the Victorian Government and other stakeholders to deliver specific components of </w:t>
            </w:r>
            <w:hyperlink r:id="rId22" w:history="1">
              <w:r w:rsidRPr="00ED7D9E">
                <w:rPr>
                  <w:rStyle w:val="Hyperlink"/>
                </w:rPr>
                <w:t>Greenline</w:t>
              </w:r>
            </w:hyperlink>
            <w:r w:rsidRPr="00ED7D9E">
              <w:rPr>
                <w:rStyle w:val="FootnoteReference"/>
              </w:rPr>
              <w:footnoteReference w:id="5"/>
            </w:r>
            <w:r w:rsidRPr="00ED7D9E">
              <w:t xml:space="preserve"> along the north bank of the Yarra River.</w:t>
            </w:r>
          </w:p>
        </w:tc>
        <w:tc>
          <w:tcPr>
            <w:tcW w:w="2268" w:type="dxa"/>
            <w:shd w:val="clear" w:color="auto" w:fill="auto"/>
          </w:tcPr>
          <w:p w14:paraId="19263D0F" w14:textId="77777777" w:rsidR="007F02C9" w:rsidRPr="00ED7D9E" w:rsidRDefault="007F02C9" w:rsidP="00B30455">
            <w:pPr>
              <w:pStyle w:val="TableofFigures"/>
            </w:pPr>
            <w:r w:rsidRPr="00ED7D9E">
              <w:t>Deliver</w:t>
            </w:r>
            <w:r w:rsidRPr="00ED7D9E">
              <w:br/>
              <w:t>Partner</w:t>
            </w:r>
          </w:p>
        </w:tc>
        <w:tc>
          <w:tcPr>
            <w:tcW w:w="2268" w:type="dxa"/>
            <w:shd w:val="clear" w:color="auto" w:fill="auto"/>
          </w:tcPr>
          <w:p w14:paraId="6B012776" w14:textId="77777777" w:rsidR="007F02C9" w:rsidRPr="009E6BAD" w:rsidRDefault="00ED7D9E" w:rsidP="00B30455">
            <w:pPr>
              <w:pStyle w:val="TableofFigures"/>
            </w:pPr>
            <w:r w:rsidRPr="009E6BAD">
              <w:t>On track</w:t>
            </w:r>
          </w:p>
        </w:tc>
      </w:tr>
      <w:tr w:rsidR="00B272F4" w14:paraId="7384DABF" w14:textId="77777777" w:rsidTr="00DC0C64">
        <w:tc>
          <w:tcPr>
            <w:tcW w:w="9412" w:type="dxa"/>
            <w:shd w:val="clear" w:color="auto" w:fill="auto"/>
          </w:tcPr>
          <w:p w14:paraId="7880261D" w14:textId="77777777" w:rsidR="00B272F4" w:rsidRPr="00D9253D" w:rsidRDefault="00B272F4" w:rsidP="00DC0C64">
            <w:pPr>
              <w:pStyle w:val="TableofFigures"/>
            </w:pPr>
            <w:r w:rsidRPr="00D9253D">
              <w:t xml:space="preserve">Protect </w:t>
            </w:r>
            <w:hyperlink r:id="rId23" w:history="1">
              <w:r w:rsidRPr="00D9253D">
                <w:rPr>
                  <w:rStyle w:val="Hyperlink"/>
                </w:rPr>
                <w:t>Queen Victoria Market</w:t>
              </w:r>
            </w:hyperlink>
            <w:bookmarkStart w:id="15" w:name="_Ref87020719"/>
            <w:r w:rsidRPr="00D9253D">
              <w:rPr>
                <w:rStyle w:val="FootnoteReference"/>
              </w:rPr>
              <w:footnoteReference w:id="6"/>
            </w:r>
            <w:bookmarkEnd w:id="15"/>
            <w:r w:rsidRPr="00D9253D">
              <w:t xml:space="preserve"> as a traditional open-air market.</w:t>
            </w:r>
          </w:p>
        </w:tc>
        <w:tc>
          <w:tcPr>
            <w:tcW w:w="2268" w:type="dxa"/>
            <w:shd w:val="clear" w:color="auto" w:fill="auto"/>
          </w:tcPr>
          <w:p w14:paraId="67432E74" w14:textId="77777777" w:rsidR="00B272F4" w:rsidRPr="00784FF6" w:rsidRDefault="00B272F4" w:rsidP="00DC0C64">
            <w:pPr>
              <w:pStyle w:val="TableofFigures"/>
            </w:pPr>
            <w:r>
              <w:t>Deliver</w:t>
            </w:r>
          </w:p>
        </w:tc>
        <w:tc>
          <w:tcPr>
            <w:tcW w:w="2268" w:type="dxa"/>
            <w:shd w:val="clear" w:color="auto" w:fill="auto"/>
          </w:tcPr>
          <w:p w14:paraId="175A052A" w14:textId="77777777" w:rsidR="00B272F4" w:rsidRPr="009E6BAD" w:rsidRDefault="00B272F4" w:rsidP="00DC0C64">
            <w:pPr>
              <w:pStyle w:val="TableofFigures"/>
            </w:pPr>
            <w:r w:rsidRPr="009E6BAD">
              <w:t>Delayed</w:t>
            </w:r>
          </w:p>
        </w:tc>
      </w:tr>
      <w:tr w:rsidR="00AF715F" w14:paraId="5BAB1180" w14:textId="77777777" w:rsidTr="00DC0C64">
        <w:tc>
          <w:tcPr>
            <w:tcW w:w="9412" w:type="dxa"/>
            <w:shd w:val="clear" w:color="auto" w:fill="auto"/>
          </w:tcPr>
          <w:p w14:paraId="4AC8BDF5" w14:textId="77777777" w:rsidR="00AF715F" w:rsidRPr="00D9253D" w:rsidRDefault="00AF715F" w:rsidP="00AF715F">
            <w:pPr>
              <w:pStyle w:val="TableofFigures"/>
            </w:pPr>
            <w:r w:rsidRPr="00D9253D">
              <w:t xml:space="preserve">Deliver </w:t>
            </w:r>
            <w:hyperlink r:id="rId24" w:history="1">
              <w:r w:rsidRPr="00D9253D">
                <w:rPr>
                  <w:rStyle w:val="Hyperlink"/>
                </w:rPr>
                <w:t>Queen Victoria Market</w:t>
              </w:r>
            </w:hyperlink>
            <w:r w:rsidRPr="00D9253D">
              <w:rPr>
                <w:rStyle w:val="FootnoteReference"/>
              </w:rPr>
              <w:fldChar w:fldCharType="begin"/>
            </w:r>
            <w:r w:rsidRPr="00D9253D">
              <w:rPr>
                <w:rStyle w:val="FootnoteReference"/>
              </w:rPr>
              <w:instrText xml:space="preserve"> NOTEREF _Ref87020719 \h </w:instrText>
            </w:r>
            <w:r w:rsidRPr="00D9253D">
              <w:rPr>
                <w:rStyle w:val="FootnoteReference"/>
              </w:rPr>
            </w:r>
            <w:r w:rsidRPr="00D9253D">
              <w:rPr>
                <w:rStyle w:val="FootnoteReference"/>
              </w:rPr>
              <w:instrText xml:space="preserve"> \* MERGEFORMAT </w:instrText>
            </w:r>
            <w:r w:rsidRPr="00D9253D">
              <w:rPr>
                <w:rStyle w:val="FootnoteReference"/>
              </w:rPr>
              <w:fldChar w:fldCharType="separate"/>
            </w:r>
            <w:r w:rsidRPr="00D9253D">
              <w:rPr>
                <w:rStyle w:val="FootnoteReference"/>
              </w:rPr>
              <w:t>6</w:t>
            </w:r>
            <w:r w:rsidRPr="00D9253D">
              <w:rPr>
                <w:rStyle w:val="FootnoteReference"/>
              </w:rPr>
              <w:fldChar w:fldCharType="end"/>
            </w:r>
            <w:r w:rsidRPr="00D9253D">
              <w:t xml:space="preserve"> precinct improvements</w:t>
            </w:r>
            <w:r>
              <w:t xml:space="preserve"> </w:t>
            </w:r>
            <w:r w:rsidRPr="00B37735">
              <w:t>and Munro Community Hub.</w:t>
            </w:r>
          </w:p>
        </w:tc>
        <w:tc>
          <w:tcPr>
            <w:tcW w:w="2268" w:type="dxa"/>
            <w:shd w:val="clear" w:color="auto" w:fill="auto"/>
          </w:tcPr>
          <w:p w14:paraId="122C417D" w14:textId="77777777" w:rsidR="00AF715F" w:rsidRDefault="00AF715F" w:rsidP="00AF715F">
            <w:pPr>
              <w:pStyle w:val="TableofFigures"/>
            </w:pPr>
            <w:r>
              <w:t>Deliver</w:t>
            </w:r>
          </w:p>
          <w:p w14:paraId="46D917F3" w14:textId="77777777" w:rsidR="00AF715F" w:rsidRPr="00784FF6" w:rsidRDefault="00AF715F" w:rsidP="00AF715F">
            <w:pPr>
              <w:pStyle w:val="TableofFigures"/>
            </w:pPr>
            <w:r>
              <w:t>Partner</w:t>
            </w:r>
          </w:p>
        </w:tc>
        <w:tc>
          <w:tcPr>
            <w:tcW w:w="2268" w:type="dxa"/>
            <w:shd w:val="clear" w:color="auto" w:fill="auto"/>
          </w:tcPr>
          <w:p w14:paraId="1178A052" w14:textId="77777777" w:rsidR="00AF715F" w:rsidRPr="009E6BAD" w:rsidRDefault="00AF715F" w:rsidP="00AF715F">
            <w:pPr>
              <w:pStyle w:val="TableofFigures"/>
            </w:pPr>
            <w:r>
              <w:t>Completed</w:t>
            </w:r>
          </w:p>
        </w:tc>
      </w:tr>
      <w:tr w:rsidR="00AF715F" w14:paraId="69A97A47" w14:textId="77777777" w:rsidTr="00DC0C64">
        <w:tc>
          <w:tcPr>
            <w:tcW w:w="9412" w:type="dxa"/>
            <w:shd w:val="clear" w:color="auto" w:fill="auto"/>
          </w:tcPr>
          <w:p w14:paraId="4CCB3FAE" w14:textId="77777777" w:rsidR="00AF715F" w:rsidRPr="00D9253D" w:rsidRDefault="00AF715F" w:rsidP="00AF715F">
            <w:pPr>
              <w:pStyle w:val="TableofFigures"/>
            </w:pPr>
            <w:r w:rsidRPr="00D9253D">
              <w:t>Deliver public art projects that reflect Melbourne’s unique culture and heritage.</w:t>
            </w:r>
          </w:p>
        </w:tc>
        <w:tc>
          <w:tcPr>
            <w:tcW w:w="2268" w:type="dxa"/>
            <w:shd w:val="clear" w:color="auto" w:fill="auto"/>
          </w:tcPr>
          <w:p w14:paraId="2C56CA6F" w14:textId="77777777" w:rsidR="00AF715F" w:rsidRPr="00784FF6" w:rsidRDefault="00AF715F" w:rsidP="00AF715F">
            <w:pPr>
              <w:pStyle w:val="TableofFigures"/>
            </w:pPr>
            <w:r>
              <w:t>Deliver</w:t>
            </w:r>
          </w:p>
        </w:tc>
        <w:tc>
          <w:tcPr>
            <w:tcW w:w="2268" w:type="dxa"/>
            <w:shd w:val="clear" w:color="auto" w:fill="auto"/>
          </w:tcPr>
          <w:p w14:paraId="18A0BE19" w14:textId="77777777" w:rsidR="00AF715F" w:rsidRPr="009E6BAD" w:rsidRDefault="00AF715F" w:rsidP="00AF715F">
            <w:pPr>
              <w:pStyle w:val="TableofFigures"/>
            </w:pPr>
            <w:r w:rsidRPr="009E6BAD">
              <w:t>On track</w:t>
            </w:r>
          </w:p>
        </w:tc>
      </w:tr>
      <w:tr w:rsidR="00AF715F" w14:paraId="6D049DEE" w14:textId="77777777" w:rsidTr="00DC0C64">
        <w:tc>
          <w:tcPr>
            <w:tcW w:w="9412" w:type="dxa"/>
            <w:shd w:val="clear" w:color="auto" w:fill="auto"/>
          </w:tcPr>
          <w:p w14:paraId="25C4F4A6" w14:textId="77777777" w:rsidR="00AF715F" w:rsidRPr="00D9253D" w:rsidRDefault="00AF715F" w:rsidP="00AF715F">
            <w:pPr>
              <w:pStyle w:val="TableofFigures"/>
            </w:pPr>
            <w:r w:rsidRPr="00D9253D">
              <w:t>Increase the amount of public open space in the municipality with a focus on areas of greatest need.</w:t>
            </w:r>
          </w:p>
        </w:tc>
        <w:tc>
          <w:tcPr>
            <w:tcW w:w="2268" w:type="dxa"/>
            <w:shd w:val="clear" w:color="auto" w:fill="auto"/>
          </w:tcPr>
          <w:p w14:paraId="0FEA4BA4" w14:textId="77777777" w:rsidR="00AF715F" w:rsidRPr="00784FF6" w:rsidRDefault="00AF715F" w:rsidP="00AF715F">
            <w:pPr>
              <w:pStyle w:val="TableofFigures"/>
            </w:pPr>
            <w:r>
              <w:t>Deliver</w:t>
            </w:r>
          </w:p>
        </w:tc>
        <w:tc>
          <w:tcPr>
            <w:tcW w:w="2268" w:type="dxa"/>
            <w:shd w:val="clear" w:color="auto" w:fill="auto"/>
          </w:tcPr>
          <w:p w14:paraId="2A64830F" w14:textId="77777777" w:rsidR="00AF715F" w:rsidRPr="009E6BAD" w:rsidRDefault="00AF715F" w:rsidP="00AF715F">
            <w:pPr>
              <w:pStyle w:val="TableofFigures"/>
            </w:pPr>
            <w:r w:rsidRPr="000B0882">
              <w:t>On track</w:t>
            </w:r>
          </w:p>
        </w:tc>
      </w:tr>
      <w:tr w:rsidR="00AF715F" w14:paraId="38AE4D99" w14:textId="77777777" w:rsidTr="00DC0C64">
        <w:tc>
          <w:tcPr>
            <w:tcW w:w="9412" w:type="dxa"/>
            <w:shd w:val="clear" w:color="auto" w:fill="auto"/>
          </w:tcPr>
          <w:p w14:paraId="652B983D" w14:textId="77777777" w:rsidR="00AF715F" w:rsidRPr="00D9253D" w:rsidRDefault="00AF715F" w:rsidP="00AF715F">
            <w:pPr>
              <w:pStyle w:val="TableofFigures"/>
            </w:pPr>
            <w:r w:rsidRPr="00D9253D">
              <w:t xml:space="preserve">Play a lead role in facilitating the delivery of high-quality and climate adapted urban renewal in </w:t>
            </w:r>
            <w:hyperlink r:id="rId25" w:history="1">
              <w:r w:rsidRPr="00D9253D">
                <w:rPr>
                  <w:rStyle w:val="Hyperlink"/>
                </w:rPr>
                <w:t>Arden</w:t>
              </w:r>
            </w:hyperlink>
            <w:r w:rsidRPr="00D9253D">
              <w:rPr>
                <w:rStyle w:val="FootnoteReference"/>
              </w:rPr>
              <w:footnoteReference w:id="7"/>
            </w:r>
            <w:r w:rsidRPr="00D9253D">
              <w:t xml:space="preserve"> and </w:t>
            </w:r>
            <w:hyperlink r:id="rId26" w:history="1">
              <w:r w:rsidRPr="00D9253D">
                <w:rPr>
                  <w:rStyle w:val="Hyperlink"/>
                </w:rPr>
                <w:t>Macaulay</w:t>
              </w:r>
            </w:hyperlink>
            <w:r w:rsidRPr="00D9253D">
              <w:rPr>
                <w:rStyle w:val="FootnoteReference"/>
              </w:rPr>
              <w:footnoteReference w:id="8"/>
            </w:r>
            <w:r w:rsidRPr="00D9253D">
              <w:t xml:space="preserve">, </w:t>
            </w:r>
            <w:hyperlink r:id="rId27" w:history="1">
              <w:r w:rsidRPr="00D9253D">
                <w:rPr>
                  <w:rStyle w:val="Hyperlink"/>
                </w:rPr>
                <w:t>Fishermans Bend</w:t>
              </w:r>
            </w:hyperlink>
            <w:r w:rsidRPr="00D9253D">
              <w:rPr>
                <w:rStyle w:val="FootnoteReference"/>
              </w:rPr>
              <w:footnoteReference w:id="9"/>
            </w:r>
            <w:r w:rsidRPr="00D9253D">
              <w:t>, and Docklands in partnership with the Victorian Government.</w:t>
            </w:r>
          </w:p>
        </w:tc>
        <w:tc>
          <w:tcPr>
            <w:tcW w:w="2268" w:type="dxa"/>
            <w:shd w:val="clear" w:color="auto" w:fill="auto"/>
          </w:tcPr>
          <w:p w14:paraId="547C41D6" w14:textId="77777777" w:rsidR="00AF715F" w:rsidRPr="00784FF6" w:rsidRDefault="00AF715F" w:rsidP="00AF715F">
            <w:pPr>
              <w:pStyle w:val="TableofFigures"/>
            </w:pPr>
            <w:r w:rsidRPr="00B30455">
              <w:rPr>
                <w:lang w:val="en-AU"/>
              </w:rPr>
              <w:t xml:space="preserve">Partner </w:t>
            </w:r>
          </w:p>
        </w:tc>
        <w:tc>
          <w:tcPr>
            <w:tcW w:w="2268" w:type="dxa"/>
            <w:shd w:val="clear" w:color="auto" w:fill="auto"/>
          </w:tcPr>
          <w:p w14:paraId="3DF69B3D" w14:textId="77777777" w:rsidR="00AF715F" w:rsidRPr="009E6BAD" w:rsidRDefault="00AF715F" w:rsidP="00AF715F">
            <w:pPr>
              <w:pStyle w:val="TableofFigures"/>
            </w:pPr>
            <w:r w:rsidRPr="000B0882">
              <w:t>On track</w:t>
            </w:r>
          </w:p>
        </w:tc>
      </w:tr>
      <w:tr w:rsidR="00AF715F" w14:paraId="5CA2E6A6" w14:textId="77777777" w:rsidTr="00DC0C64">
        <w:tc>
          <w:tcPr>
            <w:tcW w:w="9412" w:type="dxa"/>
            <w:shd w:val="clear" w:color="auto" w:fill="auto"/>
          </w:tcPr>
          <w:p w14:paraId="11E3C9A4" w14:textId="77777777" w:rsidR="00AF715F" w:rsidRPr="00D9253D" w:rsidRDefault="00AF715F" w:rsidP="00AF715F">
            <w:pPr>
              <w:pStyle w:val="TableofFigures"/>
            </w:pPr>
            <w:r w:rsidRPr="00D9253D">
              <w:t>Facilitate increased investment in unique Melbourne events to further activate and celebrate the city.</w:t>
            </w:r>
          </w:p>
        </w:tc>
        <w:tc>
          <w:tcPr>
            <w:tcW w:w="2268" w:type="dxa"/>
            <w:shd w:val="clear" w:color="auto" w:fill="auto"/>
          </w:tcPr>
          <w:p w14:paraId="6ABB50FF" w14:textId="77777777" w:rsidR="00AF715F" w:rsidRPr="00784FF6" w:rsidRDefault="00AF715F" w:rsidP="00AF715F">
            <w:pPr>
              <w:pStyle w:val="TableofFigures"/>
            </w:pPr>
            <w:r w:rsidRPr="00B30455">
              <w:t>Partner</w:t>
            </w:r>
          </w:p>
        </w:tc>
        <w:tc>
          <w:tcPr>
            <w:tcW w:w="2268" w:type="dxa"/>
            <w:shd w:val="clear" w:color="auto" w:fill="auto"/>
          </w:tcPr>
          <w:p w14:paraId="2F1F3E39" w14:textId="77777777" w:rsidR="00AF715F" w:rsidRPr="00784FF6" w:rsidRDefault="00AF715F" w:rsidP="00AF715F">
            <w:pPr>
              <w:pStyle w:val="TableofFigures"/>
            </w:pPr>
            <w:r w:rsidRPr="000B0882">
              <w:t>On track</w:t>
            </w:r>
          </w:p>
        </w:tc>
      </w:tr>
      <w:tr w:rsidR="00AF715F" w14:paraId="2C8B3FAE" w14:textId="77777777" w:rsidTr="007F02C9">
        <w:tc>
          <w:tcPr>
            <w:tcW w:w="9412" w:type="dxa"/>
            <w:shd w:val="clear" w:color="auto" w:fill="auto"/>
          </w:tcPr>
          <w:p w14:paraId="70775541" w14:textId="77777777" w:rsidR="00AF715F" w:rsidRPr="00D9253D" w:rsidRDefault="00AF715F" w:rsidP="00AF715F">
            <w:pPr>
              <w:pStyle w:val="TableofFigures"/>
            </w:pPr>
            <w:r w:rsidRPr="00D9253D">
              <w:t xml:space="preserve">Celebrate, partner and advocate for investment in the city’s three key waterways, the </w:t>
            </w:r>
            <w:hyperlink r:id="rId28" w:history="1">
              <w:r w:rsidRPr="00D9253D">
                <w:rPr>
                  <w:rStyle w:val="Hyperlink"/>
                </w:rPr>
                <w:t>Yarra River-Birrarung</w:t>
              </w:r>
            </w:hyperlink>
            <w:r w:rsidRPr="00D9253D">
              <w:rPr>
                <w:rStyle w:val="FootnoteReference"/>
              </w:rPr>
              <w:footnoteReference w:id="10"/>
            </w:r>
            <w:r w:rsidRPr="00D9253D">
              <w:t>, the Maribyrnong and Moonee Ponds Creek.</w:t>
            </w:r>
          </w:p>
        </w:tc>
        <w:tc>
          <w:tcPr>
            <w:tcW w:w="2268" w:type="dxa"/>
            <w:shd w:val="clear" w:color="auto" w:fill="auto"/>
          </w:tcPr>
          <w:p w14:paraId="2D0E8E7C" w14:textId="77777777" w:rsidR="00AF715F" w:rsidRPr="00784FF6" w:rsidRDefault="00AF715F" w:rsidP="00AF715F">
            <w:pPr>
              <w:pStyle w:val="TableofFigures"/>
            </w:pPr>
            <w:r>
              <w:t>Partner</w:t>
            </w:r>
            <w:r>
              <w:br/>
              <w:t>Advocate</w:t>
            </w:r>
          </w:p>
        </w:tc>
        <w:tc>
          <w:tcPr>
            <w:tcW w:w="2268" w:type="dxa"/>
            <w:shd w:val="clear" w:color="auto" w:fill="auto"/>
          </w:tcPr>
          <w:p w14:paraId="227CE5DE" w14:textId="77777777" w:rsidR="00AF715F" w:rsidRPr="009E6BAD" w:rsidRDefault="00AF715F" w:rsidP="00AF715F">
            <w:pPr>
              <w:pStyle w:val="TableofFigures"/>
            </w:pPr>
            <w:r w:rsidRPr="000B0882">
              <w:t>On track</w:t>
            </w:r>
          </w:p>
        </w:tc>
      </w:tr>
      <w:tr w:rsidR="00AF715F" w14:paraId="7A9FBBA1" w14:textId="77777777" w:rsidTr="007F02C9">
        <w:tc>
          <w:tcPr>
            <w:tcW w:w="9412" w:type="dxa"/>
            <w:shd w:val="clear" w:color="auto" w:fill="auto"/>
          </w:tcPr>
          <w:p w14:paraId="7516BB5E" w14:textId="77777777" w:rsidR="00AF715F" w:rsidRPr="00D9253D" w:rsidRDefault="00AF715F" w:rsidP="00AF715F">
            <w:pPr>
              <w:pStyle w:val="TableofFigures"/>
            </w:pPr>
            <w:r w:rsidRPr="00D9253D">
              <w:t>Adopt the Municipal Planning Strategy in 2022-23.</w:t>
            </w:r>
          </w:p>
        </w:tc>
        <w:tc>
          <w:tcPr>
            <w:tcW w:w="2268" w:type="dxa"/>
            <w:shd w:val="clear" w:color="auto" w:fill="auto"/>
          </w:tcPr>
          <w:p w14:paraId="041EF818" w14:textId="77777777" w:rsidR="00AF715F" w:rsidRPr="00784FF6" w:rsidRDefault="00AF715F" w:rsidP="00AF715F">
            <w:pPr>
              <w:pStyle w:val="TableofFigures"/>
            </w:pPr>
            <w:r>
              <w:t>Partner</w:t>
            </w:r>
          </w:p>
        </w:tc>
        <w:tc>
          <w:tcPr>
            <w:tcW w:w="2268" w:type="dxa"/>
            <w:shd w:val="clear" w:color="auto" w:fill="auto"/>
          </w:tcPr>
          <w:p w14:paraId="33205669" w14:textId="77777777" w:rsidR="00AF715F" w:rsidRPr="009E6BAD" w:rsidRDefault="00AF715F" w:rsidP="00AF715F">
            <w:pPr>
              <w:pStyle w:val="TableofFigures"/>
            </w:pPr>
            <w:r w:rsidRPr="000B0882">
              <w:t>On track</w:t>
            </w:r>
          </w:p>
        </w:tc>
      </w:tr>
      <w:tr w:rsidR="00AF715F" w14:paraId="2CAFC267" w14:textId="77777777" w:rsidTr="007F02C9">
        <w:tc>
          <w:tcPr>
            <w:tcW w:w="9412" w:type="dxa"/>
            <w:tcBorders>
              <w:top w:val="single" w:sz="4" w:space="0" w:color="auto"/>
              <w:left w:val="single" w:sz="4" w:space="0" w:color="auto"/>
              <w:bottom w:val="single" w:sz="4" w:space="0" w:color="auto"/>
              <w:right w:val="single" w:sz="4" w:space="0" w:color="auto"/>
            </w:tcBorders>
            <w:shd w:val="clear" w:color="auto" w:fill="auto"/>
          </w:tcPr>
          <w:p w14:paraId="5CEE0640" w14:textId="77777777" w:rsidR="00AF715F" w:rsidRPr="00D9253D" w:rsidRDefault="00AF715F" w:rsidP="00AF715F">
            <w:pPr>
              <w:pStyle w:val="TableofFigures"/>
            </w:pPr>
            <w:r w:rsidRPr="00D9253D">
              <w:t>Complete heritage reviews and implement associated planning scheme amendments to protect and celebrate heritage in our municipality.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729B58" w14:textId="77777777" w:rsidR="00AF715F" w:rsidRDefault="00AF715F" w:rsidP="00AF715F">
            <w:pPr>
              <w:pStyle w:val="TableofFigures"/>
            </w:pPr>
            <w:r w:rsidRPr="00A7205E">
              <w:t>Deliver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1BE4D7E" w14:textId="77777777" w:rsidR="00AF715F" w:rsidRPr="009E6BAD" w:rsidRDefault="00AF715F" w:rsidP="00AF715F">
            <w:pPr>
              <w:pStyle w:val="TableofFigures"/>
            </w:pPr>
            <w:r w:rsidRPr="009E6BAD">
              <w:t>Delayed</w:t>
            </w:r>
          </w:p>
        </w:tc>
      </w:tr>
      <w:tr w:rsidR="00AF715F" w14:paraId="2E7EC9B7" w14:textId="77777777" w:rsidTr="007F02C9">
        <w:tc>
          <w:tcPr>
            <w:tcW w:w="9412" w:type="dxa"/>
            <w:shd w:val="clear" w:color="auto" w:fill="auto"/>
          </w:tcPr>
          <w:p w14:paraId="6DC1A4FC" w14:textId="77777777" w:rsidR="00AF715F" w:rsidRPr="00D9253D" w:rsidRDefault="00AF715F" w:rsidP="00AF715F">
            <w:pPr>
              <w:pStyle w:val="TableofFigures"/>
            </w:pPr>
            <w:r w:rsidRPr="00D9253D">
              <w:t xml:space="preserve">Champion high quality development and public realm design through delivering the </w:t>
            </w:r>
            <w:r w:rsidRPr="00D9253D">
              <w:rPr>
                <w:rStyle w:val="Hyperlink"/>
              </w:rPr>
              <w:t>Design Excellence Program</w:t>
            </w:r>
            <w:r w:rsidRPr="00D9253D">
              <w:rPr>
                <w:rStyle w:val="FootnoteReference"/>
              </w:rPr>
              <w:footnoteReference w:id="11"/>
            </w:r>
            <w:r w:rsidRPr="00D9253D">
              <w:t>.</w:t>
            </w:r>
          </w:p>
        </w:tc>
        <w:tc>
          <w:tcPr>
            <w:tcW w:w="2268" w:type="dxa"/>
            <w:shd w:val="clear" w:color="auto" w:fill="auto"/>
          </w:tcPr>
          <w:p w14:paraId="38E340E6" w14:textId="77777777" w:rsidR="00AF715F" w:rsidRDefault="00AF715F" w:rsidP="00AF715F">
            <w:pPr>
              <w:pStyle w:val="TableofFigures"/>
            </w:pPr>
            <w:r w:rsidRPr="00A7205E">
              <w:t>Deliver</w:t>
            </w:r>
          </w:p>
        </w:tc>
        <w:tc>
          <w:tcPr>
            <w:tcW w:w="2268" w:type="dxa"/>
            <w:shd w:val="clear" w:color="auto" w:fill="auto"/>
          </w:tcPr>
          <w:p w14:paraId="013D7A05" w14:textId="77777777" w:rsidR="00AF715F" w:rsidRPr="00784FF6" w:rsidRDefault="00AF715F" w:rsidP="00AF715F">
            <w:pPr>
              <w:pStyle w:val="TableofFigures"/>
            </w:pPr>
            <w:r w:rsidRPr="000B0882">
              <w:t>On track</w:t>
            </w:r>
          </w:p>
        </w:tc>
      </w:tr>
    </w:tbl>
    <w:p w14:paraId="510D384A" w14:textId="77777777" w:rsidR="002B3919" w:rsidRDefault="002B3919" w:rsidP="007F02C9">
      <w:pPr>
        <w:pStyle w:val="Heading2"/>
        <w:rPr>
          <w:rFonts w:hint="eastAsia"/>
        </w:rPr>
      </w:pPr>
    </w:p>
    <w:p w14:paraId="033546D1" w14:textId="77777777" w:rsidR="007F02C9" w:rsidRPr="00CF27A2" w:rsidRDefault="002B3919" w:rsidP="007F02C9">
      <w:pPr>
        <w:pStyle w:val="Heading2"/>
      </w:pPr>
      <w:r>
        <w:rPr>
          <w:rFonts w:hint="eastAsia"/>
        </w:rPr>
        <w:br w:type="page"/>
      </w:r>
      <w:bookmarkStart w:id="16" w:name="_Toc192746243"/>
      <w:r w:rsidR="007F02C9">
        <w:lastRenderedPageBreak/>
        <w:t>How we’re measuring progress over four years</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7F02C9" w14:paraId="58461419" w14:textId="77777777" w:rsidTr="0052081B">
        <w:trPr>
          <w:tblHeader/>
        </w:trPr>
        <w:tc>
          <w:tcPr>
            <w:tcW w:w="9412" w:type="dxa"/>
            <w:shd w:val="clear" w:color="auto" w:fill="auto"/>
          </w:tcPr>
          <w:p w14:paraId="2DEA6624" w14:textId="77777777" w:rsidR="007F02C9" w:rsidRPr="00784FF6" w:rsidRDefault="007F02C9" w:rsidP="0052081B">
            <w:pPr>
              <w:pStyle w:val="TableofFigures"/>
              <w:rPr>
                <w:b/>
              </w:rPr>
            </w:pPr>
            <w:r>
              <w:rPr>
                <w:b/>
              </w:rPr>
              <w:t>Indicator</w:t>
            </w:r>
          </w:p>
        </w:tc>
        <w:tc>
          <w:tcPr>
            <w:tcW w:w="4537" w:type="dxa"/>
            <w:shd w:val="clear" w:color="auto" w:fill="auto"/>
          </w:tcPr>
          <w:p w14:paraId="145D3EFC" w14:textId="77777777" w:rsidR="007F02C9" w:rsidRPr="00784FF6" w:rsidRDefault="007F02C9" w:rsidP="0052081B">
            <w:pPr>
              <w:pStyle w:val="TableofFigures"/>
              <w:rPr>
                <w:b/>
              </w:rPr>
            </w:pPr>
            <w:r>
              <w:rPr>
                <w:b/>
              </w:rPr>
              <w:t>Target outcome</w:t>
            </w:r>
          </w:p>
        </w:tc>
      </w:tr>
      <w:tr w:rsidR="007F02C9" w14:paraId="08FA5B2C" w14:textId="77777777" w:rsidTr="0052081B">
        <w:tc>
          <w:tcPr>
            <w:tcW w:w="9412" w:type="dxa"/>
            <w:shd w:val="clear" w:color="auto" w:fill="auto"/>
          </w:tcPr>
          <w:p w14:paraId="137DF906" w14:textId="77777777" w:rsidR="007F02C9" w:rsidRPr="0053250D" w:rsidRDefault="007F02C9" w:rsidP="000571FF">
            <w:pPr>
              <w:pStyle w:val="TableofFigures"/>
            </w:pPr>
            <w:r w:rsidRPr="0053250D">
              <w:t>Proportion of residents within 300m of public open space.</w:t>
            </w:r>
          </w:p>
        </w:tc>
        <w:tc>
          <w:tcPr>
            <w:tcW w:w="4537" w:type="dxa"/>
            <w:shd w:val="clear" w:color="auto" w:fill="auto"/>
          </w:tcPr>
          <w:p w14:paraId="62C70AE8" w14:textId="77777777" w:rsidR="007F02C9" w:rsidRPr="0053250D" w:rsidRDefault="007F02C9" w:rsidP="000571FF">
            <w:pPr>
              <w:pStyle w:val="TableofFigures"/>
            </w:pPr>
            <w:r w:rsidRPr="0053250D">
              <w:t>Increase</w:t>
            </w:r>
          </w:p>
        </w:tc>
      </w:tr>
      <w:tr w:rsidR="007F02C9" w14:paraId="7952CD67" w14:textId="77777777" w:rsidTr="0052081B">
        <w:tc>
          <w:tcPr>
            <w:tcW w:w="9412" w:type="dxa"/>
            <w:shd w:val="clear" w:color="auto" w:fill="auto"/>
          </w:tcPr>
          <w:p w14:paraId="07886840" w14:textId="77777777" w:rsidR="007F02C9" w:rsidRPr="0053250D" w:rsidRDefault="007F02C9" w:rsidP="000571FF">
            <w:pPr>
              <w:pStyle w:val="TableofFigures"/>
            </w:pPr>
            <w:r w:rsidRPr="0053250D">
              <w:t>Proportion of people surveyed who visit a park in the municipality on a regular basis.</w:t>
            </w:r>
          </w:p>
        </w:tc>
        <w:tc>
          <w:tcPr>
            <w:tcW w:w="4537" w:type="dxa"/>
            <w:shd w:val="clear" w:color="auto" w:fill="auto"/>
          </w:tcPr>
          <w:p w14:paraId="17141ABF" w14:textId="77777777" w:rsidR="007F02C9" w:rsidRPr="0053250D" w:rsidRDefault="007F02C9" w:rsidP="000571FF">
            <w:pPr>
              <w:pStyle w:val="TableofFigures"/>
            </w:pPr>
            <w:r w:rsidRPr="0053250D">
              <w:t>Increase</w:t>
            </w:r>
          </w:p>
        </w:tc>
      </w:tr>
      <w:tr w:rsidR="007F02C9" w14:paraId="74BA731B" w14:textId="77777777" w:rsidTr="0052081B">
        <w:tc>
          <w:tcPr>
            <w:tcW w:w="9412" w:type="dxa"/>
            <w:shd w:val="clear" w:color="auto" w:fill="auto"/>
          </w:tcPr>
          <w:p w14:paraId="789ED536" w14:textId="77777777" w:rsidR="007F02C9" w:rsidRPr="0053250D" w:rsidRDefault="007F02C9" w:rsidP="000571FF">
            <w:pPr>
              <w:pStyle w:val="TableofFigures"/>
            </w:pPr>
            <w:r w:rsidRPr="0053250D">
              <w:t>Area of new public open space in Southbank.</w:t>
            </w:r>
          </w:p>
        </w:tc>
        <w:tc>
          <w:tcPr>
            <w:tcW w:w="4537" w:type="dxa"/>
            <w:shd w:val="clear" w:color="auto" w:fill="auto"/>
          </w:tcPr>
          <w:p w14:paraId="00666EEF" w14:textId="77777777" w:rsidR="007F02C9" w:rsidRPr="0053250D" w:rsidRDefault="007F02C9" w:rsidP="000571FF">
            <w:pPr>
              <w:pStyle w:val="TableofFigures"/>
            </w:pPr>
            <w:r w:rsidRPr="0053250D">
              <w:t>1.1ha (by 2025)</w:t>
            </w:r>
          </w:p>
        </w:tc>
      </w:tr>
      <w:tr w:rsidR="007F02C9" w14:paraId="7C5E9ACE" w14:textId="77777777" w:rsidTr="0052081B">
        <w:tc>
          <w:tcPr>
            <w:tcW w:w="9412" w:type="dxa"/>
            <w:shd w:val="clear" w:color="auto" w:fill="auto"/>
          </w:tcPr>
          <w:p w14:paraId="2FDEBA10" w14:textId="77777777" w:rsidR="007F02C9" w:rsidRPr="0053250D" w:rsidRDefault="007F02C9" w:rsidP="000571FF">
            <w:pPr>
              <w:pStyle w:val="TableofFigures"/>
            </w:pPr>
            <w:r w:rsidRPr="0053250D">
              <w:t>Neighbourhoods in the municipality with up-to-date local heritage studies and controls.</w:t>
            </w:r>
          </w:p>
        </w:tc>
        <w:tc>
          <w:tcPr>
            <w:tcW w:w="4537" w:type="dxa"/>
            <w:shd w:val="clear" w:color="auto" w:fill="auto"/>
          </w:tcPr>
          <w:p w14:paraId="0E94C537" w14:textId="77777777" w:rsidR="007F02C9" w:rsidRPr="0053250D" w:rsidRDefault="006E1D3A" w:rsidP="000571FF">
            <w:pPr>
              <w:pStyle w:val="TableofFigures"/>
            </w:pPr>
            <w:r w:rsidRPr="0053250D">
              <w:t>100%</w:t>
            </w:r>
          </w:p>
        </w:tc>
      </w:tr>
      <w:tr w:rsidR="007F02C9" w14:paraId="4C44E1A8" w14:textId="77777777" w:rsidTr="0052081B">
        <w:tc>
          <w:tcPr>
            <w:tcW w:w="9412" w:type="dxa"/>
            <w:shd w:val="clear" w:color="auto" w:fill="auto"/>
          </w:tcPr>
          <w:p w14:paraId="5465CA25" w14:textId="77777777" w:rsidR="007F02C9" w:rsidRPr="0053250D" w:rsidRDefault="006E1D3A" w:rsidP="000571FF">
            <w:pPr>
              <w:pStyle w:val="TableofFigures"/>
            </w:pPr>
            <w:r w:rsidRPr="0053250D">
              <w:t>Proportion of people who support the city being made up of different cultures.</w:t>
            </w:r>
          </w:p>
        </w:tc>
        <w:tc>
          <w:tcPr>
            <w:tcW w:w="4537" w:type="dxa"/>
            <w:shd w:val="clear" w:color="auto" w:fill="auto"/>
          </w:tcPr>
          <w:p w14:paraId="6008CA47" w14:textId="77777777" w:rsidR="007F02C9" w:rsidRPr="0053250D" w:rsidRDefault="007F02C9" w:rsidP="000571FF">
            <w:pPr>
              <w:pStyle w:val="TableofFigures"/>
            </w:pPr>
            <w:r w:rsidRPr="0053250D">
              <w:t>100%</w:t>
            </w:r>
          </w:p>
        </w:tc>
      </w:tr>
      <w:tr w:rsidR="006E1D3A" w14:paraId="65CE9F3D" w14:textId="77777777" w:rsidTr="0052081B">
        <w:tc>
          <w:tcPr>
            <w:tcW w:w="9412" w:type="dxa"/>
            <w:shd w:val="clear" w:color="auto" w:fill="auto"/>
          </w:tcPr>
          <w:p w14:paraId="0991B809" w14:textId="77777777" w:rsidR="006E1D3A" w:rsidRPr="00053192" w:rsidRDefault="006E1D3A" w:rsidP="000571FF">
            <w:pPr>
              <w:pStyle w:val="TableofFigures"/>
            </w:pPr>
            <w:r w:rsidRPr="00053192">
              <w:t>Value of the creative sector to the local economy.</w:t>
            </w:r>
          </w:p>
        </w:tc>
        <w:tc>
          <w:tcPr>
            <w:tcW w:w="4537" w:type="dxa"/>
            <w:shd w:val="clear" w:color="auto" w:fill="auto"/>
          </w:tcPr>
          <w:p w14:paraId="364DE81E" w14:textId="77777777" w:rsidR="006E1D3A" w:rsidRPr="00053192" w:rsidRDefault="006E1D3A" w:rsidP="000571FF">
            <w:pPr>
              <w:pStyle w:val="TableofFigures"/>
            </w:pPr>
            <w:r w:rsidRPr="00053192">
              <w:t>Increase</w:t>
            </w:r>
          </w:p>
        </w:tc>
      </w:tr>
      <w:tr w:rsidR="006E1D3A" w14:paraId="569AC33C" w14:textId="77777777" w:rsidTr="0052081B">
        <w:tc>
          <w:tcPr>
            <w:tcW w:w="9412" w:type="dxa"/>
            <w:shd w:val="clear" w:color="auto" w:fill="auto"/>
          </w:tcPr>
          <w:p w14:paraId="42BFC6EB" w14:textId="77777777" w:rsidR="006E1D3A" w:rsidRPr="00053192" w:rsidRDefault="006E1D3A" w:rsidP="000571FF">
            <w:pPr>
              <w:pStyle w:val="TableofFigures"/>
            </w:pPr>
            <w:r w:rsidRPr="00053192">
              <w:t>The number of creative spaces in the municipality.</w:t>
            </w:r>
          </w:p>
        </w:tc>
        <w:tc>
          <w:tcPr>
            <w:tcW w:w="4537" w:type="dxa"/>
            <w:shd w:val="clear" w:color="auto" w:fill="auto"/>
          </w:tcPr>
          <w:p w14:paraId="523F0474" w14:textId="77777777" w:rsidR="006E1D3A" w:rsidRPr="00053192" w:rsidRDefault="006E1D3A" w:rsidP="000571FF">
            <w:pPr>
              <w:pStyle w:val="TableofFigures"/>
            </w:pPr>
            <w:r w:rsidRPr="00053192">
              <w:t>Increase</w:t>
            </w:r>
          </w:p>
        </w:tc>
      </w:tr>
      <w:tr w:rsidR="006E1D3A" w14:paraId="002C479E" w14:textId="77777777" w:rsidTr="0052081B">
        <w:tc>
          <w:tcPr>
            <w:tcW w:w="9412" w:type="dxa"/>
            <w:shd w:val="clear" w:color="auto" w:fill="auto"/>
          </w:tcPr>
          <w:p w14:paraId="0A40C09F" w14:textId="77777777" w:rsidR="006E1D3A" w:rsidRPr="00053192" w:rsidRDefault="006E1D3A" w:rsidP="000571FF">
            <w:pPr>
              <w:pStyle w:val="TableofFigures"/>
            </w:pPr>
            <w:r w:rsidRPr="006E1D3A">
              <w:t>The number of artists supported by City of Melbourne through city planning, design and city operations.</w:t>
            </w:r>
          </w:p>
        </w:tc>
        <w:tc>
          <w:tcPr>
            <w:tcW w:w="4537" w:type="dxa"/>
            <w:shd w:val="clear" w:color="auto" w:fill="auto"/>
          </w:tcPr>
          <w:p w14:paraId="712A55D9" w14:textId="77777777" w:rsidR="006E1D3A" w:rsidRPr="00053192" w:rsidRDefault="006E1D3A" w:rsidP="000571FF">
            <w:pPr>
              <w:pStyle w:val="TableofFigures"/>
            </w:pPr>
            <w:r w:rsidRPr="00053192">
              <w:t>Increase</w:t>
            </w:r>
          </w:p>
        </w:tc>
      </w:tr>
      <w:tr w:rsidR="006E1D3A" w14:paraId="3F6C87BB" w14:textId="77777777" w:rsidTr="0052081B">
        <w:tc>
          <w:tcPr>
            <w:tcW w:w="9412" w:type="dxa"/>
            <w:shd w:val="clear" w:color="auto" w:fill="auto"/>
          </w:tcPr>
          <w:p w14:paraId="3DC42D86" w14:textId="77777777" w:rsidR="006E1D3A" w:rsidRPr="00053192" w:rsidRDefault="006E1D3A" w:rsidP="000571FF">
            <w:pPr>
              <w:pStyle w:val="TableofFigures"/>
            </w:pPr>
            <w:r w:rsidRPr="006E1D3A">
              <w:t>The number of design reviews of major projects.</w:t>
            </w:r>
          </w:p>
        </w:tc>
        <w:tc>
          <w:tcPr>
            <w:tcW w:w="4537" w:type="dxa"/>
            <w:shd w:val="clear" w:color="auto" w:fill="auto"/>
          </w:tcPr>
          <w:p w14:paraId="2A133F34" w14:textId="77777777" w:rsidR="006E1D3A" w:rsidRPr="00053192" w:rsidRDefault="006E1D3A" w:rsidP="000571FF">
            <w:pPr>
              <w:pStyle w:val="TableofFigures"/>
            </w:pPr>
            <w:r w:rsidRPr="00053192">
              <w:t>Increase</w:t>
            </w:r>
          </w:p>
        </w:tc>
      </w:tr>
    </w:tbl>
    <w:p w14:paraId="419FE29B" w14:textId="77777777" w:rsidR="005735E1" w:rsidRDefault="007F02C9" w:rsidP="00D8650A">
      <w:pPr>
        <w:pStyle w:val="Heading1"/>
        <w:spacing w:before="0"/>
      </w:pPr>
      <w:r>
        <w:br w:type="page"/>
      </w:r>
      <w:bookmarkStart w:id="17" w:name="_Toc192746244"/>
      <w:r w:rsidR="005735E1" w:rsidRPr="005735E1">
        <w:lastRenderedPageBreak/>
        <w:t>Aboriginal Melbourne</w:t>
      </w:r>
      <w:bookmarkEnd w:id="17"/>
    </w:p>
    <w:p w14:paraId="2DC52DB3" w14:textId="77777777" w:rsidR="005735E1" w:rsidRDefault="0038645E" w:rsidP="005735E1">
      <w:r w:rsidRPr="0038645E">
        <w:t>For the Wurundjeri, Bunurong, Taungurung, Dja Dja Wurrung and Wadawurrung peoples of the Eastern Kulin, the place now known as Melbourne has always been an important meeting place and location for events of political, cultural, social and educational significance. Over the next four years, we will ensure that First Peoples’ culture, lore, knowledge, and heritage enrich the city’s growth and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4062"/>
      </w:tblGrid>
      <w:tr w:rsidR="005735E1" w14:paraId="5F4BE1F8" w14:textId="77777777" w:rsidTr="00004EFF">
        <w:tc>
          <w:tcPr>
            <w:tcW w:w="14062" w:type="dxa"/>
            <w:shd w:val="clear" w:color="auto" w:fill="auto"/>
          </w:tcPr>
          <w:p w14:paraId="0076FA42" w14:textId="77777777" w:rsidR="009E6BAD" w:rsidRPr="00D367C9" w:rsidRDefault="009E6BAD" w:rsidP="009E6BAD">
            <w:pPr>
              <w:pStyle w:val="Heading2"/>
              <w:spacing w:before="0"/>
            </w:pPr>
            <w:bookmarkStart w:id="18" w:name="_Toc192746245"/>
            <w:r w:rsidRPr="00D367C9">
              <w:t xml:space="preserve">Highlights for quarter </w:t>
            </w:r>
            <w:r w:rsidR="003E4B56">
              <w:t>one</w:t>
            </w:r>
            <w:r w:rsidRPr="00D367C9">
              <w:t xml:space="preserve"> (</w:t>
            </w:r>
            <w:r w:rsidR="00720E0C">
              <w:t>July to September</w:t>
            </w:r>
            <w:r w:rsidRPr="00D367C9">
              <w:t xml:space="preserve"> 202</w:t>
            </w:r>
            <w:r w:rsidR="003E4B56">
              <w:t>4</w:t>
            </w:r>
            <w:r w:rsidRPr="00D367C9">
              <w:t>)</w:t>
            </w:r>
            <w:bookmarkEnd w:id="18"/>
          </w:p>
          <w:p w14:paraId="6F6B5B5D" w14:textId="77777777" w:rsidR="00030407" w:rsidRDefault="00030407" w:rsidP="00030407">
            <w:r>
              <w:t>On 4 July 2024, the Stolen Generations Marker Working Group selected Maree Clarke's design as the preferred concept. A contract was signed, and Clarke held an inception meeting with the group. Her selection was publicly announced on 16 September 2024, with design refinements underway based on feedback.</w:t>
            </w:r>
          </w:p>
          <w:p w14:paraId="049CF121" w14:textId="77777777" w:rsidR="00030407" w:rsidRDefault="00030407" w:rsidP="00030407">
            <w:r>
              <w:t>Discussions have begun with the Moomba team to activate the Marker during the festival. For truth-telling events, scoping has started, including work with Melbourne Conversations. On 19 September, a "Yalinguth by the Birrarung" event was held during Riverfest, where Elder Jason Timaru led a tour of Aboriginal heritage along the Yarra River.</w:t>
            </w:r>
          </w:p>
          <w:p w14:paraId="13DB450D" w14:textId="77777777" w:rsidR="00030407" w:rsidRDefault="00030407" w:rsidP="00030407">
            <w:r>
              <w:t>The "Mapping Aboriginal Melbourne" project is in its scoping phase, working with Traditional Owners to create educational resources.</w:t>
            </w:r>
          </w:p>
          <w:p w14:paraId="5DF4B0D4" w14:textId="77777777" w:rsidR="00885607" w:rsidRDefault="00030407" w:rsidP="00030407">
            <w:r>
              <w:t>The inaugural meeting of the First Nations Committee took place on 21 August 2024. Discussions with the Wurundjeri Woi-wurrung Cultural Heritage Aboriginal Corporation and Bunurong Land Council continue toward a memorandum of understanding. The first part of the Traditional Owner and Aboriginal Community Engagement Framework is complete, with a briefing paper released in July.</w:t>
            </w:r>
            <w:r w:rsidR="00720E0C">
              <w:t>.</w:t>
            </w:r>
          </w:p>
          <w:p w14:paraId="0F309C32" w14:textId="77777777" w:rsidR="006E1D3A" w:rsidRPr="00D367C9" w:rsidRDefault="006E1D3A" w:rsidP="00BE5903">
            <w:pPr>
              <w:pStyle w:val="Heading2"/>
            </w:pPr>
            <w:bookmarkStart w:id="19" w:name="_Toc192746246"/>
            <w:r w:rsidRPr="00D367C9">
              <w:t>Our progress</w:t>
            </w:r>
            <w:bookmarkEnd w:id="19"/>
            <w:r w:rsidRPr="00D367C9">
              <w:t xml:space="preserve"> </w:t>
            </w:r>
          </w:p>
          <w:p w14:paraId="56E4E236" w14:textId="77777777" w:rsidR="00030407" w:rsidRDefault="00030407" w:rsidP="00030407">
            <w:r>
              <w:t>Due to competing demands on Traditional Owner time, the development of a partnership will take longer than anticipated with Wurundjeri.</w:t>
            </w:r>
          </w:p>
          <w:p w14:paraId="25C7065D" w14:textId="77777777" w:rsidR="005735E1" w:rsidRPr="00D367C9" w:rsidRDefault="00BE5903" w:rsidP="00030407">
            <w:r w:rsidRPr="00D367C9">
              <w:t>Delivery of our major initiatives within the Council Plan term is on track.</w:t>
            </w:r>
          </w:p>
        </w:tc>
      </w:tr>
    </w:tbl>
    <w:p w14:paraId="7D28CC2B" w14:textId="77777777" w:rsidR="005735E1" w:rsidRPr="00784FF6" w:rsidRDefault="005735E1" w:rsidP="005735E1">
      <w:pPr>
        <w:pStyle w:val="Heading2"/>
      </w:pPr>
      <w:bookmarkStart w:id="20" w:name="_Toc192746247"/>
      <w:r w:rsidRPr="00784FF6">
        <w:t>The major initiatives we’re delivering this year</w:t>
      </w:r>
      <w:bookmarkEnd w:id="20"/>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D9253D" w14:paraId="13D82C52" w14:textId="77777777" w:rsidTr="00D9253D">
        <w:trPr>
          <w:tblHeader/>
        </w:trPr>
        <w:tc>
          <w:tcPr>
            <w:tcW w:w="9412" w:type="dxa"/>
            <w:shd w:val="clear" w:color="auto" w:fill="auto"/>
          </w:tcPr>
          <w:p w14:paraId="212D8F19" w14:textId="77777777" w:rsidR="00D9253D" w:rsidRPr="0038645E" w:rsidRDefault="00D9253D" w:rsidP="0038645E">
            <w:pPr>
              <w:pStyle w:val="TableofFigures"/>
              <w:rPr>
                <w:b/>
              </w:rPr>
            </w:pPr>
            <w:r w:rsidRPr="0038645E">
              <w:rPr>
                <w:b/>
              </w:rPr>
              <w:t>Initiative</w:t>
            </w:r>
          </w:p>
        </w:tc>
        <w:tc>
          <w:tcPr>
            <w:tcW w:w="2268" w:type="dxa"/>
            <w:shd w:val="clear" w:color="auto" w:fill="auto"/>
          </w:tcPr>
          <w:p w14:paraId="6BD78720" w14:textId="77777777" w:rsidR="00D9253D" w:rsidRPr="0038645E" w:rsidRDefault="00D9253D" w:rsidP="0038645E">
            <w:pPr>
              <w:pStyle w:val="TableofFigures"/>
              <w:rPr>
                <w:b/>
              </w:rPr>
            </w:pPr>
            <w:r w:rsidRPr="0038645E">
              <w:rPr>
                <w:b/>
              </w:rPr>
              <w:t>Council’s role</w:t>
            </w:r>
          </w:p>
        </w:tc>
        <w:tc>
          <w:tcPr>
            <w:tcW w:w="2268" w:type="dxa"/>
            <w:shd w:val="clear" w:color="auto" w:fill="auto"/>
          </w:tcPr>
          <w:p w14:paraId="4667B6AF" w14:textId="77777777" w:rsidR="00D9253D" w:rsidRPr="0038645E" w:rsidRDefault="00D9253D" w:rsidP="00175895">
            <w:pPr>
              <w:pStyle w:val="TableofFigures"/>
              <w:rPr>
                <w:b/>
              </w:rPr>
            </w:pPr>
            <w:r w:rsidRPr="0038645E">
              <w:rPr>
                <w:b/>
              </w:rPr>
              <w:t>Our progress</w:t>
            </w:r>
          </w:p>
        </w:tc>
      </w:tr>
      <w:tr w:rsidR="000571FF" w14:paraId="5F3D1725" w14:textId="77777777" w:rsidTr="00D9253D">
        <w:tc>
          <w:tcPr>
            <w:tcW w:w="9412" w:type="dxa"/>
            <w:shd w:val="clear" w:color="auto" w:fill="auto"/>
          </w:tcPr>
          <w:p w14:paraId="672909F9" w14:textId="77777777" w:rsidR="000571FF" w:rsidRPr="000571FF" w:rsidRDefault="000571FF" w:rsidP="000571FF">
            <w:pPr>
              <w:pStyle w:val="TableofFigures"/>
            </w:pPr>
            <w:r w:rsidRPr="000571FF">
              <w:t xml:space="preserve">Explore and deliver opportunities for ‘truth-telling’ to facilitate learning, healing, and change within Melbourne and beyond. This will be an opportunity to impart knowledge of thousands of years of rich history, language and stories, as well as provide a form of restorative justice by acknowledging </w:t>
            </w:r>
            <w:r w:rsidRPr="000571FF">
              <w:lastRenderedPageBreak/>
              <w:t xml:space="preserve">Aboriginal peoples’ experiences of dispossession and inequity. </w:t>
            </w:r>
          </w:p>
        </w:tc>
        <w:tc>
          <w:tcPr>
            <w:tcW w:w="2268" w:type="dxa"/>
            <w:shd w:val="clear" w:color="auto" w:fill="auto"/>
          </w:tcPr>
          <w:p w14:paraId="2C707A89" w14:textId="77777777" w:rsidR="000571FF" w:rsidRPr="000571FF" w:rsidRDefault="000571FF" w:rsidP="000571FF">
            <w:pPr>
              <w:pStyle w:val="TableofFigures"/>
            </w:pPr>
            <w:r w:rsidRPr="000571FF">
              <w:lastRenderedPageBreak/>
              <w:t xml:space="preserve">Partner </w:t>
            </w:r>
          </w:p>
        </w:tc>
        <w:tc>
          <w:tcPr>
            <w:tcW w:w="2268" w:type="dxa"/>
            <w:shd w:val="clear" w:color="auto" w:fill="auto"/>
          </w:tcPr>
          <w:p w14:paraId="7219B4E1" w14:textId="77777777" w:rsidR="000571FF" w:rsidRPr="000571FF" w:rsidRDefault="000571FF" w:rsidP="000571FF">
            <w:pPr>
              <w:pStyle w:val="TableofFigures"/>
            </w:pPr>
            <w:r w:rsidRPr="000571FF">
              <w:t xml:space="preserve">On track </w:t>
            </w:r>
          </w:p>
        </w:tc>
      </w:tr>
      <w:tr w:rsidR="000571FF" w14:paraId="612C8E09" w14:textId="77777777" w:rsidTr="00D9253D">
        <w:tc>
          <w:tcPr>
            <w:tcW w:w="9412" w:type="dxa"/>
            <w:shd w:val="clear" w:color="auto" w:fill="auto"/>
          </w:tcPr>
          <w:p w14:paraId="45ADC693" w14:textId="77777777" w:rsidR="000571FF" w:rsidRPr="000571FF" w:rsidRDefault="000571FF" w:rsidP="000571FF">
            <w:pPr>
              <w:pStyle w:val="TableofFigures"/>
            </w:pPr>
            <w:r w:rsidRPr="000571FF">
              <w:t xml:space="preserve">Implement the Declaration of Recognition and Commitment in good faith which signals and elevates the City of Melbourne’s shared commitment for reconciliation across the whole of the organisation. </w:t>
            </w:r>
          </w:p>
        </w:tc>
        <w:tc>
          <w:tcPr>
            <w:tcW w:w="2268" w:type="dxa"/>
            <w:shd w:val="clear" w:color="auto" w:fill="auto"/>
          </w:tcPr>
          <w:p w14:paraId="36A7D0F7" w14:textId="77777777" w:rsidR="000571FF" w:rsidRPr="000571FF" w:rsidRDefault="000571FF" w:rsidP="000571FF">
            <w:pPr>
              <w:pStyle w:val="TableofFigures"/>
            </w:pPr>
            <w:r w:rsidRPr="000571FF">
              <w:t xml:space="preserve">Deliver </w:t>
            </w:r>
          </w:p>
        </w:tc>
        <w:tc>
          <w:tcPr>
            <w:tcW w:w="2268" w:type="dxa"/>
            <w:shd w:val="clear" w:color="auto" w:fill="auto"/>
          </w:tcPr>
          <w:p w14:paraId="5F086C38" w14:textId="77777777" w:rsidR="000571FF" w:rsidRPr="000571FF" w:rsidRDefault="000571FF" w:rsidP="000571FF">
            <w:pPr>
              <w:pStyle w:val="TableofFigures"/>
            </w:pPr>
            <w:r w:rsidRPr="000571FF">
              <w:t xml:space="preserve">Completed </w:t>
            </w:r>
          </w:p>
        </w:tc>
      </w:tr>
      <w:tr w:rsidR="000571FF" w14:paraId="7CABE8D9" w14:textId="77777777" w:rsidTr="00D9253D">
        <w:tc>
          <w:tcPr>
            <w:tcW w:w="9412" w:type="dxa"/>
            <w:shd w:val="clear" w:color="auto" w:fill="auto"/>
          </w:tcPr>
          <w:p w14:paraId="0551EC7B" w14:textId="77777777" w:rsidR="000571FF" w:rsidRPr="00D367C9" w:rsidRDefault="000571FF" w:rsidP="000571FF">
            <w:pPr>
              <w:pStyle w:val="TableofFigures"/>
            </w:pPr>
            <w:r w:rsidRPr="00D367C9">
              <w:t xml:space="preserve">Govern with Sovereign First Nations to enable true self-determination, where deliberative engagement is proactive, responsive and consistent. </w:t>
            </w:r>
          </w:p>
        </w:tc>
        <w:tc>
          <w:tcPr>
            <w:tcW w:w="2268" w:type="dxa"/>
            <w:shd w:val="clear" w:color="auto" w:fill="auto"/>
          </w:tcPr>
          <w:p w14:paraId="32E9CBCE" w14:textId="77777777" w:rsidR="000571FF" w:rsidRPr="00D367C9" w:rsidRDefault="000571FF" w:rsidP="000571FF">
            <w:pPr>
              <w:pStyle w:val="TableofFigures"/>
            </w:pPr>
            <w:r w:rsidRPr="00D367C9">
              <w:t xml:space="preserve">Deliver </w:t>
            </w:r>
          </w:p>
        </w:tc>
        <w:tc>
          <w:tcPr>
            <w:tcW w:w="2268" w:type="dxa"/>
            <w:shd w:val="clear" w:color="auto" w:fill="auto"/>
          </w:tcPr>
          <w:p w14:paraId="4E3C5C40" w14:textId="77777777" w:rsidR="000571FF" w:rsidRPr="00D367C9" w:rsidRDefault="00FA20BF" w:rsidP="000571FF">
            <w:pPr>
              <w:pStyle w:val="TableofFigures"/>
            </w:pPr>
            <w:r w:rsidRPr="00D367C9">
              <w:t>Delayed</w:t>
            </w:r>
          </w:p>
        </w:tc>
      </w:tr>
      <w:tr w:rsidR="000571FF" w14:paraId="63E28E4C" w14:textId="77777777" w:rsidTr="00D9253D">
        <w:tc>
          <w:tcPr>
            <w:tcW w:w="9412" w:type="dxa"/>
            <w:shd w:val="clear" w:color="auto" w:fill="auto"/>
          </w:tcPr>
          <w:p w14:paraId="6A10D8B9" w14:textId="77777777" w:rsidR="000571FF" w:rsidRPr="00D367C9" w:rsidRDefault="000571FF" w:rsidP="000571FF">
            <w:pPr>
              <w:pStyle w:val="TableofFigures"/>
            </w:pPr>
            <w:r w:rsidRPr="00D367C9">
              <w:t xml:space="preserve">Commence planning for a co-designed First Nations Cultural Precinct with First Peoples – a place to retain, maintain and recreate in a culturally specific geography, where First Peoples can practice continuity of customs and traditions, through uninterrupted connection to lands and waters. </w:t>
            </w:r>
          </w:p>
        </w:tc>
        <w:tc>
          <w:tcPr>
            <w:tcW w:w="2268" w:type="dxa"/>
            <w:shd w:val="clear" w:color="auto" w:fill="auto"/>
          </w:tcPr>
          <w:p w14:paraId="23570FD8" w14:textId="77777777" w:rsidR="000571FF" w:rsidRPr="00D367C9" w:rsidRDefault="000571FF" w:rsidP="000571FF">
            <w:pPr>
              <w:pStyle w:val="TableofFigures"/>
            </w:pPr>
            <w:r w:rsidRPr="00D367C9">
              <w:t xml:space="preserve">Partner </w:t>
            </w:r>
          </w:p>
        </w:tc>
        <w:tc>
          <w:tcPr>
            <w:tcW w:w="2268" w:type="dxa"/>
            <w:shd w:val="clear" w:color="auto" w:fill="auto"/>
          </w:tcPr>
          <w:p w14:paraId="5E0794C1" w14:textId="77777777" w:rsidR="000571FF" w:rsidRPr="00D367C9" w:rsidRDefault="00885607" w:rsidP="000571FF">
            <w:pPr>
              <w:pStyle w:val="TableofFigures"/>
            </w:pPr>
            <w:r>
              <w:t>Closed</w:t>
            </w:r>
          </w:p>
        </w:tc>
      </w:tr>
      <w:tr w:rsidR="000571FF" w14:paraId="6AB8E64D" w14:textId="77777777" w:rsidTr="00D9253D">
        <w:tc>
          <w:tcPr>
            <w:tcW w:w="9412" w:type="dxa"/>
            <w:shd w:val="clear" w:color="auto" w:fill="auto"/>
          </w:tcPr>
          <w:p w14:paraId="0579DFD1" w14:textId="77777777" w:rsidR="000571FF" w:rsidRPr="000571FF" w:rsidRDefault="000571FF" w:rsidP="000571FF">
            <w:pPr>
              <w:pStyle w:val="TableofFigures"/>
            </w:pPr>
            <w:r w:rsidRPr="000571FF">
              <w:t xml:space="preserve">Support a partnership forum – an annual gathering of the Eastern Kulin (noting the history of Tanderrum). </w:t>
            </w:r>
          </w:p>
        </w:tc>
        <w:tc>
          <w:tcPr>
            <w:tcW w:w="2268" w:type="dxa"/>
            <w:shd w:val="clear" w:color="auto" w:fill="auto"/>
          </w:tcPr>
          <w:p w14:paraId="2F8BFF1D" w14:textId="77777777" w:rsidR="000571FF" w:rsidRPr="000571FF" w:rsidRDefault="000571FF" w:rsidP="000571FF">
            <w:pPr>
              <w:pStyle w:val="TableofFigures"/>
            </w:pPr>
            <w:r w:rsidRPr="000571FF">
              <w:t xml:space="preserve">Partner </w:t>
            </w:r>
          </w:p>
        </w:tc>
        <w:tc>
          <w:tcPr>
            <w:tcW w:w="2268" w:type="dxa"/>
            <w:shd w:val="clear" w:color="auto" w:fill="auto"/>
          </w:tcPr>
          <w:p w14:paraId="28C6B921" w14:textId="77777777" w:rsidR="000571FF" w:rsidRPr="000571FF" w:rsidRDefault="00AF715F" w:rsidP="000571FF">
            <w:pPr>
              <w:pStyle w:val="TableofFigures"/>
            </w:pPr>
            <w:r>
              <w:t>Closed</w:t>
            </w:r>
          </w:p>
        </w:tc>
      </w:tr>
    </w:tbl>
    <w:p w14:paraId="52680478" w14:textId="77777777" w:rsidR="005735E1" w:rsidRPr="00784FF6" w:rsidRDefault="005735E1" w:rsidP="005735E1">
      <w:pPr>
        <w:rPr>
          <w:lang w:val="en-US"/>
        </w:rPr>
      </w:pPr>
    </w:p>
    <w:p w14:paraId="7B804A07" w14:textId="77777777" w:rsidR="00D9253D" w:rsidRPr="00CF27A2" w:rsidRDefault="00D9253D" w:rsidP="00D9253D">
      <w:pPr>
        <w:pStyle w:val="Heading2"/>
      </w:pPr>
      <w:bookmarkStart w:id="21" w:name="_Toc192746248"/>
      <w:r>
        <w:t>How we’re measuring progress over four years</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D9253D" w14:paraId="4DF2A422" w14:textId="77777777" w:rsidTr="0052081B">
        <w:trPr>
          <w:tblHeader/>
        </w:trPr>
        <w:tc>
          <w:tcPr>
            <w:tcW w:w="9412" w:type="dxa"/>
            <w:shd w:val="clear" w:color="auto" w:fill="auto"/>
          </w:tcPr>
          <w:p w14:paraId="03A4F7F7" w14:textId="77777777" w:rsidR="00D9253D" w:rsidRPr="00784FF6" w:rsidRDefault="00D9253D" w:rsidP="0052081B">
            <w:pPr>
              <w:pStyle w:val="TableofFigures"/>
              <w:rPr>
                <w:b/>
              </w:rPr>
            </w:pPr>
            <w:r>
              <w:rPr>
                <w:b/>
              </w:rPr>
              <w:t>Indicator</w:t>
            </w:r>
          </w:p>
        </w:tc>
        <w:tc>
          <w:tcPr>
            <w:tcW w:w="4537" w:type="dxa"/>
            <w:shd w:val="clear" w:color="auto" w:fill="auto"/>
          </w:tcPr>
          <w:p w14:paraId="6AC9774D" w14:textId="77777777" w:rsidR="00D9253D" w:rsidRPr="00784FF6" w:rsidRDefault="00D9253D" w:rsidP="0052081B">
            <w:pPr>
              <w:pStyle w:val="TableofFigures"/>
              <w:rPr>
                <w:b/>
              </w:rPr>
            </w:pPr>
            <w:r>
              <w:rPr>
                <w:b/>
              </w:rPr>
              <w:t>Target outcome</w:t>
            </w:r>
          </w:p>
        </w:tc>
      </w:tr>
      <w:tr w:rsidR="000571FF" w14:paraId="5423E7FD" w14:textId="77777777" w:rsidTr="0052081B">
        <w:tc>
          <w:tcPr>
            <w:tcW w:w="9412" w:type="dxa"/>
          </w:tcPr>
          <w:p w14:paraId="708F7A33" w14:textId="77777777" w:rsidR="000571FF" w:rsidRPr="000571FF" w:rsidRDefault="000571FF" w:rsidP="000571FF">
            <w:pPr>
              <w:pStyle w:val="TableofFigures"/>
            </w:pPr>
            <w:r w:rsidRPr="000571FF">
              <w:t xml:space="preserve">Proportion of people surveyed who demonstrate an understanding of Melbourne’s Aboriginal heritage and culture. </w:t>
            </w:r>
          </w:p>
        </w:tc>
        <w:tc>
          <w:tcPr>
            <w:tcW w:w="4537" w:type="dxa"/>
          </w:tcPr>
          <w:p w14:paraId="4B4FEC2A" w14:textId="77777777" w:rsidR="000571FF" w:rsidRPr="000571FF" w:rsidRDefault="000571FF" w:rsidP="000571FF">
            <w:pPr>
              <w:pStyle w:val="TableofFigures"/>
            </w:pPr>
            <w:r w:rsidRPr="000571FF">
              <w:t xml:space="preserve">100% </w:t>
            </w:r>
          </w:p>
        </w:tc>
      </w:tr>
      <w:tr w:rsidR="000571FF" w14:paraId="65C3FBBE" w14:textId="77777777" w:rsidTr="0052081B">
        <w:tc>
          <w:tcPr>
            <w:tcW w:w="9412" w:type="dxa"/>
          </w:tcPr>
          <w:p w14:paraId="0087C1DC" w14:textId="77777777" w:rsidR="000571FF" w:rsidRPr="000571FF" w:rsidRDefault="000571FF" w:rsidP="000571FF">
            <w:pPr>
              <w:pStyle w:val="TableofFigures"/>
            </w:pPr>
            <w:r w:rsidRPr="000571FF">
              <w:t xml:space="preserve">Proportion of people surveyed who believe the relationship with Aboriginal people is important. </w:t>
            </w:r>
          </w:p>
        </w:tc>
        <w:tc>
          <w:tcPr>
            <w:tcW w:w="4537" w:type="dxa"/>
          </w:tcPr>
          <w:p w14:paraId="7324CC71" w14:textId="77777777" w:rsidR="000571FF" w:rsidRPr="000571FF" w:rsidRDefault="000571FF" w:rsidP="000571FF">
            <w:pPr>
              <w:pStyle w:val="TableofFigures"/>
            </w:pPr>
            <w:r w:rsidRPr="000571FF">
              <w:t xml:space="preserve">100% </w:t>
            </w:r>
          </w:p>
        </w:tc>
      </w:tr>
      <w:tr w:rsidR="000571FF" w14:paraId="7A06150E" w14:textId="77777777" w:rsidTr="0052081B">
        <w:tc>
          <w:tcPr>
            <w:tcW w:w="9412" w:type="dxa"/>
          </w:tcPr>
          <w:p w14:paraId="2A9D9499" w14:textId="77777777" w:rsidR="000571FF" w:rsidRPr="000571FF" w:rsidRDefault="000571FF" w:rsidP="000571FF">
            <w:pPr>
              <w:pStyle w:val="TableofFigures"/>
            </w:pPr>
            <w:r w:rsidRPr="000571FF">
              <w:t xml:space="preserve">Delivery of the City of Melbourne’s Reconciliation Action Plan. </w:t>
            </w:r>
          </w:p>
        </w:tc>
        <w:tc>
          <w:tcPr>
            <w:tcW w:w="4537" w:type="dxa"/>
          </w:tcPr>
          <w:p w14:paraId="7A5A6C9F" w14:textId="77777777" w:rsidR="000571FF" w:rsidRPr="000571FF" w:rsidRDefault="000571FF" w:rsidP="000571FF">
            <w:pPr>
              <w:pStyle w:val="TableofFigures"/>
            </w:pPr>
            <w:r w:rsidRPr="000571FF">
              <w:t xml:space="preserve">100% </w:t>
            </w:r>
          </w:p>
        </w:tc>
      </w:tr>
      <w:tr w:rsidR="000571FF" w14:paraId="7FE81AF8" w14:textId="77777777" w:rsidTr="0052081B">
        <w:tc>
          <w:tcPr>
            <w:tcW w:w="9412" w:type="dxa"/>
          </w:tcPr>
          <w:p w14:paraId="5662BFAF" w14:textId="77777777" w:rsidR="000571FF" w:rsidRPr="000571FF" w:rsidRDefault="000571FF" w:rsidP="000571FF">
            <w:pPr>
              <w:pStyle w:val="TableofFigures"/>
            </w:pPr>
            <w:r w:rsidRPr="000571FF">
              <w:t xml:space="preserve">Level of involvement of Traditional Custodians in city governance. </w:t>
            </w:r>
          </w:p>
        </w:tc>
        <w:tc>
          <w:tcPr>
            <w:tcW w:w="4537" w:type="dxa"/>
          </w:tcPr>
          <w:p w14:paraId="25607152" w14:textId="77777777" w:rsidR="000571FF" w:rsidRPr="000571FF" w:rsidRDefault="000571FF" w:rsidP="000571FF">
            <w:pPr>
              <w:pStyle w:val="TableofFigures"/>
            </w:pPr>
            <w:r w:rsidRPr="000571FF">
              <w:t xml:space="preserve">Increase </w:t>
            </w:r>
          </w:p>
        </w:tc>
      </w:tr>
    </w:tbl>
    <w:p w14:paraId="065FA78A" w14:textId="77777777" w:rsidR="005735E1" w:rsidRDefault="0038645E" w:rsidP="00004EFF">
      <w:pPr>
        <w:pStyle w:val="Heading1"/>
      </w:pPr>
      <w:r>
        <w:rPr>
          <w:rFonts w:hint="eastAsia"/>
        </w:rPr>
        <w:br w:type="page"/>
      </w:r>
      <w:bookmarkStart w:id="22" w:name="_Toc192746249"/>
      <w:r w:rsidR="005735E1" w:rsidRPr="005735E1">
        <w:lastRenderedPageBreak/>
        <w:t>Climate and biodiversity emergency</w:t>
      </w:r>
      <w:bookmarkEnd w:id="22"/>
    </w:p>
    <w:p w14:paraId="1EAB0DF6" w14:textId="77777777" w:rsidR="0038645E" w:rsidRPr="0038645E" w:rsidRDefault="0038645E" w:rsidP="0038645E">
      <w:r w:rsidRPr="0038645E">
        <w:t>Over the next four years, we will prioritise our environment and take urgent action to reduce emissions and waste in order to protect public health, strengthen the economy and create a city that mitigates and adapts to climate change. The City of Melbourne declared a climate and biodiversity emergency in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4062"/>
      </w:tblGrid>
      <w:tr w:rsidR="005735E1" w14:paraId="59D9F56D" w14:textId="77777777" w:rsidTr="00004EFF">
        <w:tc>
          <w:tcPr>
            <w:tcW w:w="14062" w:type="dxa"/>
            <w:shd w:val="clear" w:color="auto" w:fill="auto"/>
          </w:tcPr>
          <w:p w14:paraId="23434C05" w14:textId="77777777" w:rsidR="009E6BAD" w:rsidRPr="00D367C9" w:rsidRDefault="009E6BAD" w:rsidP="009E6BAD">
            <w:pPr>
              <w:pStyle w:val="Heading2"/>
              <w:spacing w:before="0"/>
            </w:pPr>
            <w:bookmarkStart w:id="23" w:name="_Toc192746250"/>
            <w:r w:rsidRPr="00D367C9">
              <w:t xml:space="preserve">Highlights for quarter </w:t>
            </w:r>
            <w:r w:rsidR="003E4B56">
              <w:t>one</w:t>
            </w:r>
            <w:r w:rsidRPr="00D367C9">
              <w:t xml:space="preserve"> (</w:t>
            </w:r>
            <w:r w:rsidR="00720E0C">
              <w:t>July to September</w:t>
            </w:r>
            <w:r w:rsidRPr="00D367C9">
              <w:t xml:space="preserve"> 202</w:t>
            </w:r>
            <w:r w:rsidR="003E4B56">
              <w:t>4</w:t>
            </w:r>
            <w:r w:rsidRPr="00D367C9">
              <w:t>)</w:t>
            </w:r>
            <w:bookmarkEnd w:id="23"/>
          </w:p>
          <w:p w14:paraId="67C81163" w14:textId="77777777" w:rsidR="00030407" w:rsidRDefault="00030407" w:rsidP="00030407">
            <w:r>
              <w:t>Research on financial models for long-term funding of resilience projects has been completed, with advocacy for federal government support underway. The next step is building partnerships with the insurance and financial sectors in early 2025.</w:t>
            </w:r>
          </w:p>
          <w:p w14:paraId="014FFE4D" w14:textId="77777777" w:rsidR="00030407" w:rsidRDefault="00030407" w:rsidP="00030407">
            <w:r>
              <w:t>The Youth Climate Action Grants were awarded in September, supporting youth-led climate projects. Advocacy on mandatory climate reporting and building emissions standards is progressing, with potential federal policy adoption.</w:t>
            </w:r>
          </w:p>
          <w:p w14:paraId="74DB82B2" w14:textId="77777777" w:rsidR="00030407" w:rsidRDefault="00030407" w:rsidP="00030407">
            <w:r>
              <w:t>The Melbourne Climate Network (MCN) has grown to over 500 members, hosting events like the Climate Investor Forum and partnering with the University of Melbourne on climate leadership. MCN's online presence has expanded, and its governance has shifted to focus on corporate engagement.</w:t>
            </w:r>
          </w:p>
          <w:p w14:paraId="2431E5BF" w14:textId="77777777" w:rsidR="00030407" w:rsidRDefault="00030407" w:rsidP="00030407">
            <w:r>
              <w:t>In August, the Sustainable Building Design Amendment C376 was presented at a two-day Victorian Planning Panel Hearing. The Urban Land Institute provided a final report on a zero-carbon precinct, with recommendations under evaluation. City of Melbourne also supported the expansion of the Commercial Building Disclosure Act, requesting biannual disclosures, and completed a desktop study on global regulatory schemes for Retrofit Melbourne.</w:t>
            </w:r>
          </w:p>
          <w:p w14:paraId="294791CD" w14:textId="77777777" w:rsidR="00030407" w:rsidRDefault="00030407" w:rsidP="00030407">
            <w:r>
              <w:t>The Urban Forest Strategy is on track, with planning for next year’s tree planting season underway. Urban forest precinct plans are being developed for several areas, with draft plans prepared for Kensington, North and West Melbourne, and Docklands. Community consultations for Southbank, Parkville, and Fishermans Bend are in progress.</w:t>
            </w:r>
          </w:p>
          <w:p w14:paraId="39B12EE7" w14:textId="77777777" w:rsidR="00030407" w:rsidRDefault="00030407" w:rsidP="00030407">
            <w:r>
              <w:t>A waste reduction and recycling education campaign is in development, awaiting finalisation of the Victorian Government's Household Waste and Recycling Service Standard. Plans for a high-rise food organics recycling service and a glass recycling service are also progressing, with implementation plans expected by the end of October 2024. Work on the Kensington Circular Economy Precinct is ongoing, and recruitment of businesses in North and West Melbourne has begun.</w:t>
            </w:r>
          </w:p>
          <w:p w14:paraId="5D612E0E" w14:textId="77777777" w:rsidR="00030407" w:rsidRDefault="00030407" w:rsidP="00030407">
            <w:r>
              <w:t>Batteries for renewable energy storage have been installed at CH1 and Boyd, with commissioning expected by November 2024, though fire mitigation requirements have caused delays. A third battery at Library at the Dock is scheduled for operation by February 2025. City of Melbourne is also awaiting federal funding approval to release a tender for upgrades at Carlton Baths and North Melbourne Recreation Centre.</w:t>
            </w:r>
          </w:p>
          <w:p w14:paraId="7430BCA1" w14:textId="77777777" w:rsidR="00030407" w:rsidRDefault="00030407" w:rsidP="00030407">
            <w:r>
              <w:t xml:space="preserve">The City of Melbourne is updating street cleaning and graffiti removal contracts to require EV fleet reporting and aims to transition its corporate fleet, </w:t>
            </w:r>
            <w:r>
              <w:lastRenderedPageBreak/>
              <w:t>currently at 50.8% EVs</w:t>
            </w:r>
            <w:r w:rsidRPr="00D367C9">
              <w:t xml:space="preserve"> </w:t>
            </w:r>
          </w:p>
          <w:p w14:paraId="0CC15BC3" w14:textId="77777777" w:rsidR="001F471F" w:rsidRPr="00D367C9" w:rsidRDefault="001F471F" w:rsidP="00030407">
            <w:pPr>
              <w:pStyle w:val="Heading2"/>
            </w:pPr>
            <w:bookmarkStart w:id="24" w:name="_Toc192746251"/>
            <w:r w:rsidRPr="00D367C9">
              <w:t>Our progress</w:t>
            </w:r>
            <w:bookmarkEnd w:id="24"/>
            <w:r w:rsidRPr="00D367C9">
              <w:t xml:space="preserve"> </w:t>
            </w:r>
          </w:p>
          <w:p w14:paraId="70E9F146" w14:textId="77777777" w:rsidR="005735E1" w:rsidRPr="00D367C9" w:rsidRDefault="00030407" w:rsidP="00FE25AB">
            <w:pPr>
              <w:spacing w:after="0"/>
            </w:pPr>
            <w:r w:rsidRPr="003D6D4A">
              <w:rPr>
                <w:rFonts w:eastAsia="Cambria"/>
                <w:bCs/>
              </w:rPr>
              <w:t>No significant issues have impacted on our progress this quarter towards meeting our target outcomes.</w:t>
            </w:r>
          </w:p>
        </w:tc>
      </w:tr>
    </w:tbl>
    <w:p w14:paraId="19A93F20" w14:textId="77777777" w:rsidR="00FE25AB" w:rsidRDefault="00FE25AB" w:rsidP="005735E1">
      <w:pPr>
        <w:pStyle w:val="Heading2"/>
        <w:rPr>
          <w:rFonts w:hint="eastAsia"/>
        </w:rPr>
      </w:pPr>
    </w:p>
    <w:p w14:paraId="0CE77104" w14:textId="77777777" w:rsidR="005735E1" w:rsidRPr="00784FF6" w:rsidRDefault="00FE25AB" w:rsidP="005735E1">
      <w:pPr>
        <w:pStyle w:val="Heading2"/>
      </w:pPr>
      <w:r>
        <w:rPr>
          <w:rFonts w:hint="eastAsia"/>
        </w:rPr>
        <w:br w:type="page"/>
      </w:r>
      <w:bookmarkStart w:id="25" w:name="_Toc192746252"/>
      <w:r w:rsidR="005735E1" w:rsidRPr="00784FF6">
        <w:lastRenderedPageBreak/>
        <w:t>The major initiatives we’re delivering this year</w:t>
      </w:r>
      <w:bookmarkEnd w:id="25"/>
      <w:r w:rsidR="005735E1"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1F471F" w14:paraId="28FB465B" w14:textId="77777777" w:rsidTr="0052081B">
        <w:trPr>
          <w:tblHeader/>
        </w:trPr>
        <w:tc>
          <w:tcPr>
            <w:tcW w:w="9412" w:type="dxa"/>
            <w:shd w:val="clear" w:color="auto" w:fill="auto"/>
          </w:tcPr>
          <w:p w14:paraId="25E75762" w14:textId="77777777" w:rsidR="001F471F" w:rsidRPr="0038645E" w:rsidRDefault="001F471F" w:rsidP="001F471F">
            <w:pPr>
              <w:pStyle w:val="TableofFigures"/>
              <w:rPr>
                <w:b/>
              </w:rPr>
            </w:pPr>
            <w:r w:rsidRPr="0038645E">
              <w:rPr>
                <w:b/>
              </w:rPr>
              <w:t>Initiative</w:t>
            </w:r>
          </w:p>
        </w:tc>
        <w:tc>
          <w:tcPr>
            <w:tcW w:w="2268" w:type="dxa"/>
            <w:shd w:val="clear" w:color="auto" w:fill="auto"/>
          </w:tcPr>
          <w:p w14:paraId="37101588" w14:textId="77777777" w:rsidR="001F471F" w:rsidRPr="0038645E" w:rsidRDefault="001F471F" w:rsidP="001F471F">
            <w:pPr>
              <w:pStyle w:val="TableofFigures"/>
              <w:rPr>
                <w:b/>
              </w:rPr>
            </w:pPr>
            <w:r w:rsidRPr="0038645E">
              <w:rPr>
                <w:b/>
              </w:rPr>
              <w:t>Council’s role</w:t>
            </w:r>
          </w:p>
        </w:tc>
        <w:tc>
          <w:tcPr>
            <w:tcW w:w="2268" w:type="dxa"/>
            <w:shd w:val="clear" w:color="auto" w:fill="auto"/>
          </w:tcPr>
          <w:p w14:paraId="7F16CE74" w14:textId="77777777" w:rsidR="001F471F" w:rsidRPr="0038645E" w:rsidRDefault="001F471F" w:rsidP="001F471F">
            <w:pPr>
              <w:pStyle w:val="TableofFigures"/>
              <w:rPr>
                <w:b/>
              </w:rPr>
            </w:pPr>
            <w:r w:rsidRPr="0038645E">
              <w:rPr>
                <w:b/>
              </w:rPr>
              <w:t>Our progress</w:t>
            </w:r>
          </w:p>
        </w:tc>
      </w:tr>
      <w:tr w:rsidR="001F471F" w14:paraId="7E2EA8F2" w14:textId="77777777" w:rsidTr="0052081B">
        <w:tc>
          <w:tcPr>
            <w:tcW w:w="9412" w:type="dxa"/>
            <w:shd w:val="clear" w:color="auto" w:fill="auto"/>
          </w:tcPr>
          <w:p w14:paraId="4AC6E19B" w14:textId="77777777" w:rsidR="001F471F" w:rsidRPr="001F471F" w:rsidRDefault="001F471F" w:rsidP="001F471F">
            <w:pPr>
              <w:pStyle w:val="Default"/>
              <w:spacing w:line="276" w:lineRule="auto"/>
              <w:rPr>
                <w:sz w:val="20"/>
                <w:szCs w:val="20"/>
              </w:rPr>
            </w:pPr>
            <w:r w:rsidRPr="001F471F">
              <w:rPr>
                <w:color w:val="252525"/>
                <w:sz w:val="20"/>
                <w:szCs w:val="20"/>
              </w:rPr>
              <w:t xml:space="preserve">To enhance Melbourne’s position as a global leader on climate action, we will undertake bold advocacy on behalf of our community. </w:t>
            </w:r>
          </w:p>
        </w:tc>
        <w:tc>
          <w:tcPr>
            <w:tcW w:w="2268" w:type="dxa"/>
            <w:shd w:val="clear" w:color="auto" w:fill="auto"/>
          </w:tcPr>
          <w:p w14:paraId="4AC9DB43" w14:textId="77777777" w:rsidR="001F471F" w:rsidRPr="001F471F" w:rsidRDefault="001F471F" w:rsidP="001F471F">
            <w:pPr>
              <w:pStyle w:val="Default"/>
              <w:spacing w:line="276" w:lineRule="auto"/>
              <w:rPr>
                <w:sz w:val="20"/>
                <w:szCs w:val="20"/>
              </w:rPr>
            </w:pPr>
            <w:r w:rsidRPr="001F471F">
              <w:rPr>
                <w:color w:val="252525"/>
                <w:sz w:val="20"/>
                <w:szCs w:val="20"/>
              </w:rPr>
              <w:t xml:space="preserve">Deliver </w:t>
            </w:r>
          </w:p>
        </w:tc>
        <w:tc>
          <w:tcPr>
            <w:tcW w:w="2268" w:type="dxa"/>
            <w:shd w:val="clear" w:color="auto" w:fill="auto"/>
          </w:tcPr>
          <w:p w14:paraId="3CED7F05" w14:textId="77777777" w:rsidR="001F471F" w:rsidRPr="001F471F" w:rsidRDefault="001F471F" w:rsidP="001F471F">
            <w:pPr>
              <w:pStyle w:val="Default"/>
              <w:spacing w:line="276" w:lineRule="auto"/>
              <w:rPr>
                <w:color w:val="auto"/>
                <w:sz w:val="20"/>
                <w:szCs w:val="20"/>
              </w:rPr>
            </w:pPr>
            <w:r w:rsidRPr="001F471F">
              <w:rPr>
                <w:color w:val="auto"/>
                <w:sz w:val="20"/>
                <w:szCs w:val="20"/>
              </w:rPr>
              <w:t>On tr</w:t>
            </w:r>
            <w:r>
              <w:rPr>
                <w:color w:val="auto"/>
                <w:sz w:val="20"/>
                <w:szCs w:val="20"/>
              </w:rPr>
              <w:t>ack</w:t>
            </w:r>
          </w:p>
        </w:tc>
      </w:tr>
      <w:tr w:rsidR="001F471F" w14:paraId="3A6D13B3" w14:textId="77777777" w:rsidTr="0052081B">
        <w:tc>
          <w:tcPr>
            <w:tcW w:w="9412" w:type="dxa"/>
            <w:shd w:val="clear" w:color="auto" w:fill="auto"/>
          </w:tcPr>
          <w:p w14:paraId="5F144CB7" w14:textId="77777777" w:rsidR="001F471F" w:rsidRPr="001F471F" w:rsidRDefault="001F471F" w:rsidP="001F471F">
            <w:pPr>
              <w:pStyle w:val="Default"/>
              <w:spacing w:line="276" w:lineRule="auto"/>
              <w:rPr>
                <w:sz w:val="20"/>
                <w:szCs w:val="20"/>
              </w:rPr>
            </w:pPr>
            <w:r w:rsidRPr="001F471F">
              <w:rPr>
                <w:color w:val="252525"/>
                <w:sz w:val="20"/>
                <w:szCs w:val="20"/>
              </w:rPr>
              <w:t xml:space="preserve">Create an enabling environment for Melbourne businesses and universities to become the employment centre of a resilient zero-carbon economy. </w:t>
            </w:r>
          </w:p>
        </w:tc>
        <w:tc>
          <w:tcPr>
            <w:tcW w:w="2268" w:type="dxa"/>
            <w:shd w:val="clear" w:color="auto" w:fill="auto"/>
          </w:tcPr>
          <w:p w14:paraId="28CFEB9D" w14:textId="77777777" w:rsidR="001F471F" w:rsidRPr="001F471F" w:rsidRDefault="001F471F" w:rsidP="001F471F">
            <w:pPr>
              <w:pStyle w:val="Default"/>
              <w:spacing w:line="276" w:lineRule="auto"/>
              <w:rPr>
                <w:sz w:val="20"/>
                <w:szCs w:val="20"/>
              </w:rPr>
            </w:pPr>
            <w:r w:rsidRPr="001F471F">
              <w:rPr>
                <w:color w:val="252525"/>
                <w:sz w:val="20"/>
                <w:szCs w:val="20"/>
              </w:rPr>
              <w:t xml:space="preserve">Deliver </w:t>
            </w:r>
          </w:p>
        </w:tc>
        <w:tc>
          <w:tcPr>
            <w:tcW w:w="2268" w:type="dxa"/>
            <w:shd w:val="clear" w:color="auto" w:fill="auto"/>
          </w:tcPr>
          <w:p w14:paraId="4B8EA56D" w14:textId="77777777" w:rsidR="001F471F" w:rsidRPr="001F471F" w:rsidRDefault="001F471F" w:rsidP="001F471F">
            <w:pPr>
              <w:pStyle w:val="Default"/>
              <w:spacing w:line="276" w:lineRule="auto"/>
              <w:rPr>
                <w:color w:val="auto"/>
                <w:sz w:val="20"/>
                <w:szCs w:val="20"/>
              </w:rPr>
            </w:pPr>
            <w:r w:rsidRPr="001F471F">
              <w:rPr>
                <w:color w:val="auto"/>
                <w:sz w:val="20"/>
                <w:szCs w:val="20"/>
              </w:rPr>
              <w:t xml:space="preserve">On track </w:t>
            </w:r>
          </w:p>
        </w:tc>
      </w:tr>
      <w:tr w:rsidR="001F471F" w14:paraId="00728E58" w14:textId="77777777" w:rsidTr="0052081B">
        <w:tc>
          <w:tcPr>
            <w:tcW w:w="9412" w:type="dxa"/>
            <w:shd w:val="clear" w:color="auto" w:fill="auto"/>
          </w:tcPr>
          <w:p w14:paraId="05999059" w14:textId="77777777" w:rsidR="001F471F" w:rsidRPr="000571FF" w:rsidRDefault="001F471F" w:rsidP="001F471F">
            <w:pPr>
              <w:pStyle w:val="TableofFigures"/>
            </w:pPr>
            <w:r w:rsidRPr="001F471F">
              <w:t>Progress a planning scheme amendment to improve the environmental performance of buildings in order to reduce emissions to zero by 2040.</w:t>
            </w:r>
          </w:p>
        </w:tc>
        <w:tc>
          <w:tcPr>
            <w:tcW w:w="2268" w:type="dxa"/>
            <w:shd w:val="clear" w:color="auto" w:fill="auto"/>
          </w:tcPr>
          <w:p w14:paraId="6F436365" w14:textId="77777777" w:rsidR="001F471F" w:rsidRDefault="001F471F" w:rsidP="001F471F">
            <w:pPr>
              <w:pStyle w:val="TableofFigures"/>
            </w:pPr>
            <w:r>
              <w:t>Deliver</w:t>
            </w:r>
          </w:p>
          <w:p w14:paraId="07491B52" w14:textId="77777777" w:rsidR="001F471F" w:rsidRPr="000571FF" w:rsidRDefault="001F471F" w:rsidP="001F471F">
            <w:pPr>
              <w:pStyle w:val="TableofFigures"/>
            </w:pPr>
            <w:r>
              <w:t>Partner</w:t>
            </w:r>
          </w:p>
        </w:tc>
        <w:tc>
          <w:tcPr>
            <w:tcW w:w="2268" w:type="dxa"/>
            <w:shd w:val="clear" w:color="auto" w:fill="auto"/>
          </w:tcPr>
          <w:p w14:paraId="1AA9D58F" w14:textId="77777777" w:rsidR="001F471F" w:rsidRPr="001F471F" w:rsidRDefault="00AF715F" w:rsidP="001F471F">
            <w:pPr>
              <w:pStyle w:val="TableofFigures"/>
            </w:pPr>
            <w:r w:rsidRPr="001F471F">
              <w:rPr>
                <w:szCs w:val="20"/>
              </w:rPr>
              <w:t>On track</w:t>
            </w:r>
          </w:p>
        </w:tc>
      </w:tr>
      <w:tr w:rsidR="001F471F" w14:paraId="6C083491" w14:textId="77777777" w:rsidTr="0052081B">
        <w:tc>
          <w:tcPr>
            <w:tcW w:w="9412" w:type="dxa"/>
            <w:shd w:val="clear" w:color="auto" w:fill="auto"/>
          </w:tcPr>
          <w:p w14:paraId="45CB6CB5" w14:textId="77777777" w:rsidR="001F471F" w:rsidRPr="000571FF" w:rsidRDefault="001F471F" w:rsidP="001F471F">
            <w:pPr>
              <w:pStyle w:val="TableofFigures"/>
            </w:pPr>
            <w:r w:rsidRPr="001F471F">
              <w:t xml:space="preserve">Deliver on our </w:t>
            </w:r>
            <w:r w:rsidRPr="001F471F">
              <w:rPr>
                <w:rFonts w:cs="Arial"/>
                <w:color w:val="0000FF"/>
                <w:szCs w:val="20"/>
                <w:lang w:val="en-AU" w:eastAsia="en-AU"/>
              </w:rPr>
              <w:t>Urban Forest Strategy</w:t>
            </w:r>
            <w:r>
              <w:rPr>
                <w:rStyle w:val="FootnoteReference"/>
              </w:rPr>
              <w:footnoteReference w:id="12"/>
            </w:r>
            <w:r w:rsidRPr="001F471F">
              <w:t xml:space="preserve"> including tree canopy, private greening incentives and city greening.</w:t>
            </w:r>
          </w:p>
        </w:tc>
        <w:tc>
          <w:tcPr>
            <w:tcW w:w="2268" w:type="dxa"/>
            <w:shd w:val="clear" w:color="auto" w:fill="auto"/>
          </w:tcPr>
          <w:p w14:paraId="28163213" w14:textId="77777777" w:rsidR="001F471F" w:rsidRPr="000571FF" w:rsidRDefault="001F471F" w:rsidP="001F471F">
            <w:pPr>
              <w:pStyle w:val="TableofFigures"/>
            </w:pPr>
            <w:r>
              <w:t>Partner</w:t>
            </w:r>
          </w:p>
        </w:tc>
        <w:tc>
          <w:tcPr>
            <w:tcW w:w="2268" w:type="dxa"/>
            <w:shd w:val="clear" w:color="auto" w:fill="auto"/>
          </w:tcPr>
          <w:p w14:paraId="768BCB6E" w14:textId="77777777" w:rsidR="001F471F" w:rsidRPr="001F471F" w:rsidRDefault="001F471F" w:rsidP="001F471F">
            <w:pPr>
              <w:pStyle w:val="TableofFigures"/>
            </w:pPr>
            <w:r>
              <w:t>On track</w:t>
            </w:r>
          </w:p>
        </w:tc>
      </w:tr>
      <w:tr w:rsidR="001F471F" w14:paraId="73BFBAB1" w14:textId="77777777" w:rsidTr="0052081B">
        <w:tc>
          <w:tcPr>
            <w:tcW w:w="9412" w:type="dxa"/>
          </w:tcPr>
          <w:p w14:paraId="11D59763" w14:textId="77777777" w:rsidR="001F471F" w:rsidRPr="001F471F" w:rsidRDefault="001F471F" w:rsidP="001F471F">
            <w:pPr>
              <w:pStyle w:val="Default"/>
              <w:spacing w:line="276" w:lineRule="auto"/>
              <w:rPr>
                <w:sz w:val="20"/>
                <w:szCs w:val="20"/>
              </w:rPr>
            </w:pPr>
            <w:r w:rsidRPr="001F471F">
              <w:rPr>
                <w:color w:val="252525"/>
                <w:sz w:val="20"/>
                <w:szCs w:val="20"/>
              </w:rPr>
              <w:t xml:space="preserve">Lead the reduction of food waste and diversion of waste from landfill, by continuing the Food Organics, Green Organics rollout through high-rise apartment innovation and by addressing food-waste reduction. </w:t>
            </w:r>
          </w:p>
        </w:tc>
        <w:tc>
          <w:tcPr>
            <w:tcW w:w="2268" w:type="dxa"/>
          </w:tcPr>
          <w:p w14:paraId="4A1D7C6B" w14:textId="77777777" w:rsidR="001F471F" w:rsidRPr="001F471F" w:rsidRDefault="001F471F" w:rsidP="001F471F">
            <w:pPr>
              <w:pStyle w:val="Default"/>
              <w:spacing w:line="276" w:lineRule="auto"/>
              <w:rPr>
                <w:sz w:val="20"/>
                <w:szCs w:val="20"/>
              </w:rPr>
            </w:pPr>
            <w:r w:rsidRPr="001F471F">
              <w:rPr>
                <w:color w:val="252525"/>
                <w:sz w:val="20"/>
                <w:szCs w:val="20"/>
              </w:rPr>
              <w:t xml:space="preserve">Deliver </w:t>
            </w:r>
          </w:p>
          <w:p w14:paraId="683AEB56" w14:textId="77777777" w:rsidR="001F471F" w:rsidRPr="001F471F" w:rsidRDefault="001F471F" w:rsidP="001F471F">
            <w:pPr>
              <w:pStyle w:val="Default"/>
              <w:spacing w:line="276" w:lineRule="auto"/>
              <w:rPr>
                <w:color w:val="252525"/>
                <w:sz w:val="20"/>
                <w:szCs w:val="20"/>
              </w:rPr>
            </w:pPr>
            <w:r w:rsidRPr="001F471F">
              <w:rPr>
                <w:color w:val="252525"/>
                <w:sz w:val="20"/>
                <w:szCs w:val="20"/>
              </w:rPr>
              <w:t xml:space="preserve">Partner </w:t>
            </w:r>
          </w:p>
        </w:tc>
        <w:tc>
          <w:tcPr>
            <w:tcW w:w="2268" w:type="dxa"/>
          </w:tcPr>
          <w:p w14:paraId="3763339C" w14:textId="77777777" w:rsidR="001F471F" w:rsidRPr="001F471F" w:rsidRDefault="002B3919" w:rsidP="001F471F">
            <w:pPr>
              <w:pStyle w:val="Default"/>
              <w:spacing w:line="276" w:lineRule="auto"/>
              <w:rPr>
                <w:color w:val="auto"/>
                <w:sz w:val="20"/>
                <w:szCs w:val="20"/>
              </w:rPr>
            </w:pPr>
            <w:r w:rsidRPr="002B3919">
              <w:rPr>
                <w:rFonts w:cs="Times New Roman"/>
                <w:color w:val="auto"/>
                <w:sz w:val="20"/>
                <w:lang w:val="en-US" w:eastAsia="en-US"/>
              </w:rPr>
              <w:t>On track</w:t>
            </w:r>
          </w:p>
        </w:tc>
      </w:tr>
      <w:tr w:rsidR="001F471F" w14:paraId="13B6DAF6" w14:textId="77777777" w:rsidTr="0052081B">
        <w:tc>
          <w:tcPr>
            <w:tcW w:w="9412" w:type="dxa"/>
          </w:tcPr>
          <w:p w14:paraId="1D69FC08" w14:textId="77777777" w:rsidR="001F471F" w:rsidRPr="001F471F" w:rsidRDefault="001F471F" w:rsidP="001F471F">
            <w:pPr>
              <w:pStyle w:val="Default"/>
              <w:spacing w:line="276" w:lineRule="auto"/>
              <w:rPr>
                <w:sz w:val="20"/>
                <w:szCs w:val="20"/>
              </w:rPr>
            </w:pPr>
            <w:r w:rsidRPr="001F471F">
              <w:rPr>
                <w:color w:val="252525"/>
                <w:sz w:val="20"/>
                <w:szCs w:val="20"/>
              </w:rPr>
              <w:t xml:space="preserve">Support the development of a circular economy through bold leadership and community neighbourhood projects, including the container deposit scheme, alternative waste technologies, circular economy guidelines and partnered or aggregated demand to stimulate end markets. </w:t>
            </w:r>
          </w:p>
        </w:tc>
        <w:tc>
          <w:tcPr>
            <w:tcW w:w="2268" w:type="dxa"/>
          </w:tcPr>
          <w:p w14:paraId="05F68FC2" w14:textId="77777777" w:rsidR="001F471F" w:rsidRPr="001F471F" w:rsidRDefault="001F471F" w:rsidP="001F471F">
            <w:pPr>
              <w:pStyle w:val="Default"/>
              <w:spacing w:line="276" w:lineRule="auto"/>
              <w:rPr>
                <w:sz w:val="20"/>
                <w:szCs w:val="20"/>
              </w:rPr>
            </w:pPr>
            <w:r w:rsidRPr="001F471F">
              <w:rPr>
                <w:color w:val="252525"/>
                <w:sz w:val="20"/>
                <w:szCs w:val="20"/>
              </w:rPr>
              <w:t xml:space="preserve">Deliver </w:t>
            </w:r>
          </w:p>
        </w:tc>
        <w:tc>
          <w:tcPr>
            <w:tcW w:w="2268" w:type="dxa"/>
          </w:tcPr>
          <w:p w14:paraId="5EF5B893" w14:textId="77777777" w:rsidR="001F471F" w:rsidRPr="001F471F" w:rsidRDefault="001F471F" w:rsidP="001F471F">
            <w:pPr>
              <w:pStyle w:val="Default"/>
              <w:spacing w:line="276" w:lineRule="auto"/>
              <w:rPr>
                <w:color w:val="auto"/>
                <w:sz w:val="20"/>
                <w:szCs w:val="20"/>
              </w:rPr>
            </w:pPr>
            <w:r w:rsidRPr="001F471F">
              <w:rPr>
                <w:color w:val="auto"/>
                <w:sz w:val="20"/>
                <w:szCs w:val="20"/>
              </w:rPr>
              <w:t xml:space="preserve">On track </w:t>
            </w:r>
          </w:p>
        </w:tc>
      </w:tr>
      <w:tr w:rsidR="001F471F" w14:paraId="377A570B" w14:textId="77777777" w:rsidTr="0052081B">
        <w:tc>
          <w:tcPr>
            <w:tcW w:w="9412" w:type="dxa"/>
          </w:tcPr>
          <w:p w14:paraId="68FAD6FF" w14:textId="77777777" w:rsidR="001F471F" w:rsidRPr="001F471F" w:rsidRDefault="001F471F" w:rsidP="001F471F">
            <w:pPr>
              <w:pStyle w:val="Default"/>
              <w:spacing w:line="276" w:lineRule="auto"/>
              <w:rPr>
                <w:sz w:val="20"/>
                <w:szCs w:val="20"/>
              </w:rPr>
            </w:pPr>
            <w:r w:rsidRPr="001F471F">
              <w:rPr>
                <w:color w:val="252525"/>
                <w:sz w:val="20"/>
                <w:szCs w:val="20"/>
              </w:rPr>
              <w:t xml:space="preserve">Support the development of battery storage and renewable energy in the municipality through the Power Melbourne initiative. </w:t>
            </w:r>
          </w:p>
        </w:tc>
        <w:tc>
          <w:tcPr>
            <w:tcW w:w="2268" w:type="dxa"/>
          </w:tcPr>
          <w:p w14:paraId="7A16E759" w14:textId="77777777" w:rsidR="001F471F" w:rsidRPr="001F471F" w:rsidRDefault="001F471F" w:rsidP="001F471F">
            <w:pPr>
              <w:pStyle w:val="Default"/>
              <w:spacing w:line="276" w:lineRule="auto"/>
              <w:rPr>
                <w:sz w:val="20"/>
                <w:szCs w:val="20"/>
              </w:rPr>
            </w:pPr>
            <w:r w:rsidRPr="001F471F">
              <w:rPr>
                <w:color w:val="252525"/>
                <w:sz w:val="20"/>
                <w:szCs w:val="20"/>
              </w:rPr>
              <w:t xml:space="preserve">Partner </w:t>
            </w:r>
          </w:p>
          <w:p w14:paraId="5BB6450E" w14:textId="77777777" w:rsidR="001F471F" w:rsidRPr="001F471F" w:rsidRDefault="001F471F" w:rsidP="001F471F">
            <w:pPr>
              <w:pStyle w:val="Default"/>
              <w:spacing w:line="276" w:lineRule="auto"/>
              <w:rPr>
                <w:color w:val="252525"/>
                <w:sz w:val="20"/>
                <w:szCs w:val="20"/>
              </w:rPr>
            </w:pPr>
            <w:r w:rsidRPr="001F471F">
              <w:rPr>
                <w:color w:val="252525"/>
                <w:sz w:val="20"/>
                <w:szCs w:val="20"/>
              </w:rPr>
              <w:t xml:space="preserve">Advocate </w:t>
            </w:r>
          </w:p>
        </w:tc>
        <w:tc>
          <w:tcPr>
            <w:tcW w:w="2268" w:type="dxa"/>
          </w:tcPr>
          <w:p w14:paraId="7A841082" w14:textId="77777777" w:rsidR="001F471F" w:rsidRPr="001F471F" w:rsidRDefault="00AF715F" w:rsidP="001F471F">
            <w:pPr>
              <w:pStyle w:val="Default"/>
              <w:spacing w:line="276" w:lineRule="auto"/>
              <w:rPr>
                <w:color w:val="auto"/>
                <w:sz w:val="20"/>
                <w:szCs w:val="20"/>
              </w:rPr>
            </w:pPr>
            <w:r w:rsidRPr="00AF715F">
              <w:rPr>
                <w:color w:val="auto"/>
                <w:sz w:val="20"/>
                <w:szCs w:val="20"/>
              </w:rPr>
              <w:t>Delayed</w:t>
            </w:r>
          </w:p>
        </w:tc>
      </w:tr>
      <w:tr w:rsidR="001F471F" w14:paraId="1E45EBD9" w14:textId="77777777" w:rsidTr="0052081B">
        <w:tc>
          <w:tcPr>
            <w:tcW w:w="9412" w:type="dxa"/>
          </w:tcPr>
          <w:p w14:paraId="6B6A18BC" w14:textId="77777777" w:rsidR="001F471F" w:rsidRPr="001F471F" w:rsidRDefault="001F471F" w:rsidP="001F471F">
            <w:pPr>
              <w:pStyle w:val="Default"/>
              <w:spacing w:line="276" w:lineRule="auto"/>
              <w:rPr>
                <w:color w:val="252525"/>
                <w:sz w:val="20"/>
                <w:szCs w:val="20"/>
              </w:rPr>
            </w:pPr>
            <w:r w:rsidRPr="001F471F">
              <w:rPr>
                <w:color w:val="252525"/>
                <w:sz w:val="20"/>
                <w:szCs w:val="20"/>
              </w:rPr>
              <w:t xml:space="preserve">Implement the </w:t>
            </w:r>
            <w:r w:rsidRPr="001F471F">
              <w:rPr>
                <w:color w:val="0000FF"/>
                <w:sz w:val="20"/>
                <w:szCs w:val="20"/>
              </w:rPr>
              <w:t>Climate and Biodiversity Emergency action plan</w:t>
            </w:r>
            <w:r>
              <w:rPr>
                <w:rStyle w:val="FootnoteReference"/>
                <w:color w:val="252525"/>
                <w:sz w:val="20"/>
                <w:szCs w:val="20"/>
              </w:rPr>
              <w:footnoteReference w:id="13"/>
            </w:r>
            <w:r w:rsidRPr="001F471F">
              <w:rPr>
                <w:color w:val="252525"/>
                <w:sz w:val="20"/>
                <w:szCs w:val="20"/>
              </w:rPr>
              <w:t xml:space="preserve">. </w:t>
            </w:r>
          </w:p>
        </w:tc>
        <w:tc>
          <w:tcPr>
            <w:tcW w:w="2268" w:type="dxa"/>
          </w:tcPr>
          <w:p w14:paraId="6043D909" w14:textId="77777777" w:rsidR="001F471F" w:rsidRPr="001F471F" w:rsidRDefault="001F471F" w:rsidP="001F471F">
            <w:pPr>
              <w:pStyle w:val="Default"/>
              <w:spacing w:line="276" w:lineRule="auto"/>
              <w:rPr>
                <w:sz w:val="20"/>
                <w:szCs w:val="20"/>
              </w:rPr>
            </w:pPr>
            <w:r w:rsidRPr="001F471F">
              <w:rPr>
                <w:color w:val="252525"/>
                <w:sz w:val="20"/>
                <w:szCs w:val="20"/>
              </w:rPr>
              <w:t xml:space="preserve">Deliver </w:t>
            </w:r>
          </w:p>
        </w:tc>
        <w:tc>
          <w:tcPr>
            <w:tcW w:w="2268" w:type="dxa"/>
          </w:tcPr>
          <w:p w14:paraId="25EA081C" w14:textId="77777777" w:rsidR="001F471F" w:rsidRPr="001F471F" w:rsidRDefault="001F471F" w:rsidP="001F471F">
            <w:pPr>
              <w:pStyle w:val="Default"/>
              <w:spacing w:line="276" w:lineRule="auto"/>
              <w:rPr>
                <w:color w:val="auto"/>
                <w:sz w:val="20"/>
                <w:szCs w:val="20"/>
              </w:rPr>
            </w:pPr>
            <w:r w:rsidRPr="001F471F">
              <w:rPr>
                <w:color w:val="auto"/>
                <w:sz w:val="20"/>
                <w:szCs w:val="20"/>
              </w:rPr>
              <w:t xml:space="preserve">On track </w:t>
            </w:r>
          </w:p>
        </w:tc>
      </w:tr>
    </w:tbl>
    <w:p w14:paraId="7B7596DB" w14:textId="77777777" w:rsidR="00FE25AB" w:rsidRDefault="00FE25AB" w:rsidP="001F471F">
      <w:pPr>
        <w:pStyle w:val="Heading2"/>
        <w:rPr>
          <w:rFonts w:hint="eastAsia"/>
        </w:rPr>
      </w:pPr>
    </w:p>
    <w:p w14:paraId="69294425" w14:textId="77777777" w:rsidR="001F471F" w:rsidRPr="00CF27A2" w:rsidRDefault="00FE25AB" w:rsidP="001F471F">
      <w:pPr>
        <w:pStyle w:val="Heading2"/>
      </w:pPr>
      <w:r>
        <w:rPr>
          <w:rFonts w:hint="eastAsia"/>
        </w:rPr>
        <w:br w:type="page"/>
      </w:r>
      <w:bookmarkStart w:id="26" w:name="_Toc192746253"/>
      <w:r w:rsidR="001F471F">
        <w:lastRenderedPageBreak/>
        <w:t>How we’re measuring progress over four years</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1F471F" w14:paraId="0CD09322" w14:textId="77777777" w:rsidTr="0052081B">
        <w:trPr>
          <w:tblHeader/>
        </w:trPr>
        <w:tc>
          <w:tcPr>
            <w:tcW w:w="9412" w:type="dxa"/>
            <w:shd w:val="clear" w:color="auto" w:fill="auto"/>
          </w:tcPr>
          <w:p w14:paraId="6F28318E" w14:textId="77777777" w:rsidR="001F471F" w:rsidRPr="00784FF6" w:rsidRDefault="001F471F" w:rsidP="0052081B">
            <w:pPr>
              <w:pStyle w:val="TableofFigures"/>
              <w:rPr>
                <w:b/>
              </w:rPr>
            </w:pPr>
            <w:r>
              <w:rPr>
                <w:b/>
              </w:rPr>
              <w:t>Indicator</w:t>
            </w:r>
          </w:p>
        </w:tc>
        <w:tc>
          <w:tcPr>
            <w:tcW w:w="4537" w:type="dxa"/>
            <w:shd w:val="clear" w:color="auto" w:fill="auto"/>
          </w:tcPr>
          <w:p w14:paraId="740206EC" w14:textId="77777777" w:rsidR="001F471F" w:rsidRPr="00784FF6" w:rsidRDefault="001F471F" w:rsidP="0052081B">
            <w:pPr>
              <w:pStyle w:val="TableofFigures"/>
              <w:rPr>
                <w:b/>
              </w:rPr>
            </w:pPr>
            <w:r>
              <w:rPr>
                <w:b/>
              </w:rPr>
              <w:t>Target outcome</w:t>
            </w:r>
          </w:p>
        </w:tc>
      </w:tr>
      <w:tr w:rsidR="001F471F" w14:paraId="4547F4A5" w14:textId="77777777" w:rsidTr="0052081B">
        <w:tc>
          <w:tcPr>
            <w:tcW w:w="9412" w:type="dxa"/>
          </w:tcPr>
          <w:p w14:paraId="38A93B85" w14:textId="77777777" w:rsidR="001F471F" w:rsidRPr="001F471F" w:rsidRDefault="001F471F" w:rsidP="001F471F">
            <w:pPr>
              <w:pStyle w:val="Default"/>
              <w:spacing w:line="276" w:lineRule="auto"/>
              <w:rPr>
                <w:sz w:val="20"/>
                <w:szCs w:val="18"/>
              </w:rPr>
            </w:pPr>
            <w:r w:rsidRPr="001F471F">
              <w:rPr>
                <w:sz w:val="20"/>
                <w:szCs w:val="18"/>
              </w:rPr>
              <w:t xml:space="preserve">Municipal greenhouse gas emissions. </w:t>
            </w:r>
          </w:p>
        </w:tc>
        <w:tc>
          <w:tcPr>
            <w:tcW w:w="4537" w:type="dxa"/>
          </w:tcPr>
          <w:p w14:paraId="4F5D31AF" w14:textId="77777777" w:rsidR="001F471F" w:rsidRPr="001F471F" w:rsidRDefault="001F471F" w:rsidP="001F471F">
            <w:pPr>
              <w:pStyle w:val="Default"/>
              <w:spacing w:line="276" w:lineRule="auto"/>
              <w:rPr>
                <w:sz w:val="20"/>
                <w:szCs w:val="18"/>
              </w:rPr>
            </w:pPr>
            <w:r w:rsidRPr="001F471F">
              <w:rPr>
                <w:sz w:val="20"/>
                <w:szCs w:val="18"/>
              </w:rPr>
              <w:t xml:space="preserve">33% reduction (from 2015 baseline by 2025) </w:t>
            </w:r>
          </w:p>
        </w:tc>
      </w:tr>
      <w:tr w:rsidR="001F471F" w14:paraId="41C2047E" w14:textId="77777777" w:rsidTr="0052081B">
        <w:tc>
          <w:tcPr>
            <w:tcW w:w="9412" w:type="dxa"/>
          </w:tcPr>
          <w:p w14:paraId="74813142" w14:textId="77777777" w:rsidR="001F471F" w:rsidRPr="001F471F" w:rsidRDefault="001F471F" w:rsidP="001F471F">
            <w:pPr>
              <w:pStyle w:val="Default"/>
              <w:spacing w:line="276" w:lineRule="auto"/>
              <w:rPr>
                <w:sz w:val="20"/>
                <w:szCs w:val="18"/>
              </w:rPr>
            </w:pPr>
            <w:r w:rsidRPr="001F471F">
              <w:rPr>
                <w:sz w:val="20"/>
                <w:szCs w:val="18"/>
              </w:rPr>
              <w:t xml:space="preserve">On-road transport emissions. </w:t>
            </w:r>
          </w:p>
        </w:tc>
        <w:tc>
          <w:tcPr>
            <w:tcW w:w="4537" w:type="dxa"/>
          </w:tcPr>
          <w:p w14:paraId="1B4BB095" w14:textId="77777777" w:rsidR="001F471F" w:rsidRPr="001F471F" w:rsidRDefault="001F471F" w:rsidP="001F471F">
            <w:pPr>
              <w:pStyle w:val="Default"/>
              <w:spacing w:line="276" w:lineRule="auto"/>
              <w:rPr>
                <w:sz w:val="20"/>
                <w:szCs w:val="18"/>
              </w:rPr>
            </w:pPr>
            <w:r w:rsidRPr="001F471F">
              <w:rPr>
                <w:sz w:val="20"/>
                <w:szCs w:val="18"/>
              </w:rPr>
              <w:t xml:space="preserve">Decrease </w:t>
            </w:r>
          </w:p>
        </w:tc>
      </w:tr>
      <w:tr w:rsidR="001F471F" w14:paraId="386F0C81" w14:textId="77777777" w:rsidTr="0052081B">
        <w:tc>
          <w:tcPr>
            <w:tcW w:w="9412" w:type="dxa"/>
          </w:tcPr>
          <w:p w14:paraId="4B3330BC" w14:textId="77777777" w:rsidR="001F471F" w:rsidRPr="001F471F" w:rsidRDefault="001F471F" w:rsidP="001F471F">
            <w:pPr>
              <w:pStyle w:val="Default"/>
              <w:spacing w:line="276" w:lineRule="auto"/>
              <w:rPr>
                <w:sz w:val="20"/>
                <w:szCs w:val="18"/>
              </w:rPr>
            </w:pPr>
            <w:r w:rsidRPr="001F471F">
              <w:rPr>
                <w:sz w:val="20"/>
                <w:szCs w:val="18"/>
              </w:rPr>
              <w:t xml:space="preserve">Installed battery storage capacity in the municipality. </w:t>
            </w:r>
          </w:p>
        </w:tc>
        <w:tc>
          <w:tcPr>
            <w:tcW w:w="4537" w:type="dxa"/>
          </w:tcPr>
          <w:p w14:paraId="05E189C5" w14:textId="77777777" w:rsidR="001F471F" w:rsidRPr="001F471F" w:rsidRDefault="001F471F" w:rsidP="001F471F">
            <w:pPr>
              <w:pStyle w:val="Default"/>
              <w:spacing w:line="276" w:lineRule="auto"/>
              <w:rPr>
                <w:sz w:val="20"/>
                <w:szCs w:val="18"/>
              </w:rPr>
            </w:pPr>
            <w:r w:rsidRPr="001F471F">
              <w:rPr>
                <w:sz w:val="20"/>
                <w:szCs w:val="18"/>
              </w:rPr>
              <w:t xml:space="preserve">Increase </w:t>
            </w:r>
          </w:p>
        </w:tc>
      </w:tr>
      <w:tr w:rsidR="001F471F" w14:paraId="0A6A40F4" w14:textId="77777777" w:rsidTr="0052081B">
        <w:tc>
          <w:tcPr>
            <w:tcW w:w="9412" w:type="dxa"/>
          </w:tcPr>
          <w:p w14:paraId="173F84B6" w14:textId="77777777" w:rsidR="001F471F" w:rsidRPr="001F471F" w:rsidRDefault="001F471F" w:rsidP="001F471F">
            <w:pPr>
              <w:pStyle w:val="Default"/>
              <w:spacing w:line="276" w:lineRule="auto"/>
              <w:rPr>
                <w:sz w:val="20"/>
                <w:szCs w:val="18"/>
              </w:rPr>
            </w:pPr>
            <w:r w:rsidRPr="001F471F">
              <w:rPr>
                <w:sz w:val="20"/>
                <w:szCs w:val="18"/>
              </w:rPr>
              <w:t xml:space="preserve">Household waste produced. </w:t>
            </w:r>
          </w:p>
        </w:tc>
        <w:tc>
          <w:tcPr>
            <w:tcW w:w="4537" w:type="dxa"/>
          </w:tcPr>
          <w:p w14:paraId="7AD2F768" w14:textId="77777777" w:rsidR="001F471F" w:rsidRPr="001F471F" w:rsidRDefault="001F471F" w:rsidP="001F471F">
            <w:pPr>
              <w:pStyle w:val="Default"/>
              <w:spacing w:line="276" w:lineRule="auto"/>
              <w:rPr>
                <w:sz w:val="20"/>
                <w:szCs w:val="18"/>
              </w:rPr>
            </w:pPr>
            <w:r w:rsidRPr="001F471F">
              <w:rPr>
                <w:sz w:val="20"/>
                <w:szCs w:val="18"/>
              </w:rPr>
              <w:t xml:space="preserve">10% reduction (by 2025) </w:t>
            </w:r>
          </w:p>
        </w:tc>
      </w:tr>
      <w:tr w:rsidR="001F471F" w14:paraId="55B50F05" w14:textId="77777777" w:rsidTr="0052081B">
        <w:tc>
          <w:tcPr>
            <w:tcW w:w="9412" w:type="dxa"/>
          </w:tcPr>
          <w:p w14:paraId="294A80F9" w14:textId="77777777" w:rsidR="001F471F" w:rsidRPr="001F471F" w:rsidRDefault="001F471F" w:rsidP="001F471F">
            <w:pPr>
              <w:pStyle w:val="Default"/>
              <w:spacing w:line="276" w:lineRule="auto"/>
              <w:rPr>
                <w:sz w:val="20"/>
                <w:szCs w:val="18"/>
              </w:rPr>
            </w:pPr>
            <w:r w:rsidRPr="001F471F">
              <w:rPr>
                <w:sz w:val="20"/>
                <w:szCs w:val="18"/>
              </w:rPr>
              <w:t xml:space="preserve">Municipal waste diverted from landfill. </w:t>
            </w:r>
          </w:p>
        </w:tc>
        <w:tc>
          <w:tcPr>
            <w:tcW w:w="4537" w:type="dxa"/>
          </w:tcPr>
          <w:p w14:paraId="2A428A01" w14:textId="77777777" w:rsidR="001F471F" w:rsidRPr="001F471F" w:rsidRDefault="001F471F" w:rsidP="001F471F">
            <w:pPr>
              <w:pStyle w:val="Default"/>
              <w:spacing w:line="276" w:lineRule="auto"/>
              <w:rPr>
                <w:sz w:val="20"/>
                <w:szCs w:val="18"/>
              </w:rPr>
            </w:pPr>
            <w:r w:rsidRPr="001F471F">
              <w:rPr>
                <w:sz w:val="20"/>
                <w:szCs w:val="18"/>
              </w:rPr>
              <w:t xml:space="preserve">50% increase (by 2025) </w:t>
            </w:r>
          </w:p>
        </w:tc>
      </w:tr>
      <w:tr w:rsidR="001F471F" w14:paraId="59FB52B5" w14:textId="77777777" w:rsidTr="0052081B">
        <w:tc>
          <w:tcPr>
            <w:tcW w:w="9412" w:type="dxa"/>
          </w:tcPr>
          <w:p w14:paraId="1E0E17AC" w14:textId="77777777" w:rsidR="001F471F" w:rsidRPr="001F471F" w:rsidRDefault="001F471F" w:rsidP="001F471F">
            <w:pPr>
              <w:pStyle w:val="Default"/>
              <w:spacing w:line="276" w:lineRule="auto"/>
              <w:rPr>
                <w:sz w:val="20"/>
                <w:szCs w:val="18"/>
              </w:rPr>
            </w:pPr>
            <w:r w:rsidRPr="001F471F">
              <w:rPr>
                <w:sz w:val="20"/>
                <w:szCs w:val="18"/>
              </w:rPr>
              <w:t xml:space="preserve">Alternative water use. </w:t>
            </w:r>
          </w:p>
        </w:tc>
        <w:tc>
          <w:tcPr>
            <w:tcW w:w="4537" w:type="dxa"/>
          </w:tcPr>
          <w:p w14:paraId="1DAEE7B2" w14:textId="77777777" w:rsidR="001F471F" w:rsidRPr="001F471F" w:rsidRDefault="001F471F" w:rsidP="001F471F">
            <w:pPr>
              <w:pStyle w:val="Default"/>
              <w:spacing w:line="276" w:lineRule="auto"/>
              <w:rPr>
                <w:sz w:val="20"/>
                <w:szCs w:val="18"/>
              </w:rPr>
            </w:pPr>
            <w:r w:rsidRPr="001F471F">
              <w:rPr>
                <w:sz w:val="20"/>
                <w:szCs w:val="18"/>
              </w:rPr>
              <w:t xml:space="preserve">Increase </w:t>
            </w:r>
          </w:p>
        </w:tc>
      </w:tr>
      <w:tr w:rsidR="001F471F" w14:paraId="569177C8" w14:textId="77777777" w:rsidTr="0052081B">
        <w:tc>
          <w:tcPr>
            <w:tcW w:w="9412" w:type="dxa"/>
          </w:tcPr>
          <w:p w14:paraId="19A0C8B1" w14:textId="77777777" w:rsidR="001F471F" w:rsidRPr="001F471F" w:rsidRDefault="001F471F" w:rsidP="001F471F">
            <w:pPr>
              <w:pStyle w:val="Default"/>
              <w:spacing w:line="276" w:lineRule="auto"/>
              <w:rPr>
                <w:sz w:val="20"/>
                <w:szCs w:val="18"/>
              </w:rPr>
            </w:pPr>
            <w:r w:rsidRPr="001F471F">
              <w:rPr>
                <w:sz w:val="20"/>
                <w:szCs w:val="18"/>
              </w:rPr>
              <w:t xml:space="preserve">Stormwater quality. </w:t>
            </w:r>
          </w:p>
        </w:tc>
        <w:tc>
          <w:tcPr>
            <w:tcW w:w="4537" w:type="dxa"/>
          </w:tcPr>
          <w:p w14:paraId="483FE719" w14:textId="77777777" w:rsidR="001F471F" w:rsidRPr="001F471F" w:rsidRDefault="001F471F" w:rsidP="001F471F">
            <w:pPr>
              <w:pStyle w:val="Default"/>
              <w:spacing w:line="276" w:lineRule="auto"/>
              <w:rPr>
                <w:sz w:val="20"/>
                <w:szCs w:val="18"/>
              </w:rPr>
            </w:pPr>
            <w:r w:rsidRPr="001F471F">
              <w:rPr>
                <w:sz w:val="20"/>
                <w:szCs w:val="18"/>
              </w:rPr>
              <w:t xml:space="preserve">Increase </w:t>
            </w:r>
          </w:p>
        </w:tc>
      </w:tr>
      <w:tr w:rsidR="001F471F" w14:paraId="6B4E6E5C" w14:textId="77777777" w:rsidTr="0052081B">
        <w:tc>
          <w:tcPr>
            <w:tcW w:w="9412" w:type="dxa"/>
          </w:tcPr>
          <w:p w14:paraId="25AD1B5C" w14:textId="77777777" w:rsidR="001F471F" w:rsidRPr="001F471F" w:rsidRDefault="001F471F" w:rsidP="001F471F">
            <w:pPr>
              <w:pStyle w:val="Default"/>
              <w:spacing w:line="276" w:lineRule="auto"/>
              <w:rPr>
                <w:sz w:val="20"/>
                <w:szCs w:val="18"/>
              </w:rPr>
            </w:pPr>
            <w:r w:rsidRPr="001F471F">
              <w:rPr>
                <w:sz w:val="20"/>
                <w:szCs w:val="18"/>
              </w:rPr>
              <w:t xml:space="preserve">Hospital admissions in relation to extreme weather events. </w:t>
            </w:r>
          </w:p>
        </w:tc>
        <w:tc>
          <w:tcPr>
            <w:tcW w:w="4537" w:type="dxa"/>
          </w:tcPr>
          <w:p w14:paraId="7CFF5AE1" w14:textId="77777777" w:rsidR="001F471F" w:rsidRPr="001F471F" w:rsidRDefault="001F471F" w:rsidP="001F471F">
            <w:pPr>
              <w:pStyle w:val="Default"/>
              <w:spacing w:line="276" w:lineRule="auto"/>
              <w:rPr>
                <w:sz w:val="20"/>
                <w:szCs w:val="18"/>
              </w:rPr>
            </w:pPr>
            <w:r w:rsidRPr="001F471F">
              <w:rPr>
                <w:sz w:val="20"/>
                <w:szCs w:val="18"/>
              </w:rPr>
              <w:t xml:space="preserve">Decrease </w:t>
            </w:r>
          </w:p>
        </w:tc>
      </w:tr>
      <w:tr w:rsidR="001F471F" w14:paraId="6E42C4EB" w14:textId="77777777" w:rsidTr="0052081B">
        <w:tc>
          <w:tcPr>
            <w:tcW w:w="9412" w:type="dxa"/>
          </w:tcPr>
          <w:p w14:paraId="3AECACBE" w14:textId="77777777" w:rsidR="001F471F" w:rsidRPr="001F471F" w:rsidRDefault="001F471F" w:rsidP="001F471F">
            <w:pPr>
              <w:pStyle w:val="Default"/>
              <w:spacing w:line="276" w:lineRule="auto"/>
              <w:rPr>
                <w:sz w:val="20"/>
                <w:szCs w:val="18"/>
              </w:rPr>
            </w:pPr>
            <w:r w:rsidRPr="001F471F">
              <w:rPr>
                <w:sz w:val="20"/>
                <w:szCs w:val="18"/>
              </w:rPr>
              <w:t xml:space="preserve">Percentage of tree canopy cover in the public realm. </w:t>
            </w:r>
          </w:p>
        </w:tc>
        <w:tc>
          <w:tcPr>
            <w:tcW w:w="4537" w:type="dxa"/>
          </w:tcPr>
          <w:p w14:paraId="24ABCF77" w14:textId="77777777" w:rsidR="001F471F" w:rsidRPr="001F471F" w:rsidRDefault="001F471F" w:rsidP="001F471F">
            <w:pPr>
              <w:pStyle w:val="Default"/>
              <w:spacing w:line="276" w:lineRule="auto"/>
              <w:rPr>
                <w:sz w:val="20"/>
                <w:szCs w:val="18"/>
              </w:rPr>
            </w:pPr>
            <w:r w:rsidRPr="001F471F">
              <w:rPr>
                <w:sz w:val="20"/>
                <w:szCs w:val="18"/>
              </w:rPr>
              <w:t xml:space="preserve">27% (by 2025) </w:t>
            </w:r>
          </w:p>
        </w:tc>
      </w:tr>
      <w:tr w:rsidR="001F471F" w14:paraId="67FCB6F2" w14:textId="77777777" w:rsidTr="0052081B">
        <w:tc>
          <w:tcPr>
            <w:tcW w:w="9412" w:type="dxa"/>
          </w:tcPr>
          <w:p w14:paraId="12897086" w14:textId="77777777" w:rsidR="001F471F" w:rsidRPr="001F471F" w:rsidRDefault="001F471F" w:rsidP="001F471F">
            <w:pPr>
              <w:pStyle w:val="Default"/>
              <w:spacing w:line="276" w:lineRule="auto"/>
              <w:rPr>
                <w:sz w:val="20"/>
                <w:szCs w:val="18"/>
              </w:rPr>
            </w:pPr>
            <w:r w:rsidRPr="001F471F">
              <w:rPr>
                <w:sz w:val="20"/>
                <w:szCs w:val="18"/>
              </w:rPr>
              <w:t xml:space="preserve">Number of trees planted in the municipality. </w:t>
            </w:r>
          </w:p>
        </w:tc>
        <w:tc>
          <w:tcPr>
            <w:tcW w:w="4537" w:type="dxa"/>
          </w:tcPr>
          <w:p w14:paraId="3DAE6F9D" w14:textId="77777777" w:rsidR="001F471F" w:rsidRPr="001F471F" w:rsidRDefault="001F471F" w:rsidP="001F471F">
            <w:pPr>
              <w:pStyle w:val="Default"/>
              <w:spacing w:line="276" w:lineRule="auto"/>
              <w:rPr>
                <w:sz w:val="20"/>
                <w:szCs w:val="18"/>
              </w:rPr>
            </w:pPr>
            <w:r w:rsidRPr="001F471F">
              <w:rPr>
                <w:sz w:val="20"/>
                <w:szCs w:val="18"/>
              </w:rPr>
              <w:t xml:space="preserve">2400 plus number of trees removed in previous year, or 3000, whichever is more. </w:t>
            </w:r>
          </w:p>
        </w:tc>
      </w:tr>
      <w:tr w:rsidR="001F471F" w14:paraId="137C974B" w14:textId="77777777" w:rsidTr="0052081B">
        <w:tc>
          <w:tcPr>
            <w:tcW w:w="9412" w:type="dxa"/>
          </w:tcPr>
          <w:p w14:paraId="650344BE" w14:textId="77777777" w:rsidR="001F471F" w:rsidRPr="001F471F" w:rsidRDefault="001F471F" w:rsidP="001F471F">
            <w:pPr>
              <w:pStyle w:val="Default"/>
              <w:spacing w:line="276" w:lineRule="auto"/>
              <w:rPr>
                <w:sz w:val="20"/>
                <w:szCs w:val="18"/>
              </w:rPr>
            </w:pPr>
            <w:r w:rsidRPr="001F471F">
              <w:rPr>
                <w:sz w:val="20"/>
                <w:szCs w:val="18"/>
              </w:rPr>
              <w:t xml:space="preserve">Area of native understorey habitat in the public realm. </w:t>
            </w:r>
          </w:p>
        </w:tc>
        <w:tc>
          <w:tcPr>
            <w:tcW w:w="4537" w:type="dxa"/>
          </w:tcPr>
          <w:p w14:paraId="49711D44" w14:textId="77777777" w:rsidR="001F471F" w:rsidRPr="001F471F" w:rsidRDefault="001F471F" w:rsidP="001F471F">
            <w:pPr>
              <w:pStyle w:val="Default"/>
              <w:spacing w:line="276" w:lineRule="auto"/>
              <w:rPr>
                <w:sz w:val="20"/>
                <w:szCs w:val="18"/>
              </w:rPr>
            </w:pPr>
            <w:r w:rsidRPr="001F471F">
              <w:rPr>
                <w:sz w:val="20"/>
                <w:szCs w:val="18"/>
              </w:rPr>
              <w:t xml:space="preserve">Increase </w:t>
            </w:r>
          </w:p>
        </w:tc>
      </w:tr>
    </w:tbl>
    <w:p w14:paraId="2DC4C6B4" w14:textId="77777777" w:rsidR="0038645E" w:rsidRDefault="0038645E" w:rsidP="005735E1">
      <w:pPr>
        <w:pStyle w:val="Heading1"/>
        <w:rPr>
          <w:rFonts w:hint="eastAsia"/>
        </w:rPr>
      </w:pPr>
    </w:p>
    <w:p w14:paraId="7107B28B" w14:textId="77777777" w:rsidR="005735E1" w:rsidRDefault="0038645E" w:rsidP="005735E1">
      <w:pPr>
        <w:pStyle w:val="Heading1"/>
      </w:pPr>
      <w:r>
        <w:rPr>
          <w:rFonts w:hint="eastAsia"/>
        </w:rPr>
        <w:br w:type="page"/>
      </w:r>
      <w:bookmarkStart w:id="27" w:name="_Toc192746254"/>
      <w:r w:rsidR="00B30455" w:rsidRPr="00B30455">
        <w:lastRenderedPageBreak/>
        <w:t>Access and affordability</w:t>
      </w:r>
      <w:bookmarkEnd w:id="27"/>
    </w:p>
    <w:p w14:paraId="4F595F74" w14:textId="77777777" w:rsidR="005735E1" w:rsidRDefault="00B30455" w:rsidP="005735E1">
      <w:r w:rsidRPr="00B30455">
        <w:t>Over the next four years, we will reduce economic and social inequality by ensuring universal access to housing</w:t>
      </w:r>
      <w:r>
        <w:t>, core services and information</w:t>
      </w:r>
      <w:r w:rsidR="005735E1" w:rsidRPr="00784F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3920"/>
      </w:tblGrid>
      <w:tr w:rsidR="005735E1" w14:paraId="6FD449D2" w14:textId="77777777" w:rsidTr="00004EFF">
        <w:tc>
          <w:tcPr>
            <w:tcW w:w="13920" w:type="dxa"/>
            <w:shd w:val="clear" w:color="auto" w:fill="auto"/>
          </w:tcPr>
          <w:p w14:paraId="32AFC0C7" w14:textId="77777777" w:rsidR="009E6BAD" w:rsidRPr="00D367C9" w:rsidRDefault="009E6BAD" w:rsidP="009E6BAD">
            <w:pPr>
              <w:pStyle w:val="Heading2"/>
              <w:spacing w:before="0"/>
            </w:pPr>
            <w:bookmarkStart w:id="28" w:name="_Toc192746255"/>
            <w:r w:rsidRPr="00D367C9">
              <w:t xml:space="preserve">Highlights for quarter </w:t>
            </w:r>
            <w:r w:rsidR="003E4B56">
              <w:t>one</w:t>
            </w:r>
            <w:r w:rsidRPr="00D367C9">
              <w:t xml:space="preserve"> (</w:t>
            </w:r>
            <w:r w:rsidR="00720E0C">
              <w:t>July to September</w:t>
            </w:r>
            <w:r w:rsidRPr="00D367C9">
              <w:t xml:space="preserve"> 202</w:t>
            </w:r>
            <w:r w:rsidR="003E4B56">
              <w:t>4</w:t>
            </w:r>
            <w:r w:rsidRPr="00D367C9">
              <w:t>)</w:t>
            </w:r>
            <w:bookmarkEnd w:id="28"/>
          </w:p>
          <w:p w14:paraId="1B8371C1" w14:textId="77777777" w:rsidR="00AF715F" w:rsidRDefault="00AF715F" w:rsidP="00AF715F">
            <w:r>
              <w:t>The City of Melbourne is enhancing inclusive sports facilities for women and girls through new constructions, upgrades, and programming. The Ryder Pavilion in Royal Park is progressing, and the Kensington Community Aquatic and Recreation Centre will be completed by 2025, featuring inclusive changing facilities and women-only programming.</w:t>
            </w:r>
          </w:p>
          <w:p w14:paraId="1CAFBC54" w14:textId="77777777" w:rsidR="00AF715F" w:rsidRDefault="00AF715F" w:rsidP="00AF715F">
            <w:r>
              <w:t>In August 2024, the Council endorsed a Recreation Facilities Provision Framework and a Fair Access Policy, ensuring equitable access through 24 specific actions, including a Fair Access application process for community sporting grounds.</w:t>
            </w:r>
          </w:p>
          <w:p w14:paraId="1CD8935F" w14:textId="77777777" w:rsidR="00AF715F" w:rsidRDefault="00AF715F" w:rsidP="00AF715F">
            <w:r>
              <w:t>The Neighbourhood Volunteer Program has launched to promote civic participation among underrepresented communities, with 24 participants selected from diverse backgrounds. The program will be piloted in Carlton, CBD, Docklands, and Southbank.</w:t>
            </w:r>
          </w:p>
          <w:p w14:paraId="3B9A6779" w14:textId="77777777" w:rsidR="00AF715F" w:rsidRDefault="00AF715F" w:rsidP="00AF715F">
            <w:r>
              <w:t>14 pre-engagement Knowledge Bank reports have been developed to guide City of Melbourne projects, and 27 neighbourhood grants have been awarded for community-led initiatives.</w:t>
            </w:r>
          </w:p>
          <w:p w14:paraId="2D805D22" w14:textId="77777777" w:rsidR="00AF715F" w:rsidRDefault="00AF715F" w:rsidP="00AF715F">
            <w:r>
              <w:t>Business engagement workshops have commenced, and the place-based focus for the Business Concierge has begun with library sessions and on-street engagement.</w:t>
            </w:r>
          </w:p>
          <w:p w14:paraId="3081A277" w14:textId="77777777" w:rsidR="00AF715F" w:rsidRDefault="00AF715F" w:rsidP="00AF715F">
            <w:r>
              <w:t>Democracy Champion pop-ups were held to boost participation in the 2024 local government elections, targeting groups that face barriers to the democratic process, including international students and small businesses.</w:t>
            </w:r>
          </w:p>
          <w:p w14:paraId="78428326" w14:textId="77777777" w:rsidR="00AF715F" w:rsidRDefault="00AF715F" w:rsidP="00AF715F">
            <w:r>
              <w:t>City of Melbourne is working with Queen Victoria Market traders to redirect surplus food to food relief providers, exploring changes in customer demands and operations. Initiatives like the Kensington Fresh Food Market and Seed Libraries encourage fresh food sharing and sustainable gardening. The Kensington market, for example, harvested 50 kilograms of food, with $300 in donations supporting the market.</w:t>
            </w:r>
          </w:p>
          <w:p w14:paraId="2AAE336E" w14:textId="77777777" w:rsidR="00FE25AB" w:rsidRDefault="00AF715F" w:rsidP="00AF715F">
            <w:r>
              <w:t>The FareShare program has distributed over 2,500 free meals at the Kathleen Syme Library since July 2024, with no library card required. Additionally, service profiles are being incorporated into the 2025-26 Annual Planning and Budgeting cycle to align community needs with future planning.</w:t>
            </w:r>
          </w:p>
          <w:p w14:paraId="77F7C8B7" w14:textId="77777777" w:rsidR="003D6D4A" w:rsidRPr="00D367C9" w:rsidRDefault="003D6D4A" w:rsidP="00FE25AB">
            <w:pPr>
              <w:pStyle w:val="Heading2"/>
            </w:pPr>
            <w:bookmarkStart w:id="29" w:name="_Toc192746256"/>
            <w:r w:rsidRPr="00D367C9">
              <w:t>Our progress</w:t>
            </w:r>
            <w:bookmarkEnd w:id="29"/>
            <w:r w:rsidRPr="00D367C9">
              <w:t xml:space="preserve"> </w:t>
            </w:r>
          </w:p>
          <w:p w14:paraId="77DC18CD" w14:textId="77777777" w:rsidR="00BE5903" w:rsidRDefault="00BE5903" w:rsidP="00BE5903">
            <w:pPr>
              <w:spacing w:after="0"/>
              <w:rPr>
                <w:rFonts w:eastAsia="Cambria"/>
                <w:bCs/>
              </w:rPr>
            </w:pPr>
            <w:r w:rsidRPr="00D367C9">
              <w:rPr>
                <w:rFonts w:eastAsia="Cambria"/>
                <w:bCs/>
              </w:rPr>
              <w:t xml:space="preserve">Further work is being undertaken on the future approach to service planning for City of Melbourne core services under the corporate strategy.  </w:t>
            </w:r>
          </w:p>
          <w:p w14:paraId="51B06848" w14:textId="77777777" w:rsidR="00030407" w:rsidRPr="00D367C9" w:rsidRDefault="00030407" w:rsidP="00BE5903">
            <w:pPr>
              <w:spacing w:after="0"/>
              <w:rPr>
                <w:rFonts w:eastAsia="Cambria"/>
                <w:bCs/>
              </w:rPr>
            </w:pPr>
          </w:p>
          <w:p w14:paraId="779D7D13" w14:textId="77777777" w:rsidR="005735E1" w:rsidRPr="00D367C9" w:rsidRDefault="00BE5903" w:rsidP="00BE5903">
            <w:pPr>
              <w:spacing w:after="0"/>
            </w:pPr>
            <w:r w:rsidRPr="00D367C9">
              <w:rPr>
                <w:rFonts w:eastAsia="Cambria"/>
                <w:bCs/>
              </w:rPr>
              <w:lastRenderedPageBreak/>
              <w:t>Delivery of our major initiatives within the Council Plan term is on track.</w:t>
            </w:r>
          </w:p>
        </w:tc>
      </w:tr>
    </w:tbl>
    <w:p w14:paraId="3E20EA4F" w14:textId="77777777" w:rsidR="005735E1" w:rsidRPr="00784FF6" w:rsidRDefault="005735E1" w:rsidP="005735E1">
      <w:pPr>
        <w:pStyle w:val="Heading2"/>
      </w:pPr>
      <w:bookmarkStart w:id="30" w:name="_Toc192746257"/>
      <w:r w:rsidRPr="00784FF6">
        <w:lastRenderedPageBreak/>
        <w:t>The major initiatives we’re delivering this year</w:t>
      </w:r>
      <w:bookmarkEnd w:id="30"/>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3D6D4A" w14:paraId="4075E64E" w14:textId="77777777" w:rsidTr="0052081B">
        <w:trPr>
          <w:tblHeader/>
        </w:trPr>
        <w:tc>
          <w:tcPr>
            <w:tcW w:w="9412" w:type="dxa"/>
            <w:shd w:val="clear" w:color="auto" w:fill="auto"/>
          </w:tcPr>
          <w:p w14:paraId="0FC9BDA2" w14:textId="77777777" w:rsidR="003D6D4A" w:rsidRPr="0038645E" w:rsidRDefault="003D6D4A" w:rsidP="0052081B">
            <w:pPr>
              <w:pStyle w:val="TableofFigures"/>
              <w:rPr>
                <w:b/>
              </w:rPr>
            </w:pPr>
            <w:r w:rsidRPr="0038645E">
              <w:rPr>
                <w:b/>
              </w:rPr>
              <w:t>Initiative</w:t>
            </w:r>
          </w:p>
        </w:tc>
        <w:tc>
          <w:tcPr>
            <w:tcW w:w="2268" w:type="dxa"/>
            <w:shd w:val="clear" w:color="auto" w:fill="auto"/>
          </w:tcPr>
          <w:p w14:paraId="497C96AA" w14:textId="77777777" w:rsidR="003D6D4A" w:rsidRPr="0038645E" w:rsidRDefault="003D6D4A" w:rsidP="0052081B">
            <w:pPr>
              <w:pStyle w:val="TableofFigures"/>
              <w:rPr>
                <w:b/>
              </w:rPr>
            </w:pPr>
            <w:r w:rsidRPr="0038645E">
              <w:rPr>
                <w:b/>
              </w:rPr>
              <w:t>Council’s role</w:t>
            </w:r>
          </w:p>
        </w:tc>
        <w:tc>
          <w:tcPr>
            <w:tcW w:w="2268" w:type="dxa"/>
            <w:shd w:val="clear" w:color="auto" w:fill="auto"/>
          </w:tcPr>
          <w:p w14:paraId="4BACD50B" w14:textId="77777777" w:rsidR="003D6D4A" w:rsidRPr="00D367C9" w:rsidRDefault="003D6D4A" w:rsidP="0052081B">
            <w:pPr>
              <w:pStyle w:val="TableofFigures"/>
              <w:rPr>
                <w:b/>
              </w:rPr>
            </w:pPr>
            <w:r w:rsidRPr="00D367C9">
              <w:rPr>
                <w:b/>
              </w:rPr>
              <w:t>Our progress</w:t>
            </w:r>
          </w:p>
        </w:tc>
      </w:tr>
      <w:tr w:rsidR="003D6D4A" w14:paraId="27A46159" w14:textId="77777777" w:rsidTr="0052081B">
        <w:tc>
          <w:tcPr>
            <w:tcW w:w="9412" w:type="dxa"/>
            <w:shd w:val="clear" w:color="auto" w:fill="auto"/>
          </w:tcPr>
          <w:p w14:paraId="061119FA" w14:textId="77777777" w:rsidR="003D6D4A" w:rsidRPr="003D6D4A" w:rsidRDefault="003D6D4A" w:rsidP="003D6D4A">
            <w:pPr>
              <w:pStyle w:val="Default"/>
              <w:spacing w:line="276" w:lineRule="auto"/>
              <w:rPr>
                <w:sz w:val="20"/>
                <w:szCs w:val="20"/>
              </w:rPr>
            </w:pPr>
            <w:r w:rsidRPr="003D6D4A">
              <w:rPr>
                <w:color w:val="252525"/>
                <w:sz w:val="20"/>
                <w:szCs w:val="20"/>
              </w:rPr>
              <w:t xml:space="preserve">Increase and upgrade accessible, inclusive spaces for women in City of Melbourne sports facilities </w:t>
            </w:r>
          </w:p>
        </w:tc>
        <w:tc>
          <w:tcPr>
            <w:tcW w:w="2268" w:type="dxa"/>
            <w:shd w:val="clear" w:color="auto" w:fill="auto"/>
          </w:tcPr>
          <w:p w14:paraId="591E44EA"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w:t>
            </w:r>
          </w:p>
        </w:tc>
        <w:tc>
          <w:tcPr>
            <w:tcW w:w="2268" w:type="dxa"/>
            <w:shd w:val="clear" w:color="auto" w:fill="auto"/>
          </w:tcPr>
          <w:p w14:paraId="7946AE94" w14:textId="77777777" w:rsidR="003D6D4A" w:rsidRPr="00D367C9" w:rsidRDefault="00BE5903" w:rsidP="003D6D4A">
            <w:pPr>
              <w:pStyle w:val="Default"/>
              <w:spacing w:line="276" w:lineRule="auto"/>
              <w:rPr>
                <w:color w:val="auto"/>
                <w:sz w:val="20"/>
                <w:szCs w:val="20"/>
              </w:rPr>
            </w:pPr>
            <w:r w:rsidRPr="00D367C9">
              <w:rPr>
                <w:color w:val="auto"/>
                <w:sz w:val="20"/>
                <w:szCs w:val="20"/>
              </w:rPr>
              <w:t>Delayed</w:t>
            </w:r>
          </w:p>
        </w:tc>
      </w:tr>
      <w:tr w:rsidR="003D6D4A" w14:paraId="74C54240" w14:textId="77777777" w:rsidTr="0052081B">
        <w:tc>
          <w:tcPr>
            <w:tcW w:w="9412" w:type="dxa"/>
            <w:shd w:val="clear" w:color="auto" w:fill="auto"/>
          </w:tcPr>
          <w:p w14:paraId="6837574A" w14:textId="77777777" w:rsidR="003D6D4A" w:rsidRPr="003D6D4A" w:rsidRDefault="003D6D4A" w:rsidP="003D6D4A">
            <w:pPr>
              <w:pStyle w:val="Default"/>
              <w:spacing w:line="276" w:lineRule="auto"/>
              <w:rPr>
                <w:sz w:val="20"/>
                <w:szCs w:val="20"/>
              </w:rPr>
            </w:pPr>
            <w:r w:rsidRPr="003D6D4A">
              <w:rPr>
                <w:color w:val="252525"/>
                <w:sz w:val="20"/>
                <w:szCs w:val="20"/>
              </w:rPr>
              <w:t xml:space="preserve">Implement a neighbourhood model by working with communities to develop neighbourhood plans and neighbourhood service centres that respond to the local community’s existing and projected needs. </w:t>
            </w:r>
          </w:p>
        </w:tc>
        <w:tc>
          <w:tcPr>
            <w:tcW w:w="2268" w:type="dxa"/>
            <w:shd w:val="clear" w:color="auto" w:fill="auto"/>
          </w:tcPr>
          <w:p w14:paraId="2E1CA86C"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w:t>
            </w:r>
          </w:p>
        </w:tc>
        <w:tc>
          <w:tcPr>
            <w:tcW w:w="2268" w:type="dxa"/>
            <w:shd w:val="clear" w:color="auto" w:fill="auto"/>
          </w:tcPr>
          <w:p w14:paraId="1C75F859" w14:textId="77777777" w:rsidR="003D6D4A" w:rsidRPr="00D367C9" w:rsidRDefault="003D6D4A" w:rsidP="003D6D4A">
            <w:pPr>
              <w:pStyle w:val="Default"/>
              <w:spacing w:line="276" w:lineRule="auto"/>
              <w:rPr>
                <w:color w:val="auto"/>
                <w:sz w:val="20"/>
                <w:szCs w:val="20"/>
              </w:rPr>
            </w:pPr>
            <w:r w:rsidRPr="00D367C9">
              <w:rPr>
                <w:color w:val="auto"/>
                <w:sz w:val="20"/>
                <w:szCs w:val="20"/>
              </w:rPr>
              <w:t xml:space="preserve">On track </w:t>
            </w:r>
          </w:p>
        </w:tc>
      </w:tr>
      <w:tr w:rsidR="003D6D4A" w14:paraId="7391E25B" w14:textId="77777777" w:rsidTr="0052081B">
        <w:tc>
          <w:tcPr>
            <w:tcW w:w="9412" w:type="dxa"/>
            <w:shd w:val="clear" w:color="auto" w:fill="auto"/>
          </w:tcPr>
          <w:p w14:paraId="4E8B7BDF"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a revitalised library network, including pop-up libraries, to increase access for our diverse community and to help revitalise the city. </w:t>
            </w:r>
          </w:p>
        </w:tc>
        <w:tc>
          <w:tcPr>
            <w:tcW w:w="2268" w:type="dxa"/>
            <w:shd w:val="clear" w:color="auto" w:fill="auto"/>
          </w:tcPr>
          <w:p w14:paraId="581C0622"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w:t>
            </w:r>
          </w:p>
        </w:tc>
        <w:tc>
          <w:tcPr>
            <w:tcW w:w="2268" w:type="dxa"/>
            <w:shd w:val="clear" w:color="auto" w:fill="auto"/>
          </w:tcPr>
          <w:p w14:paraId="46242450" w14:textId="77777777" w:rsidR="003D6D4A" w:rsidRPr="00D367C9" w:rsidRDefault="003D6D4A" w:rsidP="003D6D4A">
            <w:pPr>
              <w:pStyle w:val="Default"/>
              <w:spacing w:line="276" w:lineRule="auto"/>
              <w:rPr>
                <w:color w:val="auto"/>
                <w:sz w:val="20"/>
                <w:szCs w:val="20"/>
              </w:rPr>
            </w:pPr>
            <w:r w:rsidRPr="00D367C9">
              <w:rPr>
                <w:color w:val="auto"/>
                <w:sz w:val="20"/>
                <w:szCs w:val="20"/>
              </w:rPr>
              <w:t xml:space="preserve">On track </w:t>
            </w:r>
          </w:p>
        </w:tc>
      </w:tr>
      <w:tr w:rsidR="003D6D4A" w14:paraId="16720545" w14:textId="77777777" w:rsidTr="0052081B">
        <w:tc>
          <w:tcPr>
            <w:tcW w:w="9412" w:type="dxa"/>
            <w:shd w:val="clear" w:color="auto" w:fill="auto"/>
          </w:tcPr>
          <w:p w14:paraId="3EA5C055"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the </w:t>
            </w:r>
            <w:r w:rsidRPr="003D6D4A">
              <w:rPr>
                <w:color w:val="0000FF"/>
                <w:sz w:val="20"/>
                <w:szCs w:val="20"/>
              </w:rPr>
              <w:t>Disability Access Plan 2020–2024</w:t>
            </w:r>
            <w:r w:rsidR="00A95083">
              <w:rPr>
                <w:rStyle w:val="FootnoteReference"/>
                <w:color w:val="0000FF"/>
                <w:sz w:val="20"/>
                <w:szCs w:val="20"/>
              </w:rPr>
              <w:footnoteReference w:id="14"/>
            </w:r>
            <w:r w:rsidRPr="003D6D4A">
              <w:rPr>
                <w:color w:val="0000FF"/>
                <w:sz w:val="20"/>
                <w:szCs w:val="20"/>
              </w:rPr>
              <w:t xml:space="preserve"> </w:t>
            </w:r>
            <w:r w:rsidRPr="003D6D4A">
              <w:rPr>
                <w:color w:val="252525"/>
                <w:sz w:val="20"/>
                <w:szCs w:val="20"/>
              </w:rPr>
              <w:t xml:space="preserve">including ensuring our services and events are more accessible, increasing the number of accessible adult change facilities, and partnering with community and transport groups to make transport more accessible. </w:t>
            </w:r>
          </w:p>
        </w:tc>
        <w:tc>
          <w:tcPr>
            <w:tcW w:w="2268" w:type="dxa"/>
            <w:shd w:val="clear" w:color="auto" w:fill="auto"/>
          </w:tcPr>
          <w:p w14:paraId="77D05FB5" w14:textId="77777777" w:rsidR="003D6D4A" w:rsidRPr="003D6D4A" w:rsidRDefault="003D6D4A" w:rsidP="003D6D4A">
            <w:pPr>
              <w:pStyle w:val="Default"/>
              <w:spacing w:line="276" w:lineRule="auto"/>
              <w:rPr>
                <w:sz w:val="20"/>
                <w:szCs w:val="20"/>
              </w:rPr>
            </w:pPr>
            <w:r w:rsidRPr="003D6D4A">
              <w:rPr>
                <w:color w:val="252525"/>
                <w:sz w:val="20"/>
                <w:szCs w:val="20"/>
              </w:rPr>
              <w:t xml:space="preserve">Deliver </w:t>
            </w:r>
          </w:p>
          <w:p w14:paraId="0FF49300" w14:textId="77777777" w:rsidR="003D6D4A" w:rsidRPr="003D6D4A" w:rsidRDefault="003D6D4A" w:rsidP="003D6D4A">
            <w:pPr>
              <w:pStyle w:val="Default"/>
              <w:spacing w:line="276" w:lineRule="auto"/>
              <w:rPr>
                <w:color w:val="252525"/>
                <w:sz w:val="20"/>
                <w:szCs w:val="20"/>
              </w:rPr>
            </w:pPr>
            <w:r w:rsidRPr="003D6D4A">
              <w:rPr>
                <w:color w:val="252525"/>
                <w:sz w:val="20"/>
                <w:szCs w:val="20"/>
              </w:rPr>
              <w:t xml:space="preserve">Partner </w:t>
            </w:r>
          </w:p>
        </w:tc>
        <w:tc>
          <w:tcPr>
            <w:tcW w:w="2268" w:type="dxa"/>
            <w:shd w:val="clear" w:color="auto" w:fill="auto"/>
          </w:tcPr>
          <w:p w14:paraId="34B81E5F" w14:textId="77777777" w:rsidR="003D6D4A" w:rsidRPr="00D367C9" w:rsidRDefault="00AF715F" w:rsidP="003D6D4A">
            <w:pPr>
              <w:pStyle w:val="Default"/>
              <w:spacing w:line="276" w:lineRule="auto"/>
              <w:rPr>
                <w:color w:val="auto"/>
                <w:sz w:val="20"/>
                <w:szCs w:val="20"/>
              </w:rPr>
            </w:pPr>
            <w:r>
              <w:rPr>
                <w:color w:val="auto"/>
                <w:sz w:val="20"/>
                <w:szCs w:val="20"/>
              </w:rPr>
              <w:t>Completed</w:t>
            </w:r>
          </w:p>
        </w:tc>
      </w:tr>
      <w:tr w:rsidR="00AF715F" w14:paraId="03651F6B" w14:textId="77777777" w:rsidTr="0052081B">
        <w:tc>
          <w:tcPr>
            <w:tcW w:w="9412" w:type="dxa"/>
          </w:tcPr>
          <w:p w14:paraId="2F40EAFB" w14:textId="77777777" w:rsidR="00AF715F" w:rsidRPr="003D6D4A" w:rsidRDefault="00AF715F" w:rsidP="00AF715F">
            <w:pPr>
              <w:pStyle w:val="Default"/>
              <w:spacing w:line="276" w:lineRule="auto"/>
              <w:rPr>
                <w:sz w:val="20"/>
                <w:szCs w:val="20"/>
              </w:rPr>
            </w:pPr>
            <w:r w:rsidRPr="003D6D4A">
              <w:rPr>
                <w:color w:val="252525"/>
                <w:sz w:val="20"/>
                <w:szCs w:val="20"/>
              </w:rPr>
              <w:t xml:space="preserve">Develop and deliver initiatives and programs that will provide food relief to vulnerable members of our community and improve local food production by supporting communities to grow their own food. </w:t>
            </w:r>
          </w:p>
        </w:tc>
        <w:tc>
          <w:tcPr>
            <w:tcW w:w="2268" w:type="dxa"/>
          </w:tcPr>
          <w:p w14:paraId="68835A86" w14:textId="77777777" w:rsidR="00AF715F" w:rsidRPr="003D6D4A" w:rsidRDefault="00AF715F" w:rsidP="00AF715F">
            <w:pPr>
              <w:pStyle w:val="Default"/>
              <w:spacing w:line="276" w:lineRule="auto"/>
              <w:rPr>
                <w:sz w:val="20"/>
                <w:szCs w:val="20"/>
              </w:rPr>
            </w:pPr>
            <w:r w:rsidRPr="003D6D4A">
              <w:rPr>
                <w:color w:val="252525"/>
                <w:sz w:val="20"/>
                <w:szCs w:val="20"/>
              </w:rPr>
              <w:t xml:space="preserve">Deliver </w:t>
            </w:r>
          </w:p>
          <w:p w14:paraId="1234C17E" w14:textId="77777777" w:rsidR="00AF715F" w:rsidRPr="003D6D4A" w:rsidRDefault="00AF715F" w:rsidP="00AF715F">
            <w:pPr>
              <w:pStyle w:val="Default"/>
              <w:spacing w:line="276" w:lineRule="auto"/>
              <w:rPr>
                <w:color w:val="252525"/>
                <w:sz w:val="20"/>
                <w:szCs w:val="20"/>
              </w:rPr>
            </w:pPr>
            <w:r w:rsidRPr="003D6D4A">
              <w:rPr>
                <w:color w:val="252525"/>
                <w:sz w:val="20"/>
                <w:szCs w:val="20"/>
              </w:rPr>
              <w:t xml:space="preserve">Partner </w:t>
            </w:r>
          </w:p>
          <w:p w14:paraId="0CEFA717" w14:textId="77777777" w:rsidR="00AF715F" w:rsidRPr="003D6D4A" w:rsidRDefault="00AF715F" w:rsidP="00AF715F">
            <w:pPr>
              <w:pStyle w:val="Default"/>
              <w:spacing w:line="276" w:lineRule="auto"/>
              <w:rPr>
                <w:color w:val="252525"/>
                <w:sz w:val="20"/>
                <w:szCs w:val="20"/>
              </w:rPr>
            </w:pPr>
            <w:r w:rsidRPr="003D6D4A">
              <w:rPr>
                <w:color w:val="252525"/>
                <w:sz w:val="20"/>
                <w:szCs w:val="20"/>
              </w:rPr>
              <w:t xml:space="preserve">Advocate </w:t>
            </w:r>
          </w:p>
        </w:tc>
        <w:tc>
          <w:tcPr>
            <w:tcW w:w="2268" w:type="dxa"/>
          </w:tcPr>
          <w:p w14:paraId="60E9C631" w14:textId="77777777" w:rsidR="00AF715F" w:rsidRPr="00D367C9" w:rsidRDefault="00AF715F" w:rsidP="00AF715F">
            <w:pPr>
              <w:pStyle w:val="Default"/>
              <w:spacing w:line="276" w:lineRule="auto"/>
              <w:rPr>
                <w:color w:val="auto"/>
                <w:sz w:val="20"/>
                <w:szCs w:val="20"/>
              </w:rPr>
            </w:pPr>
            <w:r w:rsidRPr="00D367C9">
              <w:rPr>
                <w:color w:val="auto"/>
                <w:sz w:val="20"/>
                <w:szCs w:val="20"/>
              </w:rPr>
              <w:t>Delayed</w:t>
            </w:r>
          </w:p>
        </w:tc>
      </w:tr>
      <w:tr w:rsidR="00AF715F" w14:paraId="283B997C" w14:textId="77777777" w:rsidTr="0052081B">
        <w:tc>
          <w:tcPr>
            <w:tcW w:w="9412" w:type="dxa"/>
          </w:tcPr>
          <w:p w14:paraId="597308A3" w14:textId="77777777" w:rsidR="00AF715F" w:rsidRPr="00235DD6" w:rsidRDefault="00AF715F" w:rsidP="00AF715F">
            <w:pPr>
              <w:pStyle w:val="Default"/>
              <w:spacing w:line="276" w:lineRule="auto"/>
              <w:rPr>
                <w:sz w:val="20"/>
                <w:szCs w:val="20"/>
              </w:rPr>
            </w:pPr>
            <w:r w:rsidRPr="00235DD6">
              <w:rPr>
                <w:color w:val="252525"/>
                <w:sz w:val="20"/>
                <w:szCs w:val="20"/>
              </w:rPr>
              <w:t xml:space="preserve">As part of a new corporate strategy for the City of Melbourne, ensure our core services remain accessible and affordable. </w:t>
            </w:r>
          </w:p>
        </w:tc>
        <w:tc>
          <w:tcPr>
            <w:tcW w:w="2268" w:type="dxa"/>
          </w:tcPr>
          <w:p w14:paraId="2D1F3AF8" w14:textId="77777777" w:rsidR="00AF715F" w:rsidRPr="00235DD6" w:rsidRDefault="00AF715F" w:rsidP="00AF715F">
            <w:pPr>
              <w:pStyle w:val="Default"/>
              <w:spacing w:line="276" w:lineRule="auto"/>
              <w:rPr>
                <w:sz w:val="20"/>
                <w:szCs w:val="20"/>
              </w:rPr>
            </w:pPr>
            <w:r w:rsidRPr="00235DD6">
              <w:rPr>
                <w:color w:val="252525"/>
                <w:sz w:val="20"/>
                <w:szCs w:val="20"/>
              </w:rPr>
              <w:t xml:space="preserve">Deliver </w:t>
            </w:r>
          </w:p>
        </w:tc>
        <w:tc>
          <w:tcPr>
            <w:tcW w:w="2268" w:type="dxa"/>
          </w:tcPr>
          <w:p w14:paraId="22260932" w14:textId="77777777" w:rsidR="00AF715F" w:rsidRPr="00D367C9" w:rsidRDefault="00AF715F" w:rsidP="00AF715F">
            <w:pPr>
              <w:pStyle w:val="Default"/>
              <w:spacing w:line="276" w:lineRule="auto"/>
              <w:rPr>
                <w:color w:val="auto"/>
                <w:sz w:val="20"/>
                <w:szCs w:val="20"/>
              </w:rPr>
            </w:pPr>
            <w:r w:rsidRPr="00D367C9">
              <w:rPr>
                <w:color w:val="auto"/>
                <w:sz w:val="20"/>
                <w:szCs w:val="20"/>
              </w:rPr>
              <w:t>Delayed</w:t>
            </w:r>
          </w:p>
        </w:tc>
      </w:tr>
      <w:tr w:rsidR="00AF715F" w14:paraId="10C0C255" w14:textId="77777777" w:rsidTr="0052081B">
        <w:tc>
          <w:tcPr>
            <w:tcW w:w="9412" w:type="dxa"/>
          </w:tcPr>
          <w:p w14:paraId="117BE71E" w14:textId="77777777" w:rsidR="00AF715F" w:rsidRPr="003D6D4A" w:rsidRDefault="00AF715F" w:rsidP="00AF715F">
            <w:pPr>
              <w:pStyle w:val="Default"/>
              <w:spacing w:line="276" w:lineRule="auto"/>
              <w:rPr>
                <w:sz w:val="20"/>
                <w:szCs w:val="20"/>
              </w:rPr>
            </w:pPr>
            <w:r w:rsidRPr="003D6D4A">
              <w:rPr>
                <w:color w:val="252525"/>
                <w:sz w:val="20"/>
                <w:szCs w:val="20"/>
              </w:rPr>
              <w:t xml:space="preserve">In partnership with the Victorian Government commence construction on a replacement North Melbourne Community Centre precinct for the Melrose St community and growing Macaulay population. </w:t>
            </w:r>
          </w:p>
        </w:tc>
        <w:tc>
          <w:tcPr>
            <w:tcW w:w="2268" w:type="dxa"/>
          </w:tcPr>
          <w:p w14:paraId="595E1ECC" w14:textId="77777777" w:rsidR="00AF715F" w:rsidRPr="003D6D4A" w:rsidRDefault="00AF715F" w:rsidP="00AF715F">
            <w:pPr>
              <w:pStyle w:val="Default"/>
              <w:spacing w:line="276" w:lineRule="auto"/>
              <w:rPr>
                <w:sz w:val="20"/>
                <w:szCs w:val="20"/>
              </w:rPr>
            </w:pPr>
            <w:r w:rsidRPr="003D6D4A">
              <w:rPr>
                <w:color w:val="252525"/>
                <w:sz w:val="20"/>
                <w:szCs w:val="20"/>
              </w:rPr>
              <w:t xml:space="preserve">Deliver </w:t>
            </w:r>
          </w:p>
          <w:p w14:paraId="0AD05B18" w14:textId="77777777" w:rsidR="00AF715F" w:rsidRPr="003D6D4A" w:rsidRDefault="00AF715F" w:rsidP="00AF715F">
            <w:pPr>
              <w:pStyle w:val="Default"/>
              <w:spacing w:line="276" w:lineRule="auto"/>
              <w:rPr>
                <w:color w:val="252525"/>
                <w:sz w:val="20"/>
                <w:szCs w:val="20"/>
              </w:rPr>
            </w:pPr>
            <w:r w:rsidRPr="003D6D4A">
              <w:rPr>
                <w:color w:val="252525"/>
                <w:sz w:val="20"/>
                <w:szCs w:val="20"/>
              </w:rPr>
              <w:t xml:space="preserve">Partner </w:t>
            </w:r>
          </w:p>
        </w:tc>
        <w:tc>
          <w:tcPr>
            <w:tcW w:w="2268" w:type="dxa"/>
          </w:tcPr>
          <w:p w14:paraId="7643592B" w14:textId="77777777" w:rsidR="00AF715F" w:rsidRPr="00D367C9" w:rsidRDefault="00AF715F" w:rsidP="00AF715F">
            <w:pPr>
              <w:pStyle w:val="Default"/>
              <w:spacing w:line="276" w:lineRule="auto"/>
              <w:rPr>
                <w:color w:val="auto"/>
                <w:sz w:val="20"/>
                <w:szCs w:val="20"/>
              </w:rPr>
            </w:pPr>
            <w:r w:rsidRPr="003D6D4A">
              <w:rPr>
                <w:color w:val="auto"/>
                <w:sz w:val="20"/>
                <w:szCs w:val="20"/>
              </w:rPr>
              <w:t>On track</w:t>
            </w:r>
          </w:p>
        </w:tc>
      </w:tr>
      <w:tr w:rsidR="00AF715F" w14:paraId="5F2F5C19" w14:textId="77777777" w:rsidTr="0052081B">
        <w:tc>
          <w:tcPr>
            <w:tcW w:w="9412" w:type="dxa"/>
          </w:tcPr>
          <w:p w14:paraId="4DEBE628" w14:textId="77777777" w:rsidR="00AF715F" w:rsidRPr="003D6D4A" w:rsidRDefault="00AF715F" w:rsidP="00AF715F">
            <w:pPr>
              <w:pStyle w:val="Default"/>
              <w:spacing w:line="276" w:lineRule="auto"/>
              <w:rPr>
                <w:sz w:val="20"/>
                <w:szCs w:val="20"/>
              </w:rPr>
            </w:pPr>
            <w:r w:rsidRPr="003D6D4A">
              <w:rPr>
                <w:color w:val="252525"/>
                <w:sz w:val="20"/>
                <w:szCs w:val="20"/>
              </w:rPr>
              <w:t xml:space="preserve">Deliver programs that will build digital literacy skills and capabilities, improve access to free Wi-Fi from our community facilities and advocate for appropriate digital infrastructure, to improve digital inclusion for all, particularly for vulnerable groups. </w:t>
            </w:r>
          </w:p>
        </w:tc>
        <w:tc>
          <w:tcPr>
            <w:tcW w:w="2268" w:type="dxa"/>
          </w:tcPr>
          <w:p w14:paraId="6DE97DF8" w14:textId="77777777" w:rsidR="00AF715F" w:rsidRPr="003D6D4A" w:rsidRDefault="00AF715F" w:rsidP="00AF715F">
            <w:pPr>
              <w:pStyle w:val="Default"/>
              <w:spacing w:line="276" w:lineRule="auto"/>
              <w:rPr>
                <w:sz w:val="20"/>
                <w:szCs w:val="20"/>
              </w:rPr>
            </w:pPr>
            <w:r w:rsidRPr="003D6D4A">
              <w:rPr>
                <w:color w:val="252525"/>
                <w:sz w:val="20"/>
                <w:szCs w:val="20"/>
              </w:rPr>
              <w:t xml:space="preserve">Deliver </w:t>
            </w:r>
          </w:p>
        </w:tc>
        <w:tc>
          <w:tcPr>
            <w:tcW w:w="2268" w:type="dxa"/>
          </w:tcPr>
          <w:p w14:paraId="31929372" w14:textId="77777777" w:rsidR="00AF715F" w:rsidRPr="003D6D4A" w:rsidRDefault="00AF715F" w:rsidP="00AF715F">
            <w:pPr>
              <w:pStyle w:val="Default"/>
              <w:spacing w:line="276" w:lineRule="auto"/>
              <w:rPr>
                <w:color w:val="auto"/>
                <w:sz w:val="20"/>
                <w:szCs w:val="20"/>
              </w:rPr>
            </w:pPr>
            <w:r w:rsidRPr="003D6D4A">
              <w:rPr>
                <w:color w:val="auto"/>
                <w:sz w:val="20"/>
                <w:szCs w:val="20"/>
              </w:rPr>
              <w:t xml:space="preserve">On track </w:t>
            </w:r>
          </w:p>
        </w:tc>
      </w:tr>
      <w:tr w:rsidR="00AF715F" w14:paraId="674F7F8B" w14:textId="77777777" w:rsidTr="0052081B">
        <w:tc>
          <w:tcPr>
            <w:tcW w:w="9412" w:type="dxa"/>
          </w:tcPr>
          <w:p w14:paraId="36ED0333" w14:textId="77777777" w:rsidR="00AF715F" w:rsidRPr="003D6D4A" w:rsidRDefault="00AF715F" w:rsidP="00AF715F">
            <w:pPr>
              <w:pStyle w:val="Default"/>
              <w:spacing w:line="276" w:lineRule="auto"/>
              <w:rPr>
                <w:color w:val="252525"/>
                <w:sz w:val="20"/>
                <w:szCs w:val="20"/>
              </w:rPr>
            </w:pPr>
            <w:r w:rsidRPr="003D6D4A">
              <w:rPr>
                <w:color w:val="252525"/>
                <w:sz w:val="20"/>
                <w:szCs w:val="20"/>
              </w:rPr>
              <w:t xml:space="preserve">Create a new entity ‘Homes Melbourne’, to coordinate and facilitate more affordable housing for key workers and people on low-incomes and progress a demonstration project on Council-owned land, support the Make Room accommodation project and new homeless support hubs for vulnerable citizens to access essential support. </w:t>
            </w:r>
          </w:p>
        </w:tc>
        <w:tc>
          <w:tcPr>
            <w:tcW w:w="2268" w:type="dxa"/>
          </w:tcPr>
          <w:p w14:paraId="3DA08662" w14:textId="77777777" w:rsidR="00AF715F" w:rsidRPr="003D6D4A" w:rsidRDefault="00AF715F" w:rsidP="00AF715F">
            <w:pPr>
              <w:pStyle w:val="Default"/>
              <w:spacing w:line="276" w:lineRule="auto"/>
              <w:rPr>
                <w:sz w:val="20"/>
                <w:szCs w:val="20"/>
              </w:rPr>
            </w:pPr>
            <w:r w:rsidRPr="003D6D4A">
              <w:rPr>
                <w:color w:val="252525"/>
                <w:sz w:val="20"/>
                <w:szCs w:val="20"/>
              </w:rPr>
              <w:t xml:space="preserve">Partner </w:t>
            </w:r>
          </w:p>
        </w:tc>
        <w:tc>
          <w:tcPr>
            <w:tcW w:w="2268" w:type="dxa"/>
          </w:tcPr>
          <w:p w14:paraId="525022AF" w14:textId="77777777" w:rsidR="00AF715F" w:rsidRPr="003D6D4A" w:rsidRDefault="00AF715F" w:rsidP="00AF715F">
            <w:pPr>
              <w:pStyle w:val="Default"/>
              <w:spacing w:line="276" w:lineRule="auto"/>
              <w:rPr>
                <w:color w:val="auto"/>
                <w:sz w:val="20"/>
                <w:szCs w:val="20"/>
              </w:rPr>
            </w:pPr>
            <w:r>
              <w:rPr>
                <w:color w:val="auto"/>
                <w:sz w:val="20"/>
                <w:szCs w:val="20"/>
              </w:rPr>
              <w:t>On track</w:t>
            </w:r>
          </w:p>
        </w:tc>
      </w:tr>
    </w:tbl>
    <w:p w14:paraId="6FDCEDE1" w14:textId="77777777" w:rsidR="003D6D4A" w:rsidRPr="00CF27A2" w:rsidRDefault="003D6D4A" w:rsidP="003D6D4A">
      <w:pPr>
        <w:pStyle w:val="Heading2"/>
      </w:pPr>
      <w:bookmarkStart w:id="31" w:name="_Toc192746258"/>
      <w:r>
        <w:lastRenderedPageBreak/>
        <w:t>How we’re measuring progress over four years</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3D6D4A" w14:paraId="0380BF69" w14:textId="77777777" w:rsidTr="0052081B">
        <w:trPr>
          <w:tblHeader/>
        </w:trPr>
        <w:tc>
          <w:tcPr>
            <w:tcW w:w="9412" w:type="dxa"/>
            <w:shd w:val="clear" w:color="auto" w:fill="auto"/>
          </w:tcPr>
          <w:p w14:paraId="099ED0A5" w14:textId="77777777" w:rsidR="003D6D4A" w:rsidRPr="00784FF6" w:rsidRDefault="003D6D4A" w:rsidP="0052081B">
            <w:pPr>
              <w:pStyle w:val="TableofFigures"/>
              <w:rPr>
                <w:b/>
              </w:rPr>
            </w:pPr>
            <w:r>
              <w:rPr>
                <w:b/>
              </w:rPr>
              <w:t>Indicator</w:t>
            </w:r>
          </w:p>
        </w:tc>
        <w:tc>
          <w:tcPr>
            <w:tcW w:w="4537" w:type="dxa"/>
            <w:shd w:val="clear" w:color="auto" w:fill="auto"/>
          </w:tcPr>
          <w:p w14:paraId="2CB6FFD1" w14:textId="77777777" w:rsidR="003D6D4A" w:rsidRPr="00784FF6" w:rsidRDefault="003D6D4A" w:rsidP="0052081B">
            <w:pPr>
              <w:pStyle w:val="TableofFigures"/>
              <w:rPr>
                <w:b/>
              </w:rPr>
            </w:pPr>
            <w:r>
              <w:rPr>
                <w:b/>
              </w:rPr>
              <w:t>Target outcome</w:t>
            </w:r>
          </w:p>
        </w:tc>
      </w:tr>
      <w:tr w:rsidR="003D6D4A" w14:paraId="00AA2BDE" w14:textId="77777777" w:rsidTr="0052081B">
        <w:tc>
          <w:tcPr>
            <w:tcW w:w="9412" w:type="dxa"/>
          </w:tcPr>
          <w:p w14:paraId="7D3BC162" w14:textId="77777777" w:rsidR="003D6D4A" w:rsidRPr="003D6D4A" w:rsidRDefault="003D6D4A" w:rsidP="003D6D4A">
            <w:pPr>
              <w:pStyle w:val="Default"/>
              <w:spacing w:line="276" w:lineRule="auto"/>
              <w:rPr>
                <w:sz w:val="20"/>
                <w:szCs w:val="18"/>
              </w:rPr>
            </w:pPr>
            <w:r w:rsidRPr="003D6D4A">
              <w:rPr>
                <w:sz w:val="20"/>
                <w:szCs w:val="18"/>
              </w:rPr>
              <w:t xml:space="preserve">Number of people sleeping rough who have not been offered accommodation. </w:t>
            </w:r>
          </w:p>
        </w:tc>
        <w:tc>
          <w:tcPr>
            <w:tcW w:w="4537" w:type="dxa"/>
          </w:tcPr>
          <w:p w14:paraId="7876CD2D" w14:textId="77777777" w:rsidR="003D6D4A" w:rsidRPr="003D6D4A" w:rsidRDefault="003D6D4A" w:rsidP="003D6D4A">
            <w:pPr>
              <w:pStyle w:val="Default"/>
              <w:spacing w:line="276" w:lineRule="auto"/>
              <w:rPr>
                <w:sz w:val="20"/>
                <w:szCs w:val="18"/>
              </w:rPr>
            </w:pPr>
            <w:r w:rsidRPr="003D6D4A">
              <w:rPr>
                <w:sz w:val="20"/>
                <w:szCs w:val="18"/>
              </w:rPr>
              <w:t xml:space="preserve">Zero </w:t>
            </w:r>
          </w:p>
        </w:tc>
      </w:tr>
      <w:tr w:rsidR="003D6D4A" w14:paraId="25E30F1E" w14:textId="77777777" w:rsidTr="0052081B">
        <w:tc>
          <w:tcPr>
            <w:tcW w:w="9412" w:type="dxa"/>
          </w:tcPr>
          <w:p w14:paraId="1B618226" w14:textId="77777777" w:rsidR="003D6D4A" w:rsidRPr="003D6D4A" w:rsidRDefault="003D6D4A" w:rsidP="003D6D4A">
            <w:pPr>
              <w:pStyle w:val="Default"/>
              <w:spacing w:line="276" w:lineRule="auto"/>
              <w:rPr>
                <w:sz w:val="20"/>
                <w:szCs w:val="18"/>
              </w:rPr>
            </w:pPr>
            <w:r w:rsidRPr="003D6D4A">
              <w:rPr>
                <w:sz w:val="20"/>
                <w:szCs w:val="18"/>
              </w:rPr>
              <w:t xml:space="preserve">Number of people supported through a range of accommodation including long-term supportive housing and affordable housing. </w:t>
            </w:r>
          </w:p>
        </w:tc>
        <w:tc>
          <w:tcPr>
            <w:tcW w:w="4537" w:type="dxa"/>
          </w:tcPr>
          <w:p w14:paraId="06CA9C83" w14:textId="77777777" w:rsidR="003D6D4A" w:rsidRPr="003D6D4A" w:rsidRDefault="003D6D4A" w:rsidP="003D6D4A">
            <w:pPr>
              <w:pStyle w:val="Default"/>
              <w:spacing w:line="276" w:lineRule="auto"/>
              <w:rPr>
                <w:sz w:val="20"/>
                <w:szCs w:val="18"/>
              </w:rPr>
            </w:pPr>
            <w:r w:rsidRPr="003D6D4A">
              <w:rPr>
                <w:sz w:val="20"/>
                <w:szCs w:val="18"/>
              </w:rPr>
              <w:t xml:space="preserve">500 (by 2025) </w:t>
            </w:r>
          </w:p>
        </w:tc>
      </w:tr>
      <w:tr w:rsidR="003D6D4A" w14:paraId="43D946F3" w14:textId="77777777" w:rsidTr="0052081B">
        <w:tc>
          <w:tcPr>
            <w:tcW w:w="9412" w:type="dxa"/>
          </w:tcPr>
          <w:p w14:paraId="12C7B29A" w14:textId="77777777" w:rsidR="003D6D4A" w:rsidRPr="003D6D4A" w:rsidRDefault="003D6D4A" w:rsidP="003D6D4A">
            <w:pPr>
              <w:pStyle w:val="Default"/>
              <w:spacing w:line="276" w:lineRule="auto"/>
              <w:rPr>
                <w:sz w:val="20"/>
                <w:szCs w:val="18"/>
              </w:rPr>
            </w:pPr>
            <w:r w:rsidRPr="003D6D4A">
              <w:rPr>
                <w:sz w:val="20"/>
                <w:szCs w:val="18"/>
              </w:rPr>
              <w:t xml:space="preserve">Number of new demonstration social and affordable housing units facilitated on City of Melbourne land. </w:t>
            </w:r>
          </w:p>
        </w:tc>
        <w:tc>
          <w:tcPr>
            <w:tcW w:w="4537" w:type="dxa"/>
          </w:tcPr>
          <w:p w14:paraId="121B7EB9" w14:textId="77777777" w:rsidR="003D6D4A" w:rsidRPr="003D6D4A" w:rsidRDefault="003D6D4A" w:rsidP="003D6D4A">
            <w:pPr>
              <w:pStyle w:val="Default"/>
              <w:spacing w:line="276" w:lineRule="auto"/>
              <w:rPr>
                <w:sz w:val="20"/>
                <w:szCs w:val="18"/>
              </w:rPr>
            </w:pPr>
            <w:r w:rsidRPr="003D6D4A">
              <w:rPr>
                <w:sz w:val="20"/>
                <w:szCs w:val="18"/>
              </w:rPr>
              <w:t xml:space="preserve">100 (by 2025) </w:t>
            </w:r>
          </w:p>
        </w:tc>
      </w:tr>
      <w:tr w:rsidR="003D6D4A" w14:paraId="3581EA4B" w14:textId="77777777" w:rsidTr="0052081B">
        <w:tc>
          <w:tcPr>
            <w:tcW w:w="9412" w:type="dxa"/>
          </w:tcPr>
          <w:p w14:paraId="0183C244" w14:textId="77777777" w:rsidR="003D6D4A" w:rsidRPr="003D6D4A" w:rsidRDefault="003D6D4A" w:rsidP="003D6D4A">
            <w:pPr>
              <w:pStyle w:val="Default"/>
              <w:spacing w:line="276" w:lineRule="auto"/>
              <w:rPr>
                <w:sz w:val="20"/>
                <w:szCs w:val="18"/>
              </w:rPr>
            </w:pPr>
            <w:r w:rsidRPr="003D6D4A">
              <w:rPr>
                <w:sz w:val="20"/>
                <w:szCs w:val="18"/>
              </w:rPr>
              <w:t xml:space="preserve">Proportion of people reporting food insecurity. </w:t>
            </w:r>
          </w:p>
        </w:tc>
        <w:tc>
          <w:tcPr>
            <w:tcW w:w="4537" w:type="dxa"/>
          </w:tcPr>
          <w:p w14:paraId="36C06EBD" w14:textId="77777777" w:rsidR="003D6D4A" w:rsidRPr="003D6D4A" w:rsidRDefault="003D6D4A" w:rsidP="003D6D4A">
            <w:pPr>
              <w:pStyle w:val="Default"/>
              <w:spacing w:line="276" w:lineRule="auto"/>
              <w:rPr>
                <w:sz w:val="20"/>
                <w:szCs w:val="18"/>
              </w:rPr>
            </w:pPr>
            <w:r w:rsidRPr="003D6D4A">
              <w:rPr>
                <w:sz w:val="20"/>
                <w:szCs w:val="18"/>
              </w:rPr>
              <w:t xml:space="preserve">25% reduction </w:t>
            </w:r>
          </w:p>
          <w:p w14:paraId="0F651FCE" w14:textId="77777777" w:rsidR="003D6D4A" w:rsidRPr="003D6D4A" w:rsidRDefault="003D6D4A" w:rsidP="003D6D4A">
            <w:pPr>
              <w:pStyle w:val="Default"/>
              <w:spacing w:line="276" w:lineRule="auto"/>
              <w:rPr>
                <w:sz w:val="20"/>
                <w:szCs w:val="18"/>
              </w:rPr>
            </w:pPr>
            <w:r w:rsidRPr="003D6D4A">
              <w:rPr>
                <w:sz w:val="20"/>
                <w:szCs w:val="18"/>
              </w:rPr>
              <w:t xml:space="preserve">(by 2025) </w:t>
            </w:r>
          </w:p>
        </w:tc>
      </w:tr>
      <w:tr w:rsidR="003D6D4A" w14:paraId="7CC49EEF" w14:textId="77777777" w:rsidTr="0052081B">
        <w:tc>
          <w:tcPr>
            <w:tcW w:w="9412" w:type="dxa"/>
          </w:tcPr>
          <w:p w14:paraId="54060B86" w14:textId="77777777" w:rsidR="003D6D4A" w:rsidRPr="003D6D4A" w:rsidRDefault="003D6D4A" w:rsidP="003D6D4A">
            <w:pPr>
              <w:pStyle w:val="Default"/>
              <w:spacing w:line="276" w:lineRule="auto"/>
              <w:rPr>
                <w:sz w:val="20"/>
                <w:szCs w:val="18"/>
              </w:rPr>
            </w:pPr>
            <w:r w:rsidRPr="003D6D4A">
              <w:rPr>
                <w:sz w:val="20"/>
                <w:szCs w:val="18"/>
              </w:rPr>
              <w:t xml:space="preserve">Proportion of people surveyed who participate in lifelong learning in the municipality. </w:t>
            </w:r>
          </w:p>
        </w:tc>
        <w:tc>
          <w:tcPr>
            <w:tcW w:w="4537" w:type="dxa"/>
          </w:tcPr>
          <w:p w14:paraId="06F4EA13" w14:textId="77777777" w:rsidR="003D6D4A" w:rsidRPr="003D6D4A" w:rsidRDefault="003D6D4A" w:rsidP="003D6D4A">
            <w:pPr>
              <w:pStyle w:val="Default"/>
              <w:spacing w:line="276" w:lineRule="auto"/>
              <w:rPr>
                <w:sz w:val="20"/>
                <w:szCs w:val="18"/>
              </w:rPr>
            </w:pPr>
            <w:r w:rsidRPr="003D6D4A">
              <w:rPr>
                <w:sz w:val="20"/>
                <w:szCs w:val="18"/>
              </w:rPr>
              <w:t xml:space="preserve">Increase </w:t>
            </w:r>
          </w:p>
        </w:tc>
      </w:tr>
      <w:tr w:rsidR="003D6D4A" w14:paraId="1416E82E" w14:textId="77777777" w:rsidTr="0052081B">
        <w:tc>
          <w:tcPr>
            <w:tcW w:w="9412" w:type="dxa"/>
          </w:tcPr>
          <w:p w14:paraId="1E123455" w14:textId="77777777" w:rsidR="003D6D4A" w:rsidRPr="003D6D4A" w:rsidRDefault="003D6D4A" w:rsidP="003D6D4A">
            <w:pPr>
              <w:pStyle w:val="Default"/>
              <w:spacing w:line="276" w:lineRule="auto"/>
              <w:rPr>
                <w:sz w:val="20"/>
                <w:szCs w:val="18"/>
              </w:rPr>
            </w:pPr>
            <w:r w:rsidRPr="003D6D4A">
              <w:rPr>
                <w:sz w:val="20"/>
                <w:szCs w:val="18"/>
              </w:rPr>
              <w:t xml:space="preserve">Proportion of people surveyed who participate in arts and cultural activities in the municipality. </w:t>
            </w:r>
          </w:p>
        </w:tc>
        <w:tc>
          <w:tcPr>
            <w:tcW w:w="4537" w:type="dxa"/>
          </w:tcPr>
          <w:p w14:paraId="3B6E5DF2" w14:textId="77777777" w:rsidR="003D6D4A" w:rsidRPr="003D6D4A" w:rsidRDefault="003D6D4A" w:rsidP="003D6D4A">
            <w:pPr>
              <w:pStyle w:val="Default"/>
              <w:spacing w:line="276" w:lineRule="auto"/>
              <w:rPr>
                <w:sz w:val="20"/>
                <w:szCs w:val="18"/>
              </w:rPr>
            </w:pPr>
            <w:r w:rsidRPr="003D6D4A">
              <w:rPr>
                <w:sz w:val="20"/>
                <w:szCs w:val="18"/>
              </w:rPr>
              <w:t xml:space="preserve">Increase </w:t>
            </w:r>
          </w:p>
        </w:tc>
      </w:tr>
    </w:tbl>
    <w:p w14:paraId="4DD5E954" w14:textId="77777777" w:rsidR="005735E1" w:rsidRDefault="00175895" w:rsidP="005735E1">
      <w:pPr>
        <w:pStyle w:val="Heading1"/>
      </w:pPr>
      <w:r>
        <w:rPr>
          <w:rFonts w:hint="eastAsia"/>
        </w:rPr>
        <w:br w:type="page"/>
      </w:r>
      <w:bookmarkStart w:id="32" w:name="_Toc192746259"/>
      <w:r w:rsidR="00B30455" w:rsidRPr="00B30455">
        <w:lastRenderedPageBreak/>
        <w:t>Safety and wellbeing</w:t>
      </w:r>
      <w:bookmarkEnd w:id="32"/>
    </w:p>
    <w:p w14:paraId="22651355" w14:textId="77777777" w:rsidR="005735E1" w:rsidRDefault="00B30455" w:rsidP="005735E1">
      <w:r w:rsidRPr="00B30455">
        <w:t>Over the next four years, we will plan and design for the safety and wellbeing of those who live, visit, work and do business in Melbourne,</w:t>
      </w:r>
      <w:r>
        <w:t xml:space="preserve"> regardless of their background</w:t>
      </w:r>
      <w:r w:rsidR="005735E1" w:rsidRPr="00784FF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4A0" w:firstRow="1" w:lastRow="0" w:firstColumn="1" w:lastColumn="0" w:noHBand="0" w:noVBand="1"/>
      </w:tblPr>
      <w:tblGrid>
        <w:gridCol w:w="13920"/>
      </w:tblGrid>
      <w:tr w:rsidR="005735E1" w14:paraId="648B5711" w14:textId="77777777" w:rsidTr="00004EFF">
        <w:tc>
          <w:tcPr>
            <w:tcW w:w="13920" w:type="dxa"/>
            <w:shd w:val="clear" w:color="auto" w:fill="auto"/>
          </w:tcPr>
          <w:p w14:paraId="1AA3793A" w14:textId="77777777" w:rsidR="009E6BAD" w:rsidRPr="00D367C9" w:rsidRDefault="009E6BAD" w:rsidP="009E6BAD">
            <w:pPr>
              <w:pStyle w:val="Heading2"/>
              <w:spacing w:before="0"/>
            </w:pPr>
            <w:bookmarkStart w:id="33" w:name="_Toc192746260"/>
            <w:r w:rsidRPr="00D367C9">
              <w:t xml:space="preserve">Highlights for quarter </w:t>
            </w:r>
            <w:r w:rsidR="003E4B56">
              <w:t>one</w:t>
            </w:r>
            <w:r w:rsidRPr="00D367C9">
              <w:t xml:space="preserve"> (</w:t>
            </w:r>
            <w:r w:rsidR="00720E0C">
              <w:t>July to September</w:t>
            </w:r>
            <w:r w:rsidRPr="00D367C9">
              <w:t xml:space="preserve"> 202</w:t>
            </w:r>
            <w:r w:rsidR="003E4B56">
              <w:t>4</w:t>
            </w:r>
            <w:r w:rsidRPr="00D367C9">
              <w:t>)</w:t>
            </w:r>
            <w:bookmarkEnd w:id="33"/>
          </w:p>
          <w:p w14:paraId="0C6E5547" w14:textId="77777777" w:rsidR="00AF715F" w:rsidRDefault="00AF715F" w:rsidP="00AF715F">
            <w:r>
              <w:t>The City of Melbourne has made progress across various urban and community development projects. In September, the Council endorsed the final Strategic Opportunities Plan for Racecourse Road, signalling further improvements to bike lanes and public spaces.</w:t>
            </w:r>
          </w:p>
          <w:p w14:paraId="7FCA48E6" w14:textId="77777777" w:rsidR="00AF715F" w:rsidRDefault="00AF715F" w:rsidP="00AF715F">
            <w:r>
              <w:t>The Northern Undercroft project is advancing, with community engagement completed in June and two potential funding opportunities identified. A report was presented to the Future Melbourne Committee in August, outlining the program's status and potential funding options.</w:t>
            </w:r>
          </w:p>
          <w:p w14:paraId="0E5BA408" w14:textId="77777777" w:rsidR="00AF715F" w:rsidRDefault="00AF715F" w:rsidP="00AF715F">
            <w:r>
              <w:t>In September, the Council approved the Inclusive Melbourne Action Plan 2024-26, which includes 46 targeted actions to improve outcomes for women, people with disabilities, multicultural communities, and LGBTIQA+ individuals. Key initiatives include launching the Elizabeth Morgan House Aboriginal Women’s Family Violence Service and offering gender equity training for City of Melbourne staff.</w:t>
            </w:r>
          </w:p>
          <w:p w14:paraId="6CB07FC6" w14:textId="77777777" w:rsidR="00AF715F" w:rsidRDefault="00AF715F" w:rsidP="00AF715F">
            <w:r>
              <w:t>Street safety initiatives have expanded, including the Safe City Cameras program and laneway lighting improvements on Elizabeth Street South. A data dashboard has been created to monitor safety metrics such as crime, graffiti, and rubbish.</w:t>
            </w:r>
          </w:p>
          <w:p w14:paraId="4A22C9F6" w14:textId="77777777" w:rsidR="00AF715F" w:rsidRDefault="00AF715F" w:rsidP="00AF715F">
            <w:r>
              <w:t>The Rapid Response Clean Team, which became a permanent service in April 2024, has removed over 1,200 tonnes of waste and 36,500 square meters of graffiti since the beginning of the financial year.</w:t>
            </w:r>
          </w:p>
          <w:p w14:paraId="33AAC619" w14:textId="77777777" w:rsidR="00AF715F" w:rsidRDefault="00AF715F" w:rsidP="00AF715F">
            <w:r>
              <w:t>The Youth Engagement Program has been successfully delivered to local primary schools, with overwhelmingly positive feedback from students and teachers. This program educates young people about the social impacts of graffiti and has additional sessions scheduled for later in the year. Meanwhile, the Prepared Communities initiative launched in August, focusing on building resilience through education and grants for community projects.</w:t>
            </w:r>
          </w:p>
          <w:p w14:paraId="397E7DDB" w14:textId="77777777" w:rsidR="00AF715F" w:rsidRDefault="00AF715F" w:rsidP="00AF715F">
            <w:r>
              <w:t>The Community Cool Places and Services Grants, which opened in September, offer up to $5,000 to support local organisations in managing heat risks over the summer.</w:t>
            </w:r>
          </w:p>
          <w:p w14:paraId="44AF0D0E" w14:textId="77777777" w:rsidR="004A3010" w:rsidRDefault="00AF715F" w:rsidP="00AF715F">
            <w:r>
              <w:t>Project scoping for the Inclusive Communications Strategy is underway, alongside ongoing efforts by the Co-Chief Heat Officers to engage the community on heat-related risks. These initiatives aim to bolster resilience and inclusivity within the city, ensuring long-term sustainability and community wellbeing.</w:t>
            </w:r>
          </w:p>
          <w:p w14:paraId="0A94AB67" w14:textId="77777777" w:rsidR="00A95083" w:rsidRPr="00D367C9" w:rsidRDefault="00A95083" w:rsidP="00BE5903">
            <w:pPr>
              <w:pStyle w:val="Heading2"/>
            </w:pPr>
            <w:bookmarkStart w:id="34" w:name="_Toc192746261"/>
            <w:r w:rsidRPr="00D367C9">
              <w:lastRenderedPageBreak/>
              <w:t>Our progress</w:t>
            </w:r>
            <w:bookmarkEnd w:id="34"/>
          </w:p>
          <w:p w14:paraId="048055AE" w14:textId="77777777" w:rsidR="00AF715F" w:rsidRDefault="00AF715F" w:rsidP="00AF715F">
            <w:r>
              <w:t>Additional traffic modelling required by the Department of Transport and Plannings has impacted the Hawke Street Linear Park and Spencer Street North Master Plan, which are currently on hold.</w:t>
            </w:r>
          </w:p>
          <w:p w14:paraId="4A639DB9" w14:textId="77777777" w:rsidR="00AF715F" w:rsidRDefault="00AF715F" w:rsidP="00AF715F">
            <w:r>
              <w:t>Delays in public art allocations have affected the Franklin Street upgrade, but work continues on its streetscape improvements.</w:t>
            </w:r>
          </w:p>
          <w:p w14:paraId="6AA68DCF" w14:textId="77777777" w:rsidR="00002693" w:rsidRDefault="00AF715F" w:rsidP="00AF715F">
            <w:r>
              <w:t>The Northern Undercroft has been delayed due to a lack of secured funding, particularly for City Road West and East upgrades</w:t>
            </w:r>
          </w:p>
          <w:p w14:paraId="129B229B" w14:textId="77777777" w:rsidR="00030407" w:rsidRPr="00FC0EFA" w:rsidRDefault="00030407" w:rsidP="00AF715F">
            <w:r w:rsidRPr="00D367C9">
              <w:t>Delivery of our major initiatives within the Council Plan term is on track.</w:t>
            </w:r>
          </w:p>
        </w:tc>
      </w:tr>
    </w:tbl>
    <w:p w14:paraId="5098214F" w14:textId="77777777" w:rsidR="005735E1" w:rsidRPr="00784FF6" w:rsidRDefault="005735E1" w:rsidP="005735E1">
      <w:pPr>
        <w:pStyle w:val="Heading2"/>
      </w:pPr>
      <w:bookmarkStart w:id="35" w:name="_Toc192746262"/>
      <w:r w:rsidRPr="00784FF6">
        <w:lastRenderedPageBreak/>
        <w:t>The major initiatives we’re delivering this year</w:t>
      </w:r>
      <w:bookmarkEnd w:id="35"/>
      <w:r w:rsidRPr="00784FF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2268"/>
        <w:gridCol w:w="2268"/>
      </w:tblGrid>
      <w:tr w:rsidR="00A95083" w:rsidRPr="00235DD6" w14:paraId="40205700" w14:textId="77777777" w:rsidTr="0052081B">
        <w:trPr>
          <w:tblHeader/>
        </w:trPr>
        <w:tc>
          <w:tcPr>
            <w:tcW w:w="9412" w:type="dxa"/>
            <w:shd w:val="clear" w:color="auto" w:fill="auto"/>
          </w:tcPr>
          <w:p w14:paraId="7742B062" w14:textId="77777777" w:rsidR="00A95083" w:rsidRPr="0038645E" w:rsidRDefault="00A95083" w:rsidP="0052081B">
            <w:pPr>
              <w:pStyle w:val="TableofFigures"/>
              <w:rPr>
                <w:b/>
              </w:rPr>
            </w:pPr>
            <w:r w:rsidRPr="0038645E">
              <w:rPr>
                <w:b/>
              </w:rPr>
              <w:t>Initiative</w:t>
            </w:r>
          </w:p>
        </w:tc>
        <w:tc>
          <w:tcPr>
            <w:tcW w:w="2268" w:type="dxa"/>
            <w:shd w:val="clear" w:color="auto" w:fill="auto"/>
          </w:tcPr>
          <w:p w14:paraId="547593E4" w14:textId="77777777" w:rsidR="00A95083" w:rsidRPr="0038645E" w:rsidRDefault="00A95083" w:rsidP="0052081B">
            <w:pPr>
              <w:pStyle w:val="TableofFigures"/>
              <w:rPr>
                <w:b/>
              </w:rPr>
            </w:pPr>
            <w:r w:rsidRPr="0038645E">
              <w:rPr>
                <w:b/>
              </w:rPr>
              <w:t>Council’s role</w:t>
            </w:r>
          </w:p>
        </w:tc>
        <w:tc>
          <w:tcPr>
            <w:tcW w:w="2268" w:type="dxa"/>
            <w:shd w:val="clear" w:color="auto" w:fill="auto"/>
          </w:tcPr>
          <w:p w14:paraId="3DB76812" w14:textId="77777777" w:rsidR="00A95083" w:rsidRPr="00235DD6" w:rsidRDefault="00A95083" w:rsidP="0052081B">
            <w:pPr>
              <w:pStyle w:val="TableofFigures"/>
              <w:rPr>
                <w:b/>
              </w:rPr>
            </w:pPr>
            <w:r w:rsidRPr="00235DD6">
              <w:rPr>
                <w:b/>
              </w:rPr>
              <w:t>Our progress</w:t>
            </w:r>
          </w:p>
        </w:tc>
      </w:tr>
      <w:tr w:rsidR="00CB006D" w:rsidRPr="00235DD6" w14:paraId="180BC505" w14:textId="77777777" w:rsidTr="0052081B">
        <w:tc>
          <w:tcPr>
            <w:tcW w:w="9412" w:type="dxa"/>
            <w:shd w:val="clear" w:color="auto" w:fill="auto"/>
          </w:tcPr>
          <w:p w14:paraId="33B67A63"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Continue to implement the </w:t>
            </w:r>
            <w:r w:rsidRPr="00CB006D">
              <w:rPr>
                <w:color w:val="0000FF"/>
                <w:sz w:val="20"/>
                <w:szCs w:val="20"/>
              </w:rPr>
              <w:t>Transport Strategy 2030</w:t>
            </w:r>
            <w:r>
              <w:rPr>
                <w:rStyle w:val="FootnoteReference"/>
                <w:color w:val="252525"/>
                <w:sz w:val="20"/>
                <w:szCs w:val="20"/>
              </w:rPr>
              <w:footnoteReference w:id="15"/>
            </w:r>
            <w:r w:rsidRPr="00CB006D">
              <w:rPr>
                <w:color w:val="252525"/>
                <w:sz w:val="20"/>
                <w:szCs w:val="20"/>
              </w:rPr>
              <w:t xml:space="preserve">, including delivery of a protected bike lane network, station precincts, streets for people, safer speed limits, etcetera. </w:t>
            </w:r>
          </w:p>
        </w:tc>
        <w:tc>
          <w:tcPr>
            <w:tcW w:w="2268" w:type="dxa"/>
            <w:shd w:val="clear" w:color="auto" w:fill="auto"/>
          </w:tcPr>
          <w:p w14:paraId="7A81E434" w14:textId="77777777" w:rsidR="00CB006D" w:rsidRPr="00CB006D" w:rsidRDefault="00CB006D" w:rsidP="00CB006D">
            <w:pPr>
              <w:pStyle w:val="Default"/>
              <w:spacing w:line="276" w:lineRule="auto"/>
              <w:rPr>
                <w:sz w:val="20"/>
                <w:szCs w:val="20"/>
              </w:rPr>
            </w:pPr>
            <w:r w:rsidRPr="00CB006D">
              <w:rPr>
                <w:color w:val="252525"/>
                <w:sz w:val="20"/>
                <w:szCs w:val="20"/>
              </w:rPr>
              <w:t xml:space="preserve">Advocate </w:t>
            </w:r>
          </w:p>
          <w:p w14:paraId="641CA097"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Partner </w:t>
            </w:r>
          </w:p>
          <w:p w14:paraId="3949AAE1"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shd w:val="clear" w:color="auto" w:fill="auto"/>
          </w:tcPr>
          <w:p w14:paraId="5A2D5466" w14:textId="77777777" w:rsidR="00CB006D" w:rsidRPr="00235DD6" w:rsidRDefault="00D458D4" w:rsidP="00CB006D">
            <w:pPr>
              <w:pStyle w:val="Default"/>
              <w:spacing w:line="276" w:lineRule="auto"/>
              <w:rPr>
                <w:color w:val="auto"/>
                <w:sz w:val="20"/>
                <w:szCs w:val="20"/>
              </w:rPr>
            </w:pPr>
            <w:r w:rsidRPr="00235DD6">
              <w:rPr>
                <w:color w:val="auto"/>
                <w:sz w:val="20"/>
                <w:szCs w:val="20"/>
              </w:rPr>
              <w:t>On track</w:t>
            </w:r>
          </w:p>
        </w:tc>
      </w:tr>
      <w:tr w:rsidR="00CB006D" w14:paraId="73F67323" w14:textId="77777777" w:rsidTr="0052081B">
        <w:tc>
          <w:tcPr>
            <w:tcW w:w="9412" w:type="dxa"/>
            <w:shd w:val="clear" w:color="auto" w:fill="auto"/>
          </w:tcPr>
          <w:p w14:paraId="1691FCE1"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the North and West Melbourne and Docklands Transport and Amenity Program in partnership with the Victorian Government. </w:t>
            </w:r>
          </w:p>
        </w:tc>
        <w:tc>
          <w:tcPr>
            <w:tcW w:w="2268" w:type="dxa"/>
            <w:shd w:val="clear" w:color="auto" w:fill="auto"/>
          </w:tcPr>
          <w:p w14:paraId="799EEFB8"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p w14:paraId="615F5795"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Partner </w:t>
            </w:r>
          </w:p>
        </w:tc>
        <w:tc>
          <w:tcPr>
            <w:tcW w:w="2268" w:type="dxa"/>
            <w:shd w:val="clear" w:color="auto" w:fill="auto"/>
          </w:tcPr>
          <w:p w14:paraId="21AFE525" w14:textId="77777777" w:rsidR="00CB006D" w:rsidRPr="00CB006D" w:rsidRDefault="00211A97" w:rsidP="00211A97">
            <w:pPr>
              <w:pStyle w:val="Default"/>
              <w:spacing w:line="276" w:lineRule="auto"/>
              <w:rPr>
                <w:color w:val="auto"/>
                <w:sz w:val="20"/>
                <w:szCs w:val="20"/>
              </w:rPr>
            </w:pPr>
            <w:r>
              <w:rPr>
                <w:color w:val="auto"/>
                <w:sz w:val="20"/>
                <w:szCs w:val="20"/>
              </w:rPr>
              <w:t>Delayed</w:t>
            </w:r>
            <w:r w:rsidR="00CB006D" w:rsidRPr="00CB006D">
              <w:rPr>
                <w:color w:val="auto"/>
                <w:sz w:val="20"/>
                <w:szCs w:val="20"/>
              </w:rPr>
              <w:t xml:space="preserve"> </w:t>
            </w:r>
          </w:p>
        </w:tc>
      </w:tr>
      <w:tr w:rsidR="00CB006D" w14:paraId="1BE5B2D2" w14:textId="77777777" w:rsidTr="0052081B">
        <w:tc>
          <w:tcPr>
            <w:tcW w:w="9412" w:type="dxa"/>
            <w:shd w:val="clear" w:color="auto" w:fill="auto"/>
          </w:tcPr>
          <w:p w14:paraId="50ABF67B" w14:textId="77777777" w:rsidR="00CB006D" w:rsidRPr="00CB006D" w:rsidRDefault="00CB006D" w:rsidP="00CB006D">
            <w:pPr>
              <w:pStyle w:val="Default"/>
              <w:spacing w:line="276" w:lineRule="auto"/>
              <w:rPr>
                <w:sz w:val="20"/>
                <w:szCs w:val="20"/>
              </w:rPr>
            </w:pPr>
            <w:r w:rsidRPr="00CB006D">
              <w:rPr>
                <w:color w:val="252525"/>
                <w:sz w:val="20"/>
                <w:szCs w:val="20"/>
              </w:rPr>
              <w:t xml:space="preserve">City of Melbourne will design and deliver the upgrades to the City Road northern undercroft by end of 2023-2024 and advocate for the full delivery of upgrades to the City Road East and West. </w:t>
            </w:r>
          </w:p>
        </w:tc>
        <w:tc>
          <w:tcPr>
            <w:tcW w:w="2268" w:type="dxa"/>
            <w:shd w:val="clear" w:color="auto" w:fill="auto"/>
          </w:tcPr>
          <w:p w14:paraId="701BB4C2"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p w14:paraId="71F25BC7"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Advocate </w:t>
            </w:r>
          </w:p>
        </w:tc>
        <w:tc>
          <w:tcPr>
            <w:tcW w:w="2268" w:type="dxa"/>
            <w:shd w:val="clear" w:color="auto" w:fill="auto"/>
          </w:tcPr>
          <w:p w14:paraId="79B7D14F" w14:textId="77777777" w:rsidR="00CB006D" w:rsidRPr="00CB006D" w:rsidRDefault="00E43FA0" w:rsidP="00CB006D">
            <w:pPr>
              <w:pStyle w:val="Default"/>
              <w:spacing w:line="276" w:lineRule="auto"/>
              <w:rPr>
                <w:color w:val="auto"/>
                <w:sz w:val="20"/>
                <w:szCs w:val="20"/>
              </w:rPr>
            </w:pPr>
            <w:r>
              <w:rPr>
                <w:color w:val="auto"/>
                <w:sz w:val="20"/>
                <w:szCs w:val="20"/>
              </w:rPr>
              <w:t>Delayed</w:t>
            </w:r>
            <w:r w:rsidR="00CB006D" w:rsidRPr="00CB006D">
              <w:rPr>
                <w:color w:val="auto"/>
                <w:sz w:val="20"/>
                <w:szCs w:val="20"/>
              </w:rPr>
              <w:t xml:space="preserve"> </w:t>
            </w:r>
          </w:p>
        </w:tc>
      </w:tr>
      <w:tr w:rsidR="00CB006D" w14:paraId="0D27AF5D" w14:textId="77777777" w:rsidTr="0052081B">
        <w:tc>
          <w:tcPr>
            <w:tcW w:w="9412" w:type="dxa"/>
            <w:shd w:val="clear" w:color="auto" w:fill="auto"/>
          </w:tcPr>
          <w:p w14:paraId="5609E426" w14:textId="77777777" w:rsidR="00CB006D" w:rsidRPr="00CB006D" w:rsidRDefault="00CB006D" w:rsidP="00CB006D">
            <w:pPr>
              <w:pStyle w:val="Default"/>
              <w:spacing w:line="276" w:lineRule="auto"/>
              <w:rPr>
                <w:sz w:val="20"/>
                <w:szCs w:val="20"/>
              </w:rPr>
            </w:pPr>
            <w:r w:rsidRPr="00CB006D">
              <w:rPr>
                <w:color w:val="252525"/>
                <w:sz w:val="20"/>
                <w:szCs w:val="20"/>
              </w:rPr>
              <w:t xml:space="preserve">Adopt in 2021-22 and then implement an </w:t>
            </w:r>
            <w:r w:rsidRPr="00CB006D">
              <w:rPr>
                <w:color w:val="0000FF"/>
                <w:sz w:val="20"/>
                <w:szCs w:val="20"/>
              </w:rPr>
              <w:t>Inclusive Melbourne Strategy</w:t>
            </w:r>
            <w:r>
              <w:rPr>
                <w:rStyle w:val="FootnoteReference"/>
                <w:color w:val="0000FF"/>
                <w:sz w:val="20"/>
                <w:szCs w:val="20"/>
              </w:rPr>
              <w:footnoteReference w:id="16"/>
            </w:r>
            <w:r w:rsidRPr="00CB006D">
              <w:rPr>
                <w:color w:val="0000FF"/>
                <w:sz w:val="20"/>
                <w:szCs w:val="20"/>
              </w:rPr>
              <w:t xml:space="preserve"> </w:t>
            </w:r>
            <w:r w:rsidRPr="00CB006D">
              <w:rPr>
                <w:color w:val="252525"/>
                <w:sz w:val="20"/>
                <w:szCs w:val="20"/>
              </w:rPr>
              <w:t xml:space="preserve">that will increase access to opportunities for all people who live, work, study in and visit the city. </w:t>
            </w:r>
          </w:p>
        </w:tc>
        <w:tc>
          <w:tcPr>
            <w:tcW w:w="2268" w:type="dxa"/>
            <w:shd w:val="clear" w:color="auto" w:fill="auto"/>
          </w:tcPr>
          <w:p w14:paraId="5482790B"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shd w:val="clear" w:color="auto" w:fill="auto"/>
          </w:tcPr>
          <w:p w14:paraId="2C6A82C6" w14:textId="77777777" w:rsidR="00CB006D" w:rsidRPr="00CB006D" w:rsidRDefault="00CB006D" w:rsidP="00CB006D">
            <w:pPr>
              <w:pStyle w:val="Default"/>
              <w:spacing w:line="276" w:lineRule="auto"/>
              <w:rPr>
                <w:color w:val="auto"/>
                <w:sz w:val="20"/>
                <w:szCs w:val="20"/>
              </w:rPr>
            </w:pPr>
            <w:r w:rsidRPr="00CB006D">
              <w:rPr>
                <w:color w:val="auto"/>
                <w:sz w:val="20"/>
                <w:szCs w:val="20"/>
              </w:rPr>
              <w:t xml:space="preserve">On track </w:t>
            </w:r>
          </w:p>
        </w:tc>
      </w:tr>
      <w:tr w:rsidR="00CB006D" w14:paraId="0377E3B9" w14:textId="77777777" w:rsidTr="0052081B">
        <w:tc>
          <w:tcPr>
            <w:tcW w:w="9412" w:type="dxa"/>
          </w:tcPr>
          <w:p w14:paraId="467F368F" w14:textId="77777777" w:rsidR="00CB006D" w:rsidRPr="00CB006D" w:rsidRDefault="00CB006D" w:rsidP="00CB006D">
            <w:pPr>
              <w:pStyle w:val="Default"/>
              <w:spacing w:line="276" w:lineRule="auto"/>
              <w:rPr>
                <w:sz w:val="20"/>
                <w:szCs w:val="20"/>
              </w:rPr>
            </w:pPr>
            <w:r w:rsidRPr="00CB006D">
              <w:rPr>
                <w:color w:val="252525"/>
                <w:sz w:val="20"/>
                <w:szCs w:val="20"/>
              </w:rPr>
              <w:t xml:space="preserve">We will be a leading organisation on equality and inclusion and deliver programs in communities that will reduce physical and psychological harm to all people. </w:t>
            </w:r>
          </w:p>
        </w:tc>
        <w:tc>
          <w:tcPr>
            <w:tcW w:w="2268" w:type="dxa"/>
          </w:tcPr>
          <w:p w14:paraId="195CF97F"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tcPr>
          <w:p w14:paraId="1EDC460B" w14:textId="77777777" w:rsidR="00CB006D" w:rsidRPr="00CB006D" w:rsidRDefault="00AF715F" w:rsidP="00CB006D">
            <w:pPr>
              <w:pStyle w:val="Default"/>
              <w:spacing w:line="276" w:lineRule="auto"/>
              <w:rPr>
                <w:color w:val="auto"/>
                <w:sz w:val="20"/>
                <w:szCs w:val="20"/>
              </w:rPr>
            </w:pPr>
            <w:r>
              <w:rPr>
                <w:color w:val="auto"/>
                <w:sz w:val="20"/>
                <w:szCs w:val="20"/>
              </w:rPr>
              <w:t>Completed</w:t>
            </w:r>
          </w:p>
        </w:tc>
      </w:tr>
      <w:tr w:rsidR="00CB006D" w14:paraId="759303C0" w14:textId="77777777" w:rsidTr="0052081B">
        <w:tc>
          <w:tcPr>
            <w:tcW w:w="9412" w:type="dxa"/>
          </w:tcPr>
          <w:p w14:paraId="2967EDE0" w14:textId="77777777" w:rsidR="00CB006D" w:rsidRPr="00CB006D" w:rsidRDefault="00CB006D" w:rsidP="00CB006D">
            <w:pPr>
              <w:pStyle w:val="Default"/>
              <w:spacing w:line="276" w:lineRule="auto"/>
              <w:rPr>
                <w:sz w:val="20"/>
                <w:szCs w:val="20"/>
              </w:rPr>
            </w:pPr>
            <w:r w:rsidRPr="00CB006D">
              <w:rPr>
                <w:color w:val="252525"/>
                <w:sz w:val="20"/>
                <w:szCs w:val="20"/>
              </w:rPr>
              <w:t xml:space="preserve">We will continue to work with Victoria Police and other agencies to deliver a range of initiatives that improve safety on the streets of Melbourne and within our communities. </w:t>
            </w:r>
          </w:p>
        </w:tc>
        <w:tc>
          <w:tcPr>
            <w:tcW w:w="2268" w:type="dxa"/>
          </w:tcPr>
          <w:p w14:paraId="131D70A9" w14:textId="77777777" w:rsidR="00CB006D" w:rsidRPr="00CB006D" w:rsidRDefault="00CB006D" w:rsidP="00CB006D">
            <w:pPr>
              <w:pStyle w:val="Default"/>
              <w:spacing w:line="276" w:lineRule="auto"/>
              <w:rPr>
                <w:sz w:val="20"/>
                <w:szCs w:val="20"/>
              </w:rPr>
            </w:pPr>
            <w:r w:rsidRPr="00CB006D">
              <w:rPr>
                <w:color w:val="252525"/>
                <w:sz w:val="20"/>
                <w:szCs w:val="20"/>
              </w:rPr>
              <w:t xml:space="preserve">Partner </w:t>
            </w:r>
          </w:p>
          <w:p w14:paraId="6B77C567" w14:textId="77777777" w:rsidR="00CB006D" w:rsidRPr="00CB006D" w:rsidRDefault="00CB006D" w:rsidP="00CB006D">
            <w:pPr>
              <w:pStyle w:val="Default"/>
              <w:spacing w:line="276" w:lineRule="auto"/>
              <w:rPr>
                <w:color w:val="252525"/>
                <w:sz w:val="20"/>
                <w:szCs w:val="20"/>
              </w:rPr>
            </w:pPr>
            <w:r w:rsidRPr="00CB006D">
              <w:rPr>
                <w:color w:val="252525"/>
                <w:sz w:val="20"/>
                <w:szCs w:val="20"/>
              </w:rPr>
              <w:t xml:space="preserve">Deliver </w:t>
            </w:r>
          </w:p>
        </w:tc>
        <w:tc>
          <w:tcPr>
            <w:tcW w:w="2268" w:type="dxa"/>
          </w:tcPr>
          <w:p w14:paraId="6CDD0198" w14:textId="77777777" w:rsidR="00CB006D" w:rsidRPr="00CB006D" w:rsidRDefault="00CB006D" w:rsidP="00CB006D">
            <w:pPr>
              <w:pStyle w:val="Default"/>
              <w:spacing w:line="276" w:lineRule="auto"/>
              <w:rPr>
                <w:color w:val="auto"/>
                <w:sz w:val="20"/>
                <w:szCs w:val="20"/>
              </w:rPr>
            </w:pPr>
            <w:r w:rsidRPr="00CB006D">
              <w:rPr>
                <w:color w:val="auto"/>
                <w:sz w:val="20"/>
                <w:szCs w:val="20"/>
              </w:rPr>
              <w:t xml:space="preserve">On track </w:t>
            </w:r>
          </w:p>
        </w:tc>
      </w:tr>
      <w:tr w:rsidR="00CB006D" w14:paraId="5C406C14" w14:textId="77777777" w:rsidTr="0052081B">
        <w:tc>
          <w:tcPr>
            <w:tcW w:w="9412" w:type="dxa"/>
          </w:tcPr>
          <w:p w14:paraId="2403CD5F"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and maintain a clean city through the Rapid Response Clean Team initiative. </w:t>
            </w:r>
          </w:p>
        </w:tc>
        <w:tc>
          <w:tcPr>
            <w:tcW w:w="2268" w:type="dxa"/>
          </w:tcPr>
          <w:p w14:paraId="40EA694A"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tcPr>
          <w:p w14:paraId="7BD60310" w14:textId="77777777" w:rsidR="00CB006D" w:rsidRPr="00CB006D" w:rsidRDefault="00CB006D" w:rsidP="00CB006D">
            <w:pPr>
              <w:pStyle w:val="Default"/>
              <w:spacing w:line="276" w:lineRule="auto"/>
              <w:rPr>
                <w:color w:val="auto"/>
                <w:sz w:val="20"/>
                <w:szCs w:val="20"/>
              </w:rPr>
            </w:pPr>
            <w:r w:rsidRPr="00CB006D">
              <w:rPr>
                <w:color w:val="auto"/>
                <w:sz w:val="20"/>
                <w:szCs w:val="20"/>
              </w:rPr>
              <w:t xml:space="preserve">On track </w:t>
            </w:r>
          </w:p>
        </w:tc>
      </w:tr>
      <w:tr w:rsidR="00CB006D" w14:paraId="0F1529C7" w14:textId="77777777" w:rsidTr="0052081B">
        <w:tc>
          <w:tcPr>
            <w:tcW w:w="9412" w:type="dxa"/>
          </w:tcPr>
          <w:p w14:paraId="2E7F316E" w14:textId="77777777" w:rsidR="00CB006D" w:rsidRPr="00CB006D" w:rsidRDefault="00CB006D" w:rsidP="00CB006D">
            <w:pPr>
              <w:pStyle w:val="Default"/>
              <w:spacing w:line="276" w:lineRule="auto"/>
              <w:rPr>
                <w:color w:val="252525"/>
                <w:sz w:val="20"/>
                <w:szCs w:val="20"/>
              </w:rPr>
            </w:pPr>
            <w:r w:rsidRPr="00CB006D">
              <w:rPr>
                <w:color w:val="252525"/>
                <w:sz w:val="20"/>
                <w:szCs w:val="20"/>
              </w:rPr>
              <w:lastRenderedPageBreak/>
              <w:t xml:space="preserve">Engage and prepare residents and communities to enhance their resilience to hazards, disasters and the health impacts of climate change. </w:t>
            </w:r>
          </w:p>
        </w:tc>
        <w:tc>
          <w:tcPr>
            <w:tcW w:w="2268" w:type="dxa"/>
          </w:tcPr>
          <w:p w14:paraId="60980D98" w14:textId="77777777" w:rsidR="00CB006D" w:rsidRPr="00CB006D" w:rsidRDefault="00CB006D" w:rsidP="00CB006D">
            <w:pPr>
              <w:pStyle w:val="Default"/>
              <w:spacing w:line="276" w:lineRule="auto"/>
              <w:rPr>
                <w:sz w:val="20"/>
                <w:szCs w:val="20"/>
              </w:rPr>
            </w:pPr>
            <w:r w:rsidRPr="00CB006D">
              <w:rPr>
                <w:color w:val="252525"/>
                <w:sz w:val="20"/>
                <w:szCs w:val="20"/>
              </w:rPr>
              <w:t xml:space="preserve">Deliver </w:t>
            </w:r>
          </w:p>
        </w:tc>
        <w:tc>
          <w:tcPr>
            <w:tcW w:w="2268" w:type="dxa"/>
          </w:tcPr>
          <w:p w14:paraId="444E68BE" w14:textId="77777777" w:rsidR="00CB006D" w:rsidRPr="00CB006D" w:rsidRDefault="00262A0F" w:rsidP="00CB006D">
            <w:pPr>
              <w:pStyle w:val="Default"/>
              <w:spacing w:line="276" w:lineRule="auto"/>
              <w:rPr>
                <w:color w:val="auto"/>
                <w:sz w:val="20"/>
                <w:szCs w:val="20"/>
              </w:rPr>
            </w:pPr>
            <w:r w:rsidRPr="00CB006D">
              <w:rPr>
                <w:color w:val="auto"/>
                <w:sz w:val="20"/>
                <w:szCs w:val="20"/>
              </w:rPr>
              <w:t>On track</w:t>
            </w:r>
            <w:r w:rsidR="00CB006D" w:rsidRPr="00CB006D">
              <w:rPr>
                <w:color w:val="auto"/>
                <w:sz w:val="20"/>
                <w:szCs w:val="20"/>
              </w:rPr>
              <w:t xml:space="preserve"> </w:t>
            </w:r>
          </w:p>
        </w:tc>
      </w:tr>
    </w:tbl>
    <w:p w14:paraId="39F06839" w14:textId="77777777" w:rsidR="00CB006D" w:rsidRPr="00CF27A2" w:rsidRDefault="00CB006D" w:rsidP="00CB006D">
      <w:pPr>
        <w:pStyle w:val="Heading2"/>
      </w:pPr>
      <w:bookmarkStart w:id="36" w:name="_Toc192746263"/>
      <w:r>
        <w:t>How we’re measuring progress over four years</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412"/>
        <w:gridCol w:w="4537"/>
      </w:tblGrid>
      <w:tr w:rsidR="00CB006D" w14:paraId="1785928E" w14:textId="77777777" w:rsidTr="0052081B">
        <w:trPr>
          <w:tblHeader/>
        </w:trPr>
        <w:tc>
          <w:tcPr>
            <w:tcW w:w="9412" w:type="dxa"/>
            <w:shd w:val="clear" w:color="auto" w:fill="auto"/>
          </w:tcPr>
          <w:p w14:paraId="56DB1DA2" w14:textId="77777777" w:rsidR="00CB006D" w:rsidRPr="00784FF6" w:rsidRDefault="00CB006D" w:rsidP="0052081B">
            <w:pPr>
              <w:pStyle w:val="TableofFigures"/>
              <w:rPr>
                <w:b/>
              </w:rPr>
            </w:pPr>
            <w:r>
              <w:rPr>
                <w:b/>
              </w:rPr>
              <w:t>Indicator</w:t>
            </w:r>
          </w:p>
        </w:tc>
        <w:tc>
          <w:tcPr>
            <w:tcW w:w="4537" w:type="dxa"/>
            <w:shd w:val="clear" w:color="auto" w:fill="auto"/>
          </w:tcPr>
          <w:p w14:paraId="2F0CC245" w14:textId="77777777" w:rsidR="00CB006D" w:rsidRPr="00784FF6" w:rsidRDefault="00CB006D" w:rsidP="0052081B">
            <w:pPr>
              <w:pStyle w:val="TableofFigures"/>
              <w:rPr>
                <w:b/>
              </w:rPr>
            </w:pPr>
            <w:r>
              <w:rPr>
                <w:b/>
              </w:rPr>
              <w:t>Target outcome</w:t>
            </w:r>
          </w:p>
        </w:tc>
      </w:tr>
      <w:tr w:rsidR="00CB006D" w14:paraId="4306C32E" w14:textId="77777777" w:rsidTr="0052081B">
        <w:tc>
          <w:tcPr>
            <w:tcW w:w="9412" w:type="dxa"/>
          </w:tcPr>
          <w:p w14:paraId="7A5421FB" w14:textId="77777777" w:rsidR="00CB006D" w:rsidRPr="00CB006D" w:rsidRDefault="00CB006D" w:rsidP="00CB006D">
            <w:pPr>
              <w:pStyle w:val="Default"/>
              <w:spacing w:line="276" w:lineRule="auto"/>
              <w:rPr>
                <w:sz w:val="20"/>
                <w:szCs w:val="18"/>
              </w:rPr>
            </w:pPr>
            <w:r w:rsidRPr="00CB006D">
              <w:rPr>
                <w:sz w:val="20"/>
                <w:szCs w:val="18"/>
              </w:rPr>
              <w:t xml:space="preserve">Proportion of people who report feeling safe in the city. </w:t>
            </w:r>
          </w:p>
        </w:tc>
        <w:tc>
          <w:tcPr>
            <w:tcW w:w="4537" w:type="dxa"/>
          </w:tcPr>
          <w:p w14:paraId="08A89691" w14:textId="77777777" w:rsidR="00CB006D" w:rsidRPr="00CB006D" w:rsidRDefault="00CB006D" w:rsidP="00CB006D">
            <w:pPr>
              <w:pStyle w:val="Default"/>
              <w:spacing w:line="276" w:lineRule="auto"/>
              <w:rPr>
                <w:sz w:val="20"/>
                <w:szCs w:val="18"/>
              </w:rPr>
            </w:pPr>
            <w:r w:rsidRPr="00CB006D">
              <w:rPr>
                <w:sz w:val="20"/>
                <w:szCs w:val="18"/>
              </w:rPr>
              <w:t xml:space="preserve">90% by day, </w:t>
            </w:r>
          </w:p>
          <w:p w14:paraId="46A5003B" w14:textId="77777777" w:rsidR="00CB006D" w:rsidRPr="00CB006D" w:rsidRDefault="00CB006D" w:rsidP="00CB006D">
            <w:pPr>
              <w:pStyle w:val="Default"/>
              <w:spacing w:line="276" w:lineRule="auto"/>
              <w:rPr>
                <w:sz w:val="20"/>
                <w:szCs w:val="18"/>
              </w:rPr>
            </w:pPr>
            <w:r w:rsidRPr="00CB006D">
              <w:rPr>
                <w:sz w:val="20"/>
                <w:szCs w:val="18"/>
              </w:rPr>
              <w:t xml:space="preserve">65% by night </w:t>
            </w:r>
          </w:p>
        </w:tc>
      </w:tr>
      <w:tr w:rsidR="00CB006D" w14:paraId="58BE426D" w14:textId="77777777" w:rsidTr="0052081B">
        <w:tc>
          <w:tcPr>
            <w:tcW w:w="9412" w:type="dxa"/>
          </w:tcPr>
          <w:p w14:paraId="757A9D31" w14:textId="77777777" w:rsidR="00CB006D" w:rsidRPr="00CB006D" w:rsidRDefault="00CB006D" w:rsidP="00CB006D">
            <w:pPr>
              <w:pStyle w:val="Default"/>
              <w:spacing w:line="276" w:lineRule="auto"/>
              <w:rPr>
                <w:sz w:val="20"/>
                <w:szCs w:val="18"/>
              </w:rPr>
            </w:pPr>
            <w:r w:rsidRPr="00CB006D">
              <w:rPr>
                <w:sz w:val="20"/>
                <w:szCs w:val="18"/>
              </w:rPr>
              <w:t xml:space="preserve">Melburnians’ self-reported sense of belonging to community. </w:t>
            </w:r>
          </w:p>
        </w:tc>
        <w:tc>
          <w:tcPr>
            <w:tcW w:w="4537" w:type="dxa"/>
          </w:tcPr>
          <w:p w14:paraId="7BED46B3" w14:textId="77777777" w:rsidR="00CB006D" w:rsidRPr="00CB006D" w:rsidRDefault="00CB006D" w:rsidP="00CB006D">
            <w:pPr>
              <w:pStyle w:val="Default"/>
              <w:spacing w:line="276" w:lineRule="auto"/>
              <w:rPr>
                <w:sz w:val="20"/>
                <w:szCs w:val="18"/>
              </w:rPr>
            </w:pPr>
            <w:r w:rsidRPr="00CB006D">
              <w:rPr>
                <w:sz w:val="20"/>
                <w:szCs w:val="18"/>
              </w:rPr>
              <w:t xml:space="preserve">At least 70 /100 </w:t>
            </w:r>
          </w:p>
        </w:tc>
      </w:tr>
      <w:tr w:rsidR="00CB006D" w14:paraId="5F8706E3" w14:textId="77777777" w:rsidTr="0052081B">
        <w:tc>
          <w:tcPr>
            <w:tcW w:w="9412" w:type="dxa"/>
          </w:tcPr>
          <w:p w14:paraId="1607441D" w14:textId="77777777" w:rsidR="00CB006D" w:rsidRPr="00CB006D" w:rsidRDefault="00CB006D" w:rsidP="00CB006D">
            <w:pPr>
              <w:pStyle w:val="Default"/>
              <w:spacing w:line="276" w:lineRule="auto"/>
              <w:rPr>
                <w:sz w:val="20"/>
                <w:szCs w:val="18"/>
              </w:rPr>
            </w:pPr>
            <w:r w:rsidRPr="00CB006D">
              <w:rPr>
                <w:sz w:val="20"/>
                <w:szCs w:val="18"/>
              </w:rPr>
              <w:t xml:space="preserve">Rate of recorded family violence incidents. </w:t>
            </w:r>
          </w:p>
        </w:tc>
        <w:tc>
          <w:tcPr>
            <w:tcW w:w="4537" w:type="dxa"/>
          </w:tcPr>
          <w:p w14:paraId="2FCCD152" w14:textId="77777777" w:rsidR="00CB006D" w:rsidRPr="00CB006D" w:rsidRDefault="00CB006D" w:rsidP="00CB006D">
            <w:pPr>
              <w:pStyle w:val="Default"/>
              <w:spacing w:line="276" w:lineRule="auto"/>
              <w:rPr>
                <w:sz w:val="20"/>
                <w:szCs w:val="18"/>
              </w:rPr>
            </w:pPr>
            <w:r w:rsidRPr="00CB006D">
              <w:rPr>
                <w:sz w:val="20"/>
                <w:szCs w:val="18"/>
              </w:rPr>
              <w:t xml:space="preserve">Decrease </w:t>
            </w:r>
          </w:p>
        </w:tc>
      </w:tr>
      <w:tr w:rsidR="00CB006D" w14:paraId="4CC09C62" w14:textId="77777777" w:rsidTr="0052081B">
        <w:tc>
          <w:tcPr>
            <w:tcW w:w="9412" w:type="dxa"/>
          </w:tcPr>
          <w:p w14:paraId="5A2012F9" w14:textId="77777777" w:rsidR="00CB006D" w:rsidRPr="00CB006D" w:rsidRDefault="00CB006D" w:rsidP="00CB006D">
            <w:pPr>
              <w:pStyle w:val="Default"/>
              <w:spacing w:line="276" w:lineRule="auto"/>
              <w:rPr>
                <w:sz w:val="20"/>
                <w:szCs w:val="18"/>
              </w:rPr>
            </w:pPr>
            <w:r w:rsidRPr="00CB006D">
              <w:rPr>
                <w:sz w:val="20"/>
                <w:szCs w:val="18"/>
              </w:rPr>
              <w:t xml:space="preserve">Complaints of discrimination based on sexual orientation, sexuality, disability, sex, gender, race, religious or political beliefs or other grounds for unlawful discrimination. </w:t>
            </w:r>
          </w:p>
        </w:tc>
        <w:tc>
          <w:tcPr>
            <w:tcW w:w="4537" w:type="dxa"/>
          </w:tcPr>
          <w:p w14:paraId="1B84B280" w14:textId="77777777" w:rsidR="00CB006D" w:rsidRPr="00CB006D" w:rsidRDefault="00CB006D" w:rsidP="00CB006D">
            <w:pPr>
              <w:pStyle w:val="Default"/>
              <w:spacing w:line="276" w:lineRule="auto"/>
              <w:rPr>
                <w:sz w:val="20"/>
                <w:szCs w:val="18"/>
              </w:rPr>
            </w:pPr>
            <w:r w:rsidRPr="00CB006D">
              <w:rPr>
                <w:sz w:val="20"/>
                <w:szCs w:val="18"/>
              </w:rPr>
              <w:t xml:space="preserve">Decrease </w:t>
            </w:r>
          </w:p>
        </w:tc>
      </w:tr>
      <w:tr w:rsidR="00CB006D" w14:paraId="2CA1E3E4" w14:textId="77777777" w:rsidTr="0052081B">
        <w:tc>
          <w:tcPr>
            <w:tcW w:w="9412" w:type="dxa"/>
          </w:tcPr>
          <w:p w14:paraId="143C4B2C" w14:textId="77777777" w:rsidR="00CB006D" w:rsidRPr="00CB006D" w:rsidRDefault="00CB006D" w:rsidP="00CB006D">
            <w:pPr>
              <w:pStyle w:val="Default"/>
              <w:spacing w:line="276" w:lineRule="auto"/>
              <w:rPr>
                <w:sz w:val="20"/>
                <w:szCs w:val="18"/>
              </w:rPr>
            </w:pPr>
            <w:r w:rsidRPr="00CB006D">
              <w:rPr>
                <w:sz w:val="20"/>
                <w:szCs w:val="18"/>
              </w:rPr>
              <w:t xml:space="preserve">Proportion of adults who get adequate physical exercise. </w:t>
            </w:r>
          </w:p>
        </w:tc>
        <w:tc>
          <w:tcPr>
            <w:tcW w:w="4537" w:type="dxa"/>
          </w:tcPr>
          <w:p w14:paraId="681C9C37" w14:textId="77777777" w:rsidR="00CB006D" w:rsidRPr="00CB006D" w:rsidRDefault="00CB006D" w:rsidP="00CB006D">
            <w:pPr>
              <w:pStyle w:val="Default"/>
              <w:spacing w:line="276" w:lineRule="auto"/>
              <w:rPr>
                <w:sz w:val="20"/>
                <w:szCs w:val="18"/>
              </w:rPr>
            </w:pPr>
            <w:r w:rsidRPr="00CB006D">
              <w:rPr>
                <w:sz w:val="20"/>
                <w:szCs w:val="18"/>
              </w:rPr>
              <w:t xml:space="preserve">Increase </w:t>
            </w:r>
          </w:p>
        </w:tc>
      </w:tr>
      <w:tr w:rsidR="00CB006D" w14:paraId="57FE357C" w14:textId="77777777" w:rsidTr="0052081B">
        <w:tc>
          <w:tcPr>
            <w:tcW w:w="9412" w:type="dxa"/>
          </w:tcPr>
          <w:p w14:paraId="59B0699C" w14:textId="77777777" w:rsidR="00CB006D" w:rsidRPr="00CB006D" w:rsidRDefault="00CB006D" w:rsidP="00CB006D">
            <w:pPr>
              <w:pStyle w:val="Default"/>
              <w:spacing w:line="276" w:lineRule="auto"/>
              <w:rPr>
                <w:sz w:val="20"/>
                <w:szCs w:val="18"/>
              </w:rPr>
            </w:pPr>
            <w:r w:rsidRPr="00CB006D">
              <w:rPr>
                <w:sz w:val="20"/>
                <w:szCs w:val="18"/>
              </w:rPr>
              <w:t xml:space="preserve">Rate of ambulance attendance for alcohol and drug misuse in the municipality. </w:t>
            </w:r>
          </w:p>
        </w:tc>
        <w:tc>
          <w:tcPr>
            <w:tcW w:w="4537" w:type="dxa"/>
          </w:tcPr>
          <w:p w14:paraId="5FD05FF5" w14:textId="77777777" w:rsidR="00CB006D" w:rsidRPr="00CB006D" w:rsidRDefault="00CB006D" w:rsidP="00CB006D">
            <w:pPr>
              <w:pStyle w:val="Default"/>
              <w:spacing w:line="276" w:lineRule="auto"/>
              <w:rPr>
                <w:sz w:val="20"/>
                <w:szCs w:val="18"/>
              </w:rPr>
            </w:pPr>
            <w:r w:rsidRPr="00CB006D">
              <w:rPr>
                <w:sz w:val="20"/>
                <w:szCs w:val="18"/>
              </w:rPr>
              <w:t xml:space="preserve">Decrease </w:t>
            </w:r>
          </w:p>
        </w:tc>
      </w:tr>
      <w:tr w:rsidR="00CB006D" w14:paraId="518509DC" w14:textId="77777777" w:rsidTr="0052081B">
        <w:tc>
          <w:tcPr>
            <w:tcW w:w="9412" w:type="dxa"/>
          </w:tcPr>
          <w:p w14:paraId="4E56BD13" w14:textId="77777777" w:rsidR="00CB006D" w:rsidRPr="00CB006D" w:rsidRDefault="00CB006D" w:rsidP="00CB006D">
            <w:pPr>
              <w:pStyle w:val="Default"/>
              <w:spacing w:line="276" w:lineRule="auto"/>
              <w:rPr>
                <w:sz w:val="20"/>
                <w:szCs w:val="18"/>
              </w:rPr>
            </w:pPr>
            <w:r w:rsidRPr="00CB006D">
              <w:rPr>
                <w:sz w:val="20"/>
                <w:szCs w:val="18"/>
              </w:rPr>
              <w:t xml:space="preserve">Number of transport related injuries and fatalities. </w:t>
            </w:r>
          </w:p>
        </w:tc>
        <w:tc>
          <w:tcPr>
            <w:tcW w:w="4537" w:type="dxa"/>
          </w:tcPr>
          <w:p w14:paraId="70A0525F" w14:textId="77777777" w:rsidR="00CB006D" w:rsidRPr="00CB006D" w:rsidRDefault="00CB006D" w:rsidP="00CB006D">
            <w:pPr>
              <w:pStyle w:val="Default"/>
              <w:spacing w:line="276" w:lineRule="auto"/>
              <w:rPr>
                <w:sz w:val="20"/>
                <w:szCs w:val="18"/>
              </w:rPr>
            </w:pPr>
            <w:r w:rsidRPr="00CB006D">
              <w:rPr>
                <w:sz w:val="20"/>
                <w:szCs w:val="18"/>
              </w:rPr>
              <w:t xml:space="preserve">Decrease </w:t>
            </w:r>
          </w:p>
        </w:tc>
      </w:tr>
      <w:tr w:rsidR="00CB006D" w14:paraId="70A5E794" w14:textId="77777777" w:rsidTr="0052081B">
        <w:tc>
          <w:tcPr>
            <w:tcW w:w="9412" w:type="dxa"/>
          </w:tcPr>
          <w:p w14:paraId="77D826CB" w14:textId="77777777" w:rsidR="00CB006D" w:rsidRPr="00CB006D" w:rsidRDefault="00CB006D" w:rsidP="00CB006D">
            <w:pPr>
              <w:pStyle w:val="Default"/>
              <w:spacing w:line="276" w:lineRule="auto"/>
              <w:rPr>
                <w:sz w:val="20"/>
                <w:szCs w:val="18"/>
              </w:rPr>
            </w:pPr>
            <w:r w:rsidRPr="00CB006D">
              <w:rPr>
                <w:sz w:val="20"/>
                <w:szCs w:val="18"/>
              </w:rPr>
              <w:t xml:space="preserve">Proportion of trips made by public transport, bicycle or on foot. </w:t>
            </w:r>
          </w:p>
        </w:tc>
        <w:tc>
          <w:tcPr>
            <w:tcW w:w="4537" w:type="dxa"/>
          </w:tcPr>
          <w:p w14:paraId="3A552CD6" w14:textId="77777777" w:rsidR="00CB006D" w:rsidRPr="00CB006D" w:rsidRDefault="00CB006D" w:rsidP="00CB006D">
            <w:pPr>
              <w:pStyle w:val="Default"/>
              <w:spacing w:line="276" w:lineRule="auto"/>
              <w:rPr>
                <w:sz w:val="20"/>
                <w:szCs w:val="18"/>
              </w:rPr>
            </w:pPr>
            <w:r w:rsidRPr="00CB006D">
              <w:rPr>
                <w:sz w:val="20"/>
                <w:szCs w:val="18"/>
              </w:rPr>
              <w:t xml:space="preserve">Increase </w:t>
            </w:r>
          </w:p>
        </w:tc>
      </w:tr>
    </w:tbl>
    <w:p w14:paraId="27B210CD" w14:textId="77777777" w:rsidR="00784FF6" w:rsidRDefault="00784FF6" w:rsidP="00784FF6">
      <w:pPr>
        <w:rPr>
          <w:lang w:val="en-US"/>
        </w:rPr>
      </w:pPr>
    </w:p>
    <w:p w14:paraId="753B6202" w14:textId="77777777" w:rsidR="005735E1" w:rsidRPr="00784FF6" w:rsidRDefault="005735E1" w:rsidP="00784FF6">
      <w:pPr>
        <w:rPr>
          <w:lang w:val="en-US"/>
        </w:rPr>
      </w:pPr>
    </w:p>
    <w:sectPr w:rsidR="005735E1" w:rsidRPr="00784FF6" w:rsidSect="007F02C9">
      <w:endnotePr>
        <w:numFmt w:val="decimal"/>
      </w:endnotePr>
      <w:pgSz w:w="16840" w:h="11900" w:orient="landscape"/>
      <w:pgMar w:top="1134" w:right="1418" w:bottom="98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5B208" w14:textId="77777777" w:rsidR="00935983" w:rsidRDefault="00935983" w:rsidP="00BC719D">
      <w:pPr>
        <w:spacing w:after="0"/>
      </w:pPr>
      <w:r>
        <w:separator/>
      </w:r>
    </w:p>
  </w:endnote>
  <w:endnote w:type="continuationSeparator" w:id="0">
    <w:p w14:paraId="14403C03" w14:textId="77777777" w:rsidR="00935983" w:rsidRDefault="00935983"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ECED" w14:textId="77777777" w:rsidR="006E0D9F" w:rsidRDefault="006E0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D358" w14:textId="77777777" w:rsidR="006E0D9F" w:rsidRDefault="006E0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7709" w14:textId="77777777" w:rsidR="006E0D9F" w:rsidRDefault="006E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74F51" w14:textId="77777777" w:rsidR="00935983" w:rsidRDefault="00935983" w:rsidP="00577A39">
      <w:pPr>
        <w:spacing w:after="40" w:line="240" w:lineRule="auto"/>
      </w:pPr>
      <w:r>
        <w:separator/>
      </w:r>
    </w:p>
  </w:footnote>
  <w:footnote w:type="continuationSeparator" w:id="0">
    <w:p w14:paraId="11704CB1" w14:textId="77777777" w:rsidR="00935983" w:rsidRDefault="00935983" w:rsidP="00EA2130">
      <w:r>
        <w:continuationSeparator/>
      </w:r>
    </w:p>
  </w:footnote>
  <w:footnote w:id="1">
    <w:p w14:paraId="4E943BFF" w14:textId="77777777" w:rsidR="00CF27A2" w:rsidRDefault="00CF27A2">
      <w:pPr>
        <w:pStyle w:val="FootnoteText"/>
      </w:pPr>
      <w:r>
        <w:rPr>
          <w:rStyle w:val="FootnoteReference"/>
        </w:rPr>
        <w:footnoteRef/>
      </w:r>
      <w:r>
        <w:t xml:space="preserve"> </w:t>
      </w:r>
      <w:r w:rsidRPr="00784FF6">
        <w:t>https://</w:t>
      </w:r>
      <w:r>
        <w:t>www</w:t>
      </w:r>
      <w:r w:rsidRPr="00784FF6">
        <w:t>.melbourne.vic.gov.au/business/Pages/business-concierge-service.aspx</w:t>
      </w:r>
    </w:p>
  </w:footnote>
  <w:footnote w:id="2">
    <w:p w14:paraId="27CE889E" w14:textId="77777777" w:rsidR="00CF27A2" w:rsidRDefault="00CF27A2">
      <w:pPr>
        <w:pStyle w:val="FootnoteText"/>
      </w:pPr>
      <w:r>
        <w:rPr>
          <w:rStyle w:val="FootnoteReference"/>
        </w:rPr>
        <w:footnoteRef/>
      </w:r>
      <w:r>
        <w:t xml:space="preserve"> </w:t>
      </w:r>
      <w:r w:rsidRPr="00784FF6">
        <w:t>https://www.melbourne.vic.gov.au/about-council/vision-goals/Pages/economic-development-strategy-2031.aspx</w:t>
      </w:r>
    </w:p>
  </w:footnote>
  <w:footnote w:id="3">
    <w:p w14:paraId="395BED37" w14:textId="77777777" w:rsidR="00AF715F" w:rsidRDefault="00AF715F">
      <w:pPr>
        <w:pStyle w:val="FootnoteText"/>
      </w:pPr>
      <w:r>
        <w:rPr>
          <w:rStyle w:val="FootnoteReference"/>
        </w:rPr>
        <w:footnoteRef/>
      </w:r>
      <w:r>
        <w:t xml:space="preserve"> </w:t>
      </w:r>
      <w:r w:rsidRPr="00784FF6">
        <w:t>https://www.melbourne.vic.gov.au/arts-and-culture/strategies-support/funding/Pages/event-partnership-program.aspx</w:t>
      </w:r>
    </w:p>
  </w:footnote>
  <w:footnote w:id="4">
    <w:p w14:paraId="16A82C54" w14:textId="77777777" w:rsidR="00AF715F" w:rsidRDefault="00AF715F">
      <w:pPr>
        <w:pStyle w:val="FootnoteText"/>
      </w:pPr>
      <w:r>
        <w:rPr>
          <w:rStyle w:val="FootnoteReference"/>
        </w:rPr>
        <w:footnoteRef/>
      </w:r>
      <w:r>
        <w:t xml:space="preserve"> </w:t>
      </w:r>
      <w:r w:rsidRPr="00784FF6">
        <w:t>https://www.melbourne.vic.gov.au/about-council/vision-goals/Pages/united-nations-sustainable-development-goals.aspx</w:t>
      </w:r>
    </w:p>
  </w:footnote>
  <w:footnote w:id="5">
    <w:p w14:paraId="4CB941B8" w14:textId="77777777" w:rsidR="007F02C9" w:rsidRDefault="007F02C9">
      <w:pPr>
        <w:pStyle w:val="FootnoteText"/>
      </w:pPr>
      <w:r>
        <w:rPr>
          <w:rStyle w:val="FootnoteReference"/>
        </w:rPr>
        <w:footnoteRef/>
      </w:r>
      <w:r>
        <w:t xml:space="preserve"> </w:t>
      </w:r>
      <w:r w:rsidRPr="00B30455">
        <w:t>https://participate.melbourne.vic.gov.au/greenline/implementation-plan-overview</w:t>
      </w:r>
    </w:p>
  </w:footnote>
  <w:footnote w:id="6">
    <w:p w14:paraId="7A1B1A50" w14:textId="77777777" w:rsidR="00B272F4" w:rsidRDefault="00B272F4" w:rsidP="00B272F4">
      <w:pPr>
        <w:pStyle w:val="FootnoteText"/>
      </w:pPr>
      <w:r>
        <w:rPr>
          <w:rStyle w:val="FootnoteReference"/>
        </w:rPr>
        <w:footnoteRef/>
      </w:r>
      <w:r>
        <w:t xml:space="preserve"> </w:t>
      </w:r>
      <w:r w:rsidRPr="00B30455">
        <w:t>https://www.melbourne.vic.gov.au/qvmrenewal</w:t>
      </w:r>
    </w:p>
  </w:footnote>
  <w:footnote w:id="7">
    <w:p w14:paraId="7CCD7388" w14:textId="77777777" w:rsidR="00AF715F" w:rsidRDefault="00AF715F" w:rsidP="00AF715F">
      <w:pPr>
        <w:pStyle w:val="FootnoteText"/>
      </w:pPr>
      <w:r>
        <w:rPr>
          <w:rStyle w:val="FootnoteReference"/>
        </w:rPr>
        <w:footnoteRef/>
      </w:r>
      <w:r>
        <w:t xml:space="preserve"> </w:t>
      </w:r>
      <w:r w:rsidRPr="00B30455">
        <w:t>https://participate.melbourne.vic.gov.au/arden/plan</w:t>
      </w:r>
    </w:p>
  </w:footnote>
  <w:footnote w:id="8">
    <w:p w14:paraId="70D62E00" w14:textId="77777777" w:rsidR="00AF715F" w:rsidRDefault="00AF715F" w:rsidP="00AF715F">
      <w:pPr>
        <w:pStyle w:val="FootnoteText"/>
      </w:pPr>
      <w:r>
        <w:rPr>
          <w:rStyle w:val="FootnoteReference"/>
        </w:rPr>
        <w:footnoteRef/>
      </w:r>
      <w:r>
        <w:t xml:space="preserve"> </w:t>
      </w:r>
      <w:r w:rsidRPr="00B30455">
        <w:t>https://participate.melbourne.vic.gov.au/macaulay-refresh</w:t>
      </w:r>
    </w:p>
  </w:footnote>
  <w:footnote w:id="9">
    <w:p w14:paraId="63AFB11B" w14:textId="77777777" w:rsidR="00AF715F" w:rsidRDefault="00AF715F" w:rsidP="00AF715F">
      <w:pPr>
        <w:pStyle w:val="FootnoteText"/>
      </w:pPr>
      <w:r>
        <w:rPr>
          <w:rStyle w:val="FootnoteReference"/>
        </w:rPr>
        <w:footnoteRef/>
      </w:r>
      <w:r>
        <w:t xml:space="preserve"> </w:t>
      </w:r>
      <w:r w:rsidRPr="00B30455">
        <w:t>https://www.fishermansbend</w:t>
      </w:r>
      <w:r>
        <w:t>.vic.gov.au</w:t>
      </w:r>
    </w:p>
  </w:footnote>
  <w:footnote w:id="10">
    <w:p w14:paraId="662A436E" w14:textId="77777777" w:rsidR="00AF715F" w:rsidRDefault="00AF715F" w:rsidP="00AF715F">
      <w:pPr>
        <w:pStyle w:val="FootnoteText"/>
      </w:pPr>
      <w:r>
        <w:rPr>
          <w:rStyle w:val="FootnoteReference"/>
        </w:rPr>
        <w:footnoteRef/>
      </w:r>
      <w:r>
        <w:t xml:space="preserve"> </w:t>
      </w:r>
      <w:r w:rsidRPr="0038645E">
        <w:t>https://participate.melbourne.vic.gov.au/city-river-strategy</w:t>
      </w:r>
    </w:p>
  </w:footnote>
  <w:footnote w:id="11">
    <w:p w14:paraId="7E69BF01" w14:textId="77777777" w:rsidR="00AF715F" w:rsidRDefault="00AF715F" w:rsidP="00AF715F">
      <w:pPr>
        <w:pStyle w:val="FootnoteText"/>
      </w:pPr>
      <w:r>
        <w:rPr>
          <w:rStyle w:val="FootnoteReference"/>
        </w:rPr>
        <w:footnoteRef/>
      </w:r>
      <w:r>
        <w:t xml:space="preserve"> </w:t>
      </w:r>
      <w:r w:rsidRPr="0038645E">
        <w:t>https://participate.melbourne.vic.gov.au/design-excellence-program</w:t>
      </w:r>
    </w:p>
  </w:footnote>
  <w:footnote w:id="12">
    <w:p w14:paraId="39D186B8" w14:textId="77777777" w:rsidR="001F471F" w:rsidRDefault="001F471F">
      <w:pPr>
        <w:pStyle w:val="FootnoteText"/>
      </w:pPr>
      <w:r>
        <w:rPr>
          <w:rStyle w:val="FootnoteReference"/>
        </w:rPr>
        <w:footnoteRef/>
      </w:r>
      <w:r>
        <w:t xml:space="preserve"> </w:t>
      </w:r>
      <w:r w:rsidRPr="001F471F">
        <w:t>https://www.melbourne.vic.gov.au/community/greening-the-city/urban-forest/pages/urban-forest-strategy.aspx</w:t>
      </w:r>
    </w:p>
  </w:footnote>
  <w:footnote w:id="13">
    <w:p w14:paraId="362A1656" w14:textId="77777777" w:rsidR="001F471F" w:rsidRDefault="001F471F">
      <w:pPr>
        <w:pStyle w:val="FootnoteText"/>
      </w:pPr>
      <w:r>
        <w:rPr>
          <w:rStyle w:val="FootnoteReference"/>
        </w:rPr>
        <w:footnoteRef/>
      </w:r>
      <w:r>
        <w:t xml:space="preserve"> </w:t>
      </w:r>
      <w:r w:rsidRPr="001F471F">
        <w:t>https://www.melbourne.vic.gov.au/about-council/vision-goals/eco-city/climate-change/Pages/taking-action-climate-change.aspx?k=climate+and+biodiversity+emergency&amp;type=web</w:t>
      </w:r>
    </w:p>
  </w:footnote>
  <w:footnote w:id="14">
    <w:p w14:paraId="07A7C4C0" w14:textId="77777777" w:rsidR="00A95083" w:rsidRDefault="00A95083">
      <w:pPr>
        <w:pStyle w:val="FootnoteText"/>
      </w:pPr>
      <w:r>
        <w:rPr>
          <w:rStyle w:val="FootnoteReference"/>
        </w:rPr>
        <w:footnoteRef/>
      </w:r>
      <w:r>
        <w:t xml:space="preserve"> </w:t>
      </w:r>
      <w:r w:rsidRPr="00A95083">
        <w:t>https://participate.melbourne.vic.gov.au/disability-access-plan</w:t>
      </w:r>
    </w:p>
  </w:footnote>
  <w:footnote w:id="15">
    <w:p w14:paraId="4A33B59E" w14:textId="77777777" w:rsidR="00CB006D" w:rsidRDefault="00CB006D">
      <w:pPr>
        <w:pStyle w:val="FootnoteText"/>
      </w:pPr>
      <w:r>
        <w:rPr>
          <w:rStyle w:val="FootnoteReference"/>
        </w:rPr>
        <w:footnoteRef/>
      </w:r>
      <w:r>
        <w:t xml:space="preserve"> </w:t>
      </w:r>
      <w:r w:rsidRPr="00CB006D">
        <w:t>https://www.melbourne.vic.gov.au/parking-and-transport/transport-planning-projects/Pages/transport-strategy.aspx</w:t>
      </w:r>
    </w:p>
  </w:footnote>
  <w:footnote w:id="16">
    <w:p w14:paraId="3CCB4D42" w14:textId="77777777" w:rsidR="00CB006D" w:rsidRDefault="00CB006D">
      <w:pPr>
        <w:pStyle w:val="FootnoteText"/>
      </w:pPr>
      <w:r>
        <w:rPr>
          <w:rStyle w:val="FootnoteReference"/>
        </w:rPr>
        <w:footnoteRef/>
      </w:r>
      <w:r>
        <w:t xml:space="preserve"> </w:t>
      </w:r>
      <w:r w:rsidRPr="00CB006D">
        <w:t>https://participate.melbourne.vic.gov.au/inclusive-melbourne-strategy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9CAE" w14:textId="77777777" w:rsidR="006E0D9F" w:rsidRDefault="006E0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C670" w14:textId="77777777" w:rsidR="006E0D9F" w:rsidRDefault="006E0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2742" w14:textId="77777777" w:rsidR="006E0D9F" w:rsidRDefault="006E0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F1531D"/>
    <w:multiLevelType w:val="hybridMultilevel"/>
    <w:tmpl w:val="3CD04552"/>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572BBB"/>
    <w:multiLevelType w:val="hybridMultilevel"/>
    <w:tmpl w:val="DD78CE72"/>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6" w15:restartNumberingAfterBreak="0">
    <w:nsid w:val="0ECA1A41"/>
    <w:multiLevelType w:val="hybridMultilevel"/>
    <w:tmpl w:val="D1F096BE"/>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E1130C"/>
    <w:multiLevelType w:val="hybridMultilevel"/>
    <w:tmpl w:val="D8B2C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5D7B39"/>
    <w:multiLevelType w:val="hybridMultilevel"/>
    <w:tmpl w:val="084CAA78"/>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2D08FB"/>
    <w:multiLevelType w:val="hybridMultilevel"/>
    <w:tmpl w:val="8F30D178"/>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991C66"/>
    <w:multiLevelType w:val="hybridMultilevel"/>
    <w:tmpl w:val="54603DD4"/>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F67E64"/>
    <w:multiLevelType w:val="hybridMultilevel"/>
    <w:tmpl w:val="0BD408BC"/>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632B1F"/>
    <w:multiLevelType w:val="hybridMultilevel"/>
    <w:tmpl w:val="22569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4" w15:restartNumberingAfterBreak="0">
    <w:nsid w:val="2A2B5D1C"/>
    <w:multiLevelType w:val="multilevel"/>
    <w:tmpl w:val="16506B6C"/>
    <w:numStyleLink w:val="ListNumbers"/>
  </w:abstractNum>
  <w:abstractNum w:abstractNumId="15" w15:restartNumberingAfterBreak="0">
    <w:nsid w:val="2A5DE4F3"/>
    <w:multiLevelType w:val="hybridMultilevel"/>
    <w:tmpl w:val="7BE09F84"/>
    <w:lvl w:ilvl="0" w:tplc="05C0D970">
      <w:start w:val="1"/>
      <w:numFmt w:val="bullet"/>
      <w:lvlText w:val=""/>
      <w:lvlJc w:val="left"/>
      <w:pPr>
        <w:ind w:left="720" w:hanging="360"/>
      </w:pPr>
      <w:rPr>
        <w:rFonts w:ascii="Symbol" w:hAnsi="Symbol" w:hint="default"/>
      </w:rPr>
    </w:lvl>
    <w:lvl w:ilvl="1" w:tplc="22A45E06">
      <w:start w:val="1"/>
      <w:numFmt w:val="bullet"/>
      <w:lvlText w:val="o"/>
      <w:lvlJc w:val="left"/>
      <w:pPr>
        <w:ind w:left="1440" w:hanging="360"/>
      </w:pPr>
      <w:rPr>
        <w:rFonts w:ascii="Courier New" w:hAnsi="Courier New" w:hint="default"/>
      </w:rPr>
    </w:lvl>
    <w:lvl w:ilvl="2" w:tplc="926EFB7C">
      <w:start w:val="1"/>
      <w:numFmt w:val="bullet"/>
      <w:lvlText w:val=""/>
      <w:lvlJc w:val="left"/>
      <w:pPr>
        <w:ind w:left="2160" w:hanging="360"/>
      </w:pPr>
      <w:rPr>
        <w:rFonts w:ascii="Wingdings" w:hAnsi="Wingdings" w:hint="default"/>
      </w:rPr>
    </w:lvl>
    <w:lvl w:ilvl="3" w:tplc="72FC9E4C">
      <w:start w:val="1"/>
      <w:numFmt w:val="bullet"/>
      <w:lvlText w:val=""/>
      <w:lvlJc w:val="left"/>
      <w:pPr>
        <w:ind w:left="2880" w:hanging="360"/>
      </w:pPr>
      <w:rPr>
        <w:rFonts w:ascii="Symbol" w:hAnsi="Symbol" w:hint="default"/>
      </w:rPr>
    </w:lvl>
    <w:lvl w:ilvl="4" w:tplc="6EE8420E">
      <w:start w:val="1"/>
      <w:numFmt w:val="bullet"/>
      <w:lvlText w:val="o"/>
      <w:lvlJc w:val="left"/>
      <w:pPr>
        <w:ind w:left="3600" w:hanging="360"/>
      </w:pPr>
      <w:rPr>
        <w:rFonts w:ascii="Courier New" w:hAnsi="Courier New" w:hint="default"/>
      </w:rPr>
    </w:lvl>
    <w:lvl w:ilvl="5" w:tplc="60E83C22">
      <w:start w:val="1"/>
      <w:numFmt w:val="bullet"/>
      <w:lvlText w:val=""/>
      <w:lvlJc w:val="left"/>
      <w:pPr>
        <w:ind w:left="4320" w:hanging="360"/>
      </w:pPr>
      <w:rPr>
        <w:rFonts w:ascii="Wingdings" w:hAnsi="Wingdings" w:hint="default"/>
      </w:rPr>
    </w:lvl>
    <w:lvl w:ilvl="6" w:tplc="4DA28D96">
      <w:start w:val="1"/>
      <w:numFmt w:val="bullet"/>
      <w:lvlText w:val=""/>
      <w:lvlJc w:val="left"/>
      <w:pPr>
        <w:ind w:left="5040" w:hanging="360"/>
      </w:pPr>
      <w:rPr>
        <w:rFonts w:ascii="Symbol" w:hAnsi="Symbol" w:hint="default"/>
      </w:rPr>
    </w:lvl>
    <w:lvl w:ilvl="7" w:tplc="467C6A0A">
      <w:start w:val="1"/>
      <w:numFmt w:val="bullet"/>
      <w:lvlText w:val="o"/>
      <w:lvlJc w:val="left"/>
      <w:pPr>
        <w:ind w:left="5760" w:hanging="360"/>
      </w:pPr>
      <w:rPr>
        <w:rFonts w:ascii="Courier New" w:hAnsi="Courier New" w:hint="default"/>
      </w:rPr>
    </w:lvl>
    <w:lvl w:ilvl="8" w:tplc="9BBE5150">
      <w:start w:val="1"/>
      <w:numFmt w:val="bullet"/>
      <w:lvlText w:val=""/>
      <w:lvlJc w:val="left"/>
      <w:pPr>
        <w:ind w:left="6480" w:hanging="360"/>
      </w:pPr>
      <w:rPr>
        <w:rFonts w:ascii="Wingdings" w:hAnsi="Wingdings" w:hint="default"/>
      </w:rPr>
    </w:lvl>
  </w:abstractNum>
  <w:abstractNum w:abstractNumId="16" w15:restartNumberingAfterBreak="0">
    <w:nsid w:val="2B4F9C02"/>
    <w:multiLevelType w:val="hybridMultilevel"/>
    <w:tmpl w:val="E53CD122"/>
    <w:lvl w:ilvl="0" w:tplc="8A58F36A">
      <w:start w:val="1"/>
      <w:numFmt w:val="bullet"/>
      <w:lvlText w:val=""/>
      <w:lvlJc w:val="left"/>
      <w:pPr>
        <w:ind w:left="720" w:hanging="360"/>
      </w:pPr>
      <w:rPr>
        <w:rFonts w:ascii="Symbol" w:hAnsi="Symbol" w:hint="default"/>
      </w:rPr>
    </w:lvl>
    <w:lvl w:ilvl="1" w:tplc="B3CADC1E">
      <w:start w:val="1"/>
      <w:numFmt w:val="bullet"/>
      <w:lvlText w:val="o"/>
      <w:lvlJc w:val="left"/>
      <w:pPr>
        <w:ind w:left="1440" w:hanging="360"/>
      </w:pPr>
      <w:rPr>
        <w:rFonts w:ascii="Courier New" w:hAnsi="Courier New" w:hint="default"/>
      </w:rPr>
    </w:lvl>
    <w:lvl w:ilvl="2" w:tplc="270A0758">
      <w:start w:val="1"/>
      <w:numFmt w:val="bullet"/>
      <w:lvlText w:val=""/>
      <w:lvlJc w:val="left"/>
      <w:pPr>
        <w:ind w:left="2160" w:hanging="360"/>
      </w:pPr>
      <w:rPr>
        <w:rFonts w:ascii="Wingdings" w:hAnsi="Wingdings" w:hint="default"/>
      </w:rPr>
    </w:lvl>
    <w:lvl w:ilvl="3" w:tplc="2820B080">
      <w:start w:val="1"/>
      <w:numFmt w:val="bullet"/>
      <w:lvlText w:val=""/>
      <w:lvlJc w:val="left"/>
      <w:pPr>
        <w:ind w:left="2880" w:hanging="360"/>
      </w:pPr>
      <w:rPr>
        <w:rFonts w:ascii="Symbol" w:hAnsi="Symbol" w:hint="default"/>
      </w:rPr>
    </w:lvl>
    <w:lvl w:ilvl="4" w:tplc="B68805AE">
      <w:start w:val="1"/>
      <w:numFmt w:val="bullet"/>
      <w:lvlText w:val="o"/>
      <w:lvlJc w:val="left"/>
      <w:pPr>
        <w:ind w:left="3600" w:hanging="360"/>
      </w:pPr>
      <w:rPr>
        <w:rFonts w:ascii="Courier New" w:hAnsi="Courier New" w:hint="default"/>
      </w:rPr>
    </w:lvl>
    <w:lvl w:ilvl="5" w:tplc="5A3873AA">
      <w:start w:val="1"/>
      <w:numFmt w:val="bullet"/>
      <w:lvlText w:val=""/>
      <w:lvlJc w:val="left"/>
      <w:pPr>
        <w:ind w:left="4320" w:hanging="360"/>
      </w:pPr>
      <w:rPr>
        <w:rFonts w:ascii="Wingdings" w:hAnsi="Wingdings" w:hint="default"/>
      </w:rPr>
    </w:lvl>
    <w:lvl w:ilvl="6" w:tplc="D3FABC5C">
      <w:start w:val="1"/>
      <w:numFmt w:val="bullet"/>
      <w:lvlText w:val=""/>
      <w:lvlJc w:val="left"/>
      <w:pPr>
        <w:ind w:left="5040" w:hanging="360"/>
      </w:pPr>
      <w:rPr>
        <w:rFonts w:ascii="Symbol" w:hAnsi="Symbol" w:hint="default"/>
      </w:rPr>
    </w:lvl>
    <w:lvl w:ilvl="7" w:tplc="C834E87C">
      <w:start w:val="1"/>
      <w:numFmt w:val="bullet"/>
      <w:lvlText w:val="o"/>
      <w:lvlJc w:val="left"/>
      <w:pPr>
        <w:ind w:left="5760" w:hanging="360"/>
      </w:pPr>
      <w:rPr>
        <w:rFonts w:ascii="Courier New" w:hAnsi="Courier New" w:hint="default"/>
      </w:rPr>
    </w:lvl>
    <w:lvl w:ilvl="8" w:tplc="74FA2716">
      <w:start w:val="1"/>
      <w:numFmt w:val="bullet"/>
      <w:lvlText w:val=""/>
      <w:lvlJc w:val="left"/>
      <w:pPr>
        <w:ind w:left="6480" w:hanging="360"/>
      </w:pPr>
      <w:rPr>
        <w:rFonts w:ascii="Wingdings" w:hAnsi="Wingdings" w:hint="default"/>
      </w:rPr>
    </w:lvl>
  </w:abstractNum>
  <w:abstractNum w:abstractNumId="17" w15:restartNumberingAfterBreak="0">
    <w:nsid w:val="2C8C295D"/>
    <w:multiLevelType w:val="hybridMultilevel"/>
    <w:tmpl w:val="3E2EDEDC"/>
    <w:lvl w:ilvl="0" w:tplc="56880AFE">
      <w:start w:val="1"/>
      <w:numFmt w:val="bullet"/>
      <w:lvlText w:val=""/>
      <w:lvlJc w:val="left"/>
      <w:pPr>
        <w:ind w:left="720" w:hanging="360"/>
      </w:pPr>
      <w:rPr>
        <w:rFonts w:ascii="Symbol" w:hAnsi="Symbol" w:hint="default"/>
      </w:rPr>
    </w:lvl>
    <w:lvl w:ilvl="1" w:tplc="1ADE2B20">
      <w:start w:val="1"/>
      <w:numFmt w:val="bullet"/>
      <w:lvlText w:val="o"/>
      <w:lvlJc w:val="left"/>
      <w:pPr>
        <w:ind w:left="1440" w:hanging="360"/>
      </w:pPr>
      <w:rPr>
        <w:rFonts w:ascii="Courier New" w:hAnsi="Courier New" w:hint="default"/>
      </w:rPr>
    </w:lvl>
    <w:lvl w:ilvl="2" w:tplc="B2224EBA">
      <w:start w:val="1"/>
      <w:numFmt w:val="bullet"/>
      <w:lvlText w:val=""/>
      <w:lvlJc w:val="left"/>
      <w:pPr>
        <w:ind w:left="2160" w:hanging="360"/>
      </w:pPr>
      <w:rPr>
        <w:rFonts w:ascii="Wingdings" w:hAnsi="Wingdings" w:hint="default"/>
      </w:rPr>
    </w:lvl>
    <w:lvl w:ilvl="3" w:tplc="BAA4DBCC">
      <w:start w:val="1"/>
      <w:numFmt w:val="bullet"/>
      <w:lvlText w:val=""/>
      <w:lvlJc w:val="left"/>
      <w:pPr>
        <w:ind w:left="2880" w:hanging="360"/>
      </w:pPr>
      <w:rPr>
        <w:rFonts w:ascii="Symbol" w:hAnsi="Symbol" w:hint="default"/>
      </w:rPr>
    </w:lvl>
    <w:lvl w:ilvl="4" w:tplc="A38CB862">
      <w:start w:val="1"/>
      <w:numFmt w:val="bullet"/>
      <w:lvlText w:val="o"/>
      <w:lvlJc w:val="left"/>
      <w:pPr>
        <w:ind w:left="3600" w:hanging="360"/>
      </w:pPr>
      <w:rPr>
        <w:rFonts w:ascii="Courier New" w:hAnsi="Courier New" w:hint="default"/>
      </w:rPr>
    </w:lvl>
    <w:lvl w:ilvl="5" w:tplc="2F1E216E">
      <w:start w:val="1"/>
      <w:numFmt w:val="bullet"/>
      <w:lvlText w:val=""/>
      <w:lvlJc w:val="left"/>
      <w:pPr>
        <w:ind w:left="4320" w:hanging="360"/>
      </w:pPr>
      <w:rPr>
        <w:rFonts w:ascii="Wingdings" w:hAnsi="Wingdings" w:hint="default"/>
      </w:rPr>
    </w:lvl>
    <w:lvl w:ilvl="6" w:tplc="D1BCCB3E">
      <w:start w:val="1"/>
      <w:numFmt w:val="bullet"/>
      <w:lvlText w:val=""/>
      <w:lvlJc w:val="left"/>
      <w:pPr>
        <w:ind w:left="5040" w:hanging="360"/>
      </w:pPr>
      <w:rPr>
        <w:rFonts w:ascii="Symbol" w:hAnsi="Symbol" w:hint="default"/>
      </w:rPr>
    </w:lvl>
    <w:lvl w:ilvl="7" w:tplc="C4B26E56">
      <w:start w:val="1"/>
      <w:numFmt w:val="bullet"/>
      <w:lvlText w:val="o"/>
      <w:lvlJc w:val="left"/>
      <w:pPr>
        <w:ind w:left="5760" w:hanging="360"/>
      </w:pPr>
      <w:rPr>
        <w:rFonts w:ascii="Courier New" w:hAnsi="Courier New" w:hint="default"/>
      </w:rPr>
    </w:lvl>
    <w:lvl w:ilvl="8" w:tplc="79F2D174">
      <w:start w:val="1"/>
      <w:numFmt w:val="bullet"/>
      <w:lvlText w:val=""/>
      <w:lvlJc w:val="left"/>
      <w:pPr>
        <w:ind w:left="6480" w:hanging="360"/>
      </w:pPr>
      <w:rPr>
        <w:rFonts w:ascii="Wingdings" w:hAnsi="Wingdings" w:hint="default"/>
      </w:rPr>
    </w:lvl>
  </w:abstractNum>
  <w:abstractNum w:abstractNumId="18" w15:restartNumberingAfterBreak="0">
    <w:nsid w:val="2F214A6F"/>
    <w:multiLevelType w:val="hybridMultilevel"/>
    <w:tmpl w:val="9F4A4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E770C8"/>
    <w:multiLevelType w:val="hybridMultilevel"/>
    <w:tmpl w:val="D878EE5A"/>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C36E1A"/>
    <w:multiLevelType w:val="hybridMultilevel"/>
    <w:tmpl w:val="7C74EBB4"/>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C10957"/>
    <w:multiLevelType w:val="multilevel"/>
    <w:tmpl w:val="16506B6C"/>
    <w:numStyleLink w:val="ListNumbers"/>
  </w:abstractNum>
  <w:abstractNum w:abstractNumId="23" w15:restartNumberingAfterBreak="0">
    <w:nsid w:val="39B77339"/>
    <w:multiLevelType w:val="hybridMultilevel"/>
    <w:tmpl w:val="74ECEFB0"/>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2E18D8"/>
    <w:multiLevelType w:val="hybridMultilevel"/>
    <w:tmpl w:val="B4A846D6"/>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1559E1"/>
    <w:multiLevelType w:val="hybridMultilevel"/>
    <w:tmpl w:val="AE708700"/>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DA2D9C"/>
    <w:multiLevelType w:val="hybridMultilevel"/>
    <w:tmpl w:val="DC80A966"/>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8B6D53"/>
    <w:multiLevelType w:val="hybridMultilevel"/>
    <w:tmpl w:val="8E2A87FA"/>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4C7572"/>
    <w:multiLevelType w:val="hybridMultilevel"/>
    <w:tmpl w:val="142C5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4B3C27"/>
    <w:multiLevelType w:val="hybridMultilevel"/>
    <w:tmpl w:val="CD6E9D04"/>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B50E92"/>
    <w:multiLevelType w:val="hybridMultilevel"/>
    <w:tmpl w:val="5B925404"/>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8359D6"/>
    <w:multiLevelType w:val="hybridMultilevel"/>
    <w:tmpl w:val="61D8FE76"/>
    <w:lvl w:ilvl="0" w:tplc="A01CC4E4">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CB640F"/>
    <w:multiLevelType w:val="hybridMultilevel"/>
    <w:tmpl w:val="C73AB130"/>
    <w:lvl w:ilvl="0" w:tplc="08B099E2">
      <w:start w:val="1"/>
      <w:numFmt w:val="bullet"/>
      <w:lvlText w:val=""/>
      <w:lvlJc w:val="left"/>
      <w:pPr>
        <w:ind w:left="720" w:hanging="360"/>
      </w:pPr>
      <w:rPr>
        <w:rFonts w:ascii="Symbol" w:hAnsi="Symbol" w:hint="default"/>
      </w:rPr>
    </w:lvl>
    <w:lvl w:ilvl="1" w:tplc="0C3CBB10">
      <w:start w:val="1"/>
      <w:numFmt w:val="bullet"/>
      <w:lvlText w:val="o"/>
      <w:lvlJc w:val="left"/>
      <w:pPr>
        <w:ind w:left="1440" w:hanging="360"/>
      </w:pPr>
      <w:rPr>
        <w:rFonts w:ascii="Courier New" w:hAnsi="Courier New" w:hint="default"/>
      </w:rPr>
    </w:lvl>
    <w:lvl w:ilvl="2" w:tplc="0B6CAEF6">
      <w:start w:val="1"/>
      <w:numFmt w:val="bullet"/>
      <w:lvlText w:val=""/>
      <w:lvlJc w:val="left"/>
      <w:pPr>
        <w:ind w:left="2160" w:hanging="360"/>
      </w:pPr>
      <w:rPr>
        <w:rFonts w:ascii="Wingdings" w:hAnsi="Wingdings" w:hint="default"/>
      </w:rPr>
    </w:lvl>
    <w:lvl w:ilvl="3" w:tplc="BF62B26A">
      <w:start w:val="1"/>
      <w:numFmt w:val="bullet"/>
      <w:lvlText w:val=""/>
      <w:lvlJc w:val="left"/>
      <w:pPr>
        <w:ind w:left="2880" w:hanging="360"/>
      </w:pPr>
      <w:rPr>
        <w:rFonts w:ascii="Symbol" w:hAnsi="Symbol" w:hint="default"/>
      </w:rPr>
    </w:lvl>
    <w:lvl w:ilvl="4" w:tplc="12349E88">
      <w:start w:val="1"/>
      <w:numFmt w:val="bullet"/>
      <w:lvlText w:val="o"/>
      <w:lvlJc w:val="left"/>
      <w:pPr>
        <w:ind w:left="3600" w:hanging="360"/>
      </w:pPr>
      <w:rPr>
        <w:rFonts w:ascii="Courier New" w:hAnsi="Courier New" w:hint="default"/>
      </w:rPr>
    </w:lvl>
    <w:lvl w:ilvl="5" w:tplc="35BE03F6">
      <w:start w:val="1"/>
      <w:numFmt w:val="bullet"/>
      <w:lvlText w:val=""/>
      <w:lvlJc w:val="left"/>
      <w:pPr>
        <w:ind w:left="4320" w:hanging="360"/>
      </w:pPr>
      <w:rPr>
        <w:rFonts w:ascii="Wingdings" w:hAnsi="Wingdings" w:hint="default"/>
      </w:rPr>
    </w:lvl>
    <w:lvl w:ilvl="6" w:tplc="39FE1530">
      <w:start w:val="1"/>
      <w:numFmt w:val="bullet"/>
      <w:lvlText w:val=""/>
      <w:lvlJc w:val="left"/>
      <w:pPr>
        <w:ind w:left="5040" w:hanging="360"/>
      </w:pPr>
      <w:rPr>
        <w:rFonts w:ascii="Symbol" w:hAnsi="Symbol" w:hint="default"/>
      </w:rPr>
    </w:lvl>
    <w:lvl w:ilvl="7" w:tplc="53AE92BE">
      <w:start w:val="1"/>
      <w:numFmt w:val="bullet"/>
      <w:lvlText w:val="o"/>
      <w:lvlJc w:val="left"/>
      <w:pPr>
        <w:ind w:left="5760" w:hanging="360"/>
      </w:pPr>
      <w:rPr>
        <w:rFonts w:ascii="Courier New" w:hAnsi="Courier New" w:hint="default"/>
      </w:rPr>
    </w:lvl>
    <w:lvl w:ilvl="8" w:tplc="0CC652BA">
      <w:start w:val="1"/>
      <w:numFmt w:val="bullet"/>
      <w:lvlText w:val=""/>
      <w:lvlJc w:val="left"/>
      <w:pPr>
        <w:ind w:left="6480" w:hanging="360"/>
      </w:pPr>
      <w:rPr>
        <w:rFonts w:ascii="Wingdings" w:hAnsi="Wingdings" w:hint="default"/>
      </w:rPr>
    </w:lvl>
  </w:abstractNum>
  <w:abstractNum w:abstractNumId="34" w15:restartNumberingAfterBreak="0">
    <w:nsid w:val="69EC4DC8"/>
    <w:multiLevelType w:val="hybridMultilevel"/>
    <w:tmpl w:val="6BF4D61A"/>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1209CA"/>
    <w:multiLevelType w:val="multilevel"/>
    <w:tmpl w:val="16506B6C"/>
    <w:numStyleLink w:val="ListNumbers"/>
  </w:abstractNum>
  <w:abstractNum w:abstractNumId="36" w15:restartNumberingAfterBreak="0">
    <w:nsid w:val="78576E52"/>
    <w:multiLevelType w:val="hybridMultilevel"/>
    <w:tmpl w:val="41F01A3A"/>
    <w:lvl w:ilvl="0" w:tplc="6F30F28C">
      <w:numFmt w:val="bullet"/>
      <w:lvlText w:val="•"/>
      <w:lvlJc w:val="left"/>
      <w:pPr>
        <w:ind w:left="1080" w:hanging="72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9534343"/>
    <w:multiLevelType w:val="hybridMultilevel"/>
    <w:tmpl w:val="FD78A9F0"/>
    <w:lvl w:ilvl="0" w:tplc="EC5072A4">
      <w:start w:val="1"/>
      <w:numFmt w:val="bullet"/>
      <w:lvlText w:val=""/>
      <w:lvlJc w:val="left"/>
      <w:pPr>
        <w:ind w:left="720" w:hanging="360"/>
      </w:pPr>
      <w:rPr>
        <w:rFonts w:ascii="Symbol" w:hAnsi="Symbol" w:hint="default"/>
      </w:rPr>
    </w:lvl>
    <w:lvl w:ilvl="1" w:tplc="6E12239E">
      <w:start w:val="1"/>
      <w:numFmt w:val="bullet"/>
      <w:lvlText w:val="o"/>
      <w:lvlJc w:val="left"/>
      <w:pPr>
        <w:ind w:left="1440" w:hanging="360"/>
      </w:pPr>
      <w:rPr>
        <w:rFonts w:ascii="Courier New" w:hAnsi="Courier New" w:hint="default"/>
      </w:rPr>
    </w:lvl>
    <w:lvl w:ilvl="2" w:tplc="BEB82422">
      <w:start w:val="1"/>
      <w:numFmt w:val="bullet"/>
      <w:lvlText w:val=""/>
      <w:lvlJc w:val="left"/>
      <w:pPr>
        <w:ind w:left="2160" w:hanging="360"/>
      </w:pPr>
      <w:rPr>
        <w:rFonts w:ascii="Wingdings" w:hAnsi="Wingdings" w:hint="default"/>
      </w:rPr>
    </w:lvl>
    <w:lvl w:ilvl="3" w:tplc="7444CACC">
      <w:start w:val="1"/>
      <w:numFmt w:val="bullet"/>
      <w:lvlText w:val=""/>
      <w:lvlJc w:val="left"/>
      <w:pPr>
        <w:ind w:left="2880" w:hanging="360"/>
      </w:pPr>
      <w:rPr>
        <w:rFonts w:ascii="Symbol" w:hAnsi="Symbol" w:hint="default"/>
      </w:rPr>
    </w:lvl>
    <w:lvl w:ilvl="4" w:tplc="6F8E2142">
      <w:start w:val="1"/>
      <w:numFmt w:val="bullet"/>
      <w:lvlText w:val="o"/>
      <w:lvlJc w:val="left"/>
      <w:pPr>
        <w:ind w:left="3600" w:hanging="360"/>
      </w:pPr>
      <w:rPr>
        <w:rFonts w:ascii="Courier New" w:hAnsi="Courier New" w:hint="default"/>
      </w:rPr>
    </w:lvl>
    <w:lvl w:ilvl="5" w:tplc="46547304">
      <w:start w:val="1"/>
      <w:numFmt w:val="bullet"/>
      <w:lvlText w:val=""/>
      <w:lvlJc w:val="left"/>
      <w:pPr>
        <w:ind w:left="4320" w:hanging="360"/>
      </w:pPr>
      <w:rPr>
        <w:rFonts w:ascii="Wingdings" w:hAnsi="Wingdings" w:hint="default"/>
      </w:rPr>
    </w:lvl>
    <w:lvl w:ilvl="6" w:tplc="E52419A6">
      <w:start w:val="1"/>
      <w:numFmt w:val="bullet"/>
      <w:lvlText w:val=""/>
      <w:lvlJc w:val="left"/>
      <w:pPr>
        <w:ind w:left="5040" w:hanging="360"/>
      </w:pPr>
      <w:rPr>
        <w:rFonts w:ascii="Symbol" w:hAnsi="Symbol" w:hint="default"/>
      </w:rPr>
    </w:lvl>
    <w:lvl w:ilvl="7" w:tplc="44F85C8E">
      <w:start w:val="1"/>
      <w:numFmt w:val="bullet"/>
      <w:lvlText w:val="o"/>
      <w:lvlJc w:val="left"/>
      <w:pPr>
        <w:ind w:left="5760" w:hanging="360"/>
      </w:pPr>
      <w:rPr>
        <w:rFonts w:ascii="Courier New" w:hAnsi="Courier New" w:hint="default"/>
      </w:rPr>
    </w:lvl>
    <w:lvl w:ilvl="8" w:tplc="123A7D3C">
      <w:start w:val="1"/>
      <w:numFmt w:val="bullet"/>
      <w:lvlText w:val=""/>
      <w:lvlJc w:val="left"/>
      <w:pPr>
        <w:ind w:left="6480" w:hanging="360"/>
      </w:pPr>
      <w:rPr>
        <w:rFonts w:ascii="Wingdings" w:hAnsi="Wingdings" w:hint="default"/>
      </w:rPr>
    </w:lvl>
  </w:abstractNum>
  <w:abstractNum w:abstractNumId="38" w15:restartNumberingAfterBreak="0">
    <w:nsid w:val="7A2C43DC"/>
    <w:multiLevelType w:val="multilevel"/>
    <w:tmpl w:val="16506B6C"/>
    <w:numStyleLink w:val="ListNumbers"/>
  </w:abstractNum>
  <w:abstractNum w:abstractNumId="39"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40925901">
    <w:abstractNumId w:val="5"/>
  </w:num>
  <w:num w:numId="2" w16cid:durableId="399535">
    <w:abstractNumId w:val="13"/>
  </w:num>
  <w:num w:numId="3" w16cid:durableId="431315530">
    <w:abstractNumId w:val="38"/>
  </w:num>
  <w:num w:numId="4" w16cid:durableId="228082186">
    <w:abstractNumId w:val="0"/>
  </w:num>
  <w:num w:numId="5" w16cid:durableId="1133518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7622643">
    <w:abstractNumId w:val="14"/>
  </w:num>
  <w:num w:numId="7" w16cid:durableId="2092506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7793656">
    <w:abstractNumId w:val="35"/>
  </w:num>
  <w:num w:numId="9" w16cid:durableId="267811650">
    <w:abstractNumId w:val="22"/>
  </w:num>
  <w:num w:numId="10" w16cid:durableId="17945208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4980293">
    <w:abstractNumId w:val="1"/>
  </w:num>
  <w:num w:numId="12" w16cid:durableId="1238174939">
    <w:abstractNumId w:val="20"/>
  </w:num>
  <w:num w:numId="13" w16cid:durableId="1831284752">
    <w:abstractNumId w:val="30"/>
  </w:num>
  <w:num w:numId="14" w16cid:durableId="109014825">
    <w:abstractNumId w:val="39"/>
  </w:num>
  <w:num w:numId="15" w16cid:durableId="14133082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4557262">
    <w:abstractNumId w:val="2"/>
  </w:num>
  <w:num w:numId="17" w16cid:durableId="724379762">
    <w:abstractNumId w:val="28"/>
  </w:num>
  <w:num w:numId="18" w16cid:durableId="1600673060">
    <w:abstractNumId w:val="12"/>
  </w:num>
  <w:num w:numId="19" w16cid:durableId="152573348">
    <w:abstractNumId w:val="11"/>
  </w:num>
  <w:num w:numId="20" w16cid:durableId="1838382093">
    <w:abstractNumId w:val="37"/>
  </w:num>
  <w:num w:numId="21" w16cid:durableId="1141191285">
    <w:abstractNumId w:val="25"/>
  </w:num>
  <w:num w:numId="22" w16cid:durableId="1862625754">
    <w:abstractNumId w:val="17"/>
  </w:num>
  <w:num w:numId="23" w16cid:durableId="254941718">
    <w:abstractNumId w:val="16"/>
  </w:num>
  <w:num w:numId="24" w16cid:durableId="2075472744">
    <w:abstractNumId w:val="29"/>
  </w:num>
  <w:num w:numId="25" w16cid:durableId="1463697093">
    <w:abstractNumId w:val="26"/>
  </w:num>
  <w:num w:numId="26" w16cid:durableId="1025138764">
    <w:abstractNumId w:val="7"/>
  </w:num>
  <w:num w:numId="27" w16cid:durableId="449861385">
    <w:abstractNumId w:val="32"/>
  </w:num>
  <w:num w:numId="28" w16cid:durableId="1313831839">
    <w:abstractNumId w:val="18"/>
  </w:num>
  <w:num w:numId="29" w16cid:durableId="1371879949">
    <w:abstractNumId w:val="34"/>
  </w:num>
  <w:num w:numId="30" w16cid:durableId="951521578">
    <w:abstractNumId w:val="24"/>
  </w:num>
  <w:num w:numId="31" w16cid:durableId="661589307">
    <w:abstractNumId w:val="36"/>
  </w:num>
  <w:num w:numId="32" w16cid:durableId="1374161512">
    <w:abstractNumId w:val="10"/>
  </w:num>
  <w:num w:numId="33" w16cid:durableId="2068644861">
    <w:abstractNumId w:val="19"/>
  </w:num>
  <w:num w:numId="34" w16cid:durableId="1124427265">
    <w:abstractNumId w:val="15"/>
  </w:num>
  <w:num w:numId="35" w16cid:durableId="175921808">
    <w:abstractNumId w:val="4"/>
  </w:num>
  <w:num w:numId="36" w16cid:durableId="117187125">
    <w:abstractNumId w:val="21"/>
  </w:num>
  <w:num w:numId="37" w16cid:durableId="2089450686">
    <w:abstractNumId w:val="33"/>
  </w:num>
  <w:num w:numId="38" w16cid:durableId="1321731528">
    <w:abstractNumId w:val="8"/>
  </w:num>
  <w:num w:numId="39" w16cid:durableId="1769352959">
    <w:abstractNumId w:val="9"/>
  </w:num>
  <w:num w:numId="40" w16cid:durableId="655764934">
    <w:abstractNumId w:val="27"/>
  </w:num>
  <w:num w:numId="41" w16cid:durableId="1302229042">
    <w:abstractNumId w:val="3"/>
  </w:num>
  <w:num w:numId="42" w16cid:durableId="259414117">
    <w:abstractNumId w:val="31"/>
  </w:num>
  <w:num w:numId="43" w16cid:durableId="1981374728">
    <w:abstractNumId w:val="6"/>
  </w:num>
  <w:num w:numId="44" w16cid:durableId="1229463411">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4"/>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F3"/>
    <w:rsid w:val="0000225A"/>
    <w:rsid w:val="00002693"/>
    <w:rsid w:val="00004EFF"/>
    <w:rsid w:val="00020B35"/>
    <w:rsid w:val="00030407"/>
    <w:rsid w:val="000437C5"/>
    <w:rsid w:val="000474AE"/>
    <w:rsid w:val="000571FF"/>
    <w:rsid w:val="000606E8"/>
    <w:rsid w:val="00071857"/>
    <w:rsid w:val="0009705E"/>
    <w:rsid w:val="000A2BDA"/>
    <w:rsid w:val="000A48D5"/>
    <w:rsid w:val="000B5EAA"/>
    <w:rsid w:val="000F3535"/>
    <w:rsid w:val="00175895"/>
    <w:rsid w:val="00185145"/>
    <w:rsid w:val="00190B0E"/>
    <w:rsid w:val="001B51BF"/>
    <w:rsid w:val="001F46B4"/>
    <w:rsid w:val="001F471F"/>
    <w:rsid w:val="001F554D"/>
    <w:rsid w:val="00211A97"/>
    <w:rsid w:val="00215922"/>
    <w:rsid w:val="00235DD6"/>
    <w:rsid w:val="002367BA"/>
    <w:rsid w:val="002436A6"/>
    <w:rsid w:val="002438B7"/>
    <w:rsid w:val="0024773F"/>
    <w:rsid w:val="00261308"/>
    <w:rsid w:val="00262A0F"/>
    <w:rsid w:val="002B3919"/>
    <w:rsid w:val="002D630D"/>
    <w:rsid w:val="002E4153"/>
    <w:rsid w:val="002F47B6"/>
    <w:rsid w:val="002F6A88"/>
    <w:rsid w:val="00347479"/>
    <w:rsid w:val="003678A8"/>
    <w:rsid w:val="003749C0"/>
    <w:rsid w:val="00380F44"/>
    <w:rsid w:val="0038645E"/>
    <w:rsid w:val="00392688"/>
    <w:rsid w:val="003B0F6D"/>
    <w:rsid w:val="003D63A8"/>
    <w:rsid w:val="003D6D4A"/>
    <w:rsid w:val="003E3A9F"/>
    <w:rsid w:val="003E4B56"/>
    <w:rsid w:val="003F1608"/>
    <w:rsid w:val="00407429"/>
    <w:rsid w:val="00426584"/>
    <w:rsid w:val="00431D45"/>
    <w:rsid w:val="004376F2"/>
    <w:rsid w:val="004564F4"/>
    <w:rsid w:val="00457042"/>
    <w:rsid w:val="00482EF3"/>
    <w:rsid w:val="004878DB"/>
    <w:rsid w:val="00493E0A"/>
    <w:rsid w:val="00494A2D"/>
    <w:rsid w:val="004A26E3"/>
    <w:rsid w:val="004A293F"/>
    <w:rsid w:val="004A3010"/>
    <w:rsid w:val="004D00DD"/>
    <w:rsid w:val="004E1ECE"/>
    <w:rsid w:val="004E7833"/>
    <w:rsid w:val="004F4EE8"/>
    <w:rsid w:val="004F54F5"/>
    <w:rsid w:val="00500612"/>
    <w:rsid w:val="00505C05"/>
    <w:rsid w:val="0052081B"/>
    <w:rsid w:val="00523643"/>
    <w:rsid w:val="00535159"/>
    <w:rsid w:val="0053666A"/>
    <w:rsid w:val="005620A0"/>
    <w:rsid w:val="0056634E"/>
    <w:rsid w:val="0057264C"/>
    <w:rsid w:val="005735E1"/>
    <w:rsid w:val="00577A39"/>
    <w:rsid w:val="005814F5"/>
    <w:rsid w:val="005D30BA"/>
    <w:rsid w:val="005F4391"/>
    <w:rsid w:val="00624C72"/>
    <w:rsid w:val="00631E1B"/>
    <w:rsid w:val="00687D4A"/>
    <w:rsid w:val="006A2F63"/>
    <w:rsid w:val="006A3718"/>
    <w:rsid w:val="006C7F7B"/>
    <w:rsid w:val="006E0D9F"/>
    <w:rsid w:val="006E1D3A"/>
    <w:rsid w:val="00712950"/>
    <w:rsid w:val="00715B3E"/>
    <w:rsid w:val="00720E0C"/>
    <w:rsid w:val="0073401D"/>
    <w:rsid w:val="007361D8"/>
    <w:rsid w:val="00737A99"/>
    <w:rsid w:val="007563A5"/>
    <w:rsid w:val="00782E37"/>
    <w:rsid w:val="00784FF6"/>
    <w:rsid w:val="007A0AA6"/>
    <w:rsid w:val="007C5F75"/>
    <w:rsid w:val="007E291E"/>
    <w:rsid w:val="007F02C9"/>
    <w:rsid w:val="007F0661"/>
    <w:rsid w:val="00802A52"/>
    <w:rsid w:val="00806F0F"/>
    <w:rsid w:val="00831224"/>
    <w:rsid w:val="00850D66"/>
    <w:rsid w:val="00855F84"/>
    <w:rsid w:val="00881C97"/>
    <w:rsid w:val="00885607"/>
    <w:rsid w:val="0089381B"/>
    <w:rsid w:val="008D2DDA"/>
    <w:rsid w:val="008E2476"/>
    <w:rsid w:val="009043FC"/>
    <w:rsid w:val="009050C6"/>
    <w:rsid w:val="0091365A"/>
    <w:rsid w:val="00935983"/>
    <w:rsid w:val="00955E32"/>
    <w:rsid w:val="0097181E"/>
    <w:rsid w:val="00990B3C"/>
    <w:rsid w:val="009D1FBA"/>
    <w:rsid w:val="009E0344"/>
    <w:rsid w:val="009E3921"/>
    <w:rsid w:val="009E47E0"/>
    <w:rsid w:val="009E6BAD"/>
    <w:rsid w:val="009F4681"/>
    <w:rsid w:val="00A01D13"/>
    <w:rsid w:val="00A121B3"/>
    <w:rsid w:val="00A22386"/>
    <w:rsid w:val="00A5273A"/>
    <w:rsid w:val="00A8651A"/>
    <w:rsid w:val="00A95083"/>
    <w:rsid w:val="00AA4303"/>
    <w:rsid w:val="00AB6132"/>
    <w:rsid w:val="00AD2B6E"/>
    <w:rsid w:val="00AF02E0"/>
    <w:rsid w:val="00AF3640"/>
    <w:rsid w:val="00AF715F"/>
    <w:rsid w:val="00B152AF"/>
    <w:rsid w:val="00B272F4"/>
    <w:rsid w:val="00B30455"/>
    <w:rsid w:val="00B37735"/>
    <w:rsid w:val="00B53D5A"/>
    <w:rsid w:val="00B61F7F"/>
    <w:rsid w:val="00B93B1F"/>
    <w:rsid w:val="00B9522F"/>
    <w:rsid w:val="00BC2825"/>
    <w:rsid w:val="00BC5E8E"/>
    <w:rsid w:val="00BC719D"/>
    <w:rsid w:val="00BE100F"/>
    <w:rsid w:val="00BE1269"/>
    <w:rsid w:val="00BE4B49"/>
    <w:rsid w:val="00BE5903"/>
    <w:rsid w:val="00BE6801"/>
    <w:rsid w:val="00C0291B"/>
    <w:rsid w:val="00C05740"/>
    <w:rsid w:val="00C07190"/>
    <w:rsid w:val="00C14F9F"/>
    <w:rsid w:val="00C2007C"/>
    <w:rsid w:val="00C2477B"/>
    <w:rsid w:val="00C37F6A"/>
    <w:rsid w:val="00C42412"/>
    <w:rsid w:val="00C73DA2"/>
    <w:rsid w:val="00CA3730"/>
    <w:rsid w:val="00CB006D"/>
    <w:rsid w:val="00CB6145"/>
    <w:rsid w:val="00CD382D"/>
    <w:rsid w:val="00CE76E8"/>
    <w:rsid w:val="00CF27A2"/>
    <w:rsid w:val="00D00427"/>
    <w:rsid w:val="00D02C4A"/>
    <w:rsid w:val="00D367C9"/>
    <w:rsid w:val="00D458D4"/>
    <w:rsid w:val="00D67279"/>
    <w:rsid w:val="00D77363"/>
    <w:rsid w:val="00D8650A"/>
    <w:rsid w:val="00D9253D"/>
    <w:rsid w:val="00DC0C64"/>
    <w:rsid w:val="00E33417"/>
    <w:rsid w:val="00E43FA0"/>
    <w:rsid w:val="00E4646D"/>
    <w:rsid w:val="00E5089C"/>
    <w:rsid w:val="00E866C4"/>
    <w:rsid w:val="00E86DCD"/>
    <w:rsid w:val="00E94A1C"/>
    <w:rsid w:val="00EA2130"/>
    <w:rsid w:val="00EA3CBF"/>
    <w:rsid w:val="00EC4AF9"/>
    <w:rsid w:val="00ED7629"/>
    <w:rsid w:val="00ED7D9E"/>
    <w:rsid w:val="00EE2B9B"/>
    <w:rsid w:val="00EE6703"/>
    <w:rsid w:val="00EF11AE"/>
    <w:rsid w:val="00F03DF7"/>
    <w:rsid w:val="00F04BA5"/>
    <w:rsid w:val="00F07FBE"/>
    <w:rsid w:val="00F24B46"/>
    <w:rsid w:val="00F4048D"/>
    <w:rsid w:val="00F41FC6"/>
    <w:rsid w:val="00F61B69"/>
    <w:rsid w:val="00F63593"/>
    <w:rsid w:val="00F83261"/>
    <w:rsid w:val="00FA20BF"/>
    <w:rsid w:val="00FA2DFF"/>
    <w:rsid w:val="00FC0EFA"/>
    <w:rsid w:val="00FC6D23"/>
    <w:rsid w:val="00FE25AB"/>
    <w:rsid w:val="00FF1497"/>
    <w:rsid w:val="00FF3A3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693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34"/>
    <w:qFormat/>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Default">
    <w:name w:val="Default"/>
    <w:rsid w:val="000571FF"/>
    <w:pPr>
      <w:autoSpaceDE w:val="0"/>
      <w:autoSpaceDN w:val="0"/>
      <w:adjustRightInd w:val="0"/>
    </w:pPr>
    <w:rPr>
      <w:rFonts w:ascii="Arial" w:hAnsi="Arial" w:cs="Arial"/>
      <w:color w:val="000000"/>
      <w:sz w:val="24"/>
      <w:szCs w:val="24"/>
    </w:rPr>
  </w:style>
  <w:style w:type="character" w:styleId="CommentReference">
    <w:name w:val="annotation reference"/>
    <w:semiHidden/>
    <w:unhideWhenUsed/>
    <w:rsid w:val="009E47E0"/>
    <w:rPr>
      <w:sz w:val="16"/>
      <w:szCs w:val="16"/>
    </w:rPr>
  </w:style>
  <w:style w:type="paragraph" w:styleId="CommentText">
    <w:name w:val="annotation text"/>
    <w:basedOn w:val="Normal"/>
    <w:link w:val="CommentTextChar"/>
    <w:semiHidden/>
    <w:unhideWhenUsed/>
    <w:rsid w:val="009E47E0"/>
    <w:rPr>
      <w:szCs w:val="20"/>
    </w:rPr>
  </w:style>
  <w:style w:type="character" w:customStyle="1" w:styleId="CommentTextChar">
    <w:name w:val="Comment Text Char"/>
    <w:link w:val="CommentText"/>
    <w:semiHidden/>
    <w:rsid w:val="009E47E0"/>
    <w:rPr>
      <w:rFonts w:ascii="Arial" w:hAnsi="Arial"/>
      <w:lang w:eastAsia="en-US"/>
    </w:rPr>
  </w:style>
  <w:style w:type="paragraph" w:styleId="CommentSubject">
    <w:name w:val="annotation subject"/>
    <w:basedOn w:val="CommentText"/>
    <w:next w:val="CommentText"/>
    <w:link w:val="CommentSubjectChar"/>
    <w:semiHidden/>
    <w:unhideWhenUsed/>
    <w:rsid w:val="009E47E0"/>
    <w:rPr>
      <w:b/>
      <w:bCs/>
    </w:rPr>
  </w:style>
  <w:style w:type="character" w:customStyle="1" w:styleId="CommentSubjectChar">
    <w:name w:val="Comment Subject Char"/>
    <w:link w:val="CommentSubject"/>
    <w:semiHidden/>
    <w:rsid w:val="009E47E0"/>
    <w:rPr>
      <w:rFonts w:ascii="Arial" w:hAnsi="Arial"/>
      <w:b/>
      <w:bCs/>
      <w:lang w:eastAsia="en-US"/>
    </w:rPr>
  </w:style>
  <w:style w:type="character" w:styleId="FollowedHyperlink">
    <w:name w:val="FollowedHyperlink"/>
    <w:semiHidden/>
    <w:unhideWhenUsed/>
    <w:rsid w:val="00BE590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832852">
      <w:bodyDiv w:val="1"/>
      <w:marLeft w:val="0"/>
      <w:marRight w:val="0"/>
      <w:marTop w:val="0"/>
      <w:marBottom w:val="0"/>
      <w:divBdr>
        <w:top w:val="none" w:sz="0" w:space="0" w:color="auto"/>
        <w:left w:val="none" w:sz="0" w:space="0" w:color="auto"/>
        <w:bottom w:val="none" w:sz="0" w:space="0" w:color="auto"/>
        <w:right w:val="none" w:sz="0" w:space="0" w:color="auto"/>
      </w:divBdr>
      <w:divsChild>
        <w:div w:id="578370589">
          <w:marLeft w:val="0"/>
          <w:marRight w:val="0"/>
          <w:marTop w:val="0"/>
          <w:marBottom w:val="0"/>
          <w:divBdr>
            <w:top w:val="none" w:sz="0" w:space="0" w:color="auto"/>
            <w:left w:val="none" w:sz="0" w:space="0" w:color="auto"/>
            <w:bottom w:val="none" w:sz="0" w:space="0" w:color="auto"/>
            <w:right w:val="none" w:sz="0" w:space="0" w:color="auto"/>
          </w:divBdr>
        </w:div>
        <w:div w:id="630868108">
          <w:marLeft w:val="0"/>
          <w:marRight w:val="0"/>
          <w:marTop w:val="0"/>
          <w:marBottom w:val="0"/>
          <w:divBdr>
            <w:top w:val="none" w:sz="0" w:space="0" w:color="auto"/>
            <w:left w:val="none" w:sz="0" w:space="0" w:color="auto"/>
            <w:bottom w:val="none" w:sz="0" w:space="0" w:color="auto"/>
            <w:right w:val="none" w:sz="0" w:space="0" w:color="auto"/>
          </w:divBdr>
        </w:div>
        <w:div w:id="899173037">
          <w:marLeft w:val="0"/>
          <w:marRight w:val="0"/>
          <w:marTop w:val="0"/>
          <w:marBottom w:val="0"/>
          <w:divBdr>
            <w:top w:val="none" w:sz="0" w:space="0" w:color="auto"/>
            <w:left w:val="none" w:sz="0" w:space="0" w:color="auto"/>
            <w:bottom w:val="none" w:sz="0" w:space="0" w:color="auto"/>
            <w:right w:val="none" w:sz="0" w:space="0" w:color="auto"/>
          </w:divBdr>
        </w:div>
        <w:div w:id="945113618">
          <w:marLeft w:val="0"/>
          <w:marRight w:val="0"/>
          <w:marTop w:val="0"/>
          <w:marBottom w:val="0"/>
          <w:divBdr>
            <w:top w:val="none" w:sz="0" w:space="0" w:color="auto"/>
            <w:left w:val="none" w:sz="0" w:space="0" w:color="auto"/>
            <w:bottom w:val="none" w:sz="0" w:space="0" w:color="auto"/>
            <w:right w:val="none" w:sz="0" w:space="0" w:color="auto"/>
          </w:divBdr>
        </w:div>
        <w:div w:id="1121921705">
          <w:marLeft w:val="0"/>
          <w:marRight w:val="0"/>
          <w:marTop w:val="0"/>
          <w:marBottom w:val="0"/>
          <w:divBdr>
            <w:top w:val="none" w:sz="0" w:space="0" w:color="auto"/>
            <w:left w:val="none" w:sz="0" w:space="0" w:color="auto"/>
            <w:bottom w:val="none" w:sz="0" w:space="0" w:color="auto"/>
            <w:right w:val="none" w:sz="0" w:space="0" w:color="auto"/>
          </w:divBdr>
        </w:div>
        <w:div w:id="1601646922">
          <w:marLeft w:val="0"/>
          <w:marRight w:val="0"/>
          <w:marTop w:val="0"/>
          <w:marBottom w:val="0"/>
          <w:divBdr>
            <w:top w:val="none" w:sz="0" w:space="0" w:color="auto"/>
            <w:left w:val="none" w:sz="0" w:space="0" w:color="auto"/>
            <w:bottom w:val="none" w:sz="0" w:space="0" w:color="auto"/>
            <w:right w:val="none" w:sz="0" w:space="0" w:color="auto"/>
          </w:divBdr>
        </w:div>
        <w:div w:id="207534803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elbourne.vic.gov.au/business/Pages/business-concierge-service.aspx" TargetMode="External"/><Relationship Id="rId26" Type="http://schemas.openxmlformats.org/officeDocument/2006/relationships/hyperlink" Target="https://participate.melbourne.vic.gov.au/macaulay-refresh" TargetMode="External"/><Relationship Id="rId3" Type="http://schemas.openxmlformats.org/officeDocument/2006/relationships/customXml" Target="../customXml/item3.xml"/><Relationship Id="rId21" Type="http://schemas.openxmlformats.org/officeDocument/2006/relationships/hyperlink" Target="https://www.melbourne.vic.gov.au/about-council/vision-goals/Pages/united-nations-sustainable-development-goals.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participate.melbourne.vic.gov.au/arden/pla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elbourne.vic.gov.au/arts-and-culture/strategies-support/funding/Pages/event-partnership-program.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elbourne.vic.gov.au/qvmrenewa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melbourne.vic.gov.au/qvmrenewal" TargetMode="External"/><Relationship Id="rId28" Type="http://schemas.openxmlformats.org/officeDocument/2006/relationships/hyperlink" Target="https://participate.melbourne.vic.gov.au/city-river-strategy" TargetMode="External"/><Relationship Id="rId10" Type="http://schemas.openxmlformats.org/officeDocument/2006/relationships/endnotes" Target="endnotes.xml"/><Relationship Id="rId19" Type="http://schemas.openxmlformats.org/officeDocument/2006/relationships/hyperlink" Target="https://www.melbourne.vic.gov.au/about-council/vision-goals/Pages/economic-development-strategy-2031.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articipate.melbourne.vic.gov.au/greenline/implementation-plan-overview" TargetMode="External"/><Relationship Id="rId27" Type="http://schemas.openxmlformats.org/officeDocument/2006/relationships/hyperlink" Target="https://www.fishermansbend.vic.gov.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616401-48A8-4BD6-8FD6-6675745CECDE}">
  <ds:schemaRefs>
    <ds:schemaRef ds:uri="http://schemas.microsoft.com/sharepoint/v3/contenttype/forms"/>
  </ds:schemaRefs>
</ds:datastoreItem>
</file>

<file path=customXml/itemProps2.xml><?xml version="1.0" encoding="utf-8"?>
<ds:datastoreItem xmlns:ds="http://schemas.openxmlformats.org/officeDocument/2006/customXml" ds:itemID="{5C519890-99F5-48E6-8946-5AA019999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5e1a109-d3f7-476c-b7e4-9a5023158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9C5EB2-3073-4DC8-83F9-9960105C6AD5}">
  <ds:schemaRefs>
    <ds:schemaRef ds:uri="http://schemas.openxmlformats.org/officeDocument/2006/bibliography"/>
  </ds:schemaRefs>
</ds:datastoreItem>
</file>

<file path=customXml/itemProps4.xml><?xml version="1.0" encoding="utf-8"?>
<ds:datastoreItem xmlns:ds="http://schemas.openxmlformats.org/officeDocument/2006/customXml" ds:itemID="{32486CAF-8115-4EC5-8CCC-8201482CFB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5070</Words>
  <Characters>28901</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Council Plan 2021-25 quarterly report card January to March 2023</vt:lpstr>
    </vt:vector>
  </TitlesOfParts>
  <LinksUpToDate>false</LinksUpToDate>
  <CharactersWithSpaces>33904</CharactersWithSpaces>
  <SharedDoc>false</SharedDoc>
  <HLinks>
    <vt:vector size="246" baseType="variant">
      <vt:variant>
        <vt:i4>1966081</vt:i4>
      </vt:variant>
      <vt:variant>
        <vt:i4>216</vt:i4>
      </vt:variant>
      <vt:variant>
        <vt:i4>0</vt:i4>
      </vt:variant>
      <vt:variant>
        <vt:i4>5</vt:i4>
      </vt:variant>
      <vt:variant>
        <vt:lpwstr>https://participate.melbourne.vic.gov.au/city-river-strategy</vt:lpwstr>
      </vt:variant>
      <vt:variant>
        <vt:lpwstr/>
      </vt:variant>
      <vt:variant>
        <vt:i4>6422626</vt:i4>
      </vt:variant>
      <vt:variant>
        <vt:i4>213</vt:i4>
      </vt:variant>
      <vt:variant>
        <vt:i4>0</vt:i4>
      </vt:variant>
      <vt:variant>
        <vt:i4>5</vt:i4>
      </vt:variant>
      <vt:variant>
        <vt:lpwstr>https://www.fishermansbend.vic.gov.au/</vt:lpwstr>
      </vt:variant>
      <vt:variant>
        <vt:lpwstr/>
      </vt:variant>
      <vt:variant>
        <vt:i4>6225937</vt:i4>
      </vt:variant>
      <vt:variant>
        <vt:i4>210</vt:i4>
      </vt:variant>
      <vt:variant>
        <vt:i4>0</vt:i4>
      </vt:variant>
      <vt:variant>
        <vt:i4>5</vt:i4>
      </vt:variant>
      <vt:variant>
        <vt:lpwstr>https://participate.melbourne.vic.gov.au/macaulay-refresh</vt:lpwstr>
      </vt:variant>
      <vt:variant>
        <vt:lpwstr/>
      </vt:variant>
      <vt:variant>
        <vt:i4>7733281</vt:i4>
      </vt:variant>
      <vt:variant>
        <vt:i4>207</vt:i4>
      </vt:variant>
      <vt:variant>
        <vt:i4>0</vt:i4>
      </vt:variant>
      <vt:variant>
        <vt:i4>5</vt:i4>
      </vt:variant>
      <vt:variant>
        <vt:lpwstr>https://participate.melbourne.vic.gov.au/arden/plan</vt:lpwstr>
      </vt:variant>
      <vt:variant>
        <vt:lpwstr/>
      </vt:variant>
      <vt:variant>
        <vt:i4>7602286</vt:i4>
      </vt:variant>
      <vt:variant>
        <vt:i4>201</vt:i4>
      </vt:variant>
      <vt:variant>
        <vt:i4>0</vt:i4>
      </vt:variant>
      <vt:variant>
        <vt:i4>5</vt:i4>
      </vt:variant>
      <vt:variant>
        <vt:lpwstr>https://www.melbourne.vic.gov.au/qvmrenewal</vt:lpwstr>
      </vt:variant>
      <vt:variant>
        <vt:lpwstr/>
      </vt:variant>
      <vt:variant>
        <vt:i4>7602286</vt:i4>
      </vt:variant>
      <vt:variant>
        <vt:i4>198</vt:i4>
      </vt:variant>
      <vt:variant>
        <vt:i4>0</vt:i4>
      </vt:variant>
      <vt:variant>
        <vt:i4>5</vt:i4>
      </vt:variant>
      <vt:variant>
        <vt:lpwstr>https://www.melbourne.vic.gov.au/qvmrenewal</vt:lpwstr>
      </vt:variant>
      <vt:variant>
        <vt:lpwstr/>
      </vt:variant>
      <vt:variant>
        <vt:i4>2883706</vt:i4>
      </vt:variant>
      <vt:variant>
        <vt:i4>195</vt:i4>
      </vt:variant>
      <vt:variant>
        <vt:i4>0</vt:i4>
      </vt:variant>
      <vt:variant>
        <vt:i4>5</vt:i4>
      </vt:variant>
      <vt:variant>
        <vt:lpwstr>https://participate.melbourne.vic.gov.au/greenline/implementation-plan-overview</vt:lpwstr>
      </vt:variant>
      <vt:variant>
        <vt:lpwstr/>
      </vt:variant>
      <vt:variant>
        <vt:i4>2162745</vt:i4>
      </vt:variant>
      <vt:variant>
        <vt:i4>192</vt:i4>
      </vt:variant>
      <vt:variant>
        <vt:i4>0</vt:i4>
      </vt:variant>
      <vt:variant>
        <vt:i4>5</vt:i4>
      </vt:variant>
      <vt:variant>
        <vt:lpwstr>https://www.melbourne.vic.gov.au/about-council/vision-goals/Pages/united-nations-sustainable-development-goals.aspx</vt:lpwstr>
      </vt:variant>
      <vt:variant>
        <vt:lpwstr/>
      </vt:variant>
      <vt:variant>
        <vt:i4>6094922</vt:i4>
      </vt:variant>
      <vt:variant>
        <vt:i4>189</vt:i4>
      </vt:variant>
      <vt:variant>
        <vt:i4>0</vt:i4>
      </vt:variant>
      <vt:variant>
        <vt:i4>5</vt:i4>
      </vt:variant>
      <vt:variant>
        <vt:lpwstr>https://www.melbourne.vic.gov.au/arts-and-culture/strategies-support/funding/Pages/event-partnership-program.aspx</vt:lpwstr>
      </vt:variant>
      <vt:variant>
        <vt:lpwstr/>
      </vt:variant>
      <vt:variant>
        <vt:i4>1638468</vt:i4>
      </vt:variant>
      <vt:variant>
        <vt:i4>186</vt:i4>
      </vt:variant>
      <vt:variant>
        <vt:i4>0</vt:i4>
      </vt:variant>
      <vt:variant>
        <vt:i4>5</vt:i4>
      </vt:variant>
      <vt:variant>
        <vt:lpwstr>https://www.melbourne.vic.gov.au/about-council/vision-goals/Pages/economic-development-strategy-2031.aspx</vt:lpwstr>
      </vt:variant>
      <vt:variant>
        <vt:lpwstr/>
      </vt:variant>
      <vt:variant>
        <vt:i4>6553650</vt:i4>
      </vt:variant>
      <vt:variant>
        <vt:i4>183</vt:i4>
      </vt:variant>
      <vt:variant>
        <vt:i4>0</vt:i4>
      </vt:variant>
      <vt:variant>
        <vt:i4>5</vt:i4>
      </vt:variant>
      <vt:variant>
        <vt:lpwstr>https://www.melbourne.vic.gov.au/business/Pages/business-concierge-service.aspx</vt:lpwstr>
      </vt:variant>
      <vt:variant>
        <vt:lpwstr/>
      </vt:variant>
      <vt:variant>
        <vt:i4>1638453</vt:i4>
      </vt:variant>
      <vt:variant>
        <vt:i4>176</vt:i4>
      </vt:variant>
      <vt:variant>
        <vt:i4>0</vt:i4>
      </vt:variant>
      <vt:variant>
        <vt:i4>5</vt:i4>
      </vt:variant>
      <vt:variant>
        <vt:lpwstr/>
      </vt:variant>
      <vt:variant>
        <vt:lpwstr>_Toc192746263</vt:lpwstr>
      </vt:variant>
      <vt:variant>
        <vt:i4>1638453</vt:i4>
      </vt:variant>
      <vt:variant>
        <vt:i4>170</vt:i4>
      </vt:variant>
      <vt:variant>
        <vt:i4>0</vt:i4>
      </vt:variant>
      <vt:variant>
        <vt:i4>5</vt:i4>
      </vt:variant>
      <vt:variant>
        <vt:lpwstr/>
      </vt:variant>
      <vt:variant>
        <vt:lpwstr>_Toc192746262</vt:lpwstr>
      </vt:variant>
      <vt:variant>
        <vt:i4>1638453</vt:i4>
      </vt:variant>
      <vt:variant>
        <vt:i4>164</vt:i4>
      </vt:variant>
      <vt:variant>
        <vt:i4>0</vt:i4>
      </vt:variant>
      <vt:variant>
        <vt:i4>5</vt:i4>
      </vt:variant>
      <vt:variant>
        <vt:lpwstr/>
      </vt:variant>
      <vt:variant>
        <vt:lpwstr>_Toc192746261</vt:lpwstr>
      </vt:variant>
      <vt:variant>
        <vt:i4>1638453</vt:i4>
      </vt:variant>
      <vt:variant>
        <vt:i4>158</vt:i4>
      </vt:variant>
      <vt:variant>
        <vt:i4>0</vt:i4>
      </vt:variant>
      <vt:variant>
        <vt:i4>5</vt:i4>
      </vt:variant>
      <vt:variant>
        <vt:lpwstr/>
      </vt:variant>
      <vt:variant>
        <vt:lpwstr>_Toc192746260</vt:lpwstr>
      </vt:variant>
      <vt:variant>
        <vt:i4>1703989</vt:i4>
      </vt:variant>
      <vt:variant>
        <vt:i4>152</vt:i4>
      </vt:variant>
      <vt:variant>
        <vt:i4>0</vt:i4>
      </vt:variant>
      <vt:variant>
        <vt:i4>5</vt:i4>
      </vt:variant>
      <vt:variant>
        <vt:lpwstr/>
      </vt:variant>
      <vt:variant>
        <vt:lpwstr>_Toc192746259</vt:lpwstr>
      </vt:variant>
      <vt:variant>
        <vt:i4>1703989</vt:i4>
      </vt:variant>
      <vt:variant>
        <vt:i4>146</vt:i4>
      </vt:variant>
      <vt:variant>
        <vt:i4>0</vt:i4>
      </vt:variant>
      <vt:variant>
        <vt:i4>5</vt:i4>
      </vt:variant>
      <vt:variant>
        <vt:lpwstr/>
      </vt:variant>
      <vt:variant>
        <vt:lpwstr>_Toc192746258</vt:lpwstr>
      </vt:variant>
      <vt:variant>
        <vt:i4>1703989</vt:i4>
      </vt:variant>
      <vt:variant>
        <vt:i4>140</vt:i4>
      </vt:variant>
      <vt:variant>
        <vt:i4>0</vt:i4>
      </vt:variant>
      <vt:variant>
        <vt:i4>5</vt:i4>
      </vt:variant>
      <vt:variant>
        <vt:lpwstr/>
      </vt:variant>
      <vt:variant>
        <vt:lpwstr>_Toc192746257</vt:lpwstr>
      </vt:variant>
      <vt:variant>
        <vt:i4>1703989</vt:i4>
      </vt:variant>
      <vt:variant>
        <vt:i4>134</vt:i4>
      </vt:variant>
      <vt:variant>
        <vt:i4>0</vt:i4>
      </vt:variant>
      <vt:variant>
        <vt:i4>5</vt:i4>
      </vt:variant>
      <vt:variant>
        <vt:lpwstr/>
      </vt:variant>
      <vt:variant>
        <vt:lpwstr>_Toc192746256</vt:lpwstr>
      </vt:variant>
      <vt:variant>
        <vt:i4>1703989</vt:i4>
      </vt:variant>
      <vt:variant>
        <vt:i4>128</vt:i4>
      </vt:variant>
      <vt:variant>
        <vt:i4>0</vt:i4>
      </vt:variant>
      <vt:variant>
        <vt:i4>5</vt:i4>
      </vt:variant>
      <vt:variant>
        <vt:lpwstr/>
      </vt:variant>
      <vt:variant>
        <vt:lpwstr>_Toc192746255</vt:lpwstr>
      </vt:variant>
      <vt:variant>
        <vt:i4>1703989</vt:i4>
      </vt:variant>
      <vt:variant>
        <vt:i4>122</vt:i4>
      </vt:variant>
      <vt:variant>
        <vt:i4>0</vt:i4>
      </vt:variant>
      <vt:variant>
        <vt:i4>5</vt:i4>
      </vt:variant>
      <vt:variant>
        <vt:lpwstr/>
      </vt:variant>
      <vt:variant>
        <vt:lpwstr>_Toc192746254</vt:lpwstr>
      </vt:variant>
      <vt:variant>
        <vt:i4>1703989</vt:i4>
      </vt:variant>
      <vt:variant>
        <vt:i4>116</vt:i4>
      </vt:variant>
      <vt:variant>
        <vt:i4>0</vt:i4>
      </vt:variant>
      <vt:variant>
        <vt:i4>5</vt:i4>
      </vt:variant>
      <vt:variant>
        <vt:lpwstr/>
      </vt:variant>
      <vt:variant>
        <vt:lpwstr>_Toc192746253</vt:lpwstr>
      </vt:variant>
      <vt:variant>
        <vt:i4>1703989</vt:i4>
      </vt:variant>
      <vt:variant>
        <vt:i4>110</vt:i4>
      </vt:variant>
      <vt:variant>
        <vt:i4>0</vt:i4>
      </vt:variant>
      <vt:variant>
        <vt:i4>5</vt:i4>
      </vt:variant>
      <vt:variant>
        <vt:lpwstr/>
      </vt:variant>
      <vt:variant>
        <vt:lpwstr>_Toc192746252</vt:lpwstr>
      </vt:variant>
      <vt:variant>
        <vt:i4>1703989</vt:i4>
      </vt:variant>
      <vt:variant>
        <vt:i4>104</vt:i4>
      </vt:variant>
      <vt:variant>
        <vt:i4>0</vt:i4>
      </vt:variant>
      <vt:variant>
        <vt:i4>5</vt:i4>
      </vt:variant>
      <vt:variant>
        <vt:lpwstr/>
      </vt:variant>
      <vt:variant>
        <vt:lpwstr>_Toc192746251</vt:lpwstr>
      </vt:variant>
      <vt:variant>
        <vt:i4>1703989</vt:i4>
      </vt:variant>
      <vt:variant>
        <vt:i4>98</vt:i4>
      </vt:variant>
      <vt:variant>
        <vt:i4>0</vt:i4>
      </vt:variant>
      <vt:variant>
        <vt:i4>5</vt:i4>
      </vt:variant>
      <vt:variant>
        <vt:lpwstr/>
      </vt:variant>
      <vt:variant>
        <vt:lpwstr>_Toc192746250</vt:lpwstr>
      </vt:variant>
      <vt:variant>
        <vt:i4>1769525</vt:i4>
      </vt:variant>
      <vt:variant>
        <vt:i4>92</vt:i4>
      </vt:variant>
      <vt:variant>
        <vt:i4>0</vt:i4>
      </vt:variant>
      <vt:variant>
        <vt:i4>5</vt:i4>
      </vt:variant>
      <vt:variant>
        <vt:lpwstr/>
      </vt:variant>
      <vt:variant>
        <vt:lpwstr>_Toc192746249</vt:lpwstr>
      </vt:variant>
      <vt:variant>
        <vt:i4>1769525</vt:i4>
      </vt:variant>
      <vt:variant>
        <vt:i4>86</vt:i4>
      </vt:variant>
      <vt:variant>
        <vt:i4>0</vt:i4>
      </vt:variant>
      <vt:variant>
        <vt:i4>5</vt:i4>
      </vt:variant>
      <vt:variant>
        <vt:lpwstr/>
      </vt:variant>
      <vt:variant>
        <vt:lpwstr>_Toc192746248</vt:lpwstr>
      </vt:variant>
      <vt:variant>
        <vt:i4>1769525</vt:i4>
      </vt:variant>
      <vt:variant>
        <vt:i4>80</vt:i4>
      </vt:variant>
      <vt:variant>
        <vt:i4>0</vt:i4>
      </vt:variant>
      <vt:variant>
        <vt:i4>5</vt:i4>
      </vt:variant>
      <vt:variant>
        <vt:lpwstr/>
      </vt:variant>
      <vt:variant>
        <vt:lpwstr>_Toc192746247</vt:lpwstr>
      </vt:variant>
      <vt:variant>
        <vt:i4>1769525</vt:i4>
      </vt:variant>
      <vt:variant>
        <vt:i4>74</vt:i4>
      </vt:variant>
      <vt:variant>
        <vt:i4>0</vt:i4>
      </vt:variant>
      <vt:variant>
        <vt:i4>5</vt:i4>
      </vt:variant>
      <vt:variant>
        <vt:lpwstr/>
      </vt:variant>
      <vt:variant>
        <vt:lpwstr>_Toc192746246</vt:lpwstr>
      </vt:variant>
      <vt:variant>
        <vt:i4>1769525</vt:i4>
      </vt:variant>
      <vt:variant>
        <vt:i4>68</vt:i4>
      </vt:variant>
      <vt:variant>
        <vt:i4>0</vt:i4>
      </vt:variant>
      <vt:variant>
        <vt:i4>5</vt:i4>
      </vt:variant>
      <vt:variant>
        <vt:lpwstr/>
      </vt:variant>
      <vt:variant>
        <vt:lpwstr>_Toc192746245</vt:lpwstr>
      </vt:variant>
      <vt:variant>
        <vt:i4>1769525</vt:i4>
      </vt:variant>
      <vt:variant>
        <vt:i4>62</vt:i4>
      </vt:variant>
      <vt:variant>
        <vt:i4>0</vt:i4>
      </vt:variant>
      <vt:variant>
        <vt:i4>5</vt:i4>
      </vt:variant>
      <vt:variant>
        <vt:lpwstr/>
      </vt:variant>
      <vt:variant>
        <vt:lpwstr>_Toc192746244</vt:lpwstr>
      </vt:variant>
      <vt:variant>
        <vt:i4>1769525</vt:i4>
      </vt:variant>
      <vt:variant>
        <vt:i4>56</vt:i4>
      </vt:variant>
      <vt:variant>
        <vt:i4>0</vt:i4>
      </vt:variant>
      <vt:variant>
        <vt:i4>5</vt:i4>
      </vt:variant>
      <vt:variant>
        <vt:lpwstr/>
      </vt:variant>
      <vt:variant>
        <vt:lpwstr>_Toc192746243</vt:lpwstr>
      </vt:variant>
      <vt:variant>
        <vt:i4>1769525</vt:i4>
      </vt:variant>
      <vt:variant>
        <vt:i4>50</vt:i4>
      </vt:variant>
      <vt:variant>
        <vt:i4>0</vt:i4>
      </vt:variant>
      <vt:variant>
        <vt:i4>5</vt:i4>
      </vt:variant>
      <vt:variant>
        <vt:lpwstr/>
      </vt:variant>
      <vt:variant>
        <vt:lpwstr>_Toc192746242</vt:lpwstr>
      </vt:variant>
      <vt:variant>
        <vt:i4>1769525</vt:i4>
      </vt:variant>
      <vt:variant>
        <vt:i4>44</vt:i4>
      </vt:variant>
      <vt:variant>
        <vt:i4>0</vt:i4>
      </vt:variant>
      <vt:variant>
        <vt:i4>5</vt:i4>
      </vt:variant>
      <vt:variant>
        <vt:lpwstr/>
      </vt:variant>
      <vt:variant>
        <vt:lpwstr>_Toc192746241</vt:lpwstr>
      </vt:variant>
      <vt:variant>
        <vt:i4>1769525</vt:i4>
      </vt:variant>
      <vt:variant>
        <vt:i4>38</vt:i4>
      </vt:variant>
      <vt:variant>
        <vt:i4>0</vt:i4>
      </vt:variant>
      <vt:variant>
        <vt:i4>5</vt:i4>
      </vt:variant>
      <vt:variant>
        <vt:lpwstr/>
      </vt:variant>
      <vt:variant>
        <vt:lpwstr>_Toc192746240</vt:lpwstr>
      </vt:variant>
      <vt:variant>
        <vt:i4>1835061</vt:i4>
      </vt:variant>
      <vt:variant>
        <vt:i4>32</vt:i4>
      </vt:variant>
      <vt:variant>
        <vt:i4>0</vt:i4>
      </vt:variant>
      <vt:variant>
        <vt:i4>5</vt:i4>
      </vt:variant>
      <vt:variant>
        <vt:lpwstr/>
      </vt:variant>
      <vt:variant>
        <vt:lpwstr>_Toc192746239</vt:lpwstr>
      </vt:variant>
      <vt:variant>
        <vt:i4>1835061</vt:i4>
      </vt:variant>
      <vt:variant>
        <vt:i4>26</vt:i4>
      </vt:variant>
      <vt:variant>
        <vt:i4>0</vt:i4>
      </vt:variant>
      <vt:variant>
        <vt:i4>5</vt:i4>
      </vt:variant>
      <vt:variant>
        <vt:lpwstr/>
      </vt:variant>
      <vt:variant>
        <vt:lpwstr>_Toc192746238</vt:lpwstr>
      </vt:variant>
      <vt:variant>
        <vt:i4>1835061</vt:i4>
      </vt:variant>
      <vt:variant>
        <vt:i4>20</vt:i4>
      </vt:variant>
      <vt:variant>
        <vt:i4>0</vt:i4>
      </vt:variant>
      <vt:variant>
        <vt:i4>5</vt:i4>
      </vt:variant>
      <vt:variant>
        <vt:lpwstr/>
      </vt:variant>
      <vt:variant>
        <vt:lpwstr>_Toc192746237</vt:lpwstr>
      </vt:variant>
      <vt:variant>
        <vt:i4>1835061</vt:i4>
      </vt:variant>
      <vt:variant>
        <vt:i4>14</vt:i4>
      </vt:variant>
      <vt:variant>
        <vt:i4>0</vt:i4>
      </vt:variant>
      <vt:variant>
        <vt:i4>5</vt:i4>
      </vt:variant>
      <vt:variant>
        <vt:lpwstr/>
      </vt:variant>
      <vt:variant>
        <vt:lpwstr>_Toc192746236</vt:lpwstr>
      </vt:variant>
      <vt:variant>
        <vt:i4>1835061</vt:i4>
      </vt:variant>
      <vt:variant>
        <vt:i4>8</vt:i4>
      </vt:variant>
      <vt:variant>
        <vt:i4>0</vt:i4>
      </vt:variant>
      <vt:variant>
        <vt:i4>5</vt:i4>
      </vt:variant>
      <vt:variant>
        <vt:lpwstr/>
      </vt:variant>
      <vt:variant>
        <vt:lpwstr>_Toc192746235</vt:lpwstr>
      </vt:variant>
      <vt:variant>
        <vt:i4>1835061</vt:i4>
      </vt:variant>
      <vt:variant>
        <vt:i4>2</vt:i4>
      </vt:variant>
      <vt:variant>
        <vt:i4>0</vt:i4>
      </vt:variant>
      <vt:variant>
        <vt:i4>5</vt:i4>
      </vt:variant>
      <vt:variant>
        <vt:lpwstr/>
      </vt:variant>
      <vt:variant>
        <vt:lpwstr>_Toc192746234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Plan 2021-25 quarterly report card January to March 2023</dc:title>
  <dc:subject/>
  <dc:creator/>
  <cp:keywords/>
  <cp:lastModifiedBy/>
  <cp:revision>1</cp:revision>
  <dcterms:created xsi:type="dcterms:W3CDTF">2025-03-14T01:25:00Z</dcterms:created>
  <dcterms:modified xsi:type="dcterms:W3CDTF">2025-03-14T01:25:00Z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