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DCA85" w14:textId="35D30F1E" w:rsidR="00737A99" w:rsidRPr="005814F5" w:rsidRDefault="00E93CBA" w:rsidP="00020B35">
      <w:pPr>
        <w:spacing w:after="0"/>
        <w:jc w:val="right"/>
      </w:pPr>
      <w:r w:rsidRPr="00B23B9A">
        <w:rPr>
          <w:noProof/>
          <w:lang w:eastAsia="en-AU"/>
        </w:rPr>
        <w:drawing>
          <wp:inline distT="0" distB="0" distL="0" distR="0" wp14:anchorId="1CC6D3BE" wp14:editId="1AF4A10C">
            <wp:extent cx="986790" cy="960755"/>
            <wp:effectExtent l="0" t="0" r="0" b="0"/>
            <wp:docPr id="1"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6790" cy="960755"/>
                    </a:xfrm>
                    <a:prstGeom prst="rect">
                      <a:avLst/>
                    </a:prstGeom>
                    <a:noFill/>
                    <a:ln>
                      <a:noFill/>
                    </a:ln>
                  </pic:spPr>
                </pic:pic>
              </a:graphicData>
            </a:graphic>
          </wp:inline>
        </w:drawing>
      </w:r>
    </w:p>
    <w:p w14:paraId="3BEF23DD" w14:textId="77777777" w:rsidR="000F3535" w:rsidRDefault="00482EF3" w:rsidP="00482EF3">
      <w:pPr>
        <w:pStyle w:val="DocumentTitle"/>
        <w:spacing w:before="3360"/>
      </w:pPr>
      <w:r>
        <w:t xml:space="preserve">Council Plan 2021-25 </w:t>
      </w:r>
      <w:r>
        <w:br/>
        <w:t>quarterly report card</w:t>
      </w:r>
    </w:p>
    <w:p w14:paraId="603F9D11" w14:textId="77777777" w:rsidR="000F3535" w:rsidRDefault="009E6BAD" w:rsidP="00FF3A35">
      <w:pPr>
        <w:pStyle w:val="Subtitle2"/>
        <w:jc w:val="both"/>
      </w:pPr>
      <w:r>
        <w:t xml:space="preserve">January to March </w:t>
      </w:r>
      <w:r w:rsidR="00B56866">
        <w:t>2024</w:t>
      </w:r>
    </w:p>
    <w:p w14:paraId="03796F78" w14:textId="77777777" w:rsidR="00B152AF" w:rsidRPr="00E5089C" w:rsidRDefault="00020B35" w:rsidP="00020B35">
      <w:pPr>
        <w:pStyle w:val="TOCHeading"/>
        <w:rPr>
          <w:rFonts w:hint="eastAsia"/>
        </w:rPr>
      </w:pPr>
      <w:r>
        <w:br w:type="page"/>
      </w:r>
      <w:bookmarkStart w:id="0" w:name="_Toc403992663"/>
      <w:bookmarkStart w:id="1" w:name="_Toc403992345"/>
      <w:bookmarkStart w:id="2" w:name="_Toc403992580"/>
      <w:r w:rsidR="00B152AF" w:rsidRPr="00E5089C">
        <w:lastRenderedPageBreak/>
        <w:t>Contents</w:t>
      </w:r>
      <w:bookmarkEnd w:id="0"/>
    </w:p>
    <w:p w14:paraId="64B5FD59" w14:textId="77777777" w:rsidR="00CD41B4" w:rsidRPr="00A47015" w:rsidRDefault="00B152AF">
      <w:pPr>
        <w:pStyle w:val="TOC1"/>
        <w:tabs>
          <w:tab w:val="right" w:leader="dot" w:pos="9769"/>
        </w:tabs>
        <w:rPr>
          <w:rFonts w:ascii="Aptos" w:eastAsia="Times New Roman" w:hAnsi="Aptos"/>
          <w:noProof/>
          <w:kern w:val="2"/>
          <w:sz w:val="24"/>
          <w:lang w:eastAsia="en-AU"/>
        </w:rPr>
      </w:pPr>
      <w:r>
        <w:fldChar w:fldCharType="begin"/>
      </w:r>
      <w:r>
        <w:instrText xml:space="preserve"> TOC \o "1-3" \h \z \u </w:instrText>
      </w:r>
      <w:r>
        <w:fldChar w:fldCharType="separate"/>
      </w:r>
      <w:hyperlink w:anchor="_Toc193204194" w:history="1">
        <w:r w:rsidR="00CD41B4" w:rsidRPr="004E3C9D">
          <w:rPr>
            <w:rStyle w:val="Hyperlink"/>
            <w:noProof/>
          </w:rPr>
          <w:t>Economy of the Future</w:t>
        </w:r>
        <w:r w:rsidR="00CD41B4">
          <w:rPr>
            <w:noProof/>
            <w:webHidden/>
          </w:rPr>
          <w:tab/>
        </w:r>
        <w:r w:rsidR="00CD41B4">
          <w:rPr>
            <w:noProof/>
            <w:webHidden/>
          </w:rPr>
          <w:fldChar w:fldCharType="begin"/>
        </w:r>
        <w:r w:rsidR="00CD41B4">
          <w:rPr>
            <w:noProof/>
            <w:webHidden/>
          </w:rPr>
          <w:instrText xml:space="preserve"> PAGEREF _Toc193204194 \h </w:instrText>
        </w:r>
        <w:r w:rsidR="00CD41B4">
          <w:rPr>
            <w:noProof/>
            <w:webHidden/>
          </w:rPr>
        </w:r>
        <w:r w:rsidR="00CD41B4">
          <w:rPr>
            <w:noProof/>
            <w:webHidden/>
          </w:rPr>
          <w:fldChar w:fldCharType="separate"/>
        </w:r>
        <w:r w:rsidR="00CD41B4">
          <w:rPr>
            <w:noProof/>
            <w:webHidden/>
          </w:rPr>
          <w:t>3</w:t>
        </w:r>
        <w:r w:rsidR="00CD41B4">
          <w:rPr>
            <w:noProof/>
            <w:webHidden/>
          </w:rPr>
          <w:fldChar w:fldCharType="end"/>
        </w:r>
      </w:hyperlink>
    </w:p>
    <w:p w14:paraId="34C5265C" w14:textId="77777777" w:rsidR="00CD41B4" w:rsidRPr="00A47015" w:rsidRDefault="00CD41B4">
      <w:pPr>
        <w:pStyle w:val="TOC2"/>
        <w:rPr>
          <w:rFonts w:ascii="Aptos" w:eastAsia="Times New Roman" w:hAnsi="Aptos"/>
          <w:noProof/>
          <w:kern w:val="2"/>
          <w:sz w:val="24"/>
          <w:lang w:eastAsia="en-AU"/>
        </w:rPr>
      </w:pPr>
      <w:hyperlink w:anchor="_Toc193204195" w:history="1">
        <w:r w:rsidRPr="004E3C9D">
          <w:rPr>
            <w:rStyle w:val="Hyperlink"/>
            <w:noProof/>
          </w:rPr>
          <w:t>Highlights for quarter three (January to March 2024)</w:t>
        </w:r>
        <w:r>
          <w:rPr>
            <w:noProof/>
            <w:webHidden/>
          </w:rPr>
          <w:tab/>
        </w:r>
        <w:r>
          <w:rPr>
            <w:noProof/>
            <w:webHidden/>
          </w:rPr>
          <w:fldChar w:fldCharType="begin"/>
        </w:r>
        <w:r>
          <w:rPr>
            <w:noProof/>
            <w:webHidden/>
          </w:rPr>
          <w:instrText xml:space="preserve"> PAGEREF _Toc193204195 \h </w:instrText>
        </w:r>
        <w:r>
          <w:rPr>
            <w:noProof/>
            <w:webHidden/>
          </w:rPr>
        </w:r>
        <w:r>
          <w:rPr>
            <w:noProof/>
            <w:webHidden/>
          </w:rPr>
          <w:fldChar w:fldCharType="separate"/>
        </w:r>
        <w:r>
          <w:rPr>
            <w:noProof/>
            <w:webHidden/>
          </w:rPr>
          <w:t>3</w:t>
        </w:r>
        <w:r>
          <w:rPr>
            <w:noProof/>
            <w:webHidden/>
          </w:rPr>
          <w:fldChar w:fldCharType="end"/>
        </w:r>
      </w:hyperlink>
    </w:p>
    <w:p w14:paraId="0A5D67E6" w14:textId="77777777" w:rsidR="00CD41B4" w:rsidRPr="00A47015" w:rsidRDefault="00CD41B4">
      <w:pPr>
        <w:pStyle w:val="TOC2"/>
        <w:rPr>
          <w:rFonts w:ascii="Aptos" w:eastAsia="Times New Roman" w:hAnsi="Aptos"/>
          <w:noProof/>
          <w:kern w:val="2"/>
          <w:sz w:val="24"/>
          <w:lang w:eastAsia="en-AU"/>
        </w:rPr>
      </w:pPr>
      <w:hyperlink w:anchor="_Toc193204196" w:history="1">
        <w:r w:rsidRPr="004E3C9D">
          <w:rPr>
            <w:rStyle w:val="Hyperlink"/>
            <w:noProof/>
          </w:rPr>
          <w:t>Our progress</w:t>
        </w:r>
        <w:r>
          <w:rPr>
            <w:noProof/>
            <w:webHidden/>
          </w:rPr>
          <w:tab/>
        </w:r>
        <w:r>
          <w:rPr>
            <w:noProof/>
            <w:webHidden/>
          </w:rPr>
          <w:fldChar w:fldCharType="begin"/>
        </w:r>
        <w:r>
          <w:rPr>
            <w:noProof/>
            <w:webHidden/>
          </w:rPr>
          <w:instrText xml:space="preserve"> PAGEREF _Toc193204196 \h </w:instrText>
        </w:r>
        <w:r>
          <w:rPr>
            <w:noProof/>
            <w:webHidden/>
          </w:rPr>
        </w:r>
        <w:r>
          <w:rPr>
            <w:noProof/>
            <w:webHidden/>
          </w:rPr>
          <w:fldChar w:fldCharType="separate"/>
        </w:r>
        <w:r>
          <w:rPr>
            <w:noProof/>
            <w:webHidden/>
          </w:rPr>
          <w:t>3</w:t>
        </w:r>
        <w:r>
          <w:rPr>
            <w:noProof/>
            <w:webHidden/>
          </w:rPr>
          <w:fldChar w:fldCharType="end"/>
        </w:r>
      </w:hyperlink>
    </w:p>
    <w:p w14:paraId="3C67992E" w14:textId="77777777" w:rsidR="00CD41B4" w:rsidRPr="00A47015" w:rsidRDefault="00CD41B4">
      <w:pPr>
        <w:pStyle w:val="TOC2"/>
        <w:rPr>
          <w:rFonts w:ascii="Aptos" w:eastAsia="Times New Roman" w:hAnsi="Aptos"/>
          <w:noProof/>
          <w:kern w:val="2"/>
          <w:sz w:val="24"/>
          <w:lang w:eastAsia="en-AU"/>
        </w:rPr>
      </w:pPr>
      <w:hyperlink w:anchor="_Toc193204197" w:history="1">
        <w:r w:rsidRPr="004E3C9D">
          <w:rPr>
            <w:rStyle w:val="Hyperlink"/>
            <w:noProof/>
          </w:rPr>
          <w:t>The major initiatives we’re delivering this year</w:t>
        </w:r>
        <w:r>
          <w:rPr>
            <w:noProof/>
            <w:webHidden/>
          </w:rPr>
          <w:tab/>
        </w:r>
        <w:r>
          <w:rPr>
            <w:noProof/>
            <w:webHidden/>
          </w:rPr>
          <w:fldChar w:fldCharType="begin"/>
        </w:r>
        <w:r>
          <w:rPr>
            <w:noProof/>
            <w:webHidden/>
          </w:rPr>
          <w:instrText xml:space="preserve"> PAGEREF _Toc193204197 \h </w:instrText>
        </w:r>
        <w:r>
          <w:rPr>
            <w:noProof/>
            <w:webHidden/>
          </w:rPr>
        </w:r>
        <w:r>
          <w:rPr>
            <w:noProof/>
            <w:webHidden/>
          </w:rPr>
          <w:fldChar w:fldCharType="separate"/>
        </w:r>
        <w:r>
          <w:rPr>
            <w:noProof/>
            <w:webHidden/>
          </w:rPr>
          <w:t>4</w:t>
        </w:r>
        <w:r>
          <w:rPr>
            <w:noProof/>
            <w:webHidden/>
          </w:rPr>
          <w:fldChar w:fldCharType="end"/>
        </w:r>
      </w:hyperlink>
    </w:p>
    <w:p w14:paraId="6D6C3D25" w14:textId="77777777" w:rsidR="00CD41B4" w:rsidRPr="00A47015" w:rsidRDefault="00CD41B4">
      <w:pPr>
        <w:pStyle w:val="TOC2"/>
        <w:rPr>
          <w:rFonts w:ascii="Aptos" w:eastAsia="Times New Roman" w:hAnsi="Aptos"/>
          <w:noProof/>
          <w:kern w:val="2"/>
          <w:sz w:val="24"/>
          <w:lang w:eastAsia="en-AU"/>
        </w:rPr>
      </w:pPr>
      <w:hyperlink w:anchor="_Toc193204198" w:history="1">
        <w:r w:rsidRPr="004E3C9D">
          <w:rPr>
            <w:rStyle w:val="Hyperlink"/>
            <w:noProof/>
          </w:rPr>
          <w:t>How we’re measuring progress over four years</w:t>
        </w:r>
        <w:r>
          <w:rPr>
            <w:noProof/>
            <w:webHidden/>
          </w:rPr>
          <w:tab/>
        </w:r>
        <w:r>
          <w:rPr>
            <w:noProof/>
            <w:webHidden/>
          </w:rPr>
          <w:fldChar w:fldCharType="begin"/>
        </w:r>
        <w:r>
          <w:rPr>
            <w:noProof/>
            <w:webHidden/>
          </w:rPr>
          <w:instrText xml:space="preserve"> PAGEREF _Toc193204198 \h </w:instrText>
        </w:r>
        <w:r>
          <w:rPr>
            <w:noProof/>
            <w:webHidden/>
          </w:rPr>
        </w:r>
        <w:r>
          <w:rPr>
            <w:noProof/>
            <w:webHidden/>
          </w:rPr>
          <w:fldChar w:fldCharType="separate"/>
        </w:r>
        <w:r>
          <w:rPr>
            <w:noProof/>
            <w:webHidden/>
          </w:rPr>
          <w:t>5</w:t>
        </w:r>
        <w:r>
          <w:rPr>
            <w:noProof/>
            <w:webHidden/>
          </w:rPr>
          <w:fldChar w:fldCharType="end"/>
        </w:r>
      </w:hyperlink>
    </w:p>
    <w:p w14:paraId="6C72A090" w14:textId="77777777" w:rsidR="00CD41B4" w:rsidRPr="00A47015" w:rsidRDefault="00CD41B4">
      <w:pPr>
        <w:pStyle w:val="TOC1"/>
        <w:tabs>
          <w:tab w:val="right" w:leader="dot" w:pos="9769"/>
        </w:tabs>
        <w:rPr>
          <w:rFonts w:ascii="Aptos" w:eastAsia="Times New Roman" w:hAnsi="Aptos"/>
          <w:noProof/>
          <w:kern w:val="2"/>
          <w:sz w:val="24"/>
          <w:lang w:eastAsia="en-AU"/>
        </w:rPr>
      </w:pPr>
      <w:hyperlink w:anchor="_Toc193204199" w:history="1">
        <w:r w:rsidRPr="004E3C9D">
          <w:rPr>
            <w:rStyle w:val="Hyperlink"/>
            <w:noProof/>
          </w:rPr>
          <w:t>Melbourne’s unique identity and place</w:t>
        </w:r>
        <w:r>
          <w:rPr>
            <w:noProof/>
            <w:webHidden/>
          </w:rPr>
          <w:tab/>
        </w:r>
        <w:r>
          <w:rPr>
            <w:noProof/>
            <w:webHidden/>
          </w:rPr>
          <w:fldChar w:fldCharType="begin"/>
        </w:r>
        <w:r>
          <w:rPr>
            <w:noProof/>
            <w:webHidden/>
          </w:rPr>
          <w:instrText xml:space="preserve"> PAGEREF _Toc193204199 \h </w:instrText>
        </w:r>
        <w:r>
          <w:rPr>
            <w:noProof/>
            <w:webHidden/>
          </w:rPr>
        </w:r>
        <w:r>
          <w:rPr>
            <w:noProof/>
            <w:webHidden/>
          </w:rPr>
          <w:fldChar w:fldCharType="separate"/>
        </w:r>
        <w:r>
          <w:rPr>
            <w:noProof/>
            <w:webHidden/>
          </w:rPr>
          <w:t>6</w:t>
        </w:r>
        <w:r>
          <w:rPr>
            <w:noProof/>
            <w:webHidden/>
          </w:rPr>
          <w:fldChar w:fldCharType="end"/>
        </w:r>
      </w:hyperlink>
    </w:p>
    <w:p w14:paraId="0486925A" w14:textId="77777777" w:rsidR="00CD41B4" w:rsidRPr="00A47015" w:rsidRDefault="00CD41B4">
      <w:pPr>
        <w:pStyle w:val="TOC2"/>
        <w:rPr>
          <w:rFonts w:ascii="Aptos" w:eastAsia="Times New Roman" w:hAnsi="Aptos"/>
          <w:noProof/>
          <w:kern w:val="2"/>
          <w:sz w:val="24"/>
          <w:lang w:eastAsia="en-AU"/>
        </w:rPr>
      </w:pPr>
      <w:hyperlink w:anchor="_Toc193204200" w:history="1">
        <w:r w:rsidRPr="004E3C9D">
          <w:rPr>
            <w:rStyle w:val="Hyperlink"/>
            <w:noProof/>
          </w:rPr>
          <w:t>Highlights for quarter three (January to March 2024)</w:t>
        </w:r>
        <w:r>
          <w:rPr>
            <w:noProof/>
            <w:webHidden/>
          </w:rPr>
          <w:tab/>
        </w:r>
        <w:r>
          <w:rPr>
            <w:noProof/>
            <w:webHidden/>
          </w:rPr>
          <w:fldChar w:fldCharType="begin"/>
        </w:r>
        <w:r>
          <w:rPr>
            <w:noProof/>
            <w:webHidden/>
          </w:rPr>
          <w:instrText xml:space="preserve"> PAGEREF _Toc193204200 \h </w:instrText>
        </w:r>
        <w:r>
          <w:rPr>
            <w:noProof/>
            <w:webHidden/>
          </w:rPr>
        </w:r>
        <w:r>
          <w:rPr>
            <w:noProof/>
            <w:webHidden/>
          </w:rPr>
          <w:fldChar w:fldCharType="separate"/>
        </w:r>
        <w:r>
          <w:rPr>
            <w:noProof/>
            <w:webHidden/>
          </w:rPr>
          <w:t>6</w:t>
        </w:r>
        <w:r>
          <w:rPr>
            <w:noProof/>
            <w:webHidden/>
          </w:rPr>
          <w:fldChar w:fldCharType="end"/>
        </w:r>
      </w:hyperlink>
    </w:p>
    <w:p w14:paraId="39A938AC" w14:textId="77777777" w:rsidR="00CD41B4" w:rsidRPr="00A47015" w:rsidRDefault="00CD41B4">
      <w:pPr>
        <w:pStyle w:val="TOC2"/>
        <w:rPr>
          <w:rFonts w:ascii="Aptos" w:eastAsia="Times New Roman" w:hAnsi="Aptos"/>
          <w:noProof/>
          <w:kern w:val="2"/>
          <w:sz w:val="24"/>
          <w:lang w:eastAsia="en-AU"/>
        </w:rPr>
      </w:pPr>
      <w:hyperlink w:anchor="_Toc193204201" w:history="1">
        <w:r w:rsidRPr="004E3C9D">
          <w:rPr>
            <w:rStyle w:val="Hyperlink"/>
            <w:noProof/>
          </w:rPr>
          <w:t>Our progress</w:t>
        </w:r>
        <w:r>
          <w:rPr>
            <w:noProof/>
            <w:webHidden/>
          </w:rPr>
          <w:tab/>
        </w:r>
        <w:r>
          <w:rPr>
            <w:noProof/>
            <w:webHidden/>
          </w:rPr>
          <w:fldChar w:fldCharType="begin"/>
        </w:r>
        <w:r>
          <w:rPr>
            <w:noProof/>
            <w:webHidden/>
          </w:rPr>
          <w:instrText xml:space="preserve"> PAGEREF _Toc193204201 \h </w:instrText>
        </w:r>
        <w:r>
          <w:rPr>
            <w:noProof/>
            <w:webHidden/>
          </w:rPr>
        </w:r>
        <w:r>
          <w:rPr>
            <w:noProof/>
            <w:webHidden/>
          </w:rPr>
          <w:fldChar w:fldCharType="separate"/>
        </w:r>
        <w:r>
          <w:rPr>
            <w:noProof/>
            <w:webHidden/>
          </w:rPr>
          <w:t>6</w:t>
        </w:r>
        <w:r>
          <w:rPr>
            <w:noProof/>
            <w:webHidden/>
          </w:rPr>
          <w:fldChar w:fldCharType="end"/>
        </w:r>
      </w:hyperlink>
    </w:p>
    <w:p w14:paraId="2BEFFE3F" w14:textId="77777777" w:rsidR="00CD41B4" w:rsidRPr="00A47015" w:rsidRDefault="00CD41B4">
      <w:pPr>
        <w:pStyle w:val="TOC2"/>
        <w:rPr>
          <w:rFonts w:ascii="Aptos" w:eastAsia="Times New Roman" w:hAnsi="Aptos"/>
          <w:noProof/>
          <w:kern w:val="2"/>
          <w:sz w:val="24"/>
          <w:lang w:eastAsia="en-AU"/>
        </w:rPr>
      </w:pPr>
      <w:hyperlink w:anchor="_Toc193204202" w:history="1">
        <w:r w:rsidRPr="004E3C9D">
          <w:rPr>
            <w:rStyle w:val="Hyperlink"/>
            <w:noProof/>
          </w:rPr>
          <w:t>The major initiatives we’re delivering this year</w:t>
        </w:r>
        <w:r>
          <w:rPr>
            <w:noProof/>
            <w:webHidden/>
          </w:rPr>
          <w:tab/>
        </w:r>
        <w:r>
          <w:rPr>
            <w:noProof/>
            <w:webHidden/>
          </w:rPr>
          <w:fldChar w:fldCharType="begin"/>
        </w:r>
        <w:r>
          <w:rPr>
            <w:noProof/>
            <w:webHidden/>
          </w:rPr>
          <w:instrText xml:space="preserve"> PAGEREF _Toc193204202 \h </w:instrText>
        </w:r>
        <w:r>
          <w:rPr>
            <w:noProof/>
            <w:webHidden/>
          </w:rPr>
        </w:r>
        <w:r>
          <w:rPr>
            <w:noProof/>
            <w:webHidden/>
          </w:rPr>
          <w:fldChar w:fldCharType="separate"/>
        </w:r>
        <w:r>
          <w:rPr>
            <w:noProof/>
            <w:webHidden/>
          </w:rPr>
          <w:t>7</w:t>
        </w:r>
        <w:r>
          <w:rPr>
            <w:noProof/>
            <w:webHidden/>
          </w:rPr>
          <w:fldChar w:fldCharType="end"/>
        </w:r>
      </w:hyperlink>
    </w:p>
    <w:p w14:paraId="30F96F9C" w14:textId="77777777" w:rsidR="00CD41B4" w:rsidRPr="00A47015" w:rsidRDefault="00CD41B4">
      <w:pPr>
        <w:pStyle w:val="TOC2"/>
        <w:rPr>
          <w:rFonts w:ascii="Aptos" w:eastAsia="Times New Roman" w:hAnsi="Aptos"/>
          <w:noProof/>
          <w:kern w:val="2"/>
          <w:sz w:val="24"/>
          <w:lang w:eastAsia="en-AU"/>
        </w:rPr>
      </w:pPr>
      <w:hyperlink w:anchor="_Toc193204203" w:history="1">
        <w:r w:rsidRPr="004E3C9D">
          <w:rPr>
            <w:rStyle w:val="Hyperlink"/>
            <w:noProof/>
          </w:rPr>
          <w:t>How we’re measuring progress over four years</w:t>
        </w:r>
        <w:r>
          <w:rPr>
            <w:noProof/>
            <w:webHidden/>
          </w:rPr>
          <w:tab/>
        </w:r>
        <w:r>
          <w:rPr>
            <w:noProof/>
            <w:webHidden/>
          </w:rPr>
          <w:fldChar w:fldCharType="begin"/>
        </w:r>
        <w:r>
          <w:rPr>
            <w:noProof/>
            <w:webHidden/>
          </w:rPr>
          <w:instrText xml:space="preserve"> PAGEREF _Toc193204203 \h </w:instrText>
        </w:r>
        <w:r>
          <w:rPr>
            <w:noProof/>
            <w:webHidden/>
          </w:rPr>
        </w:r>
        <w:r>
          <w:rPr>
            <w:noProof/>
            <w:webHidden/>
          </w:rPr>
          <w:fldChar w:fldCharType="separate"/>
        </w:r>
        <w:r>
          <w:rPr>
            <w:noProof/>
            <w:webHidden/>
          </w:rPr>
          <w:t>8</w:t>
        </w:r>
        <w:r>
          <w:rPr>
            <w:noProof/>
            <w:webHidden/>
          </w:rPr>
          <w:fldChar w:fldCharType="end"/>
        </w:r>
      </w:hyperlink>
    </w:p>
    <w:p w14:paraId="6C3B7A67" w14:textId="77777777" w:rsidR="00CD41B4" w:rsidRPr="00A47015" w:rsidRDefault="00CD41B4">
      <w:pPr>
        <w:pStyle w:val="TOC1"/>
        <w:tabs>
          <w:tab w:val="right" w:leader="dot" w:pos="9769"/>
        </w:tabs>
        <w:rPr>
          <w:rFonts w:ascii="Aptos" w:eastAsia="Times New Roman" w:hAnsi="Aptos"/>
          <w:noProof/>
          <w:kern w:val="2"/>
          <w:sz w:val="24"/>
          <w:lang w:eastAsia="en-AU"/>
        </w:rPr>
      </w:pPr>
      <w:hyperlink w:anchor="_Toc193204204" w:history="1">
        <w:r w:rsidRPr="004E3C9D">
          <w:rPr>
            <w:rStyle w:val="Hyperlink"/>
            <w:noProof/>
          </w:rPr>
          <w:t>Aboriginal Melbourne</w:t>
        </w:r>
        <w:r>
          <w:rPr>
            <w:noProof/>
            <w:webHidden/>
          </w:rPr>
          <w:tab/>
        </w:r>
        <w:r>
          <w:rPr>
            <w:noProof/>
            <w:webHidden/>
          </w:rPr>
          <w:fldChar w:fldCharType="begin"/>
        </w:r>
        <w:r>
          <w:rPr>
            <w:noProof/>
            <w:webHidden/>
          </w:rPr>
          <w:instrText xml:space="preserve"> PAGEREF _Toc193204204 \h </w:instrText>
        </w:r>
        <w:r>
          <w:rPr>
            <w:noProof/>
            <w:webHidden/>
          </w:rPr>
        </w:r>
        <w:r>
          <w:rPr>
            <w:noProof/>
            <w:webHidden/>
          </w:rPr>
          <w:fldChar w:fldCharType="separate"/>
        </w:r>
        <w:r>
          <w:rPr>
            <w:noProof/>
            <w:webHidden/>
          </w:rPr>
          <w:t>9</w:t>
        </w:r>
        <w:r>
          <w:rPr>
            <w:noProof/>
            <w:webHidden/>
          </w:rPr>
          <w:fldChar w:fldCharType="end"/>
        </w:r>
      </w:hyperlink>
    </w:p>
    <w:p w14:paraId="40D3AD3D" w14:textId="77777777" w:rsidR="00CD41B4" w:rsidRPr="00A47015" w:rsidRDefault="00CD41B4">
      <w:pPr>
        <w:pStyle w:val="TOC2"/>
        <w:rPr>
          <w:rFonts w:ascii="Aptos" w:eastAsia="Times New Roman" w:hAnsi="Aptos"/>
          <w:noProof/>
          <w:kern w:val="2"/>
          <w:sz w:val="24"/>
          <w:lang w:eastAsia="en-AU"/>
        </w:rPr>
      </w:pPr>
      <w:hyperlink w:anchor="_Toc193204205" w:history="1">
        <w:r w:rsidRPr="004E3C9D">
          <w:rPr>
            <w:rStyle w:val="Hyperlink"/>
            <w:noProof/>
          </w:rPr>
          <w:t>Highlights for quarter three (January to March 2024)</w:t>
        </w:r>
        <w:r>
          <w:rPr>
            <w:noProof/>
            <w:webHidden/>
          </w:rPr>
          <w:tab/>
        </w:r>
        <w:r>
          <w:rPr>
            <w:noProof/>
            <w:webHidden/>
          </w:rPr>
          <w:fldChar w:fldCharType="begin"/>
        </w:r>
        <w:r>
          <w:rPr>
            <w:noProof/>
            <w:webHidden/>
          </w:rPr>
          <w:instrText xml:space="preserve"> PAGEREF _Toc193204205 \h </w:instrText>
        </w:r>
        <w:r>
          <w:rPr>
            <w:noProof/>
            <w:webHidden/>
          </w:rPr>
        </w:r>
        <w:r>
          <w:rPr>
            <w:noProof/>
            <w:webHidden/>
          </w:rPr>
          <w:fldChar w:fldCharType="separate"/>
        </w:r>
        <w:r>
          <w:rPr>
            <w:noProof/>
            <w:webHidden/>
          </w:rPr>
          <w:t>9</w:t>
        </w:r>
        <w:r>
          <w:rPr>
            <w:noProof/>
            <w:webHidden/>
          </w:rPr>
          <w:fldChar w:fldCharType="end"/>
        </w:r>
      </w:hyperlink>
    </w:p>
    <w:p w14:paraId="13A9E5B0" w14:textId="77777777" w:rsidR="00CD41B4" w:rsidRPr="00A47015" w:rsidRDefault="00CD41B4">
      <w:pPr>
        <w:pStyle w:val="TOC2"/>
        <w:rPr>
          <w:rFonts w:ascii="Aptos" w:eastAsia="Times New Roman" w:hAnsi="Aptos"/>
          <w:noProof/>
          <w:kern w:val="2"/>
          <w:sz w:val="24"/>
          <w:lang w:eastAsia="en-AU"/>
        </w:rPr>
      </w:pPr>
      <w:hyperlink w:anchor="_Toc193204206" w:history="1">
        <w:r w:rsidRPr="004E3C9D">
          <w:rPr>
            <w:rStyle w:val="Hyperlink"/>
            <w:noProof/>
          </w:rPr>
          <w:t>Our progress</w:t>
        </w:r>
        <w:r>
          <w:rPr>
            <w:noProof/>
            <w:webHidden/>
          </w:rPr>
          <w:tab/>
        </w:r>
        <w:r>
          <w:rPr>
            <w:noProof/>
            <w:webHidden/>
          </w:rPr>
          <w:fldChar w:fldCharType="begin"/>
        </w:r>
        <w:r>
          <w:rPr>
            <w:noProof/>
            <w:webHidden/>
          </w:rPr>
          <w:instrText xml:space="preserve"> PAGEREF _Toc193204206 \h </w:instrText>
        </w:r>
        <w:r>
          <w:rPr>
            <w:noProof/>
            <w:webHidden/>
          </w:rPr>
        </w:r>
        <w:r>
          <w:rPr>
            <w:noProof/>
            <w:webHidden/>
          </w:rPr>
          <w:fldChar w:fldCharType="separate"/>
        </w:r>
        <w:r>
          <w:rPr>
            <w:noProof/>
            <w:webHidden/>
          </w:rPr>
          <w:t>9</w:t>
        </w:r>
        <w:r>
          <w:rPr>
            <w:noProof/>
            <w:webHidden/>
          </w:rPr>
          <w:fldChar w:fldCharType="end"/>
        </w:r>
      </w:hyperlink>
    </w:p>
    <w:p w14:paraId="77DD5352" w14:textId="77777777" w:rsidR="00CD41B4" w:rsidRPr="00A47015" w:rsidRDefault="00CD41B4">
      <w:pPr>
        <w:pStyle w:val="TOC2"/>
        <w:rPr>
          <w:rFonts w:ascii="Aptos" w:eastAsia="Times New Roman" w:hAnsi="Aptos"/>
          <w:noProof/>
          <w:kern w:val="2"/>
          <w:sz w:val="24"/>
          <w:lang w:eastAsia="en-AU"/>
        </w:rPr>
      </w:pPr>
      <w:hyperlink w:anchor="_Toc193204207" w:history="1">
        <w:r w:rsidRPr="004E3C9D">
          <w:rPr>
            <w:rStyle w:val="Hyperlink"/>
            <w:noProof/>
          </w:rPr>
          <w:t>The major initiatives we’re delivering this year</w:t>
        </w:r>
        <w:r>
          <w:rPr>
            <w:noProof/>
            <w:webHidden/>
          </w:rPr>
          <w:tab/>
        </w:r>
        <w:r>
          <w:rPr>
            <w:noProof/>
            <w:webHidden/>
          </w:rPr>
          <w:fldChar w:fldCharType="begin"/>
        </w:r>
        <w:r>
          <w:rPr>
            <w:noProof/>
            <w:webHidden/>
          </w:rPr>
          <w:instrText xml:space="preserve"> PAGEREF _Toc193204207 \h </w:instrText>
        </w:r>
        <w:r>
          <w:rPr>
            <w:noProof/>
            <w:webHidden/>
          </w:rPr>
        </w:r>
        <w:r>
          <w:rPr>
            <w:noProof/>
            <w:webHidden/>
          </w:rPr>
          <w:fldChar w:fldCharType="separate"/>
        </w:r>
        <w:r>
          <w:rPr>
            <w:noProof/>
            <w:webHidden/>
          </w:rPr>
          <w:t>10</w:t>
        </w:r>
        <w:r>
          <w:rPr>
            <w:noProof/>
            <w:webHidden/>
          </w:rPr>
          <w:fldChar w:fldCharType="end"/>
        </w:r>
      </w:hyperlink>
    </w:p>
    <w:p w14:paraId="00D26E73" w14:textId="77777777" w:rsidR="00CD41B4" w:rsidRPr="00A47015" w:rsidRDefault="00CD41B4">
      <w:pPr>
        <w:pStyle w:val="TOC2"/>
        <w:rPr>
          <w:rFonts w:ascii="Aptos" w:eastAsia="Times New Roman" w:hAnsi="Aptos"/>
          <w:noProof/>
          <w:kern w:val="2"/>
          <w:sz w:val="24"/>
          <w:lang w:eastAsia="en-AU"/>
        </w:rPr>
      </w:pPr>
      <w:hyperlink w:anchor="_Toc193204208" w:history="1">
        <w:r w:rsidRPr="004E3C9D">
          <w:rPr>
            <w:rStyle w:val="Hyperlink"/>
            <w:noProof/>
          </w:rPr>
          <w:t>How we’re measuring progress over four years</w:t>
        </w:r>
        <w:r>
          <w:rPr>
            <w:noProof/>
            <w:webHidden/>
          </w:rPr>
          <w:tab/>
        </w:r>
        <w:r>
          <w:rPr>
            <w:noProof/>
            <w:webHidden/>
          </w:rPr>
          <w:fldChar w:fldCharType="begin"/>
        </w:r>
        <w:r>
          <w:rPr>
            <w:noProof/>
            <w:webHidden/>
          </w:rPr>
          <w:instrText xml:space="preserve"> PAGEREF _Toc193204208 \h </w:instrText>
        </w:r>
        <w:r>
          <w:rPr>
            <w:noProof/>
            <w:webHidden/>
          </w:rPr>
        </w:r>
        <w:r>
          <w:rPr>
            <w:noProof/>
            <w:webHidden/>
          </w:rPr>
          <w:fldChar w:fldCharType="separate"/>
        </w:r>
        <w:r>
          <w:rPr>
            <w:noProof/>
            <w:webHidden/>
          </w:rPr>
          <w:t>10</w:t>
        </w:r>
        <w:r>
          <w:rPr>
            <w:noProof/>
            <w:webHidden/>
          </w:rPr>
          <w:fldChar w:fldCharType="end"/>
        </w:r>
      </w:hyperlink>
    </w:p>
    <w:p w14:paraId="23E3D66B" w14:textId="77777777" w:rsidR="00CD41B4" w:rsidRPr="00A47015" w:rsidRDefault="00CD41B4">
      <w:pPr>
        <w:pStyle w:val="TOC1"/>
        <w:tabs>
          <w:tab w:val="right" w:leader="dot" w:pos="9769"/>
        </w:tabs>
        <w:rPr>
          <w:rFonts w:ascii="Aptos" w:eastAsia="Times New Roman" w:hAnsi="Aptos"/>
          <w:noProof/>
          <w:kern w:val="2"/>
          <w:sz w:val="24"/>
          <w:lang w:eastAsia="en-AU"/>
        </w:rPr>
      </w:pPr>
      <w:hyperlink w:anchor="_Toc193204209" w:history="1">
        <w:r w:rsidRPr="004E3C9D">
          <w:rPr>
            <w:rStyle w:val="Hyperlink"/>
            <w:noProof/>
          </w:rPr>
          <w:t>Climate and biodiversity emergency</w:t>
        </w:r>
        <w:r>
          <w:rPr>
            <w:noProof/>
            <w:webHidden/>
          </w:rPr>
          <w:tab/>
        </w:r>
        <w:r>
          <w:rPr>
            <w:noProof/>
            <w:webHidden/>
          </w:rPr>
          <w:fldChar w:fldCharType="begin"/>
        </w:r>
        <w:r>
          <w:rPr>
            <w:noProof/>
            <w:webHidden/>
          </w:rPr>
          <w:instrText xml:space="preserve"> PAGEREF _Toc193204209 \h </w:instrText>
        </w:r>
        <w:r>
          <w:rPr>
            <w:noProof/>
            <w:webHidden/>
          </w:rPr>
        </w:r>
        <w:r>
          <w:rPr>
            <w:noProof/>
            <w:webHidden/>
          </w:rPr>
          <w:fldChar w:fldCharType="separate"/>
        </w:r>
        <w:r>
          <w:rPr>
            <w:noProof/>
            <w:webHidden/>
          </w:rPr>
          <w:t>11</w:t>
        </w:r>
        <w:r>
          <w:rPr>
            <w:noProof/>
            <w:webHidden/>
          </w:rPr>
          <w:fldChar w:fldCharType="end"/>
        </w:r>
      </w:hyperlink>
    </w:p>
    <w:p w14:paraId="76A599E4" w14:textId="77777777" w:rsidR="00CD41B4" w:rsidRPr="00A47015" w:rsidRDefault="00CD41B4">
      <w:pPr>
        <w:pStyle w:val="TOC2"/>
        <w:rPr>
          <w:rFonts w:ascii="Aptos" w:eastAsia="Times New Roman" w:hAnsi="Aptos"/>
          <w:noProof/>
          <w:kern w:val="2"/>
          <w:sz w:val="24"/>
          <w:lang w:eastAsia="en-AU"/>
        </w:rPr>
      </w:pPr>
      <w:hyperlink w:anchor="_Toc193204210" w:history="1">
        <w:r w:rsidRPr="004E3C9D">
          <w:rPr>
            <w:rStyle w:val="Hyperlink"/>
            <w:noProof/>
          </w:rPr>
          <w:t>Highlights for quarter three (January to March 2024)</w:t>
        </w:r>
        <w:r>
          <w:rPr>
            <w:noProof/>
            <w:webHidden/>
          </w:rPr>
          <w:tab/>
        </w:r>
        <w:r>
          <w:rPr>
            <w:noProof/>
            <w:webHidden/>
          </w:rPr>
          <w:fldChar w:fldCharType="begin"/>
        </w:r>
        <w:r>
          <w:rPr>
            <w:noProof/>
            <w:webHidden/>
          </w:rPr>
          <w:instrText xml:space="preserve"> PAGEREF _Toc193204210 \h </w:instrText>
        </w:r>
        <w:r>
          <w:rPr>
            <w:noProof/>
            <w:webHidden/>
          </w:rPr>
        </w:r>
        <w:r>
          <w:rPr>
            <w:noProof/>
            <w:webHidden/>
          </w:rPr>
          <w:fldChar w:fldCharType="separate"/>
        </w:r>
        <w:r>
          <w:rPr>
            <w:noProof/>
            <w:webHidden/>
          </w:rPr>
          <w:t>11</w:t>
        </w:r>
        <w:r>
          <w:rPr>
            <w:noProof/>
            <w:webHidden/>
          </w:rPr>
          <w:fldChar w:fldCharType="end"/>
        </w:r>
      </w:hyperlink>
    </w:p>
    <w:p w14:paraId="4A0DAF0F" w14:textId="77777777" w:rsidR="00CD41B4" w:rsidRPr="00A47015" w:rsidRDefault="00CD41B4">
      <w:pPr>
        <w:pStyle w:val="TOC2"/>
        <w:rPr>
          <w:rFonts w:ascii="Aptos" w:eastAsia="Times New Roman" w:hAnsi="Aptos"/>
          <w:noProof/>
          <w:kern w:val="2"/>
          <w:sz w:val="24"/>
          <w:lang w:eastAsia="en-AU"/>
        </w:rPr>
      </w:pPr>
      <w:hyperlink w:anchor="_Toc193204211" w:history="1">
        <w:r w:rsidRPr="004E3C9D">
          <w:rPr>
            <w:rStyle w:val="Hyperlink"/>
            <w:noProof/>
          </w:rPr>
          <w:t>Our progress</w:t>
        </w:r>
        <w:r>
          <w:rPr>
            <w:noProof/>
            <w:webHidden/>
          </w:rPr>
          <w:tab/>
        </w:r>
        <w:r>
          <w:rPr>
            <w:noProof/>
            <w:webHidden/>
          </w:rPr>
          <w:fldChar w:fldCharType="begin"/>
        </w:r>
        <w:r>
          <w:rPr>
            <w:noProof/>
            <w:webHidden/>
          </w:rPr>
          <w:instrText xml:space="preserve"> PAGEREF _Toc193204211 \h </w:instrText>
        </w:r>
        <w:r>
          <w:rPr>
            <w:noProof/>
            <w:webHidden/>
          </w:rPr>
        </w:r>
        <w:r>
          <w:rPr>
            <w:noProof/>
            <w:webHidden/>
          </w:rPr>
          <w:fldChar w:fldCharType="separate"/>
        </w:r>
        <w:r>
          <w:rPr>
            <w:noProof/>
            <w:webHidden/>
          </w:rPr>
          <w:t>11</w:t>
        </w:r>
        <w:r>
          <w:rPr>
            <w:noProof/>
            <w:webHidden/>
          </w:rPr>
          <w:fldChar w:fldCharType="end"/>
        </w:r>
      </w:hyperlink>
    </w:p>
    <w:p w14:paraId="0A01B1FD" w14:textId="77777777" w:rsidR="00CD41B4" w:rsidRPr="00A47015" w:rsidRDefault="00CD41B4">
      <w:pPr>
        <w:pStyle w:val="TOC2"/>
        <w:rPr>
          <w:rFonts w:ascii="Aptos" w:eastAsia="Times New Roman" w:hAnsi="Aptos"/>
          <w:noProof/>
          <w:kern w:val="2"/>
          <w:sz w:val="24"/>
          <w:lang w:eastAsia="en-AU"/>
        </w:rPr>
      </w:pPr>
      <w:hyperlink w:anchor="_Toc193204212" w:history="1">
        <w:r w:rsidRPr="004E3C9D">
          <w:rPr>
            <w:rStyle w:val="Hyperlink"/>
            <w:noProof/>
          </w:rPr>
          <w:t>The major initiatives we’re delivering this year</w:t>
        </w:r>
        <w:r>
          <w:rPr>
            <w:noProof/>
            <w:webHidden/>
          </w:rPr>
          <w:tab/>
        </w:r>
        <w:r>
          <w:rPr>
            <w:noProof/>
            <w:webHidden/>
          </w:rPr>
          <w:fldChar w:fldCharType="begin"/>
        </w:r>
        <w:r>
          <w:rPr>
            <w:noProof/>
            <w:webHidden/>
          </w:rPr>
          <w:instrText xml:space="preserve"> PAGEREF _Toc193204212 \h </w:instrText>
        </w:r>
        <w:r>
          <w:rPr>
            <w:noProof/>
            <w:webHidden/>
          </w:rPr>
        </w:r>
        <w:r>
          <w:rPr>
            <w:noProof/>
            <w:webHidden/>
          </w:rPr>
          <w:fldChar w:fldCharType="separate"/>
        </w:r>
        <w:r>
          <w:rPr>
            <w:noProof/>
            <w:webHidden/>
          </w:rPr>
          <w:t>12</w:t>
        </w:r>
        <w:r>
          <w:rPr>
            <w:noProof/>
            <w:webHidden/>
          </w:rPr>
          <w:fldChar w:fldCharType="end"/>
        </w:r>
      </w:hyperlink>
    </w:p>
    <w:p w14:paraId="7E15DAB9" w14:textId="77777777" w:rsidR="00CD41B4" w:rsidRPr="00A47015" w:rsidRDefault="00CD41B4">
      <w:pPr>
        <w:pStyle w:val="TOC2"/>
        <w:rPr>
          <w:rFonts w:ascii="Aptos" w:eastAsia="Times New Roman" w:hAnsi="Aptos"/>
          <w:noProof/>
          <w:kern w:val="2"/>
          <w:sz w:val="24"/>
          <w:lang w:eastAsia="en-AU"/>
        </w:rPr>
      </w:pPr>
      <w:hyperlink w:anchor="_Toc193204213" w:history="1">
        <w:r w:rsidRPr="004E3C9D">
          <w:rPr>
            <w:rStyle w:val="Hyperlink"/>
            <w:noProof/>
          </w:rPr>
          <w:t>How we’re measuring progress over four years</w:t>
        </w:r>
        <w:r>
          <w:rPr>
            <w:noProof/>
            <w:webHidden/>
          </w:rPr>
          <w:tab/>
        </w:r>
        <w:r>
          <w:rPr>
            <w:noProof/>
            <w:webHidden/>
          </w:rPr>
          <w:fldChar w:fldCharType="begin"/>
        </w:r>
        <w:r>
          <w:rPr>
            <w:noProof/>
            <w:webHidden/>
          </w:rPr>
          <w:instrText xml:space="preserve"> PAGEREF _Toc193204213 \h </w:instrText>
        </w:r>
        <w:r>
          <w:rPr>
            <w:noProof/>
            <w:webHidden/>
          </w:rPr>
        </w:r>
        <w:r>
          <w:rPr>
            <w:noProof/>
            <w:webHidden/>
          </w:rPr>
          <w:fldChar w:fldCharType="separate"/>
        </w:r>
        <w:r>
          <w:rPr>
            <w:noProof/>
            <w:webHidden/>
          </w:rPr>
          <w:t>12</w:t>
        </w:r>
        <w:r>
          <w:rPr>
            <w:noProof/>
            <w:webHidden/>
          </w:rPr>
          <w:fldChar w:fldCharType="end"/>
        </w:r>
      </w:hyperlink>
    </w:p>
    <w:p w14:paraId="2774E4AB" w14:textId="77777777" w:rsidR="00CD41B4" w:rsidRPr="00A47015" w:rsidRDefault="00CD41B4">
      <w:pPr>
        <w:pStyle w:val="TOC1"/>
        <w:tabs>
          <w:tab w:val="right" w:leader="dot" w:pos="9769"/>
        </w:tabs>
        <w:rPr>
          <w:rFonts w:ascii="Aptos" w:eastAsia="Times New Roman" w:hAnsi="Aptos"/>
          <w:noProof/>
          <w:kern w:val="2"/>
          <w:sz w:val="24"/>
          <w:lang w:eastAsia="en-AU"/>
        </w:rPr>
      </w:pPr>
      <w:hyperlink w:anchor="_Toc193204214" w:history="1">
        <w:r w:rsidRPr="004E3C9D">
          <w:rPr>
            <w:rStyle w:val="Hyperlink"/>
            <w:noProof/>
          </w:rPr>
          <w:t>Access and affordability</w:t>
        </w:r>
        <w:r>
          <w:rPr>
            <w:noProof/>
            <w:webHidden/>
          </w:rPr>
          <w:tab/>
        </w:r>
        <w:r>
          <w:rPr>
            <w:noProof/>
            <w:webHidden/>
          </w:rPr>
          <w:fldChar w:fldCharType="begin"/>
        </w:r>
        <w:r>
          <w:rPr>
            <w:noProof/>
            <w:webHidden/>
          </w:rPr>
          <w:instrText xml:space="preserve"> PAGEREF _Toc193204214 \h </w:instrText>
        </w:r>
        <w:r>
          <w:rPr>
            <w:noProof/>
            <w:webHidden/>
          </w:rPr>
        </w:r>
        <w:r>
          <w:rPr>
            <w:noProof/>
            <w:webHidden/>
          </w:rPr>
          <w:fldChar w:fldCharType="separate"/>
        </w:r>
        <w:r>
          <w:rPr>
            <w:noProof/>
            <w:webHidden/>
          </w:rPr>
          <w:t>14</w:t>
        </w:r>
        <w:r>
          <w:rPr>
            <w:noProof/>
            <w:webHidden/>
          </w:rPr>
          <w:fldChar w:fldCharType="end"/>
        </w:r>
      </w:hyperlink>
    </w:p>
    <w:p w14:paraId="4A753888" w14:textId="77777777" w:rsidR="00CD41B4" w:rsidRPr="00A47015" w:rsidRDefault="00CD41B4">
      <w:pPr>
        <w:pStyle w:val="TOC2"/>
        <w:rPr>
          <w:rFonts w:ascii="Aptos" w:eastAsia="Times New Roman" w:hAnsi="Aptos"/>
          <w:noProof/>
          <w:kern w:val="2"/>
          <w:sz w:val="24"/>
          <w:lang w:eastAsia="en-AU"/>
        </w:rPr>
      </w:pPr>
      <w:hyperlink w:anchor="_Toc193204215" w:history="1">
        <w:r w:rsidRPr="004E3C9D">
          <w:rPr>
            <w:rStyle w:val="Hyperlink"/>
            <w:noProof/>
          </w:rPr>
          <w:t>Highlights for quarter three (January to March 2024)</w:t>
        </w:r>
        <w:r>
          <w:rPr>
            <w:noProof/>
            <w:webHidden/>
          </w:rPr>
          <w:tab/>
        </w:r>
        <w:r>
          <w:rPr>
            <w:noProof/>
            <w:webHidden/>
          </w:rPr>
          <w:fldChar w:fldCharType="begin"/>
        </w:r>
        <w:r>
          <w:rPr>
            <w:noProof/>
            <w:webHidden/>
          </w:rPr>
          <w:instrText xml:space="preserve"> PAGEREF _Toc193204215 \h </w:instrText>
        </w:r>
        <w:r>
          <w:rPr>
            <w:noProof/>
            <w:webHidden/>
          </w:rPr>
        </w:r>
        <w:r>
          <w:rPr>
            <w:noProof/>
            <w:webHidden/>
          </w:rPr>
          <w:fldChar w:fldCharType="separate"/>
        </w:r>
        <w:r>
          <w:rPr>
            <w:noProof/>
            <w:webHidden/>
          </w:rPr>
          <w:t>14</w:t>
        </w:r>
        <w:r>
          <w:rPr>
            <w:noProof/>
            <w:webHidden/>
          </w:rPr>
          <w:fldChar w:fldCharType="end"/>
        </w:r>
      </w:hyperlink>
    </w:p>
    <w:p w14:paraId="0E068D08" w14:textId="77777777" w:rsidR="00CD41B4" w:rsidRPr="00A47015" w:rsidRDefault="00CD41B4">
      <w:pPr>
        <w:pStyle w:val="TOC2"/>
        <w:rPr>
          <w:rFonts w:ascii="Aptos" w:eastAsia="Times New Roman" w:hAnsi="Aptos"/>
          <w:noProof/>
          <w:kern w:val="2"/>
          <w:sz w:val="24"/>
          <w:lang w:eastAsia="en-AU"/>
        </w:rPr>
      </w:pPr>
      <w:hyperlink w:anchor="_Toc193204216" w:history="1">
        <w:r w:rsidRPr="004E3C9D">
          <w:rPr>
            <w:rStyle w:val="Hyperlink"/>
            <w:noProof/>
          </w:rPr>
          <w:t>Our progress</w:t>
        </w:r>
        <w:r>
          <w:rPr>
            <w:noProof/>
            <w:webHidden/>
          </w:rPr>
          <w:tab/>
        </w:r>
        <w:r>
          <w:rPr>
            <w:noProof/>
            <w:webHidden/>
          </w:rPr>
          <w:fldChar w:fldCharType="begin"/>
        </w:r>
        <w:r>
          <w:rPr>
            <w:noProof/>
            <w:webHidden/>
          </w:rPr>
          <w:instrText xml:space="preserve"> PAGEREF _Toc193204216 \h </w:instrText>
        </w:r>
        <w:r>
          <w:rPr>
            <w:noProof/>
            <w:webHidden/>
          </w:rPr>
        </w:r>
        <w:r>
          <w:rPr>
            <w:noProof/>
            <w:webHidden/>
          </w:rPr>
          <w:fldChar w:fldCharType="separate"/>
        </w:r>
        <w:r>
          <w:rPr>
            <w:noProof/>
            <w:webHidden/>
          </w:rPr>
          <w:t>15</w:t>
        </w:r>
        <w:r>
          <w:rPr>
            <w:noProof/>
            <w:webHidden/>
          </w:rPr>
          <w:fldChar w:fldCharType="end"/>
        </w:r>
      </w:hyperlink>
    </w:p>
    <w:p w14:paraId="2C5D144B" w14:textId="77777777" w:rsidR="00CD41B4" w:rsidRPr="00A47015" w:rsidRDefault="00CD41B4">
      <w:pPr>
        <w:pStyle w:val="TOC2"/>
        <w:rPr>
          <w:rFonts w:ascii="Aptos" w:eastAsia="Times New Roman" w:hAnsi="Aptos"/>
          <w:noProof/>
          <w:kern w:val="2"/>
          <w:sz w:val="24"/>
          <w:lang w:eastAsia="en-AU"/>
        </w:rPr>
      </w:pPr>
      <w:hyperlink w:anchor="_Toc193204217" w:history="1">
        <w:r w:rsidRPr="004E3C9D">
          <w:rPr>
            <w:rStyle w:val="Hyperlink"/>
            <w:noProof/>
          </w:rPr>
          <w:t>The major initiatives we’re delivering this year</w:t>
        </w:r>
        <w:r>
          <w:rPr>
            <w:noProof/>
            <w:webHidden/>
          </w:rPr>
          <w:tab/>
        </w:r>
        <w:r>
          <w:rPr>
            <w:noProof/>
            <w:webHidden/>
          </w:rPr>
          <w:fldChar w:fldCharType="begin"/>
        </w:r>
        <w:r>
          <w:rPr>
            <w:noProof/>
            <w:webHidden/>
          </w:rPr>
          <w:instrText xml:space="preserve"> PAGEREF _Toc193204217 \h </w:instrText>
        </w:r>
        <w:r>
          <w:rPr>
            <w:noProof/>
            <w:webHidden/>
          </w:rPr>
        </w:r>
        <w:r>
          <w:rPr>
            <w:noProof/>
            <w:webHidden/>
          </w:rPr>
          <w:fldChar w:fldCharType="separate"/>
        </w:r>
        <w:r>
          <w:rPr>
            <w:noProof/>
            <w:webHidden/>
          </w:rPr>
          <w:t>15</w:t>
        </w:r>
        <w:r>
          <w:rPr>
            <w:noProof/>
            <w:webHidden/>
          </w:rPr>
          <w:fldChar w:fldCharType="end"/>
        </w:r>
      </w:hyperlink>
    </w:p>
    <w:p w14:paraId="09E0576B" w14:textId="77777777" w:rsidR="00CD41B4" w:rsidRPr="00A47015" w:rsidRDefault="00CD41B4">
      <w:pPr>
        <w:pStyle w:val="TOC2"/>
        <w:rPr>
          <w:rFonts w:ascii="Aptos" w:eastAsia="Times New Roman" w:hAnsi="Aptos"/>
          <w:noProof/>
          <w:kern w:val="2"/>
          <w:sz w:val="24"/>
          <w:lang w:eastAsia="en-AU"/>
        </w:rPr>
      </w:pPr>
      <w:hyperlink w:anchor="_Toc193204218" w:history="1">
        <w:r w:rsidRPr="004E3C9D">
          <w:rPr>
            <w:rStyle w:val="Hyperlink"/>
            <w:noProof/>
          </w:rPr>
          <w:t>How we’re measuring progress over four years</w:t>
        </w:r>
        <w:r>
          <w:rPr>
            <w:noProof/>
            <w:webHidden/>
          </w:rPr>
          <w:tab/>
        </w:r>
        <w:r>
          <w:rPr>
            <w:noProof/>
            <w:webHidden/>
          </w:rPr>
          <w:fldChar w:fldCharType="begin"/>
        </w:r>
        <w:r>
          <w:rPr>
            <w:noProof/>
            <w:webHidden/>
          </w:rPr>
          <w:instrText xml:space="preserve"> PAGEREF _Toc193204218 \h </w:instrText>
        </w:r>
        <w:r>
          <w:rPr>
            <w:noProof/>
            <w:webHidden/>
          </w:rPr>
        </w:r>
        <w:r>
          <w:rPr>
            <w:noProof/>
            <w:webHidden/>
          </w:rPr>
          <w:fldChar w:fldCharType="separate"/>
        </w:r>
        <w:r>
          <w:rPr>
            <w:noProof/>
            <w:webHidden/>
          </w:rPr>
          <w:t>16</w:t>
        </w:r>
        <w:r>
          <w:rPr>
            <w:noProof/>
            <w:webHidden/>
          </w:rPr>
          <w:fldChar w:fldCharType="end"/>
        </w:r>
      </w:hyperlink>
    </w:p>
    <w:p w14:paraId="7E8652FF" w14:textId="77777777" w:rsidR="00CD41B4" w:rsidRPr="00A47015" w:rsidRDefault="00CD41B4">
      <w:pPr>
        <w:pStyle w:val="TOC1"/>
        <w:tabs>
          <w:tab w:val="right" w:leader="dot" w:pos="9769"/>
        </w:tabs>
        <w:rPr>
          <w:rFonts w:ascii="Aptos" w:eastAsia="Times New Roman" w:hAnsi="Aptos"/>
          <w:noProof/>
          <w:kern w:val="2"/>
          <w:sz w:val="24"/>
          <w:lang w:eastAsia="en-AU"/>
        </w:rPr>
      </w:pPr>
      <w:hyperlink w:anchor="_Toc193204219" w:history="1">
        <w:r w:rsidRPr="004E3C9D">
          <w:rPr>
            <w:rStyle w:val="Hyperlink"/>
            <w:noProof/>
          </w:rPr>
          <w:t>Safety and wellbeing</w:t>
        </w:r>
        <w:r>
          <w:rPr>
            <w:noProof/>
            <w:webHidden/>
          </w:rPr>
          <w:tab/>
        </w:r>
        <w:r>
          <w:rPr>
            <w:noProof/>
            <w:webHidden/>
          </w:rPr>
          <w:fldChar w:fldCharType="begin"/>
        </w:r>
        <w:r>
          <w:rPr>
            <w:noProof/>
            <w:webHidden/>
          </w:rPr>
          <w:instrText xml:space="preserve"> PAGEREF _Toc193204219 \h </w:instrText>
        </w:r>
        <w:r>
          <w:rPr>
            <w:noProof/>
            <w:webHidden/>
          </w:rPr>
        </w:r>
        <w:r>
          <w:rPr>
            <w:noProof/>
            <w:webHidden/>
          </w:rPr>
          <w:fldChar w:fldCharType="separate"/>
        </w:r>
        <w:r>
          <w:rPr>
            <w:noProof/>
            <w:webHidden/>
          </w:rPr>
          <w:t>17</w:t>
        </w:r>
        <w:r>
          <w:rPr>
            <w:noProof/>
            <w:webHidden/>
          </w:rPr>
          <w:fldChar w:fldCharType="end"/>
        </w:r>
      </w:hyperlink>
    </w:p>
    <w:p w14:paraId="022B0A82" w14:textId="77777777" w:rsidR="00CD41B4" w:rsidRPr="00A47015" w:rsidRDefault="00CD41B4">
      <w:pPr>
        <w:pStyle w:val="TOC2"/>
        <w:rPr>
          <w:rFonts w:ascii="Aptos" w:eastAsia="Times New Roman" w:hAnsi="Aptos"/>
          <w:noProof/>
          <w:kern w:val="2"/>
          <w:sz w:val="24"/>
          <w:lang w:eastAsia="en-AU"/>
        </w:rPr>
      </w:pPr>
      <w:hyperlink w:anchor="_Toc193204220" w:history="1">
        <w:r w:rsidRPr="004E3C9D">
          <w:rPr>
            <w:rStyle w:val="Hyperlink"/>
            <w:noProof/>
          </w:rPr>
          <w:t>Highlights for quarter three (January to March 2024)</w:t>
        </w:r>
        <w:r>
          <w:rPr>
            <w:noProof/>
            <w:webHidden/>
          </w:rPr>
          <w:tab/>
        </w:r>
        <w:r>
          <w:rPr>
            <w:noProof/>
            <w:webHidden/>
          </w:rPr>
          <w:fldChar w:fldCharType="begin"/>
        </w:r>
        <w:r>
          <w:rPr>
            <w:noProof/>
            <w:webHidden/>
          </w:rPr>
          <w:instrText xml:space="preserve"> PAGEREF _Toc193204220 \h </w:instrText>
        </w:r>
        <w:r>
          <w:rPr>
            <w:noProof/>
            <w:webHidden/>
          </w:rPr>
        </w:r>
        <w:r>
          <w:rPr>
            <w:noProof/>
            <w:webHidden/>
          </w:rPr>
          <w:fldChar w:fldCharType="separate"/>
        </w:r>
        <w:r>
          <w:rPr>
            <w:noProof/>
            <w:webHidden/>
          </w:rPr>
          <w:t>17</w:t>
        </w:r>
        <w:r>
          <w:rPr>
            <w:noProof/>
            <w:webHidden/>
          </w:rPr>
          <w:fldChar w:fldCharType="end"/>
        </w:r>
      </w:hyperlink>
    </w:p>
    <w:p w14:paraId="483ED918" w14:textId="77777777" w:rsidR="00CD41B4" w:rsidRPr="00A47015" w:rsidRDefault="00CD41B4">
      <w:pPr>
        <w:pStyle w:val="TOC2"/>
        <w:rPr>
          <w:rFonts w:ascii="Aptos" w:eastAsia="Times New Roman" w:hAnsi="Aptos"/>
          <w:noProof/>
          <w:kern w:val="2"/>
          <w:sz w:val="24"/>
          <w:lang w:eastAsia="en-AU"/>
        </w:rPr>
      </w:pPr>
      <w:hyperlink w:anchor="_Toc193204221" w:history="1">
        <w:r w:rsidRPr="004E3C9D">
          <w:rPr>
            <w:rStyle w:val="Hyperlink"/>
            <w:noProof/>
          </w:rPr>
          <w:t>Our progress</w:t>
        </w:r>
        <w:r>
          <w:rPr>
            <w:noProof/>
            <w:webHidden/>
          </w:rPr>
          <w:tab/>
        </w:r>
        <w:r>
          <w:rPr>
            <w:noProof/>
            <w:webHidden/>
          </w:rPr>
          <w:fldChar w:fldCharType="begin"/>
        </w:r>
        <w:r>
          <w:rPr>
            <w:noProof/>
            <w:webHidden/>
          </w:rPr>
          <w:instrText xml:space="preserve"> PAGEREF _Toc193204221 \h </w:instrText>
        </w:r>
        <w:r>
          <w:rPr>
            <w:noProof/>
            <w:webHidden/>
          </w:rPr>
        </w:r>
        <w:r>
          <w:rPr>
            <w:noProof/>
            <w:webHidden/>
          </w:rPr>
          <w:fldChar w:fldCharType="separate"/>
        </w:r>
        <w:r>
          <w:rPr>
            <w:noProof/>
            <w:webHidden/>
          </w:rPr>
          <w:t>18</w:t>
        </w:r>
        <w:r>
          <w:rPr>
            <w:noProof/>
            <w:webHidden/>
          </w:rPr>
          <w:fldChar w:fldCharType="end"/>
        </w:r>
      </w:hyperlink>
    </w:p>
    <w:p w14:paraId="2E1B4C95" w14:textId="77777777" w:rsidR="00CD41B4" w:rsidRPr="00A47015" w:rsidRDefault="00CD41B4">
      <w:pPr>
        <w:pStyle w:val="TOC2"/>
        <w:rPr>
          <w:rFonts w:ascii="Aptos" w:eastAsia="Times New Roman" w:hAnsi="Aptos"/>
          <w:noProof/>
          <w:kern w:val="2"/>
          <w:sz w:val="24"/>
          <w:lang w:eastAsia="en-AU"/>
        </w:rPr>
      </w:pPr>
      <w:hyperlink w:anchor="_Toc193204222" w:history="1">
        <w:r w:rsidRPr="004E3C9D">
          <w:rPr>
            <w:rStyle w:val="Hyperlink"/>
            <w:noProof/>
          </w:rPr>
          <w:t>The major initiatives we’re delivering this year</w:t>
        </w:r>
        <w:r>
          <w:rPr>
            <w:noProof/>
            <w:webHidden/>
          </w:rPr>
          <w:tab/>
        </w:r>
        <w:r>
          <w:rPr>
            <w:noProof/>
            <w:webHidden/>
          </w:rPr>
          <w:fldChar w:fldCharType="begin"/>
        </w:r>
        <w:r>
          <w:rPr>
            <w:noProof/>
            <w:webHidden/>
          </w:rPr>
          <w:instrText xml:space="preserve"> PAGEREF _Toc193204222 \h </w:instrText>
        </w:r>
        <w:r>
          <w:rPr>
            <w:noProof/>
            <w:webHidden/>
          </w:rPr>
        </w:r>
        <w:r>
          <w:rPr>
            <w:noProof/>
            <w:webHidden/>
          </w:rPr>
          <w:fldChar w:fldCharType="separate"/>
        </w:r>
        <w:r>
          <w:rPr>
            <w:noProof/>
            <w:webHidden/>
          </w:rPr>
          <w:t>18</w:t>
        </w:r>
        <w:r>
          <w:rPr>
            <w:noProof/>
            <w:webHidden/>
          </w:rPr>
          <w:fldChar w:fldCharType="end"/>
        </w:r>
      </w:hyperlink>
    </w:p>
    <w:p w14:paraId="6855B8F5" w14:textId="77777777" w:rsidR="00CD41B4" w:rsidRPr="00A47015" w:rsidRDefault="00CD41B4">
      <w:pPr>
        <w:pStyle w:val="TOC2"/>
        <w:rPr>
          <w:rFonts w:ascii="Aptos" w:eastAsia="Times New Roman" w:hAnsi="Aptos"/>
          <w:noProof/>
          <w:kern w:val="2"/>
          <w:sz w:val="24"/>
          <w:lang w:eastAsia="en-AU"/>
        </w:rPr>
      </w:pPr>
      <w:hyperlink w:anchor="_Toc193204223" w:history="1">
        <w:r w:rsidRPr="004E3C9D">
          <w:rPr>
            <w:rStyle w:val="Hyperlink"/>
            <w:noProof/>
          </w:rPr>
          <w:t>How we’re measuring progress over four years</w:t>
        </w:r>
        <w:r>
          <w:rPr>
            <w:noProof/>
            <w:webHidden/>
          </w:rPr>
          <w:tab/>
        </w:r>
        <w:r>
          <w:rPr>
            <w:noProof/>
            <w:webHidden/>
          </w:rPr>
          <w:fldChar w:fldCharType="begin"/>
        </w:r>
        <w:r>
          <w:rPr>
            <w:noProof/>
            <w:webHidden/>
          </w:rPr>
          <w:instrText xml:space="preserve"> PAGEREF _Toc193204223 \h </w:instrText>
        </w:r>
        <w:r>
          <w:rPr>
            <w:noProof/>
            <w:webHidden/>
          </w:rPr>
        </w:r>
        <w:r>
          <w:rPr>
            <w:noProof/>
            <w:webHidden/>
          </w:rPr>
          <w:fldChar w:fldCharType="separate"/>
        </w:r>
        <w:r>
          <w:rPr>
            <w:noProof/>
            <w:webHidden/>
          </w:rPr>
          <w:t>18</w:t>
        </w:r>
        <w:r>
          <w:rPr>
            <w:noProof/>
            <w:webHidden/>
          </w:rPr>
          <w:fldChar w:fldCharType="end"/>
        </w:r>
      </w:hyperlink>
    </w:p>
    <w:p w14:paraId="3BA57E20" w14:textId="77777777" w:rsidR="00D8650A" w:rsidRDefault="00B152AF" w:rsidP="00802A52">
      <w:pPr>
        <w:pStyle w:val="Heading1"/>
        <w:rPr>
          <w:rFonts w:hint="eastAsia"/>
        </w:rPr>
        <w:sectPr w:rsidR="00D8650A" w:rsidSect="00EF11AE">
          <w:endnotePr>
            <w:numFmt w:val="decimal"/>
          </w:endnotePr>
          <w:pgSz w:w="11900" w:h="16840"/>
          <w:pgMar w:top="1418" w:right="987" w:bottom="1134" w:left="1134" w:header="709" w:footer="709" w:gutter="0"/>
          <w:cols w:space="708"/>
          <w:docGrid w:linePitch="360"/>
        </w:sectPr>
      </w:pPr>
      <w:r>
        <w:rPr>
          <w:noProof/>
        </w:rPr>
        <w:fldChar w:fldCharType="end"/>
      </w:r>
      <w:bookmarkEnd w:id="1"/>
      <w:bookmarkEnd w:id="2"/>
    </w:p>
    <w:p w14:paraId="56E45369" w14:textId="77777777" w:rsidR="00BE6801" w:rsidRPr="00802A52" w:rsidRDefault="00482EF3" w:rsidP="00D8650A">
      <w:pPr>
        <w:pStyle w:val="Heading1"/>
        <w:spacing w:before="0"/>
        <w:rPr>
          <w:rFonts w:hint="eastAsia"/>
        </w:rPr>
      </w:pPr>
      <w:bookmarkStart w:id="3" w:name="_Toc193204194"/>
      <w:r w:rsidRPr="00482EF3">
        <w:lastRenderedPageBreak/>
        <w:t>Economy of the Future</w:t>
      </w:r>
      <w:bookmarkEnd w:id="3"/>
    </w:p>
    <w:p w14:paraId="1060CF6B" w14:textId="77777777" w:rsidR="00482EF3" w:rsidRDefault="00482EF3" w:rsidP="00482EF3">
      <w:bookmarkStart w:id="4" w:name="_Toc403992346"/>
      <w:bookmarkStart w:id="5" w:name="_Toc403992581"/>
      <w:bookmarkStart w:id="6" w:name="_Toc419982306"/>
      <w:r w:rsidRPr="00482EF3">
        <w:t>Over the next four years, we will focus on driving economic recovery and creating the conditions for a strong, adaptive, sustainable and thriving future city economy supported by a diverse mix of industries and jobs that provide dignity and opportunity.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4062"/>
      </w:tblGrid>
      <w:tr w:rsidR="00482EF3" w14:paraId="31C61B96" w14:textId="77777777" w:rsidTr="00004EFF">
        <w:tc>
          <w:tcPr>
            <w:tcW w:w="14062" w:type="dxa"/>
            <w:shd w:val="clear" w:color="auto" w:fill="auto"/>
          </w:tcPr>
          <w:p w14:paraId="6D020167" w14:textId="77777777" w:rsidR="009E6BAD" w:rsidRPr="009E6BAD" w:rsidRDefault="009E6BAD" w:rsidP="009E6BAD">
            <w:pPr>
              <w:pStyle w:val="Heading2"/>
              <w:spacing w:before="0"/>
            </w:pPr>
            <w:bookmarkStart w:id="7" w:name="_Toc193204195"/>
            <w:r w:rsidRPr="009E6BAD">
              <w:t xml:space="preserve">Highlights for quarter three (January to March </w:t>
            </w:r>
            <w:r w:rsidR="00B56866">
              <w:t>2024</w:t>
            </w:r>
            <w:r w:rsidRPr="009E6BAD">
              <w:t>)</w:t>
            </w:r>
            <w:bookmarkEnd w:id="7"/>
          </w:p>
          <w:p w14:paraId="00FCBBD7" w14:textId="77777777" w:rsidR="00B56866" w:rsidRDefault="00B56866" w:rsidP="00B56866">
            <w:r>
              <w:t xml:space="preserve">Small Business Grant Program recipients signed their funding </w:t>
            </w:r>
            <w:proofErr w:type="gramStart"/>
            <w:r>
              <w:t>agreements</w:t>
            </w:r>
            <w:proofErr w:type="gramEnd"/>
            <w:r>
              <w:t xml:space="preserve"> and most recipients (21) have received their first funding instalment (50%). Remaining three recipients are at various stages of lease negotiations for properties in the municipality.</w:t>
            </w:r>
          </w:p>
          <w:p w14:paraId="7ABEDE79" w14:textId="77777777" w:rsidR="00B56866" w:rsidRDefault="00B56866" w:rsidP="00B56866">
            <w:r>
              <w:t xml:space="preserve">Throughout the new academic year, Council delivered a welcome program which engaged more than 4,500 students through various events including, Melbourne International Student Week, the Lord Mayor’s Student Welcome at Moomba and The Couch Open Day. </w:t>
            </w:r>
          </w:p>
          <w:p w14:paraId="0769D115" w14:textId="77777777" w:rsidR="00B56866" w:rsidRDefault="00B56866" w:rsidP="00B56866">
            <w:r>
              <w:t>Invest Melbourne has delivered 67 investment projects during this financial year, creating or expediting 1,045 jobs, and generating $360 million in capital expenditure, representing $251 million in Gross Local Product (GLP).</w:t>
            </w:r>
          </w:p>
          <w:p w14:paraId="0186BAB8" w14:textId="77777777" w:rsidR="00B56866" w:rsidRDefault="00B56866" w:rsidP="00B56866">
            <w:r>
              <w:t>The Moomba Festival attracted 840,000 visitors despite extreme heatwave conditions. A range of new programming initiatives were delivered for Moomba’s 70th anniversary.</w:t>
            </w:r>
          </w:p>
          <w:p w14:paraId="28B5DF24" w14:textId="77777777" w:rsidR="00B56866" w:rsidRDefault="00B56866" w:rsidP="00B56866">
            <w:r>
              <w:t>Visitor Services partnered with Formula 1 Australian Grand Prix and launched an official merchandise and free F1 giveaway activation at the Melbourne Visitor Hub. The partnership resulted in a 600 per cent increase in retail sales compared to same time last year and a 140 per cent increase in visitor contacts.</w:t>
            </w:r>
          </w:p>
          <w:p w14:paraId="643E27B1" w14:textId="77777777" w:rsidR="00FF3A35" w:rsidRPr="009E6BAD" w:rsidRDefault="00B56866" w:rsidP="00B56866">
            <w:r>
              <w:t>The Open Innovation Competition was launched on 18 March at Melbourne Connect with 80 people attending. This included entrepreneurs, students, innovators, and tech-experts connecting to explore how we accelerate Melbourne’s transition to a zero-carbon city. Participants will have access to a range of support to help them bring their ideas to life, including 1:1 mentoring, a community platform offering support and resources and dedicated weekly webinar. Submissions closed on 28 April.</w:t>
            </w:r>
          </w:p>
          <w:p w14:paraId="3F859ECF" w14:textId="77777777" w:rsidR="00CF27A2" w:rsidRPr="00EA3CBF" w:rsidRDefault="00CF27A2" w:rsidP="00CF27A2">
            <w:pPr>
              <w:pStyle w:val="Heading2"/>
            </w:pPr>
            <w:bookmarkStart w:id="8" w:name="_Toc193204196"/>
            <w:r w:rsidRPr="00EA3CBF">
              <w:t>Our progress</w:t>
            </w:r>
            <w:bookmarkEnd w:id="8"/>
          </w:p>
          <w:p w14:paraId="042A43C5" w14:textId="77777777" w:rsidR="00B56866" w:rsidRDefault="00B56866" w:rsidP="009E47E0">
            <w:pPr>
              <w:rPr>
                <w:rFonts w:eastAsia="Cambria"/>
              </w:rPr>
            </w:pPr>
            <w:r w:rsidRPr="00B56866">
              <w:rPr>
                <w:rFonts w:eastAsia="Cambria"/>
              </w:rPr>
              <w:t>Delays in finalising funding for The Couch impacted the implementation of the Economic Development Strategy. Negotiations continue to finalise funding with an outcome expected by end of April.</w:t>
            </w:r>
          </w:p>
          <w:p w14:paraId="64768480" w14:textId="77777777" w:rsidR="00CF27A2" w:rsidRPr="00CF27A2" w:rsidRDefault="009E6BAD" w:rsidP="009E47E0">
            <w:pPr>
              <w:rPr>
                <w:rFonts w:eastAsia="Cambria"/>
              </w:rPr>
            </w:pPr>
            <w:r w:rsidRPr="009E6BAD">
              <w:rPr>
                <w:rFonts w:eastAsia="Cambria"/>
              </w:rPr>
              <w:t>Delivery of our major initiatives within the Council Plan term is on track</w:t>
            </w:r>
            <w:r>
              <w:rPr>
                <w:rFonts w:eastAsia="Cambria"/>
              </w:rPr>
              <w:t>.</w:t>
            </w:r>
          </w:p>
        </w:tc>
      </w:tr>
    </w:tbl>
    <w:p w14:paraId="181D115A" w14:textId="77777777" w:rsidR="00482EF3" w:rsidRPr="00784FF6" w:rsidRDefault="00482EF3" w:rsidP="00784FF6">
      <w:pPr>
        <w:pStyle w:val="Heading2"/>
      </w:pPr>
      <w:bookmarkStart w:id="9" w:name="_Toc193204197"/>
      <w:bookmarkEnd w:id="4"/>
      <w:bookmarkEnd w:id="5"/>
      <w:bookmarkEnd w:id="6"/>
      <w:r w:rsidRPr="00784FF6">
        <w:lastRenderedPageBreak/>
        <w:t>The major initiatives we’re delivering this year</w:t>
      </w:r>
      <w:bookmarkEnd w:id="9"/>
      <w:r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2268"/>
        <w:gridCol w:w="2268"/>
      </w:tblGrid>
      <w:tr w:rsidR="00CF27A2" w14:paraId="5FAB7188" w14:textId="77777777" w:rsidTr="00CF27A2">
        <w:trPr>
          <w:tblHeader/>
        </w:trPr>
        <w:tc>
          <w:tcPr>
            <w:tcW w:w="9412" w:type="dxa"/>
            <w:shd w:val="clear" w:color="auto" w:fill="auto"/>
          </w:tcPr>
          <w:p w14:paraId="2E2F6497" w14:textId="77777777" w:rsidR="00CF27A2" w:rsidRPr="00784FF6" w:rsidRDefault="00CF27A2" w:rsidP="00784FF6">
            <w:pPr>
              <w:pStyle w:val="TableofFigures"/>
              <w:rPr>
                <w:b/>
              </w:rPr>
            </w:pPr>
            <w:r w:rsidRPr="00784FF6">
              <w:rPr>
                <w:b/>
              </w:rPr>
              <w:t>Initiative</w:t>
            </w:r>
          </w:p>
        </w:tc>
        <w:tc>
          <w:tcPr>
            <w:tcW w:w="2268" w:type="dxa"/>
            <w:shd w:val="clear" w:color="auto" w:fill="auto"/>
          </w:tcPr>
          <w:p w14:paraId="6B32C5DA" w14:textId="77777777" w:rsidR="00CF27A2" w:rsidRPr="00784FF6" w:rsidRDefault="00CF27A2" w:rsidP="00784FF6">
            <w:pPr>
              <w:pStyle w:val="TableofFigures"/>
              <w:rPr>
                <w:b/>
              </w:rPr>
            </w:pPr>
            <w:r w:rsidRPr="00784FF6">
              <w:rPr>
                <w:b/>
              </w:rPr>
              <w:t>Council’s role</w:t>
            </w:r>
          </w:p>
        </w:tc>
        <w:tc>
          <w:tcPr>
            <w:tcW w:w="2268" w:type="dxa"/>
            <w:shd w:val="clear" w:color="auto" w:fill="auto"/>
          </w:tcPr>
          <w:p w14:paraId="15DD2399" w14:textId="77777777" w:rsidR="00CF27A2" w:rsidRPr="00EA3CBF" w:rsidRDefault="00CF27A2" w:rsidP="00D8650A">
            <w:pPr>
              <w:pStyle w:val="TableofFigures"/>
              <w:rPr>
                <w:b/>
              </w:rPr>
            </w:pPr>
            <w:r w:rsidRPr="00EA3CBF">
              <w:rPr>
                <w:b/>
              </w:rPr>
              <w:t>Our progress</w:t>
            </w:r>
          </w:p>
        </w:tc>
      </w:tr>
      <w:tr w:rsidR="00CF27A2" w14:paraId="14AA5B16" w14:textId="77777777" w:rsidTr="00CF27A2">
        <w:tc>
          <w:tcPr>
            <w:tcW w:w="9412" w:type="dxa"/>
            <w:shd w:val="clear" w:color="auto" w:fill="auto"/>
          </w:tcPr>
          <w:p w14:paraId="4F2F5D26" w14:textId="77777777" w:rsidR="00CF27A2" w:rsidRPr="009E0344" w:rsidRDefault="00CF27A2" w:rsidP="00784FF6">
            <w:pPr>
              <w:pStyle w:val="TableofFigures"/>
            </w:pPr>
            <w:r w:rsidRPr="009E0344">
              <w:t xml:space="preserve">Continue to strengthen Melbourne’s economic recovery, including through precinct and shopfront activation, delivery of an enhanced </w:t>
            </w:r>
            <w:hyperlink r:id="rId8" w:history="1">
              <w:r w:rsidRPr="009E0344">
                <w:rPr>
                  <w:rStyle w:val="Hyperlink"/>
                </w:rPr>
                <w:t>business concierge service</w:t>
              </w:r>
            </w:hyperlink>
            <w:r w:rsidRPr="009E0344">
              <w:rPr>
                <w:rStyle w:val="FootnoteReference"/>
              </w:rPr>
              <w:footnoteReference w:id="1"/>
            </w:r>
            <w:r w:rsidRPr="009E0344">
              <w:t xml:space="preserve"> and support for the night-time economy.</w:t>
            </w:r>
          </w:p>
        </w:tc>
        <w:tc>
          <w:tcPr>
            <w:tcW w:w="2268" w:type="dxa"/>
            <w:shd w:val="clear" w:color="auto" w:fill="auto"/>
          </w:tcPr>
          <w:p w14:paraId="67156679" w14:textId="77777777" w:rsidR="00CF27A2" w:rsidRPr="00784FF6" w:rsidRDefault="00CF27A2" w:rsidP="00784FF6">
            <w:pPr>
              <w:pStyle w:val="TableofFigures"/>
            </w:pPr>
            <w:r w:rsidRPr="00784FF6">
              <w:t>Deliver</w:t>
            </w:r>
          </w:p>
          <w:p w14:paraId="3B0930D6" w14:textId="77777777" w:rsidR="00CF27A2" w:rsidRPr="00784FF6" w:rsidRDefault="00CF27A2" w:rsidP="00784FF6">
            <w:pPr>
              <w:pStyle w:val="TableofFigures"/>
            </w:pPr>
          </w:p>
        </w:tc>
        <w:tc>
          <w:tcPr>
            <w:tcW w:w="2268" w:type="dxa"/>
            <w:shd w:val="clear" w:color="auto" w:fill="auto"/>
          </w:tcPr>
          <w:p w14:paraId="6AA34566" w14:textId="77777777" w:rsidR="00CF27A2" w:rsidRPr="00EA3CBF" w:rsidRDefault="00CF27A2" w:rsidP="00784FF6">
            <w:pPr>
              <w:pStyle w:val="TableofFigures"/>
            </w:pPr>
            <w:r w:rsidRPr="00EA3CBF">
              <w:t>On track</w:t>
            </w:r>
          </w:p>
        </w:tc>
      </w:tr>
      <w:tr w:rsidR="00CF27A2" w14:paraId="6BE1CDA3" w14:textId="77777777" w:rsidTr="00CF27A2">
        <w:tc>
          <w:tcPr>
            <w:tcW w:w="9412" w:type="dxa"/>
            <w:shd w:val="clear" w:color="auto" w:fill="auto"/>
          </w:tcPr>
          <w:p w14:paraId="66750639" w14:textId="77777777" w:rsidR="00CF27A2" w:rsidRPr="009E0344" w:rsidRDefault="00CF27A2" w:rsidP="00784FF6">
            <w:pPr>
              <w:pStyle w:val="TableofFigures"/>
            </w:pPr>
            <w:r w:rsidRPr="009E0344">
              <w:t>Ensure Melbourne is the easiest place to start and grow a business through the establishment of Invest Melbourne.</w:t>
            </w:r>
          </w:p>
        </w:tc>
        <w:tc>
          <w:tcPr>
            <w:tcW w:w="2268" w:type="dxa"/>
            <w:shd w:val="clear" w:color="auto" w:fill="auto"/>
          </w:tcPr>
          <w:p w14:paraId="327CB17E" w14:textId="77777777" w:rsidR="00CF27A2" w:rsidRPr="00784FF6" w:rsidRDefault="00CF27A2" w:rsidP="00784FF6">
            <w:pPr>
              <w:pStyle w:val="TableofFigures"/>
            </w:pPr>
            <w:r w:rsidRPr="00784FF6">
              <w:t>Deliver</w:t>
            </w:r>
          </w:p>
        </w:tc>
        <w:tc>
          <w:tcPr>
            <w:tcW w:w="2268" w:type="dxa"/>
            <w:shd w:val="clear" w:color="auto" w:fill="auto"/>
          </w:tcPr>
          <w:p w14:paraId="74B2011E" w14:textId="77777777" w:rsidR="00CF27A2" w:rsidRPr="00EA3CBF" w:rsidRDefault="00CF27A2" w:rsidP="00784FF6">
            <w:pPr>
              <w:pStyle w:val="TableofFigures"/>
            </w:pPr>
            <w:r w:rsidRPr="00EA3CBF">
              <w:t>On track</w:t>
            </w:r>
          </w:p>
        </w:tc>
      </w:tr>
      <w:tr w:rsidR="00CF27A2" w14:paraId="4A395F13" w14:textId="77777777" w:rsidTr="00CF27A2">
        <w:tc>
          <w:tcPr>
            <w:tcW w:w="9412" w:type="dxa"/>
            <w:shd w:val="clear" w:color="auto" w:fill="auto"/>
          </w:tcPr>
          <w:p w14:paraId="509ADC3A" w14:textId="77777777" w:rsidR="00CF27A2" w:rsidRPr="009E0344" w:rsidRDefault="00CF27A2" w:rsidP="00784FF6">
            <w:pPr>
              <w:pStyle w:val="TableofFigures"/>
            </w:pPr>
            <w:r w:rsidRPr="009E0344">
              <w:t xml:space="preserve">Drive economic growth and resilience by implementing the </w:t>
            </w:r>
            <w:hyperlink r:id="rId9" w:history="1">
              <w:r w:rsidRPr="009E0344">
                <w:rPr>
                  <w:rStyle w:val="Hyperlink"/>
                </w:rPr>
                <w:t>Economic Development Strategy</w:t>
              </w:r>
            </w:hyperlink>
            <w:r w:rsidRPr="009E0344">
              <w:rPr>
                <w:rStyle w:val="FootnoteReference"/>
              </w:rPr>
              <w:footnoteReference w:id="2"/>
            </w:r>
            <w:r w:rsidRPr="009E0344">
              <w:t>, focusing support on existing and emerging industry sectors.</w:t>
            </w:r>
          </w:p>
        </w:tc>
        <w:tc>
          <w:tcPr>
            <w:tcW w:w="2268" w:type="dxa"/>
            <w:shd w:val="clear" w:color="auto" w:fill="auto"/>
          </w:tcPr>
          <w:p w14:paraId="5FFF7A34" w14:textId="77777777" w:rsidR="00CF27A2" w:rsidRPr="00784FF6" w:rsidRDefault="00CF27A2" w:rsidP="00784FF6">
            <w:pPr>
              <w:pStyle w:val="TableofFigures"/>
            </w:pPr>
            <w:r w:rsidRPr="00784FF6">
              <w:t>Deliver</w:t>
            </w:r>
          </w:p>
          <w:p w14:paraId="670014A0" w14:textId="77777777" w:rsidR="00CF27A2" w:rsidRPr="00784FF6" w:rsidRDefault="00CF27A2" w:rsidP="00784FF6">
            <w:pPr>
              <w:pStyle w:val="TableofFigures"/>
            </w:pPr>
            <w:r w:rsidRPr="00784FF6">
              <w:t>Partner</w:t>
            </w:r>
          </w:p>
        </w:tc>
        <w:tc>
          <w:tcPr>
            <w:tcW w:w="2268" w:type="dxa"/>
            <w:shd w:val="clear" w:color="auto" w:fill="auto"/>
          </w:tcPr>
          <w:p w14:paraId="09242202" w14:textId="77777777" w:rsidR="00CF27A2" w:rsidRPr="00EA3CBF" w:rsidRDefault="00B56866" w:rsidP="00784FF6">
            <w:pPr>
              <w:pStyle w:val="TableofFigures"/>
            </w:pPr>
            <w:r>
              <w:t>Delayed</w:t>
            </w:r>
          </w:p>
        </w:tc>
      </w:tr>
      <w:tr w:rsidR="00CF27A2" w14:paraId="1801A411" w14:textId="77777777" w:rsidTr="00CF27A2">
        <w:tc>
          <w:tcPr>
            <w:tcW w:w="9412" w:type="dxa"/>
            <w:shd w:val="clear" w:color="auto" w:fill="auto"/>
          </w:tcPr>
          <w:p w14:paraId="16012629" w14:textId="77777777" w:rsidR="00CF27A2" w:rsidRPr="009E0344" w:rsidRDefault="00CF27A2" w:rsidP="00784FF6">
            <w:pPr>
              <w:pStyle w:val="TableofFigures"/>
            </w:pPr>
            <w:r w:rsidRPr="009E0344">
              <w:t>Work in partnership with the Victorian Government and other stakeholders to advocate for and deliver integrated high-quality public and active transport in urban renewal areas.</w:t>
            </w:r>
          </w:p>
        </w:tc>
        <w:tc>
          <w:tcPr>
            <w:tcW w:w="2268" w:type="dxa"/>
            <w:shd w:val="clear" w:color="auto" w:fill="auto"/>
          </w:tcPr>
          <w:p w14:paraId="4521A698" w14:textId="77777777" w:rsidR="00CF27A2" w:rsidRPr="00784FF6" w:rsidRDefault="00CF27A2" w:rsidP="00784FF6">
            <w:pPr>
              <w:pStyle w:val="TableofFigures"/>
            </w:pPr>
            <w:r w:rsidRPr="00784FF6">
              <w:t>Partner</w:t>
            </w:r>
          </w:p>
          <w:p w14:paraId="3700FBCC" w14:textId="77777777" w:rsidR="00CF27A2" w:rsidRPr="00784FF6" w:rsidRDefault="00CF27A2" w:rsidP="00784FF6">
            <w:pPr>
              <w:pStyle w:val="TableofFigures"/>
            </w:pPr>
          </w:p>
        </w:tc>
        <w:tc>
          <w:tcPr>
            <w:tcW w:w="2268" w:type="dxa"/>
            <w:shd w:val="clear" w:color="auto" w:fill="auto"/>
          </w:tcPr>
          <w:p w14:paraId="3BC88E23" w14:textId="77777777" w:rsidR="00CF27A2" w:rsidRPr="00EA3CBF" w:rsidRDefault="00505C05" w:rsidP="00784FF6">
            <w:pPr>
              <w:pStyle w:val="TableofFigures"/>
            </w:pPr>
            <w:r w:rsidRPr="00EA3CBF">
              <w:t>On track</w:t>
            </w:r>
          </w:p>
        </w:tc>
      </w:tr>
      <w:tr w:rsidR="00CF27A2" w14:paraId="6DB23F90" w14:textId="77777777" w:rsidTr="00CF27A2">
        <w:tc>
          <w:tcPr>
            <w:tcW w:w="9412" w:type="dxa"/>
            <w:shd w:val="clear" w:color="auto" w:fill="auto"/>
          </w:tcPr>
          <w:p w14:paraId="11FFE15E" w14:textId="77777777" w:rsidR="00CF27A2" w:rsidRPr="009E0344" w:rsidRDefault="00CF27A2" w:rsidP="00784FF6">
            <w:pPr>
              <w:pStyle w:val="TableofFigures"/>
            </w:pPr>
            <w:r w:rsidRPr="009E0344">
              <w:t xml:space="preserve">Establish a new tourism entity called Visit Melbourne and review and refresh the program of City of Melbourne-owned and </w:t>
            </w:r>
            <w:hyperlink r:id="rId10" w:history="1">
              <w:r w:rsidRPr="009E0344">
                <w:rPr>
                  <w:rStyle w:val="Hyperlink"/>
                </w:rPr>
                <w:t>sponsored events</w:t>
              </w:r>
            </w:hyperlink>
            <w:r w:rsidRPr="009E0344">
              <w:rPr>
                <w:rStyle w:val="FootnoteReference"/>
              </w:rPr>
              <w:footnoteReference w:id="3"/>
            </w:r>
            <w:r w:rsidRPr="009E0344">
              <w:t xml:space="preserve"> to maximise opportunities to drive visitation and spend.</w:t>
            </w:r>
          </w:p>
        </w:tc>
        <w:tc>
          <w:tcPr>
            <w:tcW w:w="2268" w:type="dxa"/>
            <w:shd w:val="clear" w:color="auto" w:fill="auto"/>
          </w:tcPr>
          <w:p w14:paraId="207587AD" w14:textId="77777777" w:rsidR="00CF27A2" w:rsidRDefault="00CF27A2" w:rsidP="00784FF6">
            <w:pPr>
              <w:pStyle w:val="TableofFigures"/>
            </w:pPr>
            <w:r w:rsidRPr="00784FF6">
              <w:t>Deliver</w:t>
            </w:r>
          </w:p>
          <w:p w14:paraId="57E2B7FC" w14:textId="77777777" w:rsidR="00CF27A2" w:rsidRPr="00784FF6" w:rsidRDefault="00CF27A2" w:rsidP="00784FF6">
            <w:pPr>
              <w:pStyle w:val="TableofFigures"/>
            </w:pPr>
            <w:r w:rsidRPr="00784FF6">
              <w:t>Partner</w:t>
            </w:r>
          </w:p>
        </w:tc>
        <w:tc>
          <w:tcPr>
            <w:tcW w:w="2268" w:type="dxa"/>
            <w:shd w:val="clear" w:color="auto" w:fill="auto"/>
          </w:tcPr>
          <w:p w14:paraId="2FB92AF8" w14:textId="77777777" w:rsidR="00CF27A2" w:rsidRPr="00784FF6" w:rsidRDefault="00CF27A2" w:rsidP="00784FF6">
            <w:pPr>
              <w:pStyle w:val="TableofFigures"/>
            </w:pPr>
            <w:r w:rsidRPr="00784FF6">
              <w:t>On track</w:t>
            </w:r>
          </w:p>
        </w:tc>
      </w:tr>
      <w:tr w:rsidR="00CF27A2" w14:paraId="41417758" w14:textId="77777777" w:rsidTr="00CF27A2">
        <w:tc>
          <w:tcPr>
            <w:tcW w:w="9412" w:type="dxa"/>
            <w:shd w:val="clear" w:color="auto" w:fill="auto"/>
          </w:tcPr>
          <w:p w14:paraId="6A3D5E7D" w14:textId="77777777" w:rsidR="00CF27A2" w:rsidRPr="009E0344" w:rsidRDefault="00CF27A2" w:rsidP="00784FF6">
            <w:pPr>
              <w:pStyle w:val="TableofFigures"/>
            </w:pPr>
            <w:r w:rsidRPr="009E0344">
              <w:t>Market and promote Melbourne as a great place to live for all, while ensuring key workers have access to affordable housing.</w:t>
            </w:r>
          </w:p>
        </w:tc>
        <w:tc>
          <w:tcPr>
            <w:tcW w:w="2268" w:type="dxa"/>
            <w:shd w:val="clear" w:color="auto" w:fill="auto"/>
          </w:tcPr>
          <w:p w14:paraId="4F5EBFE5" w14:textId="77777777" w:rsidR="00CF27A2" w:rsidRPr="00784FF6" w:rsidRDefault="00CF27A2" w:rsidP="00784FF6">
            <w:pPr>
              <w:pStyle w:val="TableofFigures"/>
            </w:pPr>
            <w:r w:rsidRPr="00784FF6">
              <w:t>Deliver</w:t>
            </w:r>
          </w:p>
        </w:tc>
        <w:tc>
          <w:tcPr>
            <w:tcW w:w="2268" w:type="dxa"/>
            <w:shd w:val="clear" w:color="auto" w:fill="auto"/>
          </w:tcPr>
          <w:p w14:paraId="00F48FE8" w14:textId="77777777" w:rsidR="00CF27A2" w:rsidRPr="00784FF6" w:rsidRDefault="009E6BAD" w:rsidP="00784FF6">
            <w:pPr>
              <w:pStyle w:val="TableofFigures"/>
            </w:pPr>
            <w:r>
              <w:t>Completed</w:t>
            </w:r>
          </w:p>
        </w:tc>
      </w:tr>
      <w:tr w:rsidR="00CF27A2" w14:paraId="1EE619EA" w14:textId="77777777" w:rsidTr="00CF27A2">
        <w:tc>
          <w:tcPr>
            <w:tcW w:w="9412" w:type="dxa"/>
            <w:shd w:val="clear" w:color="auto" w:fill="auto"/>
          </w:tcPr>
          <w:p w14:paraId="078C506D" w14:textId="77777777" w:rsidR="00CF27A2" w:rsidRPr="009E6BAD" w:rsidRDefault="00CF27A2" w:rsidP="00784FF6">
            <w:pPr>
              <w:pStyle w:val="TableofFigures"/>
            </w:pPr>
            <w:r w:rsidRPr="009E6BAD">
              <w:t>Increase visitation to Docklands by partnering with the Victorian Government and key stakeholders to enable reconstruction and redevelopment in Central Pier and surrounds.</w:t>
            </w:r>
          </w:p>
        </w:tc>
        <w:tc>
          <w:tcPr>
            <w:tcW w:w="2268" w:type="dxa"/>
            <w:shd w:val="clear" w:color="auto" w:fill="auto"/>
          </w:tcPr>
          <w:p w14:paraId="2CF6224B" w14:textId="77777777" w:rsidR="00CF27A2" w:rsidRPr="009E6BAD" w:rsidRDefault="00CF27A2" w:rsidP="00784FF6">
            <w:pPr>
              <w:pStyle w:val="TableofFigures"/>
            </w:pPr>
            <w:r w:rsidRPr="009E6BAD">
              <w:t>Partner</w:t>
            </w:r>
          </w:p>
          <w:p w14:paraId="798E4FAA" w14:textId="77777777" w:rsidR="00CF27A2" w:rsidRPr="009E6BAD" w:rsidRDefault="00CF27A2" w:rsidP="00784FF6">
            <w:pPr>
              <w:pStyle w:val="TableofFigures"/>
            </w:pPr>
            <w:r w:rsidRPr="009E6BAD">
              <w:t>Advocate</w:t>
            </w:r>
          </w:p>
        </w:tc>
        <w:tc>
          <w:tcPr>
            <w:tcW w:w="2268" w:type="dxa"/>
            <w:shd w:val="clear" w:color="auto" w:fill="auto"/>
          </w:tcPr>
          <w:p w14:paraId="63932457" w14:textId="77777777" w:rsidR="00CF27A2" w:rsidRPr="009E6BAD" w:rsidRDefault="00ED7D9E" w:rsidP="00784FF6">
            <w:pPr>
              <w:pStyle w:val="TableofFigures"/>
            </w:pPr>
            <w:r w:rsidRPr="009E6BAD">
              <w:t>On track</w:t>
            </w:r>
          </w:p>
        </w:tc>
      </w:tr>
      <w:tr w:rsidR="00CF27A2" w14:paraId="20E80E61" w14:textId="77777777" w:rsidTr="00CF27A2">
        <w:tc>
          <w:tcPr>
            <w:tcW w:w="9412" w:type="dxa"/>
            <w:shd w:val="clear" w:color="auto" w:fill="auto"/>
          </w:tcPr>
          <w:p w14:paraId="7C7CE698" w14:textId="77777777" w:rsidR="00CF27A2" w:rsidRPr="009E0344" w:rsidRDefault="00CF27A2" w:rsidP="00784FF6">
            <w:pPr>
              <w:pStyle w:val="TableofFigures"/>
            </w:pPr>
            <w:r w:rsidRPr="009E0344">
              <w:t xml:space="preserve">Review Melbourne’s international relationships to </w:t>
            </w:r>
            <w:proofErr w:type="spellStart"/>
            <w:r w:rsidRPr="009E0344">
              <w:t>optimise</w:t>
            </w:r>
            <w:proofErr w:type="spellEnd"/>
            <w:r w:rsidRPr="009E0344">
              <w:t xml:space="preserve"> future and existing partnerships to enable mutual growth and opportunity.</w:t>
            </w:r>
          </w:p>
        </w:tc>
        <w:tc>
          <w:tcPr>
            <w:tcW w:w="2268" w:type="dxa"/>
            <w:shd w:val="clear" w:color="auto" w:fill="auto"/>
          </w:tcPr>
          <w:p w14:paraId="5EA74516" w14:textId="77777777" w:rsidR="00CF27A2" w:rsidRPr="00784FF6" w:rsidRDefault="00CF27A2" w:rsidP="00784FF6">
            <w:pPr>
              <w:pStyle w:val="TableofFigures"/>
            </w:pPr>
            <w:r w:rsidRPr="00784FF6">
              <w:t>Deliver</w:t>
            </w:r>
          </w:p>
        </w:tc>
        <w:tc>
          <w:tcPr>
            <w:tcW w:w="2268" w:type="dxa"/>
            <w:shd w:val="clear" w:color="auto" w:fill="auto"/>
          </w:tcPr>
          <w:p w14:paraId="52123E2C" w14:textId="77777777" w:rsidR="00CF27A2" w:rsidRPr="00784FF6" w:rsidRDefault="00CF27A2" w:rsidP="00784FF6">
            <w:pPr>
              <w:pStyle w:val="TableofFigures"/>
            </w:pPr>
            <w:r w:rsidRPr="00784FF6">
              <w:t>On track</w:t>
            </w:r>
          </w:p>
        </w:tc>
      </w:tr>
      <w:tr w:rsidR="00CF27A2" w14:paraId="547B3E4B" w14:textId="77777777" w:rsidTr="00CF27A2">
        <w:tc>
          <w:tcPr>
            <w:tcW w:w="9412" w:type="dxa"/>
            <w:shd w:val="clear" w:color="auto" w:fill="auto"/>
          </w:tcPr>
          <w:p w14:paraId="017C6467" w14:textId="77777777" w:rsidR="00CF27A2" w:rsidRPr="009E0344" w:rsidRDefault="00CF27A2" w:rsidP="00784FF6">
            <w:pPr>
              <w:pStyle w:val="TableofFigures"/>
            </w:pPr>
            <w:r w:rsidRPr="009E0344">
              <w:t>Partner with industry to support the development of globally competitive innovation ecosystems.</w:t>
            </w:r>
          </w:p>
        </w:tc>
        <w:tc>
          <w:tcPr>
            <w:tcW w:w="2268" w:type="dxa"/>
            <w:shd w:val="clear" w:color="auto" w:fill="auto"/>
          </w:tcPr>
          <w:p w14:paraId="1C2469A2" w14:textId="77777777" w:rsidR="00CF27A2" w:rsidRPr="00784FF6" w:rsidRDefault="00CF27A2" w:rsidP="00784FF6">
            <w:pPr>
              <w:pStyle w:val="TableofFigures"/>
            </w:pPr>
            <w:r w:rsidRPr="00784FF6">
              <w:t>Partner</w:t>
            </w:r>
          </w:p>
          <w:p w14:paraId="3BF537C1" w14:textId="77777777" w:rsidR="00CF27A2" w:rsidRPr="00784FF6" w:rsidRDefault="00CF27A2" w:rsidP="00784FF6">
            <w:pPr>
              <w:pStyle w:val="TableofFigures"/>
            </w:pPr>
            <w:r w:rsidRPr="00784FF6">
              <w:t>Deliver</w:t>
            </w:r>
          </w:p>
        </w:tc>
        <w:tc>
          <w:tcPr>
            <w:tcW w:w="2268" w:type="dxa"/>
            <w:shd w:val="clear" w:color="auto" w:fill="auto"/>
          </w:tcPr>
          <w:p w14:paraId="4968CC87" w14:textId="77777777" w:rsidR="00CF27A2" w:rsidRPr="00784FF6" w:rsidRDefault="00CF27A2" w:rsidP="00784FF6">
            <w:pPr>
              <w:pStyle w:val="TableofFigures"/>
            </w:pPr>
            <w:r w:rsidRPr="00784FF6">
              <w:t>On track</w:t>
            </w:r>
          </w:p>
        </w:tc>
      </w:tr>
      <w:tr w:rsidR="00CF27A2" w14:paraId="0948BC42" w14:textId="77777777" w:rsidTr="00CF27A2">
        <w:tc>
          <w:tcPr>
            <w:tcW w:w="9412" w:type="dxa"/>
            <w:shd w:val="clear" w:color="auto" w:fill="auto"/>
          </w:tcPr>
          <w:p w14:paraId="1711A8A0" w14:textId="77777777" w:rsidR="00CF27A2" w:rsidRPr="009E0344" w:rsidRDefault="00CF27A2" w:rsidP="00784FF6">
            <w:pPr>
              <w:pStyle w:val="TableofFigures"/>
            </w:pPr>
            <w:r w:rsidRPr="009E0344">
              <w:t xml:space="preserve">Develop a corporate strategy for the City of Melbourne to drive exemplary customer service, </w:t>
            </w:r>
            <w:proofErr w:type="spellStart"/>
            <w:r w:rsidRPr="009E0344">
              <w:t>digitise</w:t>
            </w:r>
            <w:proofErr w:type="spellEnd"/>
            <w:r w:rsidRPr="009E0344">
              <w:t xml:space="preserve"> services and operations, improve productivity and identify new revenue opportunities.</w:t>
            </w:r>
          </w:p>
        </w:tc>
        <w:tc>
          <w:tcPr>
            <w:tcW w:w="2268" w:type="dxa"/>
            <w:shd w:val="clear" w:color="auto" w:fill="auto"/>
          </w:tcPr>
          <w:p w14:paraId="1B7ED2C0" w14:textId="77777777" w:rsidR="00CF27A2" w:rsidRPr="00784FF6" w:rsidRDefault="00CF27A2" w:rsidP="00784FF6">
            <w:pPr>
              <w:pStyle w:val="TableofFigures"/>
            </w:pPr>
            <w:r w:rsidRPr="00784FF6">
              <w:t>Deliver</w:t>
            </w:r>
          </w:p>
        </w:tc>
        <w:tc>
          <w:tcPr>
            <w:tcW w:w="2268" w:type="dxa"/>
            <w:shd w:val="clear" w:color="auto" w:fill="auto"/>
          </w:tcPr>
          <w:p w14:paraId="6B67D44F" w14:textId="77777777" w:rsidR="00CF27A2" w:rsidRPr="00784FF6" w:rsidRDefault="00B56866" w:rsidP="00784FF6">
            <w:pPr>
              <w:pStyle w:val="TableofFigures"/>
            </w:pPr>
            <w:r>
              <w:t>Delayed</w:t>
            </w:r>
          </w:p>
        </w:tc>
      </w:tr>
      <w:tr w:rsidR="00CF27A2" w14:paraId="6CE280C6" w14:textId="77777777" w:rsidTr="00CF27A2">
        <w:tc>
          <w:tcPr>
            <w:tcW w:w="9412" w:type="dxa"/>
            <w:shd w:val="clear" w:color="auto" w:fill="auto"/>
          </w:tcPr>
          <w:p w14:paraId="466AF6A2" w14:textId="77777777" w:rsidR="00CF27A2" w:rsidRPr="009E0344" w:rsidRDefault="00CF27A2" w:rsidP="00784FF6">
            <w:pPr>
              <w:pStyle w:val="TableofFigures"/>
            </w:pPr>
            <w:r w:rsidRPr="009E0344">
              <w:t xml:space="preserve">Embed the </w:t>
            </w:r>
            <w:hyperlink r:id="rId11" w:history="1">
              <w:r w:rsidRPr="009E0344">
                <w:rPr>
                  <w:rStyle w:val="Hyperlink"/>
                </w:rPr>
                <w:t>Sustainable Development Goals</w:t>
              </w:r>
            </w:hyperlink>
            <w:r w:rsidRPr="009E0344">
              <w:rPr>
                <w:rStyle w:val="FootnoteReference"/>
              </w:rPr>
              <w:footnoteReference w:id="4"/>
            </w:r>
            <w:r w:rsidRPr="009E0344">
              <w:t xml:space="preserve"> in the way City of Melbourne plans, </w:t>
            </w:r>
            <w:proofErr w:type="spellStart"/>
            <w:r w:rsidRPr="009E0344">
              <w:t>prioritises</w:t>
            </w:r>
            <w:proofErr w:type="spellEnd"/>
            <w:r w:rsidRPr="009E0344">
              <w:t xml:space="preserve"> its investments, reports and benchmarks against other cities.</w:t>
            </w:r>
          </w:p>
        </w:tc>
        <w:tc>
          <w:tcPr>
            <w:tcW w:w="2268" w:type="dxa"/>
            <w:shd w:val="clear" w:color="auto" w:fill="auto"/>
          </w:tcPr>
          <w:p w14:paraId="108489B5" w14:textId="77777777" w:rsidR="00CF27A2" w:rsidRPr="00784FF6" w:rsidRDefault="00CF27A2" w:rsidP="00784FF6">
            <w:pPr>
              <w:pStyle w:val="TableofFigures"/>
            </w:pPr>
            <w:r w:rsidRPr="00784FF6">
              <w:t>Deliver</w:t>
            </w:r>
          </w:p>
        </w:tc>
        <w:tc>
          <w:tcPr>
            <w:tcW w:w="2268" w:type="dxa"/>
            <w:shd w:val="clear" w:color="auto" w:fill="auto"/>
          </w:tcPr>
          <w:p w14:paraId="47A3AAF6" w14:textId="77777777" w:rsidR="00CF27A2" w:rsidRPr="00784FF6" w:rsidRDefault="00CF27A2" w:rsidP="00784FF6">
            <w:pPr>
              <w:pStyle w:val="TableofFigures"/>
            </w:pPr>
            <w:r w:rsidRPr="00784FF6">
              <w:t>On track</w:t>
            </w:r>
          </w:p>
        </w:tc>
      </w:tr>
    </w:tbl>
    <w:p w14:paraId="48730ADD" w14:textId="77777777" w:rsidR="00B56866" w:rsidRDefault="00B56866" w:rsidP="00CF27A2">
      <w:pPr>
        <w:pStyle w:val="Heading2"/>
      </w:pPr>
    </w:p>
    <w:p w14:paraId="00749F86" w14:textId="77777777" w:rsidR="00CF27A2" w:rsidRPr="00CF27A2" w:rsidRDefault="00CF27A2" w:rsidP="00CF27A2">
      <w:pPr>
        <w:pStyle w:val="Heading2"/>
      </w:pPr>
      <w:bookmarkStart w:id="10" w:name="_Toc193204198"/>
      <w:r>
        <w:t>How we’re measuring progress over four years</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CF27A2" w14:paraId="66B3D853" w14:textId="77777777" w:rsidTr="00CF27A2">
        <w:trPr>
          <w:tblHeader/>
        </w:trPr>
        <w:tc>
          <w:tcPr>
            <w:tcW w:w="9412" w:type="dxa"/>
            <w:shd w:val="clear" w:color="auto" w:fill="auto"/>
          </w:tcPr>
          <w:p w14:paraId="151885FD" w14:textId="77777777" w:rsidR="00CF27A2" w:rsidRPr="00784FF6" w:rsidRDefault="00CF27A2" w:rsidP="0052081B">
            <w:pPr>
              <w:pStyle w:val="TableofFigures"/>
              <w:rPr>
                <w:b/>
              </w:rPr>
            </w:pPr>
            <w:r>
              <w:rPr>
                <w:b/>
              </w:rPr>
              <w:t>Indicator</w:t>
            </w:r>
          </w:p>
        </w:tc>
        <w:tc>
          <w:tcPr>
            <w:tcW w:w="4537" w:type="dxa"/>
            <w:shd w:val="clear" w:color="auto" w:fill="auto"/>
          </w:tcPr>
          <w:p w14:paraId="68D8F820" w14:textId="77777777" w:rsidR="00CF27A2" w:rsidRPr="00784FF6" w:rsidRDefault="00CF27A2" w:rsidP="0052081B">
            <w:pPr>
              <w:pStyle w:val="TableofFigures"/>
              <w:rPr>
                <w:b/>
              </w:rPr>
            </w:pPr>
            <w:r>
              <w:rPr>
                <w:b/>
              </w:rPr>
              <w:t>Target outcome</w:t>
            </w:r>
          </w:p>
        </w:tc>
      </w:tr>
      <w:tr w:rsidR="00CF27A2" w14:paraId="280502AC" w14:textId="77777777" w:rsidTr="00CF27A2">
        <w:tc>
          <w:tcPr>
            <w:tcW w:w="9412" w:type="dxa"/>
            <w:shd w:val="clear" w:color="auto" w:fill="auto"/>
          </w:tcPr>
          <w:p w14:paraId="1C7ED181" w14:textId="77777777" w:rsidR="00CF27A2" w:rsidRPr="009E0344" w:rsidRDefault="00CF27A2" w:rsidP="0052081B">
            <w:pPr>
              <w:pStyle w:val="TableofFigures"/>
            </w:pPr>
            <w:r w:rsidRPr="009E0344">
              <w:t>Capital city gross local product.</w:t>
            </w:r>
          </w:p>
        </w:tc>
        <w:tc>
          <w:tcPr>
            <w:tcW w:w="4537" w:type="dxa"/>
            <w:shd w:val="clear" w:color="auto" w:fill="auto"/>
          </w:tcPr>
          <w:p w14:paraId="4838042D" w14:textId="77777777" w:rsidR="00CF27A2" w:rsidRPr="00784FF6" w:rsidRDefault="00CF27A2" w:rsidP="0052081B">
            <w:pPr>
              <w:pStyle w:val="TableofFigures"/>
            </w:pPr>
            <w:r>
              <w:t>Increase</w:t>
            </w:r>
          </w:p>
        </w:tc>
      </w:tr>
      <w:tr w:rsidR="00CF27A2" w14:paraId="38802EC9" w14:textId="77777777" w:rsidTr="00CF27A2">
        <w:tc>
          <w:tcPr>
            <w:tcW w:w="9412" w:type="dxa"/>
            <w:shd w:val="clear" w:color="auto" w:fill="auto"/>
          </w:tcPr>
          <w:p w14:paraId="63444F88" w14:textId="77777777" w:rsidR="00CF27A2" w:rsidRPr="009E0344" w:rsidRDefault="00CF27A2" w:rsidP="0052081B">
            <w:pPr>
              <w:pStyle w:val="TableofFigures"/>
            </w:pPr>
            <w:r w:rsidRPr="009E0344">
              <w:t>Number of businesses in the municipality.</w:t>
            </w:r>
          </w:p>
        </w:tc>
        <w:tc>
          <w:tcPr>
            <w:tcW w:w="4537" w:type="dxa"/>
            <w:shd w:val="clear" w:color="auto" w:fill="auto"/>
          </w:tcPr>
          <w:p w14:paraId="4EAC0672" w14:textId="77777777" w:rsidR="00CF27A2" w:rsidRPr="00784FF6" w:rsidRDefault="00CF27A2" w:rsidP="0052081B">
            <w:pPr>
              <w:pStyle w:val="TableofFigures"/>
            </w:pPr>
            <w:r>
              <w:t>Increase</w:t>
            </w:r>
          </w:p>
        </w:tc>
      </w:tr>
      <w:tr w:rsidR="00CF27A2" w14:paraId="33DCE551" w14:textId="77777777" w:rsidTr="00CF27A2">
        <w:tc>
          <w:tcPr>
            <w:tcW w:w="9412" w:type="dxa"/>
            <w:shd w:val="clear" w:color="auto" w:fill="auto"/>
          </w:tcPr>
          <w:p w14:paraId="288FBA06" w14:textId="77777777" w:rsidR="00CF27A2" w:rsidRPr="009E0344" w:rsidRDefault="00CF27A2" w:rsidP="0052081B">
            <w:pPr>
              <w:pStyle w:val="TableofFigures"/>
            </w:pPr>
            <w:r w:rsidRPr="009E0344">
              <w:t>Number of start-ups in the municipality.</w:t>
            </w:r>
          </w:p>
        </w:tc>
        <w:tc>
          <w:tcPr>
            <w:tcW w:w="4537" w:type="dxa"/>
            <w:shd w:val="clear" w:color="auto" w:fill="auto"/>
          </w:tcPr>
          <w:p w14:paraId="2CE04C53" w14:textId="77777777" w:rsidR="00CF27A2" w:rsidRPr="00784FF6" w:rsidRDefault="00CF27A2" w:rsidP="0052081B">
            <w:pPr>
              <w:pStyle w:val="TableofFigures"/>
            </w:pPr>
            <w:r>
              <w:t>Increase</w:t>
            </w:r>
          </w:p>
        </w:tc>
      </w:tr>
      <w:tr w:rsidR="009E0344" w14:paraId="47D757BC" w14:textId="77777777" w:rsidTr="00CF27A2">
        <w:tc>
          <w:tcPr>
            <w:tcW w:w="9412" w:type="dxa"/>
            <w:shd w:val="clear" w:color="auto" w:fill="auto"/>
          </w:tcPr>
          <w:p w14:paraId="3C56341C" w14:textId="77777777" w:rsidR="009E0344" w:rsidRPr="00DA045B" w:rsidRDefault="009E0344" w:rsidP="009E0344">
            <w:pPr>
              <w:pStyle w:val="TableofFigures"/>
            </w:pPr>
            <w:r w:rsidRPr="00DA045B">
              <w:t xml:space="preserve">Vacancy rate of retail premises. </w:t>
            </w:r>
          </w:p>
        </w:tc>
        <w:tc>
          <w:tcPr>
            <w:tcW w:w="4537" w:type="dxa"/>
            <w:shd w:val="clear" w:color="auto" w:fill="auto"/>
          </w:tcPr>
          <w:p w14:paraId="5219EE49" w14:textId="77777777" w:rsidR="009E0344" w:rsidRPr="00DA045B" w:rsidRDefault="009E0344" w:rsidP="009E0344">
            <w:pPr>
              <w:pStyle w:val="TableofFigures"/>
            </w:pPr>
            <w:r w:rsidRPr="00DA045B">
              <w:t>Decrease</w:t>
            </w:r>
          </w:p>
        </w:tc>
      </w:tr>
      <w:tr w:rsidR="009E0344" w14:paraId="487F1CA9" w14:textId="77777777" w:rsidTr="00CF27A2">
        <w:tc>
          <w:tcPr>
            <w:tcW w:w="9412" w:type="dxa"/>
            <w:shd w:val="clear" w:color="auto" w:fill="auto"/>
          </w:tcPr>
          <w:p w14:paraId="2B4DB2BF" w14:textId="77777777" w:rsidR="009E0344" w:rsidRDefault="009E0344" w:rsidP="009E0344">
            <w:pPr>
              <w:pStyle w:val="TableofFigures"/>
            </w:pPr>
            <w:r w:rsidRPr="00DA045B">
              <w:t xml:space="preserve">Proportion of residents employed in the municipality. </w:t>
            </w:r>
          </w:p>
        </w:tc>
        <w:tc>
          <w:tcPr>
            <w:tcW w:w="4537" w:type="dxa"/>
            <w:shd w:val="clear" w:color="auto" w:fill="auto"/>
          </w:tcPr>
          <w:p w14:paraId="5ECF0EFE" w14:textId="77777777" w:rsidR="009E0344" w:rsidRDefault="009E0344" w:rsidP="009E0344">
            <w:pPr>
              <w:pStyle w:val="TableofFigures"/>
            </w:pPr>
            <w:r w:rsidRPr="00DA045B">
              <w:t>Increase</w:t>
            </w:r>
          </w:p>
        </w:tc>
      </w:tr>
      <w:tr w:rsidR="009E0344" w14:paraId="5539416B" w14:textId="77777777" w:rsidTr="00CF27A2">
        <w:tc>
          <w:tcPr>
            <w:tcW w:w="9412" w:type="dxa"/>
            <w:shd w:val="clear" w:color="auto" w:fill="auto"/>
          </w:tcPr>
          <w:p w14:paraId="4F7B58EF" w14:textId="77777777" w:rsidR="009E0344" w:rsidRPr="00D459D8" w:rsidRDefault="009E0344" w:rsidP="009E0344">
            <w:pPr>
              <w:pStyle w:val="TableofFigures"/>
            </w:pPr>
            <w:r w:rsidRPr="00D459D8">
              <w:t xml:space="preserve">Gross local product per capita per person employed. </w:t>
            </w:r>
          </w:p>
        </w:tc>
        <w:tc>
          <w:tcPr>
            <w:tcW w:w="4537" w:type="dxa"/>
            <w:shd w:val="clear" w:color="auto" w:fill="auto"/>
          </w:tcPr>
          <w:p w14:paraId="4A0FA4FC" w14:textId="77777777" w:rsidR="009E0344" w:rsidRPr="00D459D8" w:rsidRDefault="009E0344" w:rsidP="009E0344">
            <w:pPr>
              <w:pStyle w:val="TableofFigures"/>
            </w:pPr>
            <w:r w:rsidRPr="00D459D8">
              <w:t>Increase</w:t>
            </w:r>
          </w:p>
        </w:tc>
      </w:tr>
      <w:tr w:rsidR="009E0344" w14:paraId="494495ED" w14:textId="77777777" w:rsidTr="00CF27A2">
        <w:tc>
          <w:tcPr>
            <w:tcW w:w="9412" w:type="dxa"/>
            <w:shd w:val="clear" w:color="auto" w:fill="auto"/>
          </w:tcPr>
          <w:p w14:paraId="108F98F7" w14:textId="77777777" w:rsidR="009E0344" w:rsidRPr="00D459D8" w:rsidRDefault="009E0344" w:rsidP="009E0344">
            <w:pPr>
              <w:pStyle w:val="TableofFigures"/>
            </w:pPr>
            <w:r w:rsidRPr="00D459D8">
              <w:t xml:space="preserve">Number of jobs in the municipality. </w:t>
            </w:r>
          </w:p>
        </w:tc>
        <w:tc>
          <w:tcPr>
            <w:tcW w:w="4537" w:type="dxa"/>
            <w:shd w:val="clear" w:color="auto" w:fill="auto"/>
          </w:tcPr>
          <w:p w14:paraId="6FEBEF34" w14:textId="77777777" w:rsidR="009E0344" w:rsidRPr="00D459D8" w:rsidRDefault="009E0344" w:rsidP="009E0344">
            <w:pPr>
              <w:pStyle w:val="TableofFigures"/>
            </w:pPr>
            <w:r>
              <w:t>I</w:t>
            </w:r>
            <w:r w:rsidRPr="00D459D8">
              <w:t>ncrease</w:t>
            </w:r>
          </w:p>
        </w:tc>
      </w:tr>
      <w:tr w:rsidR="009E0344" w14:paraId="42DDBFC0" w14:textId="77777777" w:rsidTr="00CF27A2">
        <w:tc>
          <w:tcPr>
            <w:tcW w:w="9412" w:type="dxa"/>
            <w:shd w:val="clear" w:color="auto" w:fill="auto"/>
          </w:tcPr>
          <w:p w14:paraId="67387EA3" w14:textId="77777777" w:rsidR="009E0344" w:rsidRPr="00D459D8" w:rsidRDefault="009E0344" w:rsidP="009E0344">
            <w:pPr>
              <w:pStyle w:val="TableofFigures"/>
            </w:pPr>
            <w:r w:rsidRPr="00D459D8">
              <w:t xml:space="preserve">Number of visitors to the municipality. </w:t>
            </w:r>
          </w:p>
        </w:tc>
        <w:tc>
          <w:tcPr>
            <w:tcW w:w="4537" w:type="dxa"/>
            <w:shd w:val="clear" w:color="auto" w:fill="auto"/>
          </w:tcPr>
          <w:p w14:paraId="7D5F0F60" w14:textId="77777777" w:rsidR="009E0344" w:rsidRPr="00D459D8" w:rsidRDefault="009E0344" w:rsidP="009E0344">
            <w:pPr>
              <w:pStyle w:val="TableofFigures"/>
            </w:pPr>
            <w:r w:rsidRPr="00D459D8">
              <w:t>Increase</w:t>
            </w:r>
          </w:p>
        </w:tc>
      </w:tr>
      <w:tr w:rsidR="009E0344" w14:paraId="6DAF1774" w14:textId="77777777" w:rsidTr="00CF27A2">
        <w:tc>
          <w:tcPr>
            <w:tcW w:w="9412" w:type="dxa"/>
            <w:shd w:val="clear" w:color="auto" w:fill="auto"/>
          </w:tcPr>
          <w:p w14:paraId="5011F58D" w14:textId="77777777" w:rsidR="009E0344" w:rsidRDefault="009E0344" w:rsidP="009E0344">
            <w:pPr>
              <w:pStyle w:val="TableofFigures"/>
            </w:pPr>
            <w:r w:rsidRPr="00D459D8">
              <w:t>Planning applications deci</w:t>
            </w:r>
            <w:r>
              <w:t>ded within required timeframes.</w:t>
            </w:r>
          </w:p>
        </w:tc>
        <w:tc>
          <w:tcPr>
            <w:tcW w:w="4537" w:type="dxa"/>
            <w:shd w:val="clear" w:color="auto" w:fill="auto"/>
          </w:tcPr>
          <w:p w14:paraId="5C060307" w14:textId="77777777" w:rsidR="009E0344" w:rsidRDefault="009E0344" w:rsidP="009E0344">
            <w:pPr>
              <w:pStyle w:val="TableofFigures"/>
            </w:pPr>
            <w:r w:rsidRPr="00D459D8">
              <w:t>100%</w:t>
            </w:r>
          </w:p>
        </w:tc>
      </w:tr>
    </w:tbl>
    <w:p w14:paraId="7123BD44" w14:textId="77777777" w:rsidR="00482EF3" w:rsidRDefault="00784FF6" w:rsidP="00D8650A">
      <w:pPr>
        <w:pStyle w:val="Heading1"/>
        <w:spacing w:before="0"/>
      </w:pPr>
      <w:r>
        <w:br w:type="page"/>
      </w:r>
      <w:bookmarkStart w:id="11" w:name="_Toc193204199"/>
      <w:r w:rsidRPr="00784FF6">
        <w:lastRenderedPageBreak/>
        <w:t>Melbourne’s unique identity and place</w:t>
      </w:r>
      <w:bookmarkEnd w:id="11"/>
    </w:p>
    <w:p w14:paraId="0320CAEC" w14:textId="77777777" w:rsidR="00784FF6" w:rsidRDefault="00784FF6" w:rsidP="00784FF6">
      <w:r w:rsidRPr="00784FF6">
        <w:t>Over the next four years we will celebrate and protect the places, people and cultures that make Melbourne a unique, vibrant and creative city with world-leading liveability.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4062"/>
      </w:tblGrid>
      <w:tr w:rsidR="00784FF6" w14:paraId="7E4C024D" w14:textId="77777777" w:rsidTr="007F02C9">
        <w:tc>
          <w:tcPr>
            <w:tcW w:w="14062" w:type="dxa"/>
            <w:shd w:val="clear" w:color="auto" w:fill="auto"/>
          </w:tcPr>
          <w:p w14:paraId="1C1584E5" w14:textId="77777777" w:rsidR="009E6BAD" w:rsidRPr="00D367C9" w:rsidRDefault="009E6BAD" w:rsidP="009E6BAD">
            <w:pPr>
              <w:pStyle w:val="Heading2"/>
              <w:spacing w:before="0"/>
            </w:pPr>
            <w:bookmarkStart w:id="12" w:name="_Toc193204200"/>
            <w:r w:rsidRPr="00D367C9">
              <w:t xml:space="preserve">Highlights for quarter three (January to March </w:t>
            </w:r>
            <w:r w:rsidR="00B56866">
              <w:t>2024</w:t>
            </w:r>
            <w:r w:rsidRPr="00D367C9">
              <w:t>)</w:t>
            </w:r>
            <w:bookmarkEnd w:id="12"/>
          </w:p>
          <w:p w14:paraId="009811C6" w14:textId="77777777" w:rsidR="00B56866" w:rsidRDefault="00B56866" w:rsidP="00B56866">
            <w:r>
              <w:t xml:space="preserve">Sixteen events were supported via the Event Partnership Program, including </w:t>
            </w:r>
            <w:proofErr w:type="spellStart"/>
            <w:r>
              <w:t>Midsumma</w:t>
            </w:r>
            <w:proofErr w:type="spellEnd"/>
            <w:r>
              <w:t xml:space="preserve">, Australian Open and Melbourne International Flower and Garden Show and </w:t>
            </w:r>
            <w:proofErr w:type="gramStart"/>
            <w:r>
              <w:t>a number of</w:t>
            </w:r>
            <w:proofErr w:type="gramEnd"/>
            <w:r>
              <w:t xml:space="preserve"> cultural events including Lunar New Year and Melbourne Latin Festival. </w:t>
            </w:r>
          </w:p>
          <w:p w14:paraId="64EE9578" w14:textId="77777777" w:rsidR="00B56866" w:rsidRDefault="00B56866" w:rsidP="00B56866">
            <w:r>
              <w:t>City of Melbourne conducted community engagement for the Heritage, People and Place Discussion Paper in February. It included a series of workshops with the community and key stakeholders, and an online survey that attracted 178 responses. The feedback is being reviewed to inform the Draft Heritage Strategy.</w:t>
            </w:r>
          </w:p>
          <w:p w14:paraId="2FE913CF" w14:textId="77777777" w:rsidR="00B56866" w:rsidRDefault="00B56866" w:rsidP="00B56866">
            <w:r>
              <w:t>PHOTO 2024 International Festival of Photography, which ran 1-24 March delivered a significant presence in the public realm including a new round of 16 light-box commissions for the Birrarung Lightboxes partnership along Southbank Promenade, Hamer Hall and Fed Square.</w:t>
            </w:r>
          </w:p>
          <w:p w14:paraId="1BA9AAC4" w14:textId="77777777" w:rsidR="00B56866" w:rsidRDefault="00B56866" w:rsidP="00B56866">
            <w:r>
              <w:t xml:space="preserve">Completed the first stage of community engagement and the report detailing the engagement findings for the Chelmsford Street Open Space project. </w:t>
            </w:r>
          </w:p>
          <w:p w14:paraId="5708EE61" w14:textId="77777777" w:rsidR="00B56866" w:rsidRDefault="00B56866" w:rsidP="00B56866">
            <w:r>
              <w:t>The submission to the Department of Transport and Planning (DTP) on the draft Development Contributions Plan for Capital City Zoned precincts within the Fishermans Bend Urban Renewal Area and draft planning scheme amendment GC224 was approved at Future Melbourne Committee on 20 February.</w:t>
            </w:r>
          </w:p>
          <w:p w14:paraId="0CADDC87" w14:textId="77777777" w:rsidR="009E6BAD" w:rsidRPr="00D367C9" w:rsidRDefault="00B56866" w:rsidP="00B56866">
            <w:pPr>
              <w:rPr>
                <w:color w:val="000000"/>
              </w:rPr>
            </w:pPr>
            <w:r>
              <w:t xml:space="preserve">The Excellent City Series Festival of Design was held in March at </w:t>
            </w:r>
            <w:proofErr w:type="spellStart"/>
            <w:r>
              <w:t>MPavilion</w:t>
            </w:r>
            <w:proofErr w:type="spellEnd"/>
            <w:r>
              <w:t>, with more than 800 attendees participating in the event</w:t>
            </w:r>
            <w:r w:rsidR="009E6BAD" w:rsidRPr="00D367C9">
              <w:rPr>
                <w:color w:val="000000"/>
              </w:rPr>
              <w:t>.</w:t>
            </w:r>
          </w:p>
          <w:p w14:paraId="04F1DFFE" w14:textId="77777777" w:rsidR="007F02C9" w:rsidRPr="00D367C9" w:rsidRDefault="007F02C9" w:rsidP="009E6BAD">
            <w:pPr>
              <w:pStyle w:val="Heading2"/>
            </w:pPr>
            <w:bookmarkStart w:id="13" w:name="_Toc193204201"/>
            <w:r w:rsidRPr="00D367C9">
              <w:t>Our progress</w:t>
            </w:r>
            <w:bookmarkEnd w:id="13"/>
          </w:p>
          <w:p w14:paraId="4E2AC88C" w14:textId="77777777" w:rsidR="009E6BAD" w:rsidRPr="00D367C9" w:rsidRDefault="009E6BAD" w:rsidP="009E6BAD">
            <w:r w:rsidRPr="00D367C9">
              <w:t>Challenges facing the construction sector due to rising costs continue to impact delivery timelines for the Queen Victoria Market Precinct Renewal.</w:t>
            </w:r>
          </w:p>
          <w:p w14:paraId="5A5C8251" w14:textId="77777777" w:rsidR="009E6BAD" w:rsidRPr="00D367C9" w:rsidRDefault="009E6BAD" w:rsidP="009E6BAD">
            <w:r w:rsidRPr="00D367C9">
              <w:t>There is a high-level of uncertainty regarding property availability in Southbank and urban renewal areas</w:t>
            </w:r>
          </w:p>
          <w:p w14:paraId="2A004700" w14:textId="77777777" w:rsidR="00B56866" w:rsidRDefault="00B56866" w:rsidP="009E6BAD">
            <w:r w:rsidRPr="00B56866">
              <w:t>Public exhibition of Macaulay Planning Scheme Amendment C417 and Municipal Planning Strategy Amendment C432 are yet to be authorised by the Minister for Planning</w:t>
            </w:r>
            <w:r w:rsidR="009E6BAD" w:rsidRPr="00D367C9">
              <w:t>.</w:t>
            </w:r>
          </w:p>
          <w:p w14:paraId="67B0A237" w14:textId="77777777" w:rsidR="007F02C9" w:rsidRPr="00D367C9" w:rsidRDefault="009E6BAD" w:rsidP="009E6BAD">
            <w:r w:rsidRPr="00D367C9">
              <w:t>Delivery of our major initiatives within the Council Plan term is on track</w:t>
            </w:r>
          </w:p>
        </w:tc>
      </w:tr>
    </w:tbl>
    <w:p w14:paraId="45013A82" w14:textId="77777777" w:rsidR="002B3919" w:rsidRDefault="002B3919" w:rsidP="00EE6703">
      <w:pPr>
        <w:pStyle w:val="Heading2"/>
        <w:rPr>
          <w:rFonts w:hint="eastAsia"/>
        </w:rPr>
      </w:pPr>
    </w:p>
    <w:p w14:paraId="5B2E74DA" w14:textId="77777777" w:rsidR="00EE6703" w:rsidRPr="00784FF6" w:rsidRDefault="002B3919" w:rsidP="00EE6703">
      <w:pPr>
        <w:pStyle w:val="Heading2"/>
      </w:pPr>
      <w:r>
        <w:rPr>
          <w:rFonts w:hint="eastAsia"/>
        </w:rPr>
        <w:br w:type="page"/>
      </w:r>
      <w:bookmarkStart w:id="14" w:name="_Toc193204202"/>
      <w:r w:rsidR="00EE6703" w:rsidRPr="00784FF6">
        <w:lastRenderedPageBreak/>
        <w:t>The major initiatives we’re delivering this year</w:t>
      </w:r>
      <w:bookmarkEnd w:id="14"/>
      <w:r w:rsidR="00EE6703"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412"/>
        <w:gridCol w:w="2268"/>
        <w:gridCol w:w="2268"/>
      </w:tblGrid>
      <w:tr w:rsidR="007F02C9" w:rsidRPr="00B30455" w14:paraId="02E9167A" w14:textId="77777777" w:rsidTr="007F02C9">
        <w:trPr>
          <w:tblHeader/>
        </w:trPr>
        <w:tc>
          <w:tcPr>
            <w:tcW w:w="9412" w:type="dxa"/>
            <w:shd w:val="clear" w:color="auto" w:fill="auto"/>
          </w:tcPr>
          <w:p w14:paraId="2045B10E" w14:textId="77777777" w:rsidR="007F02C9" w:rsidRPr="00B30455" w:rsidRDefault="007F02C9" w:rsidP="00B30455">
            <w:pPr>
              <w:pStyle w:val="TableofFigures"/>
              <w:rPr>
                <w:b/>
              </w:rPr>
            </w:pPr>
            <w:r w:rsidRPr="00B30455">
              <w:rPr>
                <w:b/>
              </w:rPr>
              <w:t>Initiative</w:t>
            </w:r>
          </w:p>
        </w:tc>
        <w:tc>
          <w:tcPr>
            <w:tcW w:w="2268" w:type="dxa"/>
            <w:shd w:val="clear" w:color="auto" w:fill="auto"/>
          </w:tcPr>
          <w:p w14:paraId="2CA6221B" w14:textId="77777777" w:rsidR="007F02C9" w:rsidRPr="00B30455" w:rsidRDefault="007F02C9" w:rsidP="00B30455">
            <w:pPr>
              <w:pStyle w:val="TableofFigures"/>
              <w:rPr>
                <w:b/>
              </w:rPr>
            </w:pPr>
            <w:r w:rsidRPr="00B30455">
              <w:rPr>
                <w:b/>
              </w:rPr>
              <w:t>Council’s role</w:t>
            </w:r>
          </w:p>
        </w:tc>
        <w:tc>
          <w:tcPr>
            <w:tcW w:w="2268" w:type="dxa"/>
            <w:shd w:val="clear" w:color="auto" w:fill="auto"/>
          </w:tcPr>
          <w:p w14:paraId="7C772C3D" w14:textId="77777777" w:rsidR="007F02C9" w:rsidRPr="00B30455" w:rsidRDefault="007F02C9" w:rsidP="00D8650A">
            <w:pPr>
              <w:pStyle w:val="TableofFigures"/>
              <w:rPr>
                <w:b/>
              </w:rPr>
            </w:pPr>
            <w:r w:rsidRPr="00B30455">
              <w:rPr>
                <w:b/>
              </w:rPr>
              <w:t>Our progress</w:t>
            </w:r>
          </w:p>
        </w:tc>
      </w:tr>
      <w:tr w:rsidR="007F02C9" w14:paraId="5A9CE16A" w14:textId="77777777" w:rsidTr="007F02C9">
        <w:tc>
          <w:tcPr>
            <w:tcW w:w="9412" w:type="dxa"/>
            <w:shd w:val="clear" w:color="auto" w:fill="auto"/>
          </w:tcPr>
          <w:p w14:paraId="430FF29A" w14:textId="77777777" w:rsidR="007F02C9" w:rsidRPr="00ED7D9E" w:rsidRDefault="007F02C9" w:rsidP="00B30455">
            <w:pPr>
              <w:pStyle w:val="TableofFigures"/>
              <w:rPr>
                <w:highlight w:val="yellow"/>
              </w:rPr>
            </w:pPr>
            <w:r w:rsidRPr="00ED7D9E">
              <w:t xml:space="preserve">Partner with the Victorian Government and other stakeholders to deliver specific components of </w:t>
            </w:r>
            <w:hyperlink r:id="rId12" w:history="1">
              <w:r w:rsidRPr="00ED7D9E">
                <w:rPr>
                  <w:rStyle w:val="Hyperlink"/>
                </w:rPr>
                <w:t>Greenline</w:t>
              </w:r>
            </w:hyperlink>
            <w:r w:rsidRPr="00ED7D9E">
              <w:rPr>
                <w:rStyle w:val="FootnoteReference"/>
              </w:rPr>
              <w:footnoteReference w:id="5"/>
            </w:r>
            <w:r w:rsidRPr="00ED7D9E">
              <w:t xml:space="preserve"> along the north bank of the Yarra River.</w:t>
            </w:r>
          </w:p>
        </w:tc>
        <w:tc>
          <w:tcPr>
            <w:tcW w:w="2268" w:type="dxa"/>
            <w:shd w:val="clear" w:color="auto" w:fill="auto"/>
          </w:tcPr>
          <w:p w14:paraId="55DAE533" w14:textId="77777777" w:rsidR="007F02C9" w:rsidRPr="00ED7D9E" w:rsidRDefault="007F02C9" w:rsidP="00B30455">
            <w:pPr>
              <w:pStyle w:val="TableofFigures"/>
            </w:pPr>
            <w:r w:rsidRPr="00ED7D9E">
              <w:t>Deliver</w:t>
            </w:r>
            <w:r w:rsidRPr="00ED7D9E">
              <w:br/>
              <w:t>Partner</w:t>
            </w:r>
          </w:p>
        </w:tc>
        <w:tc>
          <w:tcPr>
            <w:tcW w:w="2268" w:type="dxa"/>
            <w:shd w:val="clear" w:color="auto" w:fill="auto"/>
          </w:tcPr>
          <w:p w14:paraId="4997AB8B" w14:textId="77777777" w:rsidR="007F02C9" w:rsidRPr="009E6BAD" w:rsidRDefault="00ED7D9E" w:rsidP="00B30455">
            <w:pPr>
              <w:pStyle w:val="TableofFigures"/>
            </w:pPr>
            <w:r w:rsidRPr="009E6BAD">
              <w:t>On track</w:t>
            </w:r>
          </w:p>
        </w:tc>
      </w:tr>
      <w:tr w:rsidR="007F02C9" w14:paraId="071702CE" w14:textId="77777777" w:rsidTr="007F02C9">
        <w:tc>
          <w:tcPr>
            <w:tcW w:w="9412" w:type="dxa"/>
            <w:shd w:val="clear" w:color="auto" w:fill="auto"/>
          </w:tcPr>
          <w:p w14:paraId="4F808B41" w14:textId="77777777" w:rsidR="007F02C9" w:rsidRPr="00D9253D" w:rsidRDefault="007F02C9" w:rsidP="007F02C9">
            <w:pPr>
              <w:pStyle w:val="TableofFigures"/>
            </w:pPr>
            <w:r w:rsidRPr="00D9253D">
              <w:t>Increase the amount of public open space in the municipality with a focus on areas of greatest need.</w:t>
            </w:r>
          </w:p>
        </w:tc>
        <w:tc>
          <w:tcPr>
            <w:tcW w:w="2268" w:type="dxa"/>
            <w:shd w:val="clear" w:color="auto" w:fill="auto"/>
          </w:tcPr>
          <w:p w14:paraId="116B1E19" w14:textId="77777777" w:rsidR="007F02C9" w:rsidRPr="00784FF6" w:rsidRDefault="007F02C9" w:rsidP="007F02C9">
            <w:pPr>
              <w:pStyle w:val="TableofFigures"/>
            </w:pPr>
            <w:r>
              <w:t>Deliver</w:t>
            </w:r>
          </w:p>
        </w:tc>
        <w:tc>
          <w:tcPr>
            <w:tcW w:w="2268" w:type="dxa"/>
            <w:shd w:val="clear" w:color="auto" w:fill="auto"/>
          </w:tcPr>
          <w:p w14:paraId="556E649F" w14:textId="77777777" w:rsidR="007F02C9" w:rsidRPr="009E6BAD" w:rsidRDefault="00EA3CBF" w:rsidP="007F02C9">
            <w:pPr>
              <w:pStyle w:val="TableofFigures"/>
            </w:pPr>
            <w:r w:rsidRPr="009E6BAD">
              <w:t>Delayed</w:t>
            </w:r>
          </w:p>
        </w:tc>
      </w:tr>
      <w:tr w:rsidR="00B56866" w14:paraId="060F0955" w14:textId="77777777" w:rsidTr="007F02C9">
        <w:tc>
          <w:tcPr>
            <w:tcW w:w="9412" w:type="dxa"/>
            <w:shd w:val="clear" w:color="auto" w:fill="auto"/>
          </w:tcPr>
          <w:p w14:paraId="18D3408D" w14:textId="77777777" w:rsidR="00B56866" w:rsidRPr="00D9253D" w:rsidRDefault="00B56866" w:rsidP="00B56866">
            <w:pPr>
              <w:pStyle w:val="TableofFigures"/>
            </w:pPr>
            <w:r w:rsidRPr="00D9253D">
              <w:t xml:space="preserve">Celebrate, partner and advocate for investment in the city’s three key waterways, the </w:t>
            </w:r>
            <w:hyperlink r:id="rId13" w:history="1">
              <w:r w:rsidRPr="00D9253D">
                <w:rPr>
                  <w:rStyle w:val="Hyperlink"/>
                </w:rPr>
                <w:t>Yarra River-Birrarung</w:t>
              </w:r>
            </w:hyperlink>
            <w:r w:rsidRPr="00D9253D">
              <w:rPr>
                <w:rStyle w:val="FootnoteReference"/>
              </w:rPr>
              <w:footnoteReference w:id="6"/>
            </w:r>
            <w:r w:rsidRPr="00D9253D">
              <w:t>, the Maribyrnong and Moonee Ponds Creek.</w:t>
            </w:r>
          </w:p>
        </w:tc>
        <w:tc>
          <w:tcPr>
            <w:tcW w:w="2268" w:type="dxa"/>
            <w:shd w:val="clear" w:color="auto" w:fill="auto"/>
          </w:tcPr>
          <w:p w14:paraId="7B601F09" w14:textId="77777777" w:rsidR="00B56866" w:rsidRPr="00784FF6" w:rsidRDefault="00B56866" w:rsidP="00B56866">
            <w:pPr>
              <w:pStyle w:val="TableofFigures"/>
            </w:pPr>
            <w:r>
              <w:t>Partner</w:t>
            </w:r>
            <w:r>
              <w:br/>
              <w:t>Advocate</w:t>
            </w:r>
          </w:p>
        </w:tc>
        <w:tc>
          <w:tcPr>
            <w:tcW w:w="2268" w:type="dxa"/>
            <w:shd w:val="clear" w:color="auto" w:fill="auto"/>
          </w:tcPr>
          <w:p w14:paraId="319396DA" w14:textId="77777777" w:rsidR="00B56866" w:rsidRPr="009E6BAD" w:rsidRDefault="00B56866" w:rsidP="00B56866">
            <w:pPr>
              <w:pStyle w:val="TableofFigures"/>
            </w:pPr>
            <w:r w:rsidRPr="006C0BBA">
              <w:t>On track</w:t>
            </w:r>
          </w:p>
        </w:tc>
      </w:tr>
      <w:tr w:rsidR="00B56866" w14:paraId="0735130B" w14:textId="77777777" w:rsidTr="007F02C9">
        <w:tc>
          <w:tcPr>
            <w:tcW w:w="9412" w:type="dxa"/>
            <w:shd w:val="clear" w:color="auto" w:fill="auto"/>
          </w:tcPr>
          <w:p w14:paraId="09E5B715" w14:textId="77777777" w:rsidR="00B56866" w:rsidRPr="00D9253D" w:rsidRDefault="00B56866" w:rsidP="00B56866">
            <w:pPr>
              <w:pStyle w:val="TableofFigures"/>
            </w:pPr>
            <w:r w:rsidRPr="00D9253D">
              <w:t xml:space="preserve">Play a lead role in facilitating the delivery of high-quality and climate adapted urban renewal in </w:t>
            </w:r>
            <w:hyperlink r:id="rId14" w:history="1">
              <w:r w:rsidRPr="00D9253D">
                <w:rPr>
                  <w:rStyle w:val="Hyperlink"/>
                </w:rPr>
                <w:t>Arden</w:t>
              </w:r>
            </w:hyperlink>
            <w:r w:rsidRPr="00D9253D">
              <w:rPr>
                <w:rStyle w:val="FootnoteReference"/>
              </w:rPr>
              <w:footnoteReference w:id="7"/>
            </w:r>
            <w:r w:rsidRPr="00D9253D">
              <w:t xml:space="preserve"> and </w:t>
            </w:r>
            <w:hyperlink r:id="rId15" w:history="1">
              <w:r w:rsidRPr="00D9253D">
                <w:rPr>
                  <w:rStyle w:val="Hyperlink"/>
                </w:rPr>
                <w:t>Macaulay</w:t>
              </w:r>
            </w:hyperlink>
            <w:r w:rsidRPr="00D9253D">
              <w:rPr>
                <w:rStyle w:val="FootnoteReference"/>
              </w:rPr>
              <w:footnoteReference w:id="8"/>
            </w:r>
            <w:r w:rsidRPr="00D9253D">
              <w:t xml:space="preserve">, </w:t>
            </w:r>
            <w:hyperlink r:id="rId16" w:history="1">
              <w:r w:rsidRPr="00D9253D">
                <w:rPr>
                  <w:rStyle w:val="Hyperlink"/>
                </w:rPr>
                <w:t>Fishermans Bend</w:t>
              </w:r>
            </w:hyperlink>
            <w:r w:rsidRPr="00D9253D">
              <w:rPr>
                <w:rStyle w:val="FootnoteReference"/>
              </w:rPr>
              <w:footnoteReference w:id="9"/>
            </w:r>
            <w:r w:rsidRPr="00D9253D">
              <w:t>, and Docklands in partnership with the Victorian Government.</w:t>
            </w:r>
          </w:p>
        </w:tc>
        <w:tc>
          <w:tcPr>
            <w:tcW w:w="2268" w:type="dxa"/>
            <w:shd w:val="clear" w:color="auto" w:fill="auto"/>
          </w:tcPr>
          <w:p w14:paraId="4CAD52C1" w14:textId="77777777" w:rsidR="00B56866" w:rsidRPr="00784FF6" w:rsidRDefault="00B56866" w:rsidP="00B56866">
            <w:pPr>
              <w:pStyle w:val="TableofFigures"/>
            </w:pPr>
            <w:r w:rsidRPr="00B30455">
              <w:rPr>
                <w:lang w:val="en-AU"/>
              </w:rPr>
              <w:t xml:space="preserve">Partner </w:t>
            </w:r>
          </w:p>
        </w:tc>
        <w:tc>
          <w:tcPr>
            <w:tcW w:w="2268" w:type="dxa"/>
            <w:shd w:val="clear" w:color="auto" w:fill="auto"/>
          </w:tcPr>
          <w:p w14:paraId="304CA3CF" w14:textId="77777777" w:rsidR="00B56866" w:rsidRPr="009E6BAD" w:rsidRDefault="00B56866" w:rsidP="00B56866">
            <w:pPr>
              <w:pStyle w:val="TableofFigures"/>
            </w:pPr>
            <w:r w:rsidRPr="006C0BBA">
              <w:t>On track</w:t>
            </w:r>
          </w:p>
        </w:tc>
      </w:tr>
      <w:tr w:rsidR="00B56866" w14:paraId="0BA7AC1B" w14:textId="77777777" w:rsidTr="007F02C9">
        <w:tc>
          <w:tcPr>
            <w:tcW w:w="9412" w:type="dxa"/>
            <w:shd w:val="clear" w:color="auto" w:fill="auto"/>
          </w:tcPr>
          <w:p w14:paraId="1A28547B" w14:textId="77777777" w:rsidR="00B56866" w:rsidRPr="00D9253D" w:rsidRDefault="00B56866" w:rsidP="00B56866">
            <w:pPr>
              <w:pStyle w:val="TableofFigures"/>
            </w:pPr>
            <w:r w:rsidRPr="00D9253D">
              <w:t>Adopt the Municipal Planning Strategy in 2022-23.</w:t>
            </w:r>
          </w:p>
        </w:tc>
        <w:tc>
          <w:tcPr>
            <w:tcW w:w="2268" w:type="dxa"/>
            <w:shd w:val="clear" w:color="auto" w:fill="auto"/>
          </w:tcPr>
          <w:p w14:paraId="183DB11A" w14:textId="77777777" w:rsidR="00B56866" w:rsidRPr="00784FF6" w:rsidRDefault="00B56866" w:rsidP="00B56866">
            <w:pPr>
              <w:pStyle w:val="TableofFigures"/>
            </w:pPr>
            <w:r>
              <w:t>Partner</w:t>
            </w:r>
          </w:p>
        </w:tc>
        <w:tc>
          <w:tcPr>
            <w:tcW w:w="2268" w:type="dxa"/>
            <w:shd w:val="clear" w:color="auto" w:fill="auto"/>
          </w:tcPr>
          <w:p w14:paraId="11BFF1B0" w14:textId="77777777" w:rsidR="00B56866" w:rsidRPr="009E6BAD" w:rsidRDefault="00B56866" w:rsidP="00B56866">
            <w:pPr>
              <w:pStyle w:val="TableofFigures"/>
            </w:pPr>
            <w:r w:rsidRPr="009E6BAD">
              <w:t>Delayed</w:t>
            </w:r>
          </w:p>
        </w:tc>
      </w:tr>
      <w:tr w:rsidR="00B56866" w14:paraId="51FC28CD" w14:textId="77777777" w:rsidTr="007F02C9">
        <w:tc>
          <w:tcPr>
            <w:tcW w:w="9412" w:type="dxa"/>
            <w:tcBorders>
              <w:top w:val="single" w:sz="4" w:space="0" w:color="auto"/>
              <w:left w:val="single" w:sz="4" w:space="0" w:color="auto"/>
              <w:bottom w:val="single" w:sz="4" w:space="0" w:color="auto"/>
              <w:right w:val="single" w:sz="4" w:space="0" w:color="auto"/>
            </w:tcBorders>
            <w:shd w:val="clear" w:color="auto" w:fill="auto"/>
          </w:tcPr>
          <w:p w14:paraId="3A824001" w14:textId="77777777" w:rsidR="00B56866" w:rsidRPr="00D9253D" w:rsidRDefault="00B56866" w:rsidP="00B56866">
            <w:pPr>
              <w:pStyle w:val="TableofFigures"/>
            </w:pPr>
            <w:r w:rsidRPr="00D9253D">
              <w:t>Complete heritage reviews and implement associated planning scheme amendments to protect and celebrate heritage in our municipality.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1DE490C" w14:textId="77777777" w:rsidR="00B56866" w:rsidRDefault="00B56866" w:rsidP="00B56866">
            <w:pPr>
              <w:pStyle w:val="TableofFigures"/>
            </w:pPr>
            <w:r w:rsidRPr="00A7205E">
              <w:t>Deliver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A50D4E" w14:textId="77777777" w:rsidR="00B56866" w:rsidRPr="009E6BAD" w:rsidRDefault="00B56866" w:rsidP="00B56866">
            <w:pPr>
              <w:pStyle w:val="TableofFigures"/>
            </w:pPr>
            <w:r w:rsidRPr="009E6BAD">
              <w:t>Delayed</w:t>
            </w:r>
          </w:p>
        </w:tc>
      </w:tr>
      <w:tr w:rsidR="00B56866" w14:paraId="25461F8D" w14:textId="77777777" w:rsidTr="007F02C9">
        <w:tc>
          <w:tcPr>
            <w:tcW w:w="9412" w:type="dxa"/>
            <w:shd w:val="clear" w:color="auto" w:fill="auto"/>
          </w:tcPr>
          <w:p w14:paraId="51B6148B" w14:textId="77777777" w:rsidR="00B56866" w:rsidRPr="00D9253D" w:rsidRDefault="00B56866" w:rsidP="00B56866">
            <w:pPr>
              <w:pStyle w:val="TableofFigures"/>
            </w:pPr>
            <w:r w:rsidRPr="00D9253D">
              <w:t xml:space="preserve">Protect </w:t>
            </w:r>
            <w:hyperlink r:id="rId17" w:history="1">
              <w:r w:rsidRPr="00D9253D">
                <w:rPr>
                  <w:rStyle w:val="Hyperlink"/>
                </w:rPr>
                <w:t>Queen Victoria Market</w:t>
              </w:r>
            </w:hyperlink>
            <w:bookmarkStart w:id="15" w:name="_Ref87020719"/>
            <w:r w:rsidRPr="00D9253D">
              <w:rPr>
                <w:rStyle w:val="FootnoteReference"/>
              </w:rPr>
              <w:footnoteReference w:id="10"/>
            </w:r>
            <w:bookmarkEnd w:id="15"/>
            <w:r w:rsidRPr="00D9253D">
              <w:t xml:space="preserve"> as a traditional open-air market.</w:t>
            </w:r>
          </w:p>
        </w:tc>
        <w:tc>
          <w:tcPr>
            <w:tcW w:w="2268" w:type="dxa"/>
            <w:shd w:val="clear" w:color="auto" w:fill="auto"/>
          </w:tcPr>
          <w:p w14:paraId="513EEAB1" w14:textId="77777777" w:rsidR="00B56866" w:rsidRPr="00784FF6" w:rsidRDefault="00B56866" w:rsidP="00B56866">
            <w:pPr>
              <w:pStyle w:val="TableofFigures"/>
            </w:pPr>
            <w:r>
              <w:t>Deliver</w:t>
            </w:r>
          </w:p>
        </w:tc>
        <w:tc>
          <w:tcPr>
            <w:tcW w:w="2268" w:type="dxa"/>
            <w:shd w:val="clear" w:color="auto" w:fill="auto"/>
          </w:tcPr>
          <w:p w14:paraId="75BE6C1A" w14:textId="77777777" w:rsidR="00B56866" w:rsidRPr="009E6BAD" w:rsidRDefault="00B56866" w:rsidP="00B56866">
            <w:pPr>
              <w:pStyle w:val="TableofFigures"/>
            </w:pPr>
            <w:r w:rsidRPr="006C0BBA">
              <w:t>On track</w:t>
            </w:r>
          </w:p>
        </w:tc>
      </w:tr>
      <w:tr w:rsidR="00B56866" w14:paraId="004489AD" w14:textId="77777777" w:rsidTr="007F02C9">
        <w:tc>
          <w:tcPr>
            <w:tcW w:w="9412" w:type="dxa"/>
            <w:shd w:val="clear" w:color="auto" w:fill="auto"/>
          </w:tcPr>
          <w:p w14:paraId="0E3532AD" w14:textId="77777777" w:rsidR="00B56866" w:rsidRPr="00D9253D" w:rsidRDefault="00B56866" w:rsidP="00B56866">
            <w:pPr>
              <w:pStyle w:val="TableofFigures"/>
            </w:pPr>
            <w:r w:rsidRPr="00D9253D">
              <w:t xml:space="preserve">Deliver </w:t>
            </w:r>
            <w:hyperlink r:id="rId18" w:history="1">
              <w:r w:rsidRPr="00D9253D">
                <w:rPr>
                  <w:rStyle w:val="Hyperlink"/>
                </w:rPr>
                <w:t>Queen Victoria Market</w:t>
              </w:r>
            </w:hyperlink>
            <w:r w:rsidRPr="00D9253D">
              <w:rPr>
                <w:rStyle w:val="FootnoteReference"/>
              </w:rPr>
              <w:fldChar w:fldCharType="begin"/>
            </w:r>
            <w:r w:rsidRPr="00D9253D">
              <w:rPr>
                <w:rStyle w:val="FootnoteReference"/>
              </w:rPr>
              <w:instrText xml:space="preserve"> NOTEREF _Ref87020719 \h </w:instrText>
            </w:r>
            <w:r w:rsidRPr="00D9253D">
              <w:rPr>
                <w:rStyle w:val="FootnoteReference"/>
              </w:rPr>
            </w:r>
            <w:r w:rsidRPr="00D9253D">
              <w:rPr>
                <w:rStyle w:val="FootnoteReference"/>
              </w:rPr>
              <w:instrText xml:space="preserve"> \* MERGEFORMAT </w:instrText>
            </w:r>
            <w:r w:rsidRPr="00D9253D">
              <w:rPr>
                <w:rStyle w:val="FootnoteReference"/>
              </w:rPr>
              <w:fldChar w:fldCharType="separate"/>
            </w:r>
            <w:r w:rsidRPr="00D9253D">
              <w:rPr>
                <w:rStyle w:val="FootnoteReference"/>
              </w:rPr>
              <w:t>6</w:t>
            </w:r>
            <w:r w:rsidRPr="00D9253D">
              <w:rPr>
                <w:rStyle w:val="FootnoteReference"/>
              </w:rPr>
              <w:fldChar w:fldCharType="end"/>
            </w:r>
            <w:r w:rsidRPr="00D9253D">
              <w:t xml:space="preserve"> precinct improvements</w:t>
            </w:r>
            <w:r>
              <w:t xml:space="preserve"> </w:t>
            </w:r>
            <w:r w:rsidRPr="00B37735">
              <w:t>and Munro Community Hub.</w:t>
            </w:r>
          </w:p>
        </w:tc>
        <w:tc>
          <w:tcPr>
            <w:tcW w:w="2268" w:type="dxa"/>
            <w:shd w:val="clear" w:color="auto" w:fill="auto"/>
          </w:tcPr>
          <w:p w14:paraId="29E5D125" w14:textId="77777777" w:rsidR="00B56866" w:rsidRDefault="00B56866" w:rsidP="00B56866">
            <w:pPr>
              <w:pStyle w:val="TableofFigures"/>
            </w:pPr>
            <w:r>
              <w:t>Deliver</w:t>
            </w:r>
          </w:p>
          <w:p w14:paraId="7095380E" w14:textId="77777777" w:rsidR="00B56866" w:rsidRPr="00784FF6" w:rsidRDefault="00B56866" w:rsidP="00B56866">
            <w:pPr>
              <w:pStyle w:val="TableofFigures"/>
            </w:pPr>
            <w:r>
              <w:t>Partner</w:t>
            </w:r>
          </w:p>
        </w:tc>
        <w:tc>
          <w:tcPr>
            <w:tcW w:w="2268" w:type="dxa"/>
            <w:shd w:val="clear" w:color="auto" w:fill="auto"/>
          </w:tcPr>
          <w:p w14:paraId="27945318" w14:textId="77777777" w:rsidR="00B56866" w:rsidRPr="009E6BAD" w:rsidRDefault="00B56866" w:rsidP="00B56866">
            <w:pPr>
              <w:pStyle w:val="TableofFigures"/>
            </w:pPr>
            <w:r w:rsidRPr="006C0BBA">
              <w:t>On track</w:t>
            </w:r>
          </w:p>
        </w:tc>
      </w:tr>
      <w:tr w:rsidR="00B56866" w14:paraId="5873C263" w14:textId="77777777" w:rsidTr="007F02C9">
        <w:tc>
          <w:tcPr>
            <w:tcW w:w="9412" w:type="dxa"/>
            <w:shd w:val="clear" w:color="auto" w:fill="auto"/>
          </w:tcPr>
          <w:p w14:paraId="60627009" w14:textId="77777777" w:rsidR="00B56866" w:rsidRPr="00D9253D" w:rsidRDefault="00B56866" w:rsidP="00B56866">
            <w:pPr>
              <w:pStyle w:val="TableofFigures"/>
            </w:pPr>
            <w:r w:rsidRPr="00D9253D">
              <w:t>Deliver public art projects that reflect Melbourne’s unique culture and heritage.</w:t>
            </w:r>
          </w:p>
        </w:tc>
        <w:tc>
          <w:tcPr>
            <w:tcW w:w="2268" w:type="dxa"/>
            <w:shd w:val="clear" w:color="auto" w:fill="auto"/>
          </w:tcPr>
          <w:p w14:paraId="3B710055" w14:textId="77777777" w:rsidR="00B56866" w:rsidRPr="00784FF6" w:rsidRDefault="00B56866" w:rsidP="00B56866">
            <w:pPr>
              <w:pStyle w:val="TableofFigures"/>
            </w:pPr>
            <w:r>
              <w:t>Deliver</w:t>
            </w:r>
          </w:p>
        </w:tc>
        <w:tc>
          <w:tcPr>
            <w:tcW w:w="2268" w:type="dxa"/>
            <w:shd w:val="clear" w:color="auto" w:fill="auto"/>
          </w:tcPr>
          <w:p w14:paraId="792696CA" w14:textId="77777777" w:rsidR="00B56866" w:rsidRPr="009E6BAD" w:rsidRDefault="00B56866" w:rsidP="00B56866">
            <w:pPr>
              <w:pStyle w:val="TableofFigures"/>
            </w:pPr>
            <w:r w:rsidRPr="009E6BAD">
              <w:t>Delayed</w:t>
            </w:r>
          </w:p>
        </w:tc>
      </w:tr>
      <w:tr w:rsidR="00B56866" w14:paraId="518CF033" w14:textId="77777777" w:rsidTr="007F02C9">
        <w:tc>
          <w:tcPr>
            <w:tcW w:w="9412" w:type="dxa"/>
            <w:shd w:val="clear" w:color="auto" w:fill="auto"/>
          </w:tcPr>
          <w:p w14:paraId="6BF5254E" w14:textId="77777777" w:rsidR="00B56866" w:rsidRPr="00D9253D" w:rsidRDefault="00B56866" w:rsidP="00B56866">
            <w:pPr>
              <w:pStyle w:val="TableofFigures"/>
            </w:pPr>
            <w:r w:rsidRPr="00D9253D">
              <w:t>Facilitate increased investment in unique Melbourne events to further activate and celebrate the city.</w:t>
            </w:r>
          </w:p>
        </w:tc>
        <w:tc>
          <w:tcPr>
            <w:tcW w:w="2268" w:type="dxa"/>
            <w:shd w:val="clear" w:color="auto" w:fill="auto"/>
          </w:tcPr>
          <w:p w14:paraId="36A51D45" w14:textId="77777777" w:rsidR="00B56866" w:rsidRPr="00784FF6" w:rsidRDefault="00B56866" w:rsidP="00B56866">
            <w:pPr>
              <w:pStyle w:val="TableofFigures"/>
            </w:pPr>
            <w:r w:rsidRPr="00B30455">
              <w:t>Partner</w:t>
            </w:r>
          </w:p>
        </w:tc>
        <w:tc>
          <w:tcPr>
            <w:tcW w:w="2268" w:type="dxa"/>
            <w:shd w:val="clear" w:color="auto" w:fill="auto"/>
          </w:tcPr>
          <w:p w14:paraId="7760A453" w14:textId="77777777" w:rsidR="00B56866" w:rsidRPr="00784FF6" w:rsidRDefault="00B56866" w:rsidP="00B56866">
            <w:pPr>
              <w:pStyle w:val="TableofFigures"/>
            </w:pPr>
            <w:r w:rsidRPr="006C0BBA">
              <w:t>On track</w:t>
            </w:r>
          </w:p>
        </w:tc>
      </w:tr>
      <w:tr w:rsidR="00B56866" w14:paraId="41ABCC23" w14:textId="77777777" w:rsidTr="007F02C9">
        <w:tc>
          <w:tcPr>
            <w:tcW w:w="9412" w:type="dxa"/>
            <w:shd w:val="clear" w:color="auto" w:fill="auto"/>
          </w:tcPr>
          <w:p w14:paraId="26E7ABAC" w14:textId="77777777" w:rsidR="00B56866" w:rsidRPr="00D9253D" w:rsidRDefault="00B56866" w:rsidP="00B56866">
            <w:pPr>
              <w:pStyle w:val="TableofFigures"/>
            </w:pPr>
            <w:r w:rsidRPr="00D9253D">
              <w:t xml:space="preserve">Champion high quality development and public realm design through delivering the </w:t>
            </w:r>
            <w:r w:rsidRPr="00D9253D">
              <w:rPr>
                <w:rStyle w:val="Hyperlink"/>
              </w:rPr>
              <w:t>Design Excellence Program</w:t>
            </w:r>
            <w:r w:rsidRPr="00D9253D">
              <w:rPr>
                <w:rStyle w:val="FootnoteReference"/>
              </w:rPr>
              <w:footnoteReference w:id="11"/>
            </w:r>
            <w:r w:rsidRPr="00D9253D">
              <w:t>.</w:t>
            </w:r>
          </w:p>
        </w:tc>
        <w:tc>
          <w:tcPr>
            <w:tcW w:w="2268" w:type="dxa"/>
            <w:shd w:val="clear" w:color="auto" w:fill="auto"/>
          </w:tcPr>
          <w:p w14:paraId="20B1A27A" w14:textId="77777777" w:rsidR="00B56866" w:rsidRDefault="00B56866" w:rsidP="00B56866">
            <w:pPr>
              <w:pStyle w:val="TableofFigures"/>
            </w:pPr>
            <w:r w:rsidRPr="00A7205E">
              <w:t>Deliver</w:t>
            </w:r>
          </w:p>
        </w:tc>
        <w:tc>
          <w:tcPr>
            <w:tcW w:w="2268" w:type="dxa"/>
            <w:shd w:val="clear" w:color="auto" w:fill="auto"/>
          </w:tcPr>
          <w:p w14:paraId="59B2F69D" w14:textId="77777777" w:rsidR="00B56866" w:rsidRPr="00784FF6" w:rsidRDefault="00B56866" w:rsidP="00B56866">
            <w:pPr>
              <w:pStyle w:val="TableofFigures"/>
            </w:pPr>
            <w:r w:rsidRPr="006C0BBA">
              <w:t>On track</w:t>
            </w:r>
          </w:p>
        </w:tc>
      </w:tr>
    </w:tbl>
    <w:p w14:paraId="76C33227" w14:textId="77777777" w:rsidR="002B3919" w:rsidRDefault="002B3919" w:rsidP="007F02C9">
      <w:pPr>
        <w:pStyle w:val="Heading2"/>
        <w:rPr>
          <w:rFonts w:hint="eastAsia"/>
        </w:rPr>
      </w:pPr>
    </w:p>
    <w:p w14:paraId="39680166" w14:textId="77777777" w:rsidR="007F02C9" w:rsidRPr="00CF27A2" w:rsidRDefault="002B3919" w:rsidP="007F02C9">
      <w:pPr>
        <w:pStyle w:val="Heading2"/>
      </w:pPr>
      <w:r>
        <w:rPr>
          <w:rFonts w:hint="eastAsia"/>
        </w:rPr>
        <w:br w:type="page"/>
      </w:r>
      <w:bookmarkStart w:id="16" w:name="_Toc193204203"/>
      <w:r w:rsidR="007F02C9">
        <w:lastRenderedPageBreak/>
        <w:t>How we’re measuring progress over four years</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7F02C9" w14:paraId="5109409A" w14:textId="77777777" w:rsidTr="0052081B">
        <w:trPr>
          <w:tblHeader/>
        </w:trPr>
        <w:tc>
          <w:tcPr>
            <w:tcW w:w="9412" w:type="dxa"/>
            <w:shd w:val="clear" w:color="auto" w:fill="auto"/>
          </w:tcPr>
          <w:p w14:paraId="660A6A03" w14:textId="77777777" w:rsidR="007F02C9" w:rsidRPr="00784FF6" w:rsidRDefault="007F02C9" w:rsidP="0052081B">
            <w:pPr>
              <w:pStyle w:val="TableofFigures"/>
              <w:rPr>
                <w:b/>
              </w:rPr>
            </w:pPr>
            <w:r>
              <w:rPr>
                <w:b/>
              </w:rPr>
              <w:t>Indicator</w:t>
            </w:r>
          </w:p>
        </w:tc>
        <w:tc>
          <w:tcPr>
            <w:tcW w:w="4537" w:type="dxa"/>
            <w:shd w:val="clear" w:color="auto" w:fill="auto"/>
          </w:tcPr>
          <w:p w14:paraId="3891EBA1" w14:textId="77777777" w:rsidR="007F02C9" w:rsidRPr="00784FF6" w:rsidRDefault="007F02C9" w:rsidP="0052081B">
            <w:pPr>
              <w:pStyle w:val="TableofFigures"/>
              <w:rPr>
                <w:b/>
              </w:rPr>
            </w:pPr>
            <w:r>
              <w:rPr>
                <w:b/>
              </w:rPr>
              <w:t>Target outcome</w:t>
            </w:r>
          </w:p>
        </w:tc>
      </w:tr>
      <w:tr w:rsidR="007F02C9" w14:paraId="09023768" w14:textId="77777777" w:rsidTr="0052081B">
        <w:tc>
          <w:tcPr>
            <w:tcW w:w="9412" w:type="dxa"/>
            <w:shd w:val="clear" w:color="auto" w:fill="auto"/>
          </w:tcPr>
          <w:p w14:paraId="6B0027DD" w14:textId="77777777" w:rsidR="007F02C9" w:rsidRPr="0053250D" w:rsidRDefault="007F02C9" w:rsidP="000571FF">
            <w:pPr>
              <w:pStyle w:val="TableofFigures"/>
            </w:pPr>
            <w:r w:rsidRPr="0053250D">
              <w:t>Proportion of residents within 300m of public open space.</w:t>
            </w:r>
          </w:p>
        </w:tc>
        <w:tc>
          <w:tcPr>
            <w:tcW w:w="4537" w:type="dxa"/>
            <w:shd w:val="clear" w:color="auto" w:fill="auto"/>
          </w:tcPr>
          <w:p w14:paraId="000633EA" w14:textId="77777777" w:rsidR="007F02C9" w:rsidRPr="0053250D" w:rsidRDefault="007F02C9" w:rsidP="000571FF">
            <w:pPr>
              <w:pStyle w:val="TableofFigures"/>
            </w:pPr>
            <w:r w:rsidRPr="0053250D">
              <w:t>Increase</w:t>
            </w:r>
          </w:p>
        </w:tc>
      </w:tr>
      <w:tr w:rsidR="007F02C9" w14:paraId="638D7F17" w14:textId="77777777" w:rsidTr="0052081B">
        <w:tc>
          <w:tcPr>
            <w:tcW w:w="9412" w:type="dxa"/>
            <w:shd w:val="clear" w:color="auto" w:fill="auto"/>
          </w:tcPr>
          <w:p w14:paraId="35144861" w14:textId="77777777" w:rsidR="007F02C9" w:rsidRPr="0053250D" w:rsidRDefault="007F02C9" w:rsidP="000571FF">
            <w:pPr>
              <w:pStyle w:val="TableofFigures"/>
            </w:pPr>
            <w:r w:rsidRPr="0053250D">
              <w:t>Proportion of people surveyed who visit a park in the municipality on a regular basis.</w:t>
            </w:r>
          </w:p>
        </w:tc>
        <w:tc>
          <w:tcPr>
            <w:tcW w:w="4537" w:type="dxa"/>
            <w:shd w:val="clear" w:color="auto" w:fill="auto"/>
          </w:tcPr>
          <w:p w14:paraId="66299030" w14:textId="77777777" w:rsidR="007F02C9" w:rsidRPr="0053250D" w:rsidRDefault="007F02C9" w:rsidP="000571FF">
            <w:pPr>
              <w:pStyle w:val="TableofFigures"/>
            </w:pPr>
            <w:r w:rsidRPr="0053250D">
              <w:t>Increase</w:t>
            </w:r>
          </w:p>
        </w:tc>
      </w:tr>
      <w:tr w:rsidR="007F02C9" w14:paraId="6F423CE8" w14:textId="77777777" w:rsidTr="0052081B">
        <w:tc>
          <w:tcPr>
            <w:tcW w:w="9412" w:type="dxa"/>
            <w:shd w:val="clear" w:color="auto" w:fill="auto"/>
          </w:tcPr>
          <w:p w14:paraId="465186A6" w14:textId="77777777" w:rsidR="007F02C9" w:rsidRPr="0053250D" w:rsidRDefault="007F02C9" w:rsidP="000571FF">
            <w:pPr>
              <w:pStyle w:val="TableofFigures"/>
            </w:pPr>
            <w:r w:rsidRPr="0053250D">
              <w:t>Area of new public open space in Southbank.</w:t>
            </w:r>
          </w:p>
        </w:tc>
        <w:tc>
          <w:tcPr>
            <w:tcW w:w="4537" w:type="dxa"/>
            <w:shd w:val="clear" w:color="auto" w:fill="auto"/>
          </w:tcPr>
          <w:p w14:paraId="40A75A5B" w14:textId="77777777" w:rsidR="007F02C9" w:rsidRPr="0053250D" w:rsidRDefault="007F02C9" w:rsidP="000571FF">
            <w:pPr>
              <w:pStyle w:val="TableofFigures"/>
            </w:pPr>
            <w:r w:rsidRPr="0053250D">
              <w:t>1.1ha (by 2025)</w:t>
            </w:r>
          </w:p>
        </w:tc>
      </w:tr>
      <w:tr w:rsidR="007F02C9" w14:paraId="0F6F4BE2" w14:textId="77777777" w:rsidTr="0052081B">
        <w:tc>
          <w:tcPr>
            <w:tcW w:w="9412" w:type="dxa"/>
            <w:shd w:val="clear" w:color="auto" w:fill="auto"/>
          </w:tcPr>
          <w:p w14:paraId="5B27870B" w14:textId="77777777" w:rsidR="007F02C9" w:rsidRPr="0053250D" w:rsidRDefault="007F02C9" w:rsidP="000571FF">
            <w:pPr>
              <w:pStyle w:val="TableofFigures"/>
            </w:pPr>
            <w:r w:rsidRPr="0053250D">
              <w:t>Neighbourhoods in the municipality with up-to-date local heritage studies and controls.</w:t>
            </w:r>
          </w:p>
        </w:tc>
        <w:tc>
          <w:tcPr>
            <w:tcW w:w="4537" w:type="dxa"/>
            <w:shd w:val="clear" w:color="auto" w:fill="auto"/>
          </w:tcPr>
          <w:p w14:paraId="16748717" w14:textId="77777777" w:rsidR="007F02C9" w:rsidRPr="0053250D" w:rsidRDefault="006E1D3A" w:rsidP="000571FF">
            <w:pPr>
              <w:pStyle w:val="TableofFigures"/>
            </w:pPr>
            <w:r w:rsidRPr="0053250D">
              <w:t>100%</w:t>
            </w:r>
          </w:p>
        </w:tc>
      </w:tr>
      <w:tr w:rsidR="007F02C9" w14:paraId="63ABB0F5" w14:textId="77777777" w:rsidTr="0052081B">
        <w:tc>
          <w:tcPr>
            <w:tcW w:w="9412" w:type="dxa"/>
            <w:shd w:val="clear" w:color="auto" w:fill="auto"/>
          </w:tcPr>
          <w:p w14:paraId="3BBEDE5D" w14:textId="77777777" w:rsidR="007F02C9" w:rsidRPr="0053250D" w:rsidRDefault="006E1D3A" w:rsidP="000571FF">
            <w:pPr>
              <w:pStyle w:val="TableofFigures"/>
            </w:pPr>
            <w:r w:rsidRPr="0053250D">
              <w:t>Proportion of people who support the city being made up of different cultures.</w:t>
            </w:r>
          </w:p>
        </w:tc>
        <w:tc>
          <w:tcPr>
            <w:tcW w:w="4537" w:type="dxa"/>
            <w:shd w:val="clear" w:color="auto" w:fill="auto"/>
          </w:tcPr>
          <w:p w14:paraId="246577A5" w14:textId="77777777" w:rsidR="007F02C9" w:rsidRPr="0053250D" w:rsidRDefault="007F02C9" w:rsidP="000571FF">
            <w:pPr>
              <w:pStyle w:val="TableofFigures"/>
            </w:pPr>
            <w:r w:rsidRPr="0053250D">
              <w:t>100%</w:t>
            </w:r>
          </w:p>
        </w:tc>
      </w:tr>
      <w:tr w:rsidR="006E1D3A" w14:paraId="3047D4CE" w14:textId="77777777" w:rsidTr="0052081B">
        <w:tc>
          <w:tcPr>
            <w:tcW w:w="9412" w:type="dxa"/>
            <w:shd w:val="clear" w:color="auto" w:fill="auto"/>
          </w:tcPr>
          <w:p w14:paraId="4CB093CD" w14:textId="77777777" w:rsidR="006E1D3A" w:rsidRPr="00053192" w:rsidRDefault="006E1D3A" w:rsidP="000571FF">
            <w:pPr>
              <w:pStyle w:val="TableofFigures"/>
            </w:pPr>
            <w:r w:rsidRPr="00053192">
              <w:t>Value of the creative sector to the local economy.</w:t>
            </w:r>
          </w:p>
        </w:tc>
        <w:tc>
          <w:tcPr>
            <w:tcW w:w="4537" w:type="dxa"/>
            <w:shd w:val="clear" w:color="auto" w:fill="auto"/>
          </w:tcPr>
          <w:p w14:paraId="2D22EF6C" w14:textId="77777777" w:rsidR="006E1D3A" w:rsidRPr="00053192" w:rsidRDefault="006E1D3A" w:rsidP="000571FF">
            <w:pPr>
              <w:pStyle w:val="TableofFigures"/>
            </w:pPr>
            <w:r w:rsidRPr="00053192">
              <w:t>Increase</w:t>
            </w:r>
          </w:p>
        </w:tc>
      </w:tr>
      <w:tr w:rsidR="006E1D3A" w14:paraId="7341FC4D" w14:textId="77777777" w:rsidTr="0052081B">
        <w:tc>
          <w:tcPr>
            <w:tcW w:w="9412" w:type="dxa"/>
            <w:shd w:val="clear" w:color="auto" w:fill="auto"/>
          </w:tcPr>
          <w:p w14:paraId="4EBBC31E" w14:textId="77777777" w:rsidR="006E1D3A" w:rsidRPr="00053192" w:rsidRDefault="006E1D3A" w:rsidP="000571FF">
            <w:pPr>
              <w:pStyle w:val="TableofFigures"/>
            </w:pPr>
            <w:r w:rsidRPr="00053192">
              <w:t>The number of creative spaces in the municipality.</w:t>
            </w:r>
          </w:p>
        </w:tc>
        <w:tc>
          <w:tcPr>
            <w:tcW w:w="4537" w:type="dxa"/>
            <w:shd w:val="clear" w:color="auto" w:fill="auto"/>
          </w:tcPr>
          <w:p w14:paraId="14393F67" w14:textId="77777777" w:rsidR="006E1D3A" w:rsidRPr="00053192" w:rsidRDefault="006E1D3A" w:rsidP="000571FF">
            <w:pPr>
              <w:pStyle w:val="TableofFigures"/>
            </w:pPr>
            <w:r w:rsidRPr="00053192">
              <w:t>Increase</w:t>
            </w:r>
          </w:p>
        </w:tc>
      </w:tr>
      <w:tr w:rsidR="006E1D3A" w14:paraId="1CAEE6DD" w14:textId="77777777" w:rsidTr="0052081B">
        <w:tc>
          <w:tcPr>
            <w:tcW w:w="9412" w:type="dxa"/>
            <w:shd w:val="clear" w:color="auto" w:fill="auto"/>
          </w:tcPr>
          <w:p w14:paraId="4579046B" w14:textId="77777777" w:rsidR="006E1D3A" w:rsidRPr="00053192" w:rsidRDefault="006E1D3A" w:rsidP="000571FF">
            <w:pPr>
              <w:pStyle w:val="TableofFigures"/>
            </w:pPr>
            <w:r w:rsidRPr="006E1D3A">
              <w:t>The number of artists supported by City of Melbourne through city planning, design and city operations.</w:t>
            </w:r>
          </w:p>
        </w:tc>
        <w:tc>
          <w:tcPr>
            <w:tcW w:w="4537" w:type="dxa"/>
            <w:shd w:val="clear" w:color="auto" w:fill="auto"/>
          </w:tcPr>
          <w:p w14:paraId="4EAB4CD2" w14:textId="77777777" w:rsidR="006E1D3A" w:rsidRPr="00053192" w:rsidRDefault="006E1D3A" w:rsidP="000571FF">
            <w:pPr>
              <w:pStyle w:val="TableofFigures"/>
            </w:pPr>
            <w:r w:rsidRPr="00053192">
              <w:t>Increase</w:t>
            </w:r>
          </w:p>
        </w:tc>
      </w:tr>
      <w:tr w:rsidR="006E1D3A" w14:paraId="20EA4694" w14:textId="77777777" w:rsidTr="0052081B">
        <w:tc>
          <w:tcPr>
            <w:tcW w:w="9412" w:type="dxa"/>
            <w:shd w:val="clear" w:color="auto" w:fill="auto"/>
          </w:tcPr>
          <w:p w14:paraId="7CDB6634" w14:textId="77777777" w:rsidR="006E1D3A" w:rsidRPr="00053192" w:rsidRDefault="006E1D3A" w:rsidP="000571FF">
            <w:pPr>
              <w:pStyle w:val="TableofFigures"/>
            </w:pPr>
            <w:r w:rsidRPr="006E1D3A">
              <w:t>The number of design reviews of major projects.</w:t>
            </w:r>
          </w:p>
        </w:tc>
        <w:tc>
          <w:tcPr>
            <w:tcW w:w="4537" w:type="dxa"/>
            <w:shd w:val="clear" w:color="auto" w:fill="auto"/>
          </w:tcPr>
          <w:p w14:paraId="07ECC265" w14:textId="77777777" w:rsidR="006E1D3A" w:rsidRPr="00053192" w:rsidRDefault="006E1D3A" w:rsidP="000571FF">
            <w:pPr>
              <w:pStyle w:val="TableofFigures"/>
            </w:pPr>
            <w:r w:rsidRPr="00053192">
              <w:t>Increase</w:t>
            </w:r>
          </w:p>
        </w:tc>
      </w:tr>
    </w:tbl>
    <w:p w14:paraId="56A263D8" w14:textId="77777777" w:rsidR="005735E1" w:rsidRDefault="007F02C9" w:rsidP="00D8650A">
      <w:pPr>
        <w:pStyle w:val="Heading1"/>
        <w:spacing w:before="0"/>
      </w:pPr>
      <w:r>
        <w:br w:type="page"/>
      </w:r>
      <w:bookmarkStart w:id="17" w:name="_Toc193204204"/>
      <w:r w:rsidR="005735E1" w:rsidRPr="005735E1">
        <w:lastRenderedPageBreak/>
        <w:t>Aboriginal Melbourne</w:t>
      </w:r>
      <w:bookmarkEnd w:id="17"/>
    </w:p>
    <w:p w14:paraId="2EDD4BA2" w14:textId="77777777" w:rsidR="005735E1" w:rsidRDefault="0038645E" w:rsidP="005735E1">
      <w:r w:rsidRPr="0038645E">
        <w:t xml:space="preserve">For the Wurundjeri, Bunurong, </w:t>
      </w:r>
      <w:proofErr w:type="spellStart"/>
      <w:r w:rsidRPr="0038645E">
        <w:t>Taungurung</w:t>
      </w:r>
      <w:proofErr w:type="spellEnd"/>
      <w:r w:rsidRPr="0038645E">
        <w:t xml:space="preserve">, Dja </w:t>
      </w:r>
      <w:proofErr w:type="spellStart"/>
      <w:r w:rsidRPr="0038645E">
        <w:t>Dja</w:t>
      </w:r>
      <w:proofErr w:type="spellEnd"/>
      <w:r w:rsidRPr="0038645E">
        <w:t xml:space="preserve"> Wurrung and </w:t>
      </w:r>
      <w:proofErr w:type="spellStart"/>
      <w:r w:rsidRPr="0038645E">
        <w:t>Wadawurrung</w:t>
      </w:r>
      <w:proofErr w:type="spellEnd"/>
      <w:r w:rsidRPr="0038645E">
        <w:t xml:space="preserve"> peoples of the Eastern Kulin, the place now known as Melbourne has always been an important meeting place and location for events of political, cultural, social and educational significance. Over the next four years, we will ensure that First Peoples’ culture, lore, knowledge, and heritage enrich the city’s growth and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4062"/>
      </w:tblGrid>
      <w:tr w:rsidR="005735E1" w14:paraId="6C7B021B" w14:textId="77777777" w:rsidTr="00004EFF">
        <w:tc>
          <w:tcPr>
            <w:tcW w:w="14062" w:type="dxa"/>
            <w:shd w:val="clear" w:color="auto" w:fill="auto"/>
          </w:tcPr>
          <w:p w14:paraId="7AAB4A7C" w14:textId="77777777" w:rsidR="009E6BAD" w:rsidRPr="00D367C9" w:rsidRDefault="009E6BAD" w:rsidP="009E6BAD">
            <w:pPr>
              <w:pStyle w:val="Heading2"/>
              <w:spacing w:before="0"/>
            </w:pPr>
            <w:bookmarkStart w:id="18" w:name="_Toc193204205"/>
            <w:r w:rsidRPr="00D367C9">
              <w:t xml:space="preserve">Highlights for quarter three (January to March </w:t>
            </w:r>
            <w:r w:rsidR="00B56866">
              <w:t>2024</w:t>
            </w:r>
            <w:r w:rsidRPr="00D367C9">
              <w:t>)</w:t>
            </w:r>
            <w:bookmarkEnd w:id="18"/>
          </w:p>
          <w:p w14:paraId="18555F93" w14:textId="77777777" w:rsidR="00B56866" w:rsidRDefault="00B56866" w:rsidP="00B56866">
            <w:r>
              <w:t>Preferred location for the Stolen Generation Marker was announced on 13 February 2024.  Key stakeholders affected by the location were notified. Shortlisted artists are continuing to develop their concept designs for submission to the Working Group on 31 May 2024.</w:t>
            </w:r>
          </w:p>
          <w:p w14:paraId="1E404CDE" w14:textId="77777777" w:rsidR="00B56866" w:rsidRDefault="00B56866" w:rsidP="00B56866">
            <w:r>
              <w:t xml:space="preserve">Continued work on Aboriginal Mapping project, including background research on education resources to inform Traditional Owner consultations. Options paper is being prepared on the development of the app. </w:t>
            </w:r>
          </w:p>
          <w:p w14:paraId="23D1988C" w14:textId="77777777" w:rsidR="00B56866" w:rsidRDefault="00B56866" w:rsidP="00B56866">
            <w:r>
              <w:t xml:space="preserve">‘Truth-telling talks’ - In partnership with City Design, a full day of panels at </w:t>
            </w:r>
            <w:proofErr w:type="spellStart"/>
            <w:r>
              <w:t>MPavillion</w:t>
            </w:r>
            <w:proofErr w:type="spellEnd"/>
            <w:r>
              <w:t xml:space="preserve"> was delivered.  Discussions continuing with Blak and Bright for a further event/talk to support a program of truth telling.</w:t>
            </w:r>
          </w:p>
          <w:p w14:paraId="3AD5F9AB" w14:textId="77777777" w:rsidR="00BE5903" w:rsidRPr="00D367C9" w:rsidRDefault="00B56866" w:rsidP="00B56866">
            <w:r>
              <w:t>Expression on Interest (EOI) for members for the First Nations Committee went live on 7 March and closed on 4 April 2024. The EOI has been promoted across 3KND, Koori Mail and City of Melbourne social media channels</w:t>
            </w:r>
            <w:r w:rsidR="00BE5903" w:rsidRPr="00D367C9">
              <w:t>.</w:t>
            </w:r>
          </w:p>
          <w:p w14:paraId="3DD7E18C" w14:textId="77777777" w:rsidR="006E1D3A" w:rsidRPr="00D367C9" w:rsidRDefault="006E1D3A" w:rsidP="00BE5903">
            <w:pPr>
              <w:pStyle w:val="Heading2"/>
            </w:pPr>
            <w:bookmarkStart w:id="19" w:name="_Toc193204206"/>
            <w:r w:rsidRPr="00D367C9">
              <w:t>Our progress</w:t>
            </w:r>
            <w:bookmarkEnd w:id="19"/>
            <w:r w:rsidRPr="00D367C9">
              <w:t xml:space="preserve"> </w:t>
            </w:r>
          </w:p>
          <w:p w14:paraId="1DF49C31" w14:textId="77777777" w:rsidR="00B56866" w:rsidRDefault="00B56866" w:rsidP="00505C05">
            <w:pPr>
              <w:rPr>
                <w:rFonts w:eastAsia="Cambria"/>
                <w:bCs/>
              </w:rPr>
            </w:pPr>
            <w:r w:rsidRPr="00B56866">
              <w:rPr>
                <w:rFonts w:eastAsia="Cambria"/>
                <w:bCs/>
              </w:rPr>
              <w:t xml:space="preserve">Senior management changes at the traditional owner </w:t>
            </w:r>
            <w:proofErr w:type="gramStart"/>
            <w:r w:rsidRPr="00B56866">
              <w:rPr>
                <w:rFonts w:eastAsia="Cambria"/>
                <w:bCs/>
              </w:rPr>
              <w:t>Corporations</w:t>
            </w:r>
            <w:proofErr w:type="gramEnd"/>
            <w:r w:rsidRPr="00B56866">
              <w:rPr>
                <w:rFonts w:eastAsia="Cambria"/>
                <w:bCs/>
              </w:rPr>
              <w:t xml:space="preserve"> have not allowed the progress of an annual gathering of the Eastern Kulin. </w:t>
            </w:r>
          </w:p>
          <w:p w14:paraId="4C18BF98" w14:textId="77777777" w:rsidR="005735E1" w:rsidRPr="00D367C9" w:rsidRDefault="00BE5903" w:rsidP="00505C05">
            <w:r w:rsidRPr="00D367C9">
              <w:rPr>
                <w:rFonts w:eastAsia="Cambria"/>
                <w:bCs/>
              </w:rPr>
              <w:t>Delivery of our major initiatives within the Council Plan term is on track.</w:t>
            </w:r>
          </w:p>
        </w:tc>
      </w:tr>
    </w:tbl>
    <w:p w14:paraId="460CC87C" w14:textId="77777777" w:rsidR="00B56866" w:rsidRDefault="00B56866" w:rsidP="005735E1">
      <w:pPr>
        <w:pStyle w:val="Heading2"/>
      </w:pPr>
    </w:p>
    <w:p w14:paraId="73740E7E" w14:textId="77777777" w:rsidR="00B56866" w:rsidRDefault="00B56866" w:rsidP="005735E1">
      <w:pPr>
        <w:pStyle w:val="Heading2"/>
      </w:pPr>
    </w:p>
    <w:p w14:paraId="465CE29F" w14:textId="77777777" w:rsidR="00B56866" w:rsidRDefault="00B56866" w:rsidP="005735E1">
      <w:pPr>
        <w:pStyle w:val="Heading2"/>
      </w:pPr>
    </w:p>
    <w:p w14:paraId="746EC87F" w14:textId="77777777" w:rsidR="00B56866" w:rsidRDefault="00B56866" w:rsidP="005735E1">
      <w:pPr>
        <w:pStyle w:val="Heading2"/>
      </w:pPr>
    </w:p>
    <w:p w14:paraId="590EAF10" w14:textId="77777777" w:rsidR="005735E1" w:rsidRPr="00784FF6" w:rsidRDefault="005735E1" w:rsidP="005735E1">
      <w:pPr>
        <w:pStyle w:val="Heading2"/>
      </w:pPr>
      <w:bookmarkStart w:id="20" w:name="_Toc193204207"/>
      <w:r w:rsidRPr="00784FF6">
        <w:lastRenderedPageBreak/>
        <w:t>The major initiatives we’re delivering this year</w:t>
      </w:r>
      <w:bookmarkEnd w:id="20"/>
      <w:r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2268"/>
        <w:gridCol w:w="2268"/>
      </w:tblGrid>
      <w:tr w:rsidR="00D9253D" w14:paraId="328F99DC" w14:textId="77777777" w:rsidTr="00D9253D">
        <w:trPr>
          <w:tblHeader/>
        </w:trPr>
        <w:tc>
          <w:tcPr>
            <w:tcW w:w="9412" w:type="dxa"/>
            <w:shd w:val="clear" w:color="auto" w:fill="auto"/>
          </w:tcPr>
          <w:p w14:paraId="235EEDA1" w14:textId="77777777" w:rsidR="00D9253D" w:rsidRPr="0038645E" w:rsidRDefault="00D9253D" w:rsidP="0038645E">
            <w:pPr>
              <w:pStyle w:val="TableofFigures"/>
              <w:rPr>
                <w:b/>
              </w:rPr>
            </w:pPr>
            <w:r w:rsidRPr="0038645E">
              <w:rPr>
                <w:b/>
              </w:rPr>
              <w:t>Initiative</w:t>
            </w:r>
          </w:p>
        </w:tc>
        <w:tc>
          <w:tcPr>
            <w:tcW w:w="2268" w:type="dxa"/>
            <w:shd w:val="clear" w:color="auto" w:fill="auto"/>
          </w:tcPr>
          <w:p w14:paraId="0BCEF3C9" w14:textId="77777777" w:rsidR="00D9253D" w:rsidRPr="0038645E" w:rsidRDefault="00D9253D" w:rsidP="0038645E">
            <w:pPr>
              <w:pStyle w:val="TableofFigures"/>
              <w:rPr>
                <w:b/>
              </w:rPr>
            </w:pPr>
            <w:r w:rsidRPr="0038645E">
              <w:rPr>
                <w:b/>
              </w:rPr>
              <w:t>Council’s role</w:t>
            </w:r>
          </w:p>
        </w:tc>
        <w:tc>
          <w:tcPr>
            <w:tcW w:w="2268" w:type="dxa"/>
            <w:shd w:val="clear" w:color="auto" w:fill="auto"/>
          </w:tcPr>
          <w:p w14:paraId="1D6B25A3" w14:textId="77777777" w:rsidR="00D9253D" w:rsidRPr="0038645E" w:rsidRDefault="00D9253D" w:rsidP="00175895">
            <w:pPr>
              <w:pStyle w:val="TableofFigures"/>
              <w:rPr>
                <w:b/>
              </w:rPr>
            </w:pPr>
            <w:r w:rsidRPr="0038645E">
              <w:rPr>
                <w:b/>
              </w:rPr>
              <w:t>Our progress</w:t>
            </w:r>
          </w:p>
        </w:tc>
      </w:tr>
      <w:tr w:rsidR="000571FF" w14:paraId="24442A6D" w14:textId="77777777" w:rsidTr="00D9253D">
        <w:tc>
          <w:tcPr>
            <w:tcW w:w="9412" w:type="dxa"/>
            <w:shd w:val="clear" w:color="auto" w:fill="auto"/>
          </w:tcPr>
          <w:p w14:paraId="4A0E56E0" w14:textId="77777777" w:rsidR="000571FF" w:rsidRPr="000571FF" w:rsidRDefault="000571FF" w:rsidP="000571FF">
            <w:pPr>
              <w:pStyle w:val="TableofFigures"/>
            </w:pPr>
            <w:r w:rsidRPr="000571FF">
              <w:t xml:space="preserve">Explore and deliver opportunities for ‘truth-telling’ to facilitate learning, healing, and change within Melbourne and beyond. This will be an opportunity to impart knowledge of thousands of years of rich history, language and stories, as well as provide a form of restorative justice by acknowledging Aboriginal peoples’ experiences of dispossession and inequity. </w:t>
            </w:r>
          </w:p>
        </w:tc>
        <w:tc>
          <w:tcPr>
            <w:tcW w:w="2268" w:type="dxa"/>
            <w:shd w:val="clear" w:color="auto" w:fill="auto"/>
          </w:tcPr>
          <w:p w14:paraId="2327B3EE" w14:textId="77777777" w:rsidR="000571FF" w:rsidRPr="000571FF" w:rsidRDefault="000571FF" w:rsidP="000571FF">
            <w:pPr>
              <w:pStyle w:val="TableofFigures"/>
            </w:pPr>
            <w:r w:rsidRPr="000571FF">
              <w:t xml:space="preserve">Partner </w:t>
            </w:r>
          </w:p>
        </w:tc>
        <w:tc>
          <w:tcPr>
            <w:tcW w:w="2268" w:type="dxa"/>
            <w:shd w:val="clear" w:color="auto" w:fill="auto"/>
          </w:tcPr>
          <w:p w14:paraId="452E8229" w14:textId="77777777" w:rsidR="000571FF" w:rsidRPr="000571FF" w:rsidRDefault="000571FF" w:rsidP="000571FF">
            <w:pPr>
              <w:pStyle w:val="TableofFigures"/>
            </w:pPr>
            <w:r w:rsidRPr="000571FF">
              <w:t xml:space="preserve">On track </w:t>
            </w:r>
          </w:p>
        </w:tc>
      </w:tr>
      <w:tr w:rsidR="000571FF" w14:paraId="525994B4" w14:textId="77777777" w:rsidTr="00D9253D">
        <w:tc>
          <w:tcPr>
            <w:tcW w:w="9412" w:type="dxa"/>
            <w:shd w:val="clear" w:color="auto" w:fill="auto"/>
          </w:tcPr>
          <w:p w14:paraId="661C4EAB" w14:textId="77777777" w:rsidR="000571FF" w:rsidRPr="000571FF" w:rsidRDefault="000571FF" w:rsidP="000571FF">
            <w:pPr>
              <w:pStyle w:val="TableofFigures"/>
            </w:pPr>
            <w:r w:rsidRPr="000571FF">
              <w:t xml:space="preserve">Implement the Declaration of Recognition and Commitment in good faith which signals and elevates the City of Melbourne’s shared commitment for reconciliation across the whole of the organisation. </w:t>
            </w:r>
          </w:p>
        </w:tc>
        <w:tc>
          <w:tcPr>
            <w:tcW w:w="2268" w:type="dxa"/>
            <w:shd w:val="clear" w:color="auto" w:fill="auto"/>
          </w:tcPr>
          <w:p w14:paraId="6702E35D" w14:textId="77777777" w:rsidR="000571FF" w:rsidRPr="000571FF" w:rsidRDefault="000571FF" w:rsidP="000571FF">
            <w:pPr>
              <w:pStyle w:val="TableofFigures"/>
            </w:pPr>
            <w:r w:rsidRPr="000571FF">
              <w:t xml:space="preserve">Deliver </w:t>
            </w:r>
          </w:p>
        </w:tc>
        <w:tc>
          <w:tcPr>
            <w:tcW w:w="2268" w:type="dxa"/>
            <w:shd w:val="clear" w:color="auto" w:fill="auto"/>
          </w:tcPr>
          <w:p w14:paraId="74D9608A" w14:textId="77777777" w:rsidR="000571FF" w:rsidRPr="000571FF" w:rsidRDefault="000571FF" w:rsidP="000571FF">
            <w:pPr>
              <w:pStyle w:val="TableofFigures"/>
            </w:pPr>
            <w:r w:rsidRPr="000571FF">
              <w:t xml:space="preserve">Completed </w:t>
            </w:r>
          </w:p>
        </w:tc>
      </w:tr>
      <w:tr w:rsidR="000571FF" w14:paraId="1CDD9F47" w14:textId="77777777" w:rsidTr="00D9253D">
        <w:tc>
          <w:tcPr>
            <w:tcW w:w="9412" w:type="dxa"/>
            <w:shd w:val="clear" w:color="auto" w:fill="auto"/>
          </w:tcPr>
          <w:p w14:paraId="51AA9FEC" w14:textId="77777777" w:rsidR="000571FF" w:rsidRPr="00D367C9" w:rsidRDefault="000571FF" w:rsidP="000571FF">
            <w:pPr>
              <w:pStyle w:val="TableofFigures"/>
            </w:pPr>
            <w:r w:rsidRPr="00D367C9">
              <w:t xml:space="preserve">Govern with Sovereign First Nations to enable true self-determination, where deliberative engagement is proactive, responsive and consistent. </w:t>
            </w:r>
          </w:p>
        </w:tc>
        <w:tc>
          <w:tcPr>
            <w:tcW w:w="2268" w:type="dxa"/>
            <w:shd w:val="clear" w:color="auto" w:fill="auto"/>
          </w:tcPr>
          <w:p w14:paraId="19C5F51B" w14:textId="77777777" w:rsidR="000571FF" w:rsidRPr="00D367C9" w:rsidRDefault="000571FF" w:rsidP="000571FF">
            <w:pPr>
              <w:pStyle w:val="TableofFigures"/>
            </w:pPr>
            <w:r w:rsidRPr="00D367C9">
              <w:t xml:space="preserve">Deliver </w:t>
            </w:r>
          </w:p>
        </w:tc>
        <w:tc>
          <w:tcPr>
            <w:tcW w:w="2268" w:type="dxa"/>
            <w:shd w:val="clear" w:color="auto" w:fill="auto"/>
          </w:tcPr>
          <w:p w14:paraId="5A58D484" w14:textId="77777777" w:rsidR="000571FF" w:rsidRPr="00D367C9" w:rsidRDefault="00FA20BF" w:rsidP="000571FF">
            <w:pPr>
              <w:pStyle w:val="TableofFigures"/>
            </w:pPr>
            <w:r w:rsidRPr="00D367C9">
              <w:t>Delayed</w:t>
            </w:r>
          </w:p>
        </w:tc>
      </w:tr>
      <w:tr w:rsidR="000571FF" w14:paraId="4539E511" w14:textId="77777777" w:rsidTr="00D9253D">
        <w:tc>
          <w:tcPr>
            <w:tcW w:w="9412" w:type="dxa"/>
            <w:shd w:val="clear" w:color="auto" w:fill="auto"/>
          </w:tcPr>
          <w:p w14:paraId="7D3419AA" w14:textId="77777777" w:rsidR="000571FF" w:rsidRPr="00D367C9" w:rsidRDefault="000571FF" w:rsidP="000571FF">
            <w:pPr>
              <w:pStyle w:val="TableofFigures"/>
            </w:pPr>
            <w:r w:rsidRPr="00D367C9">
              <w:t xml:space="preserve">Commence planning for a co-designed First Nations Cultural Precinct with First Peoples – a place to retain, maintain and recreate in a culturally specific geography, where First Peoples can practice continuity of customs and traditions, through uninterrupted connection to lands and waters. </w:t>
            </w:r>
          </w:p>
        </w:tc>
        <w:tc>
          <w:tcPr>
            <w:tcW w:w="2268" w:type="dxa"/>
            <w:shd w:val="clear" w:color="auto" w:fill="auto"/>
          </w:tcPr>
          <w:p w14:paraId="52C99BC6" w14:textId="77777777" w:rsidR="000571FF" w:rsidRPr="00D367C9" w:rsidRDefault="000571FF" w:rsidP="000571FF">
            <w:pPr>
              <w:pStyle w:val="TableofFigures"/>
            </w:pPr>
            <w:r w:rsidRPr="00D367C9">
              <w:t xml:space="preserve">Partner </w:t>
            </w:r>
          </w:p>
        </w:tc>
        <w:tc>
          <w:tcPr>
            <w:tcW w:w="2268" w:type="dxa"/>
            <w:shd w:val="clear" w:color="auto" w:fill="auto"/>
          </w:tcPr>
          <w:p w14:paraId="1B69CF14" w14:textId="77777777" w:rsidR="000571FF" w:rsidRPr="00D367C9" w:rsidRDefault="00B56866" w:rsidP="000571FF">
            <w:pPr>
              <w:pStyle w:val="TableofFigures"/>
            </w:pPr>
            <w:r>
              <w:t>Closed</w:t>
            </w:r>
          </w:p>
        </w:tc>
      </w:tr>
      <w:tr w:rsidR="000571FF" w14:paraId="1B20BE7F" w14:textId="77777777" w:rsidTr="00D9253D">
        <w:tc>
          <w:tcPr>
            <w:tcW w:w="9412" w:type="dxa"/>
            <w:shd w:val="clear" w:color="auto" w:fill="auto"/>
          </w:tcPr>
          <w:p w14:paraId="59159CDC" w14:textId="77777777" w:rsidR="000571FF" w:rsidRPr="000571FF" w:rsidRDefault="000571FF" w:rsidP="000571FF">
            <w:pPr>
              <w:pStyle w:val="TableofFigures"/>
            </w:pPr>
            <w:r w:rsidRPr="000571FF">
              <w:t xml:space="preserve">Support a partnership forum – an annual gathering of the Eastern Kulin (noting the history of </w:t>
            </w:r>
            <w:proofErr w:type="spellStart"/>
            <w:r w:rsidRPr="000571FF">
              <w:t>Tanderrum</w:t>
            </w:r>
            <w:proofErr w:type="spellEnd"/>
            <w:r w:rsidRPr="000571FF">
              <w:t xml:space="preserve">). </w:t>
            </w:r>
          </w:p>
        </w:tc>
        <w:tc>
          <w:tcPr>
            <w:tcW w:w="2268" w:type="dxa"/>
            <w:shd w:val="clear" w:color="auto" w:fill="auto"/>
          </w:tcPr>
          <w:p w14:paraId="2D2F7C0A" w14:textId="77777777" w:rsidR="000571FF" w:rsidRPr="000571FF" w:rsidRDefault="000571FF" w:rsidP="000571FF">
            <w:pPr>
              <w:pStyle w:val="TableofFigures"/>
            </w:pPr>
            <w:r w:rsidRPr="000571FF">
              <w:t xml:space="preserve">Partner </w:t>
            </w:r>
          </w:p>
        </w:tc>
        <w:tc>
          <w:tcPr>
            <w:tcW w:w="2268" w:type="dxa"/>
            <w:shd w:val="clear" w:color="auto" w:fill="auto"/>
          </w:tcPr>
          <w:p w14:paraId="11B6567D" w14:textId="77777777" w:rsidR="000571FF" w:rsidRPr="000571FF" w:rsidRDefault="00B56866" w:rsidP="000571FF">
            <w:pPr>
              <w:pStyle w:val="TableofFigures"/>
            </w:pPr>
            <w:r>
              <w:t>Closed</w:t>
            </w:r>
          </w:p>
        </w:tc>
      </w:tr>
    </w:tbl>
    <w:p w14:paraId="5238D3BF" w14:textId="77777777" w:rsidR="005735E1" w:rsidRPr="00784FF6" w:rsidRDefault="005735E1" w:rsidP="005735E1">
      <w:pPr>
        <w:rPr>
          <w:lang w:val="en-US"/>
        </w:rPr>
      </w:pPr>
    </w:p>
    <w:p w14:paraId="69201668" w14:textId="77777777" w:rsidR="00D9253D" w:rsidRPr="00CF27A2" w:rsidRDefault="00D9253D" w:rsidP="00D9253D">
      <w:pPr>
        <w:pStyle w:val="Heading2"/>
      </w:pPr>
      <w:bookmarkStart w:id="21" w:name="_Toc193204208"/>
      <w:r>
        <w:t>How we’re measuring progress over four years</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D9253D" w14:paraId="14BC222C" w14:textId="77777777" w:rsidTr="0052081B">
        <w:trPr>
          <w:tblHeader/>
        </w:trPr>
        <w:tc>
          <w:tcPr>
            <w:tcW w:w="9412" w:type="dxa"/>
            <w:shd w:val="clear" w:color="auto" w:fill="auto"/>
          </w:tcPr>
          <w:p w14:paraId="0F0893B0" w14:textId="77777777" w:rsidR="00D9253D" w:rsidRPr="00784FF6" w:rsidRDefault="00D9253D" w:rsidP="0052081B">
            <w:pPr>
              <w:pStyle w:val="TableofFigures"/>
              <w:rPr>
                <w:b/>
              </w:rPr>
            </w:pPr>
            <w:r>
              <w:rPr>
                <w:b/>
              </w:rPr>
              <w:t>Indicator</w:t>
            </w:r>
          </w:p>
        </w:tc>
        <w:tc>
          <w:tcPr>
            <w:tcW w:w="4537" w:type="dxa"/>
            <w:shd w:val="clear" w:color="auto" w:fill="auto"/>
          </w:tcPr>
          <w:p w14:paraId="57167CBC" w14:textId="77777777" w:rsidR="00D9253D" w:rsidRPr="00784FF6" w:rsidRDefault="00D9253D" w:rsidP="0052081B">
            <w:pPr>
              <w:pStyle w:val="TableofFigures"/>
              <w:rPr>
                <w:b/>
              </w:rPr>
            </w:pPr>
            <w:r>
              <w:rPr>
                <w:b/>
              </w:rPr>
              <w:t>Target outcome</w:t>
            </w:r>
          </w:p>
        </w:tc>
      </w:tr>
      <w:tr w:rsidR="000571FF" w14:paraId="04A8F9AE" w14:textId="77777777" w:rsidTr="0052081B">
        <w:tc>
          <w:tcPr>
            <w:tcW w:w="9412" w:type="dxa"/>
          </w:tcPr>
          <w:p w14:paraId="1077BEB7" w14:textId="77777777" w:rsidR="000571FF" w:rsidRPr="000571FF" w:rsidRDefault="000571FF" w:rsidP="000571FF">
            <w:pPr>
              <w:pStyle w:val="TableofFigures"/>
            </w:pPr>
            <w:r w:rsidRPr="000571FF">
              <w:t xml:space="preserve">Proportion of people surveyed who demonstrate an understanding of Melbourne’s Aboriginal heritage and culture. </w:t>
            </w:r>
          </w:p>
        </w:tc>
        <w:tc>
          <w:tcPr>
            <w:tcW w:w="4537" w:type="dxa"/>
          </w:tcPr>
          <w:p w14:paraId="5CDC25F4" w14:textId="77777777" w:rsidR="000571FF" w:rsidRPr="000571FF" w:rsidRDefault="000571FF" w:rsidP="000571FF">
            <w:pPr>
              <w:pStyle w:val="TableofFigures"/>
            </w:pPr>
            <w:r w:rsidRPr="000571FF">
              <w:t xml:space="preserve">100% </w:t>
            </w:r>
          </w:p>
        </w:tc>
      </w:tr>
      <w:tr w:rsidR="000571FF" w14:paraId="3474DEB8" w14:textId="77777777" w:rsidTr="0052081B">
        <w:tc>
          <w:tcPr>
            <w:tcW w:w="9412" w:type="dxa"/>
          </w:tcPr>
          <w:p w14:paraId="617F3B3C" w14:textId="77777777" w:rsidR="000571FF" w:rsidRPr="000571FF" w:rsidRDefault="000571FF" w:rsidP="000571FF">
            <w:pPr>
              <w:pStyle w:val="TableofFigures"/>
            </w:pPr>
            <w:r w:rsidRPr="000571FF">
              <w:t xml:space="preserve">Proportion of people surveyed who believe the relationship with Aboriginal people is important. </w:t>
            </w:r>
          </w:p>
        </w:tc>
        <w:tc>
          <w:tcPr>
            <w:tcW w:w="4537" w:type="dxa"/>
          </w:tcPr>
          <w:p w14:paraId="69106162" w14:textId="77777777" w:rsidR="000571FF" w:rsidRPr="000571FF" w:rsidRDefault="000571FF" w:rsidP="000571FF">
            <w:pPr>
              <w:pStyle w:val="TableofFigures"/>
            </w:pPr>
            <w:r w:rsidRPr="000571FF">
              <w:t xml:space="preserve">100% </w:t>
            </w:r>
          </w:p>
        </w:tc>
      </w:tr>
      <w:tr w:rsidR="000571FF" w14:paraId="1F35E582" w14:textId="77777777" w:rsidTr="0052081B">
        <w:tc>
          <w:tcPr>
            <w:tcW w:w="9412" w:type="dxa"/>
          </w:tcPr>
          <w:p w14:paraId="029104D3" w14:textId="77777777" w:rsidR="000571FF" w:rsidRPr="000571FF" w:rsidRDefault="000571FF" w:rsidP="000571FF">
            <w:pPr>
              <w:pStyle w:val="TableofFigures"/>
            </w:pPr>
            <w:r w:rsidRPr="000571FF">
              <w:t xml:space="preserve">Delivery of the City of Melbourne’s Reconciliation Action Plan. </w:t>
            </w:r>
          </w:p>
        </w:tc>
        <w:tc>
          <w:tcPr>
            <w:tcW w:w="4537" w:type="dxa"/>
          </w:tcPr>
          <w:p w14:paraId="1072CD2D" w14:textId="77777777" w:rsidR="000571FF" w:rsidRPr="000571FF" w:rsidRDefault="000571FF" w:rsidP="000571FF">
            <w:pPr>
              <w:pStyle w:val="TableofFigures"/>
            </w:pPr>
            <w:r w:rsidRPr="000571FF">
              <w:t xml:space="preserve">100% </w:t>
            </w:r>
          </w:p>
        </w:tc>
      </w:tr>
      <w:tr w:rsidR="000571FF" w14:paraId="55DF67D5" w14:textId="77777777" w:rsidTr="0052081B">
        <w:tc>
          <w:tcPr>
            <w:tcW w:w="9412" w:type="dxa"/>
          </w:tcPr>
          <w:p w14:paraId="71B27282" w14:textId="77777777" w:rsidR="000571FF" w:rsidRPr="000571FF" w:rsidRDefault="000571FF" w:rsidP="000571FF">
            <w:pPr>
              <w:pStyle w:val="TableofFigures"/>
            </w:pPr>
            <w:r w:rsidRPr="000571FF">
              <w:t xml:space="preserve">Level of involvement of Traditional Custodians in city governance. </w:t>
            </w:r>
          </w:p>
        </w:tc>
        <w:tc>
          <w:tcPr>
            <w:tcW w:w="4537" w:type="dxa"/>
          </w:tcPr>
          <w:p w14:paraId="65DFCD9A" w14:textId="77777777" w:rsidR="000571FF" w:rsidRPr="000571FF" w:rsidRDefault="000571FF" w:rsidP="000571FF">
            <w:pPr>
              <w:pStyle w:val="TableofFigures"/>
            </w:pPr>
            <w:r w:rsidRPr="000571FF">
              <w:t xml:space="preserve">Increase </w:t>
            </w:r>
          </w:p>
        </w:tc>
      </w:tr>
    </w:tbl>
    <w:p w14:paraId="769F3CE1" w14:textId="77777777" w:rsidR="005735E1" w:rsidRDefault="0038645E" w:rsidP="00004EFF">
      <w:pPr>
        <w:pStyle w:val="Heading1"/>
      </w:pPr>
      <w:r>
        <w:rPr>
          <w:rFonts w:hint="eastAsia"/>
        </w:rPr>
        <w:br w:type="page"/>
      </w:r>
      <w:bookmarkStart w:id="22" w:name="_Toc193204209"/>
      <w:r w:rsidR="005735E1" w:rsidRPr="005735E1">
        <w:lastRenderedPageBreak/>
        <w:t>Climate and biodiversity emergency</w:t>
      </w:r>
      <w:bookmarkEnd w:id="22"/>
    </w:p>
    <w:p w14:paraId="55EF7029" w14:textId="77777777" w:rsidR="0038645E" w:rsidRPr="0038645E" w:rsidRDefault="0038645E" w:rsidP="0038645E">
      <w:r w:rsidRPr="0038645E">
        <w:t xml:space="preserve">Over the next four years, we will prioritise our environment and take urgent action to reduce emissions and waste </w:t>
      </w:r>
      <w:proofErr w:type="gramStart"/>
      <w:r w:rsidRPr="0038645E">
        <w:t>in order to</w:t>
      </w:r>
      <w:proofErr w:type="gramEnd"/>
      <w:r w:rsidRPr="0038645E">
        <w:t xml:space="preserve"> protect public health, strengthen the economy and create a city that mitigates and adapts to climate change. The City of Melbourne declared a climate and biodiversity emergency in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4062"/>
      </w:tblGrid>
      <w:tr w:rsidR="005735E1" w14:paraId="4B1E2E8A" w14:textId="77777777" w:rsidTr="00004EFF">
        <w:tc>
          <w:tcPr>
            <w:tcW w:w="14062" w:type="dxa"/>
            <w:shd w:val="clear" w:color="auto" w:fill="auto"/>
          </w:tcPr>
          <w:p w14:paraId="5DAEA870" w14:textId="77777777" w:rsidR="009E6BAD" w:rsidRPr="00D367C9" w:rsidRDefault="009E6BAD" w:rsidP="009E6BAD">
            <w:pPr>
              <w:pStyle w:val="Heading2"/>
              <w:spacing w:before="0"/>
            </w:pPr>
            <w:bookmarkStart w:id="23" w:name="_Toc193204210"/>
            <w:r w:rsidRPr="00D367C9">
              <w:t xml:space="preserve">Highlights for quarter three (January to March </w:t>
            </w:r>
            <w:r w:rsidR="00B56866">
              <w:t>2024</w:t>
            </w:r>
            <w:r w:rsidRPr="00D367C9">
              <w:t>)</w:t>
            </w:r>
            <w:bookmarkEnd w:id="23"/>
          </w:p>
          <w:p w14:paraId="1080BED6" w14:textId="77777777" w:rsidR="00B56866" w:rsidRDefault="00B56866" w:rsidP="00B56866">
            <w:r>
              <w:t>The Kensington Circular Economy Precinct had a successful launch at Kensington Town Hall with over 80 attendees. The launch event was shared with the Kensington Market to maximise patronage and exposure to the local community.</w:t>
            </w:r>
          </w:p>
          <w:p w14:paraId="3625CBAB" w14:textId="77777777" w:rsidR="00B56866" w:rsidRDefault="00B56866" w:rsidP="00B56866">
            <w:r>
              <w:t>The delivery of the Urban Forest Strategy remains on schedule.  Another successful Citizen Forester event was held in late January where participants involved in nature journaling in Fitzroy Gardens. The tree planting program commenced in March.</w:t>
            </w:r>
          </w:p>
          <w:p w14:paraId="6303343D" w14:textId="77777777" w:rsidR="00B56866" w:rsidRDefault="00B56866" w:rsidP="00B56866">
            <w:r>
              <w:t xml:space="preserve">Evaluation of the Food Organics High Rise pilot for residential buildings has concluded and a draft report has been completed. The report includes an evaluation of the current technology in the market, analysing building and planning data, and the cost for each collection method to provide recommendations for an appropriate Food Organic service for residential </w:t>
            </w:r>
            <w:proofErr w:type="gramStart"/>
            <w:r>
              <w:t>high rise</w:t>
            </w:r>
            <w:proofErr w:type="gramEnd"/>
            <w:r>
              <w:t xml:space="preserve"> buildings based on number of dwellings.</w:t>
            </w:r>
          </w:p>
          <w:p w14:paraId="0CF7EF31" w14:textId="77777777" w:rsidR="00B56866" w:rsidRDefault="00B56866" w:rsidP="00B56866">
            <w:r>
              <w:t xml:space="preserve">The Food Organic </w:t>
            </w:r>
            <w:proofErr w:type="gramStart"/>
            <w:r>
              <w:t>High Rise</w:t>
            </w:r>
            <w:proofErr w:type="gramEnd"/>
            <w:r>
              <w:t xml:space="preserve"> pilot for mixed-use buildings continues to progress, with two buildings preparing for installation dehydrators and two others still in the on-boarding phase. </w:t>
            </w:r>
          </w:p>
          <w:p w14:paraId="1E9FD4EA" w14:textId="77777777" w:rsidR="00B56866" w:rsidRDefault="00B56866" w:rsidP="00B56866">
            <w:r>
              <w:t>The Power Melbourne project and delivery of three community batteries by mid-2024 remains on track. Detailed designs for battery installations and electrical works have been completed and tenders have been provided for each site.</w:t>
            </w:r>
          </w:p>
          <w:p w14:paraId="74B7CBA1" w14:textId="77777777" w:rsidR="00FA20BF" w:rsidRPr="00D367C9" w:rsidRDefault="00B56866" w:rsidP="00B56866">
            <w:r>
              <w:t xml:space="preserve">Melbourne supported and hosted the Association of Southeast Asian Nations (ASEAN) events which featured both a climate track day and a city resilience event. Both </w:t>
            </w:r>
            <w:proofErr w:type="gramStart"/>
            <w:r>
              <w:t>events built</w:t>
            </w:r>
            <w:proofErr w:type="gramEnd"/>
            <w:r>
              <w:t xml:space="preserve"> relationships across the region and with the federal government through the demonstration of our leadership.</w:t>
            </w:r>
          </w:p>
          <w:p w14:paraId="4A0BC949" w14:textId="77777777" w:rsidR="001F471F" w:rsidRPr="00D367C9" w:rsidRDefault="001F471F" w:rsidP="001F471F">
            <w:pPr>
              <w:pStyle w:val="Heading2"/>
            </w:pPr>
            <w:bookmarkStart w:id="24" w:name="_Toc193204211"/>
            <w:r w:rsidRPr="00D367C9">
              <w:t>Our progress</w:t>
            </w:r>
            <w:bookmarkEnd w:id="24"/>
            <w:r w:rsidRPr="00D367C9">
              <w:t xml:space="preserve"> </w:t>
            </w:r>
          </w:p>
          <w:p w14:paraId="4135E1A4" w14:textId="77777777" w:rsidR="005735E1" w:rsidRPr="00D367C9" w:rsidRDefault="00BE5903" w:rsidP="001F471F">
            <w:pPr>
              <w:spacing w:after="0"/>
            </w:pPr>
            <w:r w:rsidRPr="00D367C9">
              <w:rPr>
                <w:rFonts w:eastAsia="Cambria"/>
                <w:bCs/>
              </w:rPr>
              <w:t>Delivery of our major initiatives within the Council Plan term is on track</w:t>
            </w:r>
            <w:r w:rsidR="00FA20BF" w:rsidRPr="00D367C9">
              <w:rPr>
                <w:rFonts w:eastAsia="Cambria"/>
                <w:bCs/>
              </w:rPr>
              <w:t>.</w:t>
            </w:r>
          </w:p>
        </w:tc>
      </w:tr>
    </w:tbl>
    <w:p w14:paraId="5FEC356E" w14:textId="77777777" w:rsidR="00B56866" w:rsidRDefault="00B56866" w:rsidP="005735E1">
      <w:pPr>
        <w:pStyle w:val="Heading2"/>
      </w:pPr>
    </w:p>
    <w:p w14:paraId="03CA99E0" w14:textId="77777777" w:rsidR="00B56866" w:rsidRDefault="00B56866" w:rsidP="005735E1">
      <w:pPr>
        <w:pStyle w:val="Heading2"/>
      </w:pPr>
    </w:p>
    <w:p w14:paraId="0E7DE2D8" w14:textId="77777777" w:rsidR="005735E1" w:rsidRPr="00784FF6" w:rsidRDefault="005735E1" w:rsidP="005735E1">
      <w:pPr>
        <w:pStyle w:val="Heading2"/>
      </w:pPr>
      <w:bookmarkStart w:id="25" w:name="_Toc193204212"/>
      <w:r w:rsidRPr="00784FF6">
        <w:t>The major initiatives we’re delivering this year</w:t>
      </w:r>
      <w:bookmarkEnd w:id="25"/>
      <w:r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2268"/>
        <w:gridCol w:w="2268"/>
      </w:tblGrid>
      <w:tr w:rsidR="001F471F" w14:paraId="4B5ED3F4" w14:textId="77777777" w:rsidTr="0052081B">
        <w:trPr>
          <w:tblHeader/>
        </w:trPr>
        <w:tc>
          <w:tcPr>
            <w:tcW w:w="9412" w:type="dxa"/>
            <w:shd w:val="clear" w:color="auto" w:fill="auto"/>
          </w:tcPr>
          <w:p w14:paraId="0E74425A" w14:textId="77777777" w:rsidR="001F471F" w:rsidRPr="0038645E" w:rsidRDefault="001F471F" w:rsidP="001F471F">
            <w:pPr>
              <w:pStyle w:val="TableofFigures"/>
              <w:rPr>
                <w:b/>
              </w:rPr>
            </w:pPr>
            <w:r w:rsidRPr="0038645E">
              <w:rPr>
                <w:b/>
              </w:rPr>
              <w:lastRenderedPageBreak/>
              <w:t>Initiative</w:t>
            </w:r>
          </w:p>
        </w:tc>
        <w:tc>
          <w:tcPr>
            <w:tcW w:w="2268" w:type="dxa"/>
            <w:shd w:val="clear" w:color="auto" w:fill="auto"/>
          </w:tcPr>
          <w:p w14:paraId="1D222DEB" w14:textId="77777777" w:rsidR="001F471F" w:rsidRPr="0038645E" w:rsidRDefault="001F471F" w:rsidP="001F471F">
            <w:pPr>
              <w:pStyle w:val="TableofFigures"/>
              <w:rPr>
                <w:b/>
              </w:rPr>
            </w:pPr>
            <w:r w:rsidRPr="0038645E">
              <w:rPr>
                <w:b/>
              </w:rPr>
              <w:t>Council’s role</w:t>
            </w:r>
          </w:p>
        </w:tc>
        <w:tc>
          <w:tcPr>
            <w:tcW w:w="2268" w:type="dxa"/>
            <w:shd w:val="clear" w:color="auto" w:fill="auto"/>
          </w:tcPr>
          <w:p w14:paraId="43486531" w14:textId="77777777" w:rsidR="001F471F" w:rsidRPr="0038645E" w:rsidRDefault="001F471F" w:rsidP="001F471F">
            <w:pPr>
              <w:pStyle w:val="TableofFigures"/>
              <w:rPr>
                <w:b/>
              </w:rPr>
            </w:pPr>
            <w:r w:rsidRPr="0038645E">
              <w:rPr>
                <w:b/>
              </w:rPr>
              <w:t>Our progress</w:t>
            </w:r>
          </w:p>
        </w:tc>
      </w:tr>
      <w:tr w:rsidR="001F471F" w14:paraId="49566E44" w14:textId="77777777" w:rsidTr="0052081B">
        <w:tc>
          <w:tcPr>
            <w:tcW w:w="9412" w:type="dxa"/>
            <w:shd w:val="clear" w:color="auto" w:fill="auto"/>
          </w:tcPr>
          <w:p w14:paraId="0FF6189A" w14:textId="77777777" w:rsidR="001F471F" w:rsidRPr="001F471F" w:rsidRDefault="001F471F" w:rsidP="001F471F">
            <w:pPr>
              <w:pStyle w:val="Default"/>
              <w:spacing w:line="276" w:lineRule="auto"/>
              <w:rPr>
                <w:sz w:val="20"/>
                <w:szCs w:val="20"/>
              </w:rPr>
            </w:pPr>
            <w:r w:rsidRPr="001F471F">
              <w:rPr>
                <w:color w:val="252525"/>
                <w:sz w:val="20"/>
                <w:szCs w:val="20"/>
              </w:rPr>
              <w:t xml:space="preserve">To enhance Melbourne’s position as a global leader on climate action, we will undertake bold advocacy on behalf of our community. </w:t>
            </w:r>
          </w:p>
        </w:tc>
        <w:tc>
          <w:tcPr>
            <w:tcW w:w="2268" w:type="dxa"/>
            <w:shd w:val="clear" w:color="auto" w:fill="auto"/>
          </w:tcPr>
          <w:p w14:paraId="6F1A8111" w14:textId="77777777" w:rsidR="001F471F" w:rsidRPr="001F471F" w:rsidRDefault="001F471F" w:rsidP="001F471F">
            <w:pPr>
              <w:pStyle w:val="Default"/>
              <w:spacing w:line="276" w:lineRule="auto"/>
              <w:rPr>
                <w:sz w:val="20"/>
                <w:szCs w:val="20"/>
              </w:rPr>
            </w:pPr>
            <w:r w:rsidRPr="001F471F">
              <w:rPr>
                <w:color w:val="252525"/>
                <w:sz w:val="20"/>
                <w:szCs w:val="20"/>
              </w:rPr>
              <w:t xml:space="preserve">Deliver </w:t>
            </w:r>
          </w:p>
        </w:tc>
        <w:tc>
          <w:tcPr>
            <w:tcW w:w="2268" w:type="dxa"/>
            <w:shd w:val="clear" w:color="auto" w:fill="auto"/>
          </w:tcPr>
          <w:p w14:paraId="66D6610F" w14:textId="77777777" w:rsidR="001F471F" w:rsidRPr="001F471F" w:rsidRDefault="001F471F" w:rsidP="001F471F">
            <w:pPr>
              <w:pStyle w:val="Default"/>
              <w:spacing w:line="276" w:lineRule="auto"/>
              <w:rPr>
                <w:color w:val="auto"/>
                <w:sz w:val="20"/>
                <w:szCs w:val="20"/>
              </w:rPr>
            </w:pPr>
            <w:r w:rsidRPr="001F471F">
              <w:rPr>
                <w:color w:val="auto"/>
                <w:sz w:val="20"/>
                <w:szCs w:val="20"/>
              </w:rPr>
              <w:t>On tr</w:t>
            </w:r>
            <w:r>
              <w:rPr>
                <w:color w:val="auto"/>
                <w:sz w:val="20"/>
                <w:szCs w:val="20"/>
              </w:rPr>
              <w:t>ack</w:t>
            </w:r>
          </w:p>
        </w:tc>
      </w:tr>
      <w:tr w:rsidR="00B56866" w14:paraId="63D5BD30" w14:textId="77777777" w:rsidTr="0052081B">
        <w:tc>
          <w:tcPr>
            <w:tcW w:w="9412" w:type="dxa"/>
            <w:shd w:val="clear" w:color="auto" w:fill="auto"/>
          </w:tcPr>
          <w:p w14:paraId="13D0FD2C" w14:textId="77777777" w:rsidR="00B56866" w:rsidRPr="001F471F" w:rsidRDefault="00B56866" w:rsidP="00B56866">
            <w:pPr>
              <w:pStyle w:val="Default"/>
              <w:spacing w:line="276" w:lineRule="auto"/>
              <w:rPr>
                <w:sz w:val="20"/>
                <w:szCs w:val="20"/>
              </w:rPr>
            </w:pPr>
            <w:r w:rsidRPr="001F471F">
              <w:rPr>
                <w:color w:val="252525"/>
                <w:sz w:val="20"/>
                <w:szCs w:val="20"/>
              </w:rPr>
              <w:t xml:space="preserve">Create an enabling environment for Melbourne businesses and universities to become the employment centre of a resilient zero-carbon economy. </w:t>
            </w:r>
          </w:p>
        </w:tc>
        <w:tc>
          <w:tcPr>
            <w:tcW w:w="2268" w:type="dxa"/>
            <w:shd w:val="clear" w:color="auto" w:fill="auto"/>
          </w:tcPr>
          <w:p w14:paraId="538D4BFD" w14:textId="77777777" w:rsidR="00B56866" w:rsidRPr="001F471F" w:rsidRDefault="00B56866" w:rsidP="00B56866">
            <w:pPr>
              <w:pStyle w:val="Default"/>
              <w:spacing w:line="276" w:lineRule="auto"/>
              <w:rPr>
                <w:sz w:val="20"/>
                <w:szCs w:val="20"/>
              </w:rPr>
            </w:pPr>
            <w:r w:rsidRPr="001F471F">
              <w:rPr>
                <w:color w:val="252525"/>
                <w:sz w:val="20"/>
                <w:szCs w:val="20"/>
              </w:rPr>
              <w:t xml:space="preserve">Deliver </w:t>
            </w:r>
          </w:p>
        </w:tc>
        <w:tc>
          <w:tcPr>
            <w:tcW w:w="2268" w:type="dxa"/>
            <w:shd w:val="clear" w:color="auto" w:fill="auto"/>
          </w:tcPr>
          <w:p w14:paraId="6EA8FBEE" w14:textId="77777777" w:rsidR="00B56866" w:rsidRPr="001F471F" w:rsidRDefault="00B56866" w:rsidP="00B56866">
            <w:pPr>
              <w:pStyle w:val="Default"/>
              <w:spacing w:line="276" w:lineRule="auto"/>
              <w:rPr>
                <w:color w:val="auto"/>
                <w:sz w:val="20"/>
                <w:szCs w:val="20"/>
              </w:rPr>
            </w:pPr>
            <w:r w:rsidRPr="001F471F">
              <w:rPr>
                <w:color w:val="auto"/>
                <w:sz w:val="20"/>
                <w:szCs w:val="20"/>
              </w:rPr>
              <w:t xml:space="preserve">On track </w:t>
            </w:r>
          </w:p>
        </w:tc>
      </w:tr>
      <w:tr w:rsidR="00B56866" w14:paraId="0090D650" w14:textId="77777777" w:rsidTr="0052081B">
        <w:tc>
          <w:tcPr>
            <w:tcW w:w="9412" w:type="dxa"/>
            <w:shd w:val="clear" w:color="auto" w:fill="auto"/>
          </w:tcPr>
          <w:p w14:paraId="19C7D1A7" w14:textId="77777777" w:rsidR="00B56866" w:rsidRPr="000571FF" w:rsidRDefault="00B56866" w:rsidP="00B56866">
            <w:pPr>
              <w:pStyle w:val="TableofFigures"/>
            </w:pPr>
            <w:r w:rsidRPr="001F471F">
              <w:t xml:space="preserve">Progress a planning scheme amendment to improve the environmental performance of buildings </w:t>
            </w:r>
            <w:proofErr w:type="gramStart"/>
            <w:r w:rsidRPr="001F471F">
              <w:t>in order to</w:t>
            </w:r>
            <w:proofErr w:type="gramEnd"/>
            <w:r w:rsidRPr="001F471F">
              <w:t xml:space="preserve"> reduce emissions to zero by 2040.</w:t>
            </w:r>
          </w:p>
        </w:tc>
        <w:tc>
          <w:tcPr>
            <w:tcW w:w="2268" w:type="dxa"/>
            <w:shd w:val="clear" w:color="auto" w:fill="auto"/>
          </w:tcPr>
          <w:p w14:paraId="21C2A6C5" w14:textId="77777777" w:rsidR="00B56866" w:rsidRDefault="00B56866" w:rsidP="00B56866">
            <w:pPr>
              <w:pStyle w:val="TableofFigures"/>
            </w:pPr>
            <w:r>
              <w:t>Deliver</w:t>
            </w:r>
          </w:p>
          <w:p w14:paraId="4384A8C3" w14:textId="77777777" w:rsidR="00B56866" w:rsidRPr="000571FF" w:rsidRDefault="00B56866" w:rsidP="00B56866">
            <w:pPr>
              <w:pStyle w:val="TableofFigures"/>
            </w:pPr>
            <w:r>
              <w:t>Partner</w:t>
            </w:r>
          </w:p>
        </w:tc>
        <w:tc>
          <w:tcPr>
            <w:tcW w:w="2268" w:type="dxa"/>
            <w:shd w:val="clear" w:color="auto" w:fill="auto"/>
          </w:tcPr>
          <w:p w14:paraId="534B0878" w14:textId="77777777" w:rsidR="00B56866" w:rsidRPr="001F471F" w:rsidRDefault="00B56866" w:rsidP="00B56866">
            <w:pPr>
              <w:pStyle w:val="TableofFigures"/>
            </w:pPr>
            <w:r w:rsidRPr="001F471F">
              <w:rPr>
                <w:szCs w:val="20"/>
              </w:rPr>
              <w:t xml:space="preserve">On track </w:t>
            </w:r>
          </w:p>
        </w:tc>
      </w:tr>
      <w:tr w:rsidR="00B56866" w14:paraId="3A65BA0A" w14:textId="77777777" w:rsidTr="0052081B">
        <w:tc>
          <w:tcPr>
            <w:tcW w:w="9412" w:type="dxa"/>
            <w:shd w:val="clear" w:color="auto" w:fill="auto"/>
          </w:tcPr>
          <w:p w14:paraId="4F7A720F" w14:textId="77777777" w:rsidR="00B56866" w:rsidRPr="000571FF" w:rsidRDefault="00B56866" w:rsidP="00B56866">
            <w:pPr>
              <w:pStyle w:val="TableofFigures"/>
            </w:pPr>
            <w:r w:rsidRPr="001F471F">
              <w:t xml:space="preserve">Deliver on our </w:t>
            </w:r>
            <w:r w:rsidRPr="001F471F">
              <w:rPr>
                <w:rFonts w:cs="Arial"/>
                <w:color w:val="0000FF"/>
                <w:szCs w:val="20"/>
                <w:lang w:val="en-AU" w:eastAsia="en-AU"/>
              </w:rPr>
              <w:t>Urban Forest Strategy</w:t>
            </w:r>
            <w:r>
              <w:rPr>
                <w:rStyle w:val="FootnoteReference"/>
              </w:rPr>
              <w:footnoteReference w:id="12"/>
            </w:r>
            <w:r w:rsidRPr="001F471F">
              <w:t xml:space="preserve"> including tree canopy, private greening incentives and city greening.</w:t>
            </w:r>
          </w:p>
        </w:tc>
        <w:tc>
          <w:tcPr>
            <w:tcW w:w="2268" w:type="dxa"/>
            <w:shd w:val="clear" w:color="auto" w:fill="auto"/>
          </w:tcPr>
          <w:p w14:paraId="27768FBB" w14:textId="77777777" w:rsidR="00B56866" w:rsidRPr="000571FF" w:rsidRDefault="00B56866" w:rsidP="00B56866">
            <w:pPr>
              <w:pStyle w:val="TableofFigures"/>
            </w:pPr>
            <w:r>
              <w:t>Partner</w:t>
            </w:r>
          </w:p>
        </w:tc>
        <w:tc>
          <w:tcPr>
            <w:tcW w:w="2268" w:type="dxa"/>
            <w:shd w:val="clear" w:color="auto" w:fill="auto"/>
          </w:tcPr>
          <w:p w14:paraId="0A74B58E" w14:textId="77777777" w:rsidR="00B56866" w:rsidRPr="001F471F" w:rsidRDefault="00B56866" w:rsidP="00B56866">
            <w:pPr>
              <w:pStyle w:val="TableofFigures"/>
            </w:pPr>
            <w:r w:rsidRPr="001F471F">
              <w:rPr>
                <w:szCs w:val="20"/>
              </w:rPr>
              <w:t xml:space="preserve">On track </w:t>
            </w:r>
          </w:p>
        </w:tc>
      </w:tr>
      <w:tr w:rsidR="001F471F" w14:paraId="404A9520" w14:textId="77777777" w:rsidTr="0052081B">
        <w:tc>
          <w:tcPr>
            <w:tcW w:w="9412" w:type="dxa"/>
          </w:tcPr>
          <w:p w14:paraId="6B9EE6F9" w14:textId="77777777" w:rsidR="001F471F" w:rsidRPr="001F471F" w:rsidRDefault="001F471F" w:rsidP="001F471F">
            <w:pPr>
              <w:pStyle w:val="Default"/>
              <w:spacing w:line="276" w:lineRule="auto"/>
              <w:rPr>
                <w:sz w:val="20"/>
                <w:szCs w:val="20"/>
              </w:rPr>
            </w:pPr>
            <w:r w:rsidRPr="001F471F">
              <w:rPr>
                <w:color w:val="252525"/>
                <w:sz w:val="20"/>
                <w:szCs w:val="20"/>
              </w:rPr>
              <w:t xml:space="preserve">Lead the reduction of food waste and diversion of waste from landfill, by continuing the Food Organics, Green Organics rollout through high-rise apartment innovation and by addressing food-waste reduction. </w:t>
            </w:r>
          </w:p>
        </w:tc>
        <w:tc>
          <w:tcPr>
            <w:tcW w:w="2268" w:type="dxa"/>
          </w:tcPr>
          <w:p w14:paraId="4A0FDA63" w14:textId="77777777" w:rsidR="001F471F" w:rsidRPr="001F471F" w:rsidRDefault="001F471F" w:rsidP="001F471F">
            <w:pPr>
              <w:pStyle w:val="Default"/>
              <w:spacing w:line="276" w:lineRule="auto"/>
              <w:rPr>
                <w:sz w:val="20"/>
                <w:szCs w:val="20"/>
              </w:rPr>
            </w:pPr>
            <w:r w:rsidRPr="001F471F">
              <w:rPr>
                <w:color w:val="252525"/>
                <w:sz w:val="20"/>
                <w:szCs w:val="20"/>
              </w:rPr>
              <w:t xml:space="preserve">Deliver </w:t>
            </w:r>
          </w:p>
          <w:p w14:paraId="5D39F296" w14:textId="77777777" w:rsidR="001F471F" w:rsidRPr="001F471F" w:rsidRDefault="001F471F" w:rsidP="001F471F">
            <w:pPr>
              <w:pStyle w:val="Default"/>
              <w:spacing w:line="276" w:lineRule="auto"/>
              <w:rPr>
                <w:color w:val="252525"/>
                <w:sz w:val="20"/>
                <w:szCs w:val="20"/>
              </w:rPr>
            </w:pPr>
            <w:r w:rsidRPr="001F471F">
              <w:rPr>
                <w:color w:val="252525"/>
                <w:sz w:val="20"/>
                <w:szCs w:val="20"/>
              </w:rPr>
              <w:t xml:space="preserve">Partner </w:t>
            </w:r>
          </w:p>
        </w:tc>
        <w:tc>
          <w:tcPr>
            <w:tcW w:w="2268" w:type="dxa"/>
          </w:tcPr>
          <w:p w14:paraId="131C508B" w14:textId="77777777" w:rsidR="001F471F" w:rsidRPr="001F471F" w:rsidRDefault="002B3919" w:rsidP="001F471F">
            <w:pPr>
              <w:pStyle w:val="Default"/>
              <w:spacing w:line="276" w:lineRule="auto"/>
              <w:rPr>
                <w:color w:val="auto"/>
                <w:sz w:val="20"/>
                <w:szCs w:val="20"/>
              </w:rPr>
            </w:pPr>
            <w:r w:rsidRPr="002B3919">
              <w:rPr>
                <w:rFonts w:cs="Times New Roman"/>
                <w:color w:val="auto"/>
                <w:sz w:val="20"/>
                <w:lang w:val="en-US" w:eastAsia="en-US"/>
              </w:rPr>
              <w:t>On track</w:t>
            </w:r>
          </w:p>
        </w:tc>
      </w:tr>
      <w:tr w:rsidR="001F471F" w14:paraId="781F97F5" w14:textId="77777777" w:rsidTr="0052081B">
        <w:tc>
          <w:tcPr>
            <w:tcW w:w="9412" w:type="dxa"/>
          </w:tcPr>
          <w:p w14:paraId="0847C20C" w14:textId="77777777" w:rsidR="001F471F" w:rsidRPr="001F471F" w:rsidRDefault="001F471F" w:rsidP="001F471F">
            <w:pPr>
              <w:pStyle w:val="Default"/>
              <w:spacing w:line="276" w:lineRule="auto"/>
              <w:rPr>
                <w:sz w:val="20"/>
                <w:szCs w:val="20"/>
              </w:rPr>
            </w:pPr>
            <w:r w:rsidRPr="001F471F">
              <w:rPr>
                <w:color w:val="252525"/>
                <w:sz w:val="20"/>
                <w:szCs w:val="20"/>
              </w:rPr>
              <w:t xml:space="preserve">Support the development of a circular economy through bold leadership and community neighbourhood projects, including the container deposit scheme, alternative waste technologies, circular economy guidelines and partnered or aggregated demand to stimulate end markets. </w:t>
            </w:r>
          </w:p>
        </w:tc>
        <w:tc>
          <w:tcPr>
            <w:tcW w:w="2268" w:type="dxa"/>
          </w:tcPr>
          <w:p w14:paraId="43EBFC88" w14:textId="77777777" w:rsidR="001F471F" w:rsidRPr="001F471F" w:rsidRDefault="001F471F" w:rsidP="001F471F">
            <w:pPr>
              <w:pStyle w:val="Default"/>
              <w:spacing w:line="276" w:lineRule="auto"/>
              <w:rPr>
                <w:sz w:val="20"/>
                <w:szCs w:val="20"/>
              </w:rPr>
            </w:pPr>
            <w:r w:rsidRPr="001F471F">
              <w:rPr>
                <w:color w:val="252525"/>
                <w:sz w:val="20"/>
                <w:szCs w:val="20"/>
              </w:rPr>
              <w:t xml:space="preserve">Deliver </w:t>
            </w:r>
          </w:p>
        </w:tc>
        <w:tc>
          <w:tcPr>
            <w:tcW w:w="2268" w:type="dxa"/>
          </w:tcPr>
          <w:p w14:paraId="4F43D3C2" w14:textId="77777777" w:rsidR="001F471F" w:rsidRPr="001F471F" w:rsidRDefault="001F471F" w:rsidP="001F471F">
            <w:pPr>
              <w:pStyle w:val="Default"/>
              <w:spacing w:line="276" w:lineRule="auto"/>
              <w:rPr>
                <w:color w:val="auto"/>
                <w:sz w:val="20"/>
                <w:szCs w:val="20"/>
              </w:rPr>
            </w:pPr>
            <w:r w:rsidRPr="001F471F">
              <w:rPr>
                <w:color w:val="auto"/>
                <w:sz w:val="20"/>
                <w:szCs w:val="20"/>
              </w:rPr>
              <w:t xml:space="preserve">On track </w:t>
            </w:r>
          </w:p>
        </w:tc>
      </w:tr>
      <w:tr w:rsidR="001F471F" w14:paraId="6BDF7115" w14:textId="77777777" w:rsidTr="0052081B">
        <w:tc>
          <w:tcPr>
            <w:tcW w:w="9412" w:type="dxa"/>
          </w:tcPr>
          <w:p w14:paraId="6F159414" w14:textId="77777777" w:rsidR="001F471F" w:rsidRPr="001F471F" w:rsidRDefault="001F471F" w:rsidP="001F471F">
            <w:pPr>
              <w:pStyle w:val="Default"/>
              <w:spacing w:line="276" w:lineRule="auto"/>
              <w:rPr>
                <w:sz w:val="20"/>
                <w:szCs w:val="20"/>
              </w:rPr>
            </w:pPr>
            <w:r w:rsidRPr="001F471F">
              <w:rPr>
                <w:color w:val="252525"/>
                <w:sz w:val="20"/>
                <w:szCs w:val="20"/>
              </w:rPr>
              <w:t xml:space="preserve">Support the development of battery storage and renewable energy in the municipality through the Power Melbourne initiative. </w:t>
            </w:r>
          </w:p>
        </w:tc>
        <w:tc>
          <w:tcPr>
            <w:tcW w:w="2268" w:type="dxa"/>
          </w:tcPr>
          <w:p w14:paraId="29DEA9B2" w14:textId="77777777" w:rsidR="001F471F" w:rsidRPr="001F471F" w:rsidRDefault="001F471F" w:rsidP="001F471F">
            <w:pPr>
              <w:pStyle w:val="Default"/>
              <w:spacing w:line="276" w:lineRule="auto"/>
              <w:rPr>
                <w:sz w:val="20"/>
                <w:szCs w:val="20"/>
              </w:rPr>
            </w:pPr>
            <w:r w:rsidRPr="001F471F">
              <w:rPr>
                <w:color w:val="252525"/>
                <w:sz w:val="20"/>
                <w:szCs w:val="20"/>
              </w:rPr>
              <w:t xml:space="preserve">Partner </w:t>
            </w:r>
          </w:p>
          <w:p w14:paraId="5E20D0D4" w14:textId="77777777" w:rsidR="001F471F" w:rsidRPr="001F471F" w:rsidRDefault="001F471F" w:rsidP="001F471F">
            <w:pPr>
              <w:pStyle w:val="Default"/>
              <w:spacing w:line="276" w:lineRule="auto"/>
              <w:rPr>
                <w:color w:val="252525"/>
                <w:sz w:val="20"/>
                <w:szCs w:val="20"/>
              </w:rPr>
            </w:pPr>
            <w:r w:rsidRPr="001F471F">
              <w:rPr>
                <w:color w:val="252525"/>
                <w:sz w:val="20"/>
                <w:szCs w:val="20"/>
              </w:rPr>
              <w:t xml:space="preserve">Advocate </w:t>
            </w:r>
          </w:p>
        </w:tc>
        <w:tc>
          <w:tcPr>
            <w:tcW w:w="2268" w:type="dxa"/>
          </w:tcPr>
          <w:p w14:paraId="2BF83394" w14:textId="77777777" w:rsidR="001F471F" w:rsidRPr="001F471F" w:rsidRDefault="001F471F" w:rsidP="001F471F">
            <w:pPr>
              <w:pStyle w:val="Default"/>
              <w:spacing w:line="276" w:lineRule="auto"/>
              <w:rPr>
                <w:color w:val="auto"/>
                <w:sz w:val="20"/>
                <w:szCs w:val="20"/>
              </w:rPr>
            </w:pPr>
            <w:r w:rsidRPr="001F471F">
              <w:rPr>
                <w:color w:val="auto"/>
                <w:sz w:val="20"/>
                <w:szCs w:val="20"/>
              </w:rPr>
              <w:t xml:space="preserve">On track </w:t>
            </w:r>
          </w:p>
        </w:tc>
      </w:tr>
      <w:tr w:rsidR="001F471F" w14:paraId="198F80BB" w14:textId="77777777" w:rsidTr="0052081B">
        <w:tc>
          <w:tcPr>
            <w:tcW w:w="9412" w:type="dxa"/>
          </w:tcPr>
          <w:p w14:paraId="760214EF" w14:textId="77777777" w:rsidR="001F471F" w:rsidRPr="001F471F" w:rsidRDefault="001F471F" w:rsidP="001F471F">
            <w:pPr>
              <w:pStyle w:val="Default"/>
              <w:spacing w:line="276" w:lineRule="auto"/>
              <w:rPr>
                <w:color w:val="252525"/>
                <w:sz w:val="20"/>
                <w:szCs w:val="20"/>
              </w:rPr>
            </w:pPr>
            <w:r w:rsidRPr="001F471F">
              <w:rPr>
                <w:color w:val="252525"/>
                <w:sz w:val="20"/>
                <w:szCs w:val="20"/>
              </w:rPr>
              <w:t xml:space="preserve">Implement the </w:t>
            </w:r>
            <w:r w:rsidRPr="001F471F">
              <w:rPr>
                <w:color w:val="0000FF"/>
                <w:sz w:val="20"/>
                <w:szCs w:val="20"/>
              </w:rPr>
              <w:t>Climate and Biodiversity Emergency action plan</w:t>
            </w:r>
            <w:r>
              <w:rPr>
                <w:rStyle w:val="FootnoteReference"/>
                <w:color w:val="252525"/>
                <w:sz w:val="20"/>
                <w:szCs w:val="20"/>
              </w:rPr>
              <w:footnoteReference w:id="13"/>
            </w:r>
            <w:r w:rsidRPr="001F471F">
              <w:rPr>
                <w:color w:val="252525"/>
                <w:sz w:val="20"/>
                <w:szCs w:val="20"/>
              </w:rPr>
              <w:t xml:space="preserve">. </w:t>
            </w:r>
          </w:p>
        </w:tc>
        <w:tc>
          <w:tcPr>
            <w:tcW w:w="2268" w:type="dxa"/>
          </w:tcPr>
          <w:p w14:paraId="48E9FAA7" w14:textId="77777777" w:rsidR="001F471F" w:rsidRPr="001F471F" w:rsidRDefault="001F471F" w:rsidP="001F471F">
            <w:pPr>
              <w:pStyle w:val="Default"/>
              <w:spacing w:line="276" w:lineRule="auto"/>
              <w:rPr>
                <w:sz w:val="20"/>
                <w:szCs w:val="20"/>
              </w:rPr>
            </w:pPr>
            <w:r w:rsidRPr="001F471F">
              <w:rPr>
                <w:color w:val="252525"/>
                <w:sz w:val="20"/>
                <w:szCs w:val="20"/>
              </w:rPr>
              <w:t xml:space="preserve">Deliver </w:t>
            </w:r>
          </w:p>
        </w:tc>
        <w:tc>
          <w:tcPr>
            <w:tcW w:w="2268" w:type="dxa"/>
          </w:tcPr>
          <w:p w14:paraId="5341ACD0" w14:textId="77777777" w:rsidR="001F471F" w:rsidRPr="001F471F" w:rsidRDefault="001F471F" w:rsidP="001F471F">
            <w:pPr>
              <w:pStyle w:val="Default"/>
              <w:spacing w:line="276" w:lineRule="auto"/>
              <w:rPr>
                <w:color w:val="auto"/>
                <w:sz w:val="20"/>
                <w:szCs w:val="20"/>
              </w:rPr>
            </w:pPr>
            <w:r w:rsidRPr="001F471F">
              <w:rPr>
                <w:color w:val="auto"/>
                <w:sz w:val="20"/>
                <w:szCs w:val="20"/>
              </w:rPr>
              <w:t xml:space="preserve">On track </w:t>
            </w:r>
          </w:p>
        </w:tc>
      </w:tr>
    </w:tbl>
    <w:p w14:paraId="314A3F41" w14:textId="77777777" w:rsidR="001F471F" w:rsidRPr="00CF27A2" w:rsidRDefault="001F471F" w:rsidP="001F471F">
      <w:pPr>
        <w:pStyle w:val="Heading2"/>
      </w:pPr>
      <w:bookmarkStart w:id="26" w:name="_Toc193204213"/>
      <w:r>
        <w:t>How we’re measuring progress over four years</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1F471F" w14:paraId="0845D278" w14:textId="77777777" w:rsidTr="0052081B">
        <w:trPr>
          <w:tblHeader/>
        </w:trPr>
        <w:tc>
          <w:tcPr>
            <w:tcW w:w="9412" w:type="dxa"/>
            <w:shd w:val="clear" w:color="auto" w:fill="auto"/>
          </w:tcPr>
          <w:p w14:paraId="086978BC" w14:textId="77777777" w:rsidR="001F471F" w:rsidRPr="00784FF6" w:rsidRDefault="001F471F" w:rsidP="0052081B">
            <w:pPr>
              <w:pStyle w:val="TableofFigures"/>
              <w:rPr>
                <w:b/>
              </w:rPr>
            </w:pPr>
            <w:r>
              <w:rPr>
                <w:b/>
              </w:rPr>
              <w:t>Indicator</w:t>
            </w:r>
          </w:p>
        </w:tc>
        <w:tc>
          <w:tcPr>
            <w:tcW w:w="4537" w:type="dxa"/>
            <w:shd w:val="clear" w:color="auto" w:fill="auto"/>
          </w:tcPr>
          <w:p w14:paraId="514968C9" w14:textId="77777777" w:rsidR="001F471F" w:rsidRPr="00784FF6" w:rsidRDefault="001F471F" w:rsidP="0052081B">
            <w:pPr>
              <w:pStyle w:val="TableofFigures"/>
              <w:rPr>
                <w:b/>
              </w:rPr>
            </w:pPr>
            <w:r>
              <w:rPr>
                <w:b/>
              </w:rPr>
              <w:t>Target outcome</w:t>
            </w:r>
          </w:p>
        </w:tc>
      </w:tr>
      <w:tr w:rsidR="001F471F" w14:paraId="4A977F8C" w14:textId="77777777" w:rsidTr="0052081B">
        <w:tc>
          <w:tcPr>
            <w:tcW w:w="9412" w:type="dxa"/>
          </w:tcPr>
          <w:p w14:paraId="79A80B33" w14:textId="77777777" w:rsidR="001F471F" w:rsidRPr="001F471F" w:rsidRDefault="001F471F" w:rsidP="001F471F">
            <w:pPr>
              <w:pStyle w:val="Default"/>
              <w:spacing w:line="276" w:lineRule="auto"/>
              <w:rPr>
                <w:sz w:val="20"/>
                <w:szCs w:val="18"/>
              </w:rPr>
            </w:pPr>
            <w:r w:rsidRPr="001F471F">
              <w:rPr>
                <w:sz w:val="20"/>
                <w:szCs w:val="18"/>
              </w:rPr>
              <w:t xml:space="preserve">Municipal greenhouse gas emissions. </w:t>
            </w:r>
          </w:p>
        </w:tc>
        <w:tc>
          <w:tcPr>
            <w:tcW w:w="4537" w:type="dxa"/>
          </w:tcPr>
          <w:p w14:paraId="3EC299EA" w14:textId="77777777" w:rsidR="001F471F" w:rsidRPr="001F471F" w:rsidRDefault="001F471F" w:rsidP="001F471F">
            <w:pPr>
              <w:pStyle w:val="Default"/>
              <w:spacing w:line="276" w:lineRule="auto"/>
              <w:rPr>
                <w:sz w:val="20"/>
                <w:szCs w:val="18"/>
              </w:rPr>
            </w:pPr>
            <w:r w:rsidRPr="001F471F">
              <w:rPr>
                <w:sz w:val="20"/>
                <w:szCs w:val="18"/>
              </w:rPr>
              <w:t xml:space="preserve">33% reduction (from 2015 baseline by 2025) </w:t>
            </w:r>
          </w:p>
        </w:tc>
      </w:tr>
      <w:tr w:rsidR="001F471F" w14:paraId="25AE0207" w14:textId="77777777" w:rsidTr="0052081B">
        <w:tc>
          <w:tcPr>
            <w:tcW w:w="9412" w:type="dxa"/>
          </w:tcPr>
          <w:p w14:paraId="3104FA06" w14:textId="77777777" w:rsidR="001F471F" w:rsidRPr="001F471F" w:rsidRDefault="001F471F" w:rsidP="001F471F">
            <w:pPr>
              <w:pStyle w:val="Default"/>
              <w:spacing w:line="276" w:lineRule="auto"/>
              <w:rPr>
                <w:sz w:val="20"/>
                <w:szCs w:val="18"/>
              </w:rPr>
            </w:pPr>
            <w:r w:rsidRPr="001F471F">
              <w:rPr>
                <w:sz w:val="20"/>
                <w:szCs w:val="18"/>
              </w:rPr>
              <w:t xml:space="preserve">On-road transport emissions. </w:t>
            </w:r>
          </w:p>
        </w:tc>
        <w:tc>
          <w:tcPr>
            <w:tcW w:w="4537" w:type="dxa"/>
          </w:tcPr>
          <w:p w14:paraId="26F87BB1" w14:textId="77777777" w:rsidR="001F471F" w:rsidRPr="001F471F" w:rsidRDefault="001F471F" w:rsidP="001F471F">
            <w:pPr>
              <w:pStyle w:val="Default"/>
              <w:spacing w:line="276" w:lineRule="auto"/>
              <w:rPr>
                <w:sz w:val="20"/>
                <w:szCs w:val="18"/>
              </w:rPr>
            </w:pPr>
            <w:r w:rsidRPr="001F471F">
              <w:rPr>
                <w:sz w:val="20"/>
                <w:szCs w:val="18"/>
              </w:rPr>
              <w:t xml:space="preserve">Decrease </w:t>
            </w:r>
          </w:p>
        </w:tc>
      </w:tr>
      <w:tr w:rsidR="001F471F" w14:paraId="77E8D3D1" w14:textId="77777777" w:rsidTr="0052081B">
        <w:tc>
          <w:tcPr>
            <w:tcW w:w="9412" w:type="dxa"/>
          </w:tcPr>
          <w:p w14:paraId="1F90A062" w14:textId="77777777" w:rsidR="001F471F" w:rsidRPr="001F471F" w:rsidRDefault="001F471F" w:rsidP="001F471F">
            <w:pPr>
              <w:pStyle w:val="Default"/>
              <w:spacing w:line="276" w:lineRule="auto"/>
              <w:rPr>
                <w:sz w:val="20"/>
                <w:szCs w:val="18"/>
              </w:rPr>
            </w:pPr>
            <w:r w:rsidRPr="001F471F">
              <w:rPr>
                <w:sz w:val="20"/>
                <w:szCs w:val="18"/>
              </w:rPr>
              <w:t xml:space="preserve">Installed battery storage capacity in the municipality. </w:t>
            </w:r>
          </w:p>
        </w:tc>
        <w:tc>
          <w:tcPr>
            <w:tcW w:w="4537" w:type="dxa"/>
          </w:tcPr>
          <w:p w14:paraId="0A65A147" w14:textId="77777777" w:rsidR="001F471F" w:rsidRPr="001F471F" w:rsidRDefault="001F471F" w:rsidP="001F471F">
            <w:pPr>
              <w:pStyle w:val="Default"/>
              <w:spacing w:line="276" w:lineRule="auto"/>
              <w:rPr>
                <w:sz w:val="20"/>
                <w:szCs w:val="18"/>
              </w:rPr>
            </w:pPr>
            <w:r w:rsidRPr="001F471F">
              <w:rPr>
                <w:sz w:val="20"/>
                <w:szCs w:val="18"/>
              </w:rPr>
              <w:t xml:space="preserve">Increase </w:t>
            </w:r>
          </w:p>
        </w:tc>
      </w:tr>
      <w:tr w:rsidR="001F471F" w14:paraId="30A467BC" w14:textId="77777777" w:rsidTr="0052081B">
        <w:tc>
          <w:tcPr>
            <w:tcW w:w="9412" w:type="dxa"/>
          </w:tcPr>
          <w:p w14:paraId="3A12ED84" w14:textId="77777777" w:rsidR="001F471F" w:rsidRPr="001F471F" w:rsidRDefault="001F471F" w:rsidP="001F471F">
            <w:pPr>
              <w:pStyle w:val="Default"/>
              <w:spacing w:line="276" w:lineRule="auto"/>
              <w:rPr>
                <w:sz w:val="20"/>
                <w:szCs w:val="18"/>
              </w:rPr>
            </w:pPr>
            <w:r w:rsidRPr="001F471F">
              <w:rPr>
                <w:sz w:val="20"/>
                <w:szCs w:val="18"/>
              </w:rPr>
              <w:t xml:space="preserve">Household waste produced. </w:t>
            </w:r>
          </w:p>
        </w:tc>
        <w:tc>
          <w:tcPr>
            <w:tcW w:w="4537" w:type="dxa"/>
          </w:tcPr>
          <w:p w14:paraId="032EACB6" w14:textId="77777777" w:rsidR="001F471F" w:rsidRPr="001F471F" w:rsidRDefault="001F471F" w:rsidP="001F471F">
            <w:pPr>
              <w:pStyle w:val="Default"/>
              <w:spacing w:line="276" w:lineRule="auto"/>
              <w:rPr>
                <w:sz w:val="20"/>
                <w:szCs w:val="18"/>
              </w:rPr>
            </w:pPr>
            <w:r w:rsidRPr="001F471F">
              <w:rPr>
                <w:sz w:val="20"/>
                <w:szCs w:val="18"/>
              </w:rPr>
              <w:t xml:space="preserve">10% reduction (by 2025) </w:t>
            </w:r>
          </w:p>
        </w:tc>
      </w:tr>
      <w:tr w:rsidR="001F471F" w14:paraId="72D6CA5A" w14:textId="77777777" w:rsidTr="0052081B">
        <w:tc>
          <w:tcPr>
            <w:tcW w:w="9412" w:type="dxa"/>
          </w:tcPr>
          <w:p w14:paraId="2E2C51D2" w14:textId="77777777" w:rsidR="001F471F" w:rsidRPr="001F471F" w:rsidRDefault="001F471F" w:rsidP="001F471F">
            <w:pPr>
              <w:pStyle w:val="Default"/>
              <w:spacing w:line="276" w:lineRule="auto"/>
              <w:rPr>
                <w:sz w:val="20"/>
                <w:szCs w:val="18"/>
              </w:rPr>
            </w:pPr>
            <w:r w:rsidRPr="001F471F">
              <w:rPr>
                <w:sz w:val="20"/>
                <w:szCs w:val="18"/>
              </w:rPr>
              <w:t xml:space="preserve">Municipal waste diverted from landfill. </w:t>
            </w:r>
          </w:p>
        </w:tc>
        <w:tc>
          <w:tcPr>
            <w:tcW w:w="4537" w:type="dxa"/>
          </w:tcPr>
          <w:p w14:paraId="754BAA72" w14:textId="77777777" w:rsidR="001F471F" w:rsidRPr="001F471F" w:rsidRDefault="001F471F" w:rsidP="001F471F">
            <w:pPr>
              <w:pStyle w:val="Default"/>
              <w:spacing w:line="276" w:lineRule="auto"/>
              <w:rPr>
                <w:sz w:val="20"/>
                <w:szCs w:val="18"/>
              </w:rPr>
            </w:pPr>
            <w:r w:rsidRPr="001F471F">
              <w:rPr>
                <w:sz w:val="20"/>
                <w:szCs w:val="18"/>
              </w:rPr>
              <w:t xml:space="preserve">50% increase (by 2025) </w:t>
            </w:r>
          </w:p>
        </w:tc>
      </w:tr>
      <w:tr w:rsidR="001F471F" w14:paraId="20D92173" w14:textId="77777777" w:rsidTr="0052081B">
        <w:tc>
          <w:tcPr>
            <w:tcW w:w="9412" w:type="dxa"/>
          </w:tcPr>
          <w:p w14:paraId="351DD11D" w14:textId="77777777" w:rsidR="001F471F" w:rsidRPr="001F471F" w:rsidRDefault="001F471F" w:rsidP="001F471F">
            <w:pPr>
              <w:pStyle w:val="Default"/>
              <w:spacing w:line="276" w:lineRule="auto"/>
              <w:rPr>
                <w:sz w:val="20"/>
                <w:szCs w:val="18"/>
              </w:rPr>
            </w:pPr>
            <w:r w:rsidRPr="001F471F">
              <w:rPr>
                <w:sz w:val="20"/>
                <w:szCs w:val="18"/>
              </w:rPr>
              <w:lastRenderedPageBreak/>
              <w:t xml:space="preserve">Alternative water use. </w:t>
            </w:r>
          </w:p>
        </w:tc>
        <w:tc>
          <w:tcPr>
            <w:tcW w:w="4537" w:type="dxa"/>
          </w:tcPr>
          <w:p w14:paraId="53EC0719" w14:textId="77777777" w:rsidR="001F471F" w:rsidRPr="001F471F" w:rsidRDefault="001F471F" w:rsidP="001F471F">
            <w:pPr>
              <w:pStyle w:val="Default"/>
              <w:spacing w:line="276" w:lineRule="auto"/>
              <w:rPr>
                <w:sz w:val="20"/>
                <w:szCs w:val="18"/>
              </w:rPr>
            </w:pPr>
            <w:r w:rsidRPr="001F471F">
              <w:rPr>
                <w:sz w:val="20"/>
                <w:szCs w:val="18"/>
              </w:rPr>
              <w:t xml:space="preserve">Increase </w:t>
            </w:r>
          </w:p>
        </w:tc>
      </w:tr>
      <w:tr w:rsidR="001F471F" w14:paraId="5D28F884" w14:textId="77777777" w:rsidTr="0052081B">
        <w:tc>
          <w:tcPr>
            <w:tcW w:w="9412" w:type="dxa"/>
          </w:tcPr>
          <w:p w14:paraId="44E50AAD" w14:textId="77777777" w:rsidR="001F471F" w:rsidRPr="001F471F" w:rsidRDefault="001F471F" w:rsidP="001F471F">
            <w:pPr>
              <w:pStyle w:val="Default"/>
              <w:spacing w:line="276" w:lineRule="auto"/>
              <w:rPr>
                <w:sz w:val="20"/>
                <w:szCs w:val="18"/>
              </w:rPr>
            </w:pPr>
            <w:r w:rsidRPr="001F471F">
              <w:rPr>
                <w:sz w:val="20"/>
                <w:szCs w:val="18"/>
              </w:rPr>
              <w:t xml:space="preserve">Stormwater quality. </w:t>
            </w:r>
          </w:p>
        </w:tc>
        <w:tc>
          <w:tcPr>
            <w:tcW w:w="4537" w:type="dxa"/>
          </w:tcPr>
          <w:p w14:paraId="21D756C8" w14:textId="77777777" w:rsidR="001F471F" w:rsidRPr="001F471F" w:rsidRDefault="001F471F" w:rsidP="001F471F">
            <w:pPr>
              <w:pStyle w:val="Default"/>
              <w:spacing w:line="276" w:lineRule="auto"/>
              <w:rPr>
                <w:sz w:val="20"/>
                <w:szCs w:val="18"/>
              </w:rPr>
            </w:pPr>
            <w:r w:rsidRPr="001F471F">
              <w:rPr>
                <w:sz w:val="20"/>
                <w:szCs w:val="18"/>
              </w:rPr>
              <w:t xml:space="preserve">Increase </w:t>
            </w:r>
          </w:p>
        </w:tc>
      </w:tr>
      <w:tr w:rsidR="001F471F" w14:paraId="2A268532" w14:textId="77777777" w:rsidTr="0052081B">
        <w:tc>
          <w:tcPr>
            <w:tcW w:w="9412" w:type="dxa"/>
          </w:tcPr>
          <w:p w14:paraId="07D2D332" w14:textId="77777777" w:rsidR="001F471F" w:rsidRPr="001F471F" w:rsidRDefault="001F471F" w:rsidP="001F471F">
            <w:pPr>
              <w:pStyle w:val="Default"/>
              <w:spacing w:line="276" w:lineRule="auto"/>
              <w:rPr>
                <w:sz w:val="20"/>
                <w:szCs w:val="18"/>
              </w:rPr>
            </w:pPr>
            <w:r w:rsidRPr="001F471F">
              <w:rPr>
                <w:sz w:val="20"/>
                <w:szCs w:val="18"/>
              </w:rPr>
              <w:t xml:space="preserve">Hospital admissions in relation to extreme weather events. </w:t>
            </w:r>
          </w:p>
        </w:tc>
        <w:tc>
          <w:tcPr>
            <w:tcW w:w="4537" w:type="dxa"/>
          </w:tcPr>
          <w:p w14:paraId="3DFCE694" w14:textId="77777777" w:rsidR="001F471F" w:rsidRPr="001F471F" w:rsidRDefault="001F471F" w:rsidP="001F471F">
            <w:pPr>
              <w:pStyle w:val="Default"/>
              <w:spacing w:line="276" w:lineRule="auto"/>
              <w:rPr>
                <w:sz w:val="20"/>
                <w:szCs w:val="18"/>
              </w:rPr>
            </w:pPr>
            <w:r w:rsidRPr="001F471F">
              <w:rPr>
                <w:sz w:val="20"/>
                <w:szCs w:val="18"/>
              </w:rPr>
              <w:t xml:space="preserve">Decrease </w:t>
            </w:r>
          </w:p>
        </w:tc>
      </w:tr>
      <w:tr w:rsidR="001F471F" w14:paraId="0E47A33A" w14:textId="77777777" w:rsidTr="0052081B">
        <w:tc>
          <w:tcPr>
            <w:tcW w:w="9412" w:type="dxa"/>
          </w:tcPr>
          <w:p w14:paraId="22D0A94E" w14:textId="77777777" w:rsidR="001F471F" w:rsidRPr="001F471F" w:rsidRDefault="001F471F" w:rsidP="001F471F">
            <w:pPr>
              <w:pStyle w:val="Default"/>
              <w:spacing w:line="276" w:lineRule="auto"/>
              <w:rPr>
                <w:sz w:val="20"/>
                <w:szCs w:val="18"/>
              </w:rPr>
            </w:pPr>
            <w:r w:rsidRPr="001F471F">
              <w:rPr>
                <w:sz w:val="20"/>
                <w:szCs w:val="18"/>
              </w:rPr>
              <w:t xml:space="preserve">Percentage of tree canopy cover in the public realm. </w:t>
            </w:r>
          </w:p>
        </w:tc>
        <w:tc>
          <w:tcPr>
            <w:tcW w:w="4537" w:type="dxa"/>
          </w:tcPr>
          <w:p w14:paraId="39FBDC85" w14:textId="77777777" w:rsidR="001F471F" w:rsidRPr="001F471F" w:rsidRDefault="001F471F" w:rsidP="001F471F">
            <w:pPr>
              <w:pStyle w:val="Default"/>
              <w:spacing w:line="276" w:lineRule="auto"/>
              <w:rPr>
                <w:sz w:val="20"/>
                <w:szCs w:val="18"/>
              </w:rPr>
            </w:pPr>
            <w:r w:rsidRPr="001F471F">
              <w:rPr>
                <w:sz w:val="20"/>
                <w:szCs w:val="18"/>
              </w:rPr>
              <w:t xml:space="preserve">27% (by 2025) </w:t>
            </w:r>
          </w:p>
        </w:tc>
      </w:tr>
      <w:tr w:rsidR="001F471F" w14:paraId="15EC32A2" w14:textId="77777777" w:rsidTr="0052081B">
        <w:tc>
          <w:tcPr>
            <w:tcW w:w="9412" w:type="dxa"/>
          </w:tcPr>
          <w:p w14:paraId="6D4D916E" w14:textId="77777777" w:rsidR="001F471F" w:rsidRPr="001F471F" w:rsidRDefault="001F471F" w:rsidP="001F471F">
            <w:pPr>
              <w:pStyle w:val="Default"/>
              <w:spacing w:line="276" w:lineRule="auto"/>
              <w:rPr>
                <w:sz w:val="20"/>
                <w:szCs w:val="18"/>
              </w:rPr>
            </w:pPr>
            <w:r w:rsidRPr="001F471F">
              <w:rPr>
                <w:sz w:val="20"/>
                <w:szCs w:val="18"/>
              </w:rPr>
              <w:t xml:space="preserve">Number of trees planted in the municipality. </w:t>
            </w:r>
          </w:p>
        </w:tc>
        <w:tc>
          <w:tcPr>
            <w:tcW w:w="4537" w:type="dxa"/>
          </w:tcPr>
          <w:p w14:paraId="53D10CFD" w14:textId="77777777" w:rsidR="001F471F" w:rsidRPr="001F471F" w:rsidRDefault="001F471F" w:rsidP="001F471F">
            <w:pPr>
              <w:pStyle w:val="Default"/>
              <w:spacing w:line="276" w:lineRule="auto"/>
              <w:rPr>
                <w:sz w:val="20"/>
                <w:szCs w:val="18"/>
              </w:rPr>
            </w:pPr>
            <w:r w:rsidRPr="001F471F">
              <w:rPr>
                <w:sz w:val="20"/>
                <w:szCs w:val="18"/>
              </w:rPr>
              <w:t xml:space="preserve">2400 plus number of trees removed in previous year, or 3000, whichever is more. </w:t>
            </w:r>
          </w:p>
        </w:tc>
      </w:tr>
      <w:tr w:rsidR="001F471F" w14:paraId="26F6CD73" w14:textId="77777777" w:rsidTr="0052081B">
        <w:tc>
          <w:tcPr>
            <w:tcW w:w="9412" w:type="dxa"/>
          </w:tcPr>
          <w:p w14:paraId="215F39D5" w14:textId="77777777" w:rsidR="001F471F" w:rsidRPr="001F471F" w:rsidRDefault="001F471F" w:rsidP="001F471F">
            <w:pPr>
              <w:pStyle w:val="Default"/>
              <w:spacing w:line="276" w:lineRule="auto"/>
              <w:rPr>
                <w:sz w:val="20"/>
                <w:szCs w:val="18"/>
              </w:rPr>
            </w:pPr>
            <w:r w:rsidRPr="001F471F">
              <w:rPr>
                <w:sz w:val="20"/>
                <w:szCs w:val="18"/>
              </w:rPr>
              <w:t xml:space="preserve">Area of native understorey habitat in the public realm. </w:t>
            </w:r>
          </w:p>
        </w:tc>
        <w:tc>
          <w:tcPr>
            <w:tcW w:w="4537" w:type="dxa"/>
          </w:tcPr>
          <w:p w14:paraId="5D3A7712" w14:textId="77777777" w:rsidR="001F471F" w:rsidRPr="001F471F" w:rsidRDefault="001F471F" w:rsidP="001F471F">
            <w:pPr>
              <w:pStyle w:val="Default"/>
              <w:spacing w:line="276" w:lineRule="auto"/>
              <w:rPr>
                <w:sz w:val="20"/>
                <w:szCs w:val="18"/>
              </w:rPr>
            </w:pPr>
            <w:r w:rsidRPr="001F471F">
              <w:rPr>
                <w:sz w:val="20"/>
                <w:szCs w:val="18"/>
              </w:rPr>
              <w:t xml:space="preserve">Increase </w:t>
            </w:r>
          </w:p>
        </w:tc>
      </w:tr>
    </w:tbl>
    <w:p w14:paraId="65347B6F" w14:textId="77777777" w:rsidR="0038645E" w:rsidRDefault="0038645E" w:rsidP="005735E1">
      <w:pPr>
        <w:pStyle w:val="Heading1"/>
        <w:rPr>
          <w:rFonts w:hint="eastAsia"/>
        </w:rPr>
      </w:pPr>
    </w:p>
    <w:p w14:paraId="2970362E" w14:textId="77777777" w:rsidR="005735E1" w:rsidRDefault="0038645E" w:rsidP="005735E1">
      <w:pPr>
        <w:pStyle w:val="Heading1"/>
      </w:pPr>
      <w:r>
        <w:rPr>
          <w:rFonts w:hint="eastAsia"/>
        </w:rPr>
        <w:br w:type="page"/>
      </w:r>
      <w:bookmarkStart w:id="27" w:name="_Toc193204214"/>
      <w:r w:rsidR="00B30455" w:rsidRPr="00B30455">
        <w:lastRenderedPageBreak/>
        <w:t>Access and affordability</w:t>
      </w:r>
      <w:bookmarkEnd w:id="27"/>
    </w:p>
    <w:p w14:paraId="50DB48EB" w14:textId="77777777" w:rsidR="005735E1" w:rsidRDefault="00B30455" w:rsidP="005735E1">
      <w:r w:rsidRPr="00B30455">
        <w:t>Over the next four years, we will reduce economic and social inequality by ensuring universal access to housing</w:t>
      </w:r>
      <w:r>
        <w:t>, core services and information</w:t>
      </w:r>
      <w:r w:rsidR="005735E1" w:rsidRPr="00784FF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3920"/>
      </w:tblGrid>
      <w:tr w:rsidR="005735E1" w14:paraId="2A20859B" w14:textId="77777777" w:rsidTr="00004EFF">
        <w:tc>
          <w:tcPr>
            <w:tcW w:w="13920" w:type="dxa"/>
            <w:shd w:val="clear" w:color="auto" w:fill="auto"/>
          </w:tcPr>
          <w:p w14:paraId="078940C8" w14:textId="77777777" w:rsidR="009E6BAD" w:rsidRPr="00D367C9" w:rsidRDefault="009E6BAD" w:rsidP="009E6BAD">
            <w:pPr>
              <w:pStyle w:val="Heading2"/>
              <w:spacing w:before="0"/>
            </w:pPr>
            <w:bookmarkStart w:id="28" w:name="_Toc193204215"/>
            <w:r w:rsidRPr="00D367C9">
              <w:t xml:space="preserve">Highlights for quarter three (January to March </w:t>
            </w:r>
            <w:r w:rsidR="00B56866">
              <w:t>2024</w:t>
            </w:r>
            <w:r w:rsidRPr="00D367C9">
              <w:t>)</w:t>
            </w:r>
            <w:bookmarkEnd w:id="28"/>
          </w:p>
          <w:p w14:paraId="3786F13A" w14:textId="77777777" w:rsidR="00B56866" w:rsidRPr="00B56866" w:rsidRDefault="00B56866" w:rsidP="00B56866">
            <w:pPr>
              <w:rPr>
                <w:rFonts w:eastAsia="Cambria"/>
                <w:bCs/>
              </w:rPr>
            </w:pPr>
            <w:r w:rsidRPr="00B56866">
              <w:rPr>
                <w:rFonts w:eastAsia="Cambria"/>
                <w:bCs/>
              </w:rPr>
              <w:t xml:space="preserve">Community engagement on the Draft Fair Access Sport and Recreation Allocation and Use Policy </w:t>
            </w:r>
            <w:proofErr w:type="gramStart"/>
            <w:r w:rsidRPr="00B56866">
              <w:rPr>
                <w:rFonts w:eastAsia="Cambria"/>
                <w:bCs/>
              </w:rPr>
              <w:t>2024-2027, and</w:t>
            </w:r>
            <w:proofErr w:type="gramEnd"/>
            <w:r w:rsidRPr="00B56866">
              <w:rPr>
                <w:rFonts w:eastAsia="Cambria"/>
                <w:bCs/>
              </w:rPr>
              <w:t xml:space="preserve"> supporting Action Plan was conducted during the quarter. A summary of the findings is being collated and the feedback will inform the final action plan and policy which will be presented to Council for consideration in June 2024. </w:t>
            </w:r>
          </w:p>
          <w:p w14:paraId="4EE11D3B" w14:textId="77777777" w:rsidR="00B56866" w:rsidRPr="00B56866" w:rsidRDefault="00B56866" w:rsidP="00B56866">
            <w:pPr>
              <w:rPr>
                <w:rFonts w:eastAsia="Cambria"/>
                <w:bCs/>
              </w:rPr>
            </w:pPr>
            <w:r w:rsidRPr="00B56866">
              <w:rPr>
                <w:rFonts w:eastAsia="Cambria"/>
                <w:bCs/>
              </w:rPr>
              <w:t xml:space="preserve">Construction of the Kensington Community Aquatic and Recreation Centre is progressing. </w:t>
            </w:r>
          </w:p>
          <w:p w14:paraId="2D2B2E23" w14:textId="77777777" w:rsidR="00B56866" w:rsidRPr="00B56866" w:rsidRDefault="00B56866" w:rsidP="00B56866">
            <w:pPr>
              <w:rPr>
                <w:rFonts w:eastAsia="Cambria"/>
                <w:bCs/>
              </w:rPr>
            </w:pPr>
            <w:r w:rsidRPr="00B56866">
              <w:rPr>
                <w:rFonts w:eastAsia="Cambria"/>
                <w:bCs/>
              </w:rPr>
              <w:t xml:space="preserve">The Neighbourhood Survey was launched in February and was open throughout March. Neighbourhood Partners and staff across the organisation participated in more than 80 in-person activities, supplemented by a place-based social media and online campaign. </w:t>
            </w:r>
          </w:p>
          <w:p w14:paraId="6C95B60D" w14:textId="77777777" w:rsidR="00B56866" w:rsidRPr="00B56866" w:rsidRDefault="00B56866" w:rsidP="00B56866">
            <w:pPr>
              <w:rPr>
                <w:rFonts w:eastAsia="Cambria"/>
                <w:bCs/>
              </w:rPr>
            </w:pPr>
            <w:r w:rsidRPr="00B56866">
              <w:rPr>
                <w:rFonts w:eastAsia="Cambria"/>
                <w:bCs/>
              </w:rPr>
              <w:t>Fourteen businesses from across the visitor economy have commenced participation in the City of Melbourne capacity building program to help them identify and implement strategies and actions that will improve access and inclusion. As part of the program, people with disability, including two members of the Disability Advisory Committee, are co-designing and co-delivering workshops across topics such as policies, culture, the physical environment, communication and innovation.</w:t>
            </w:r>
          </w:p>
          <w:p w14:paraId="4675F98C" w14:textId="77777777" w:rsidR="00B56866" w:rsidRPr="00B56866" w:rsidRDefault="00B56866" w:rsidP="00B56866">
            <w:pPr>
              <w:rPr>
                <w:rFonts w:eastAsia="Cambria"/>
                <w:bCs/>
              </w:rPr>
            </w:pPr>
            <w:r w:rsidRPr="00B56866">
              <w:rPr>
                <w:rFonts w:eastAsia="Cambria"/>
                <w:bCs/>
              </w:rPr>
              <w:t xml:space="preserve">Two Foodbank Farm to Families pop-up markets were held during the quarter, with 615 community members attending and 3686 kilos of fresh fruit and vegetables collected.  Approximately 69 per cent of people who attended were City of Melbourne residents. </w:t>
            </w:r>
          </w:p>
          <w:p w14:paraId="36F34E32" w14:textId="77777777" w:rsidR="00B56866" w:rsidRPr="00B56866" w:rsidRDefault="00B56866" w:rsidP="00B56866">
            <w:pPr>
              <w:rPr>
                <w:rFonts w:eastAsia="Cambria"/>
                <w:bCs/>
              </w:rPr>
            </w:pPr>
            <w:proofErr w:type="spellStart"/>
            <w:r w:rsidRPr="00B56866">
              <w:rPr>
                <w:rFonts w:eastAsia="Cambria"/>
                <w:bCs/>
              </w:rPr>
              <w:t>narrm</w:t>
            </w:r>
            <w:proofErr w:type="spellEnd"/>
            <w:r w:rsidRPr="00B56866">
              <w:rPr>
                <w:rFonts w:eastAsia="Cambria"/>
                <w:bCs/>
              </w:rPr>
              <w:t xml:space="preserve"> </w:t>
            </w:r>
            <w:proofErr w:type="spellStart"/>
            <w:r w:rsidRPr="00B56866">
              <w:rPr>
                <w:rFonts w:eastAsia="Cambria"/>
                <w:bCs/>
              </w:rPr>
              <w:t>ngarrgu</w:t>
            </w:r>
            <w:proofErr w:type="spellEnd"/>
            <w:r w:rsidRPr="00B56866">
              <w:rPr>
                <w:rFonts w:eastAsia="Cambria"/>
                <w:bCs/>
              </w:rPr>
              <w:t xml:space="preserve"> Library and Family Services is attracting new visitors and members daily and the feedback from the public on the new library has been very positive. To date, around 80,000 people have visited the space. </w:t>
            </w:r>
          </w:p>
          <w:p w14:paraId="2F0BA1F1" w14:textId="77777777" w:rsidR="00B56866" w:rsidRPr="00B56866" w:rsidRDefault="00B56866" w:rsidP="00B56866">
            <w:pPr>
              <w:rPr>
                <w:rFonts w:eastAsia="Cambria"/>
                <w:bCs/>
              </w:rPr>
            </w:pPr>
            <w:r w:rsidRPr="00B56866">
              <w:rPr>
                <w:rFonts w:eastAsia="Cambria"/>
                <w:bCs/>
              </w:rPr>
              <w:t xml:space="preserve">The Make Room construction program is on track to be completed by August 2024.Two artists have been engaged to deliver design for the cultural safety initiatives. </w:t>
            </w:r>
          </w:p>
          <w:p w14:paraId="6C5062DB" w14:textId="77777777" w:rsidR="00B56866" w:rsidRPr="00B56866" w:rsidRDefault="00B56866" w:rsidP="00B56866">
            <w:pPr>
              <w:rPr>
                <w:rFonts w:eastAsia="Cambria"/>
                <w:bCs/>
              </w:rPr>
            </w:pPr>
            <w:r w:rsidRPr="00B56866">
              <w:rPr>
                <w:rFonts w:eastAsia="Cambria"/>
                <w:bCs/>
              </w:rPr>
              <w:t>A grant application was submitted to the Federal Government's Housing Australia Future Fund Facility (HAFFF) for $8.8 million.</w:t>
            </w:r>
          </w:p>
          <w:p w14:paraId="62ED5043" w14:textId="77777777" w:rsidR="00B56866" w:rsidRPr="00B56866" w:rsidRDefault="00B56866" w:rsidP="00B56866">
            <w:pPr>
              <w:rPr>
                <w:rFonts w:eastAsia="Cambria"/>
                <w:bCs/>
              </w:rPr>
            </w:pPr>
            <w:r w:rsidRPr="00B56866">
              <w:rPr>
                <w:rFonts w:eastAsia="Cambria"/>
                <w:bCs/>
              </w:rPr>
              <w:t xml:space="preserve">The Mel-Van mobile library program continued with activities including outreach visits, safety inductions, community technology sessions and digital literacy sessions. Officers are currently developing the </w:t>
            </w:r>
            <w:proofErr w:type="gramStart"/>
            <w:r w:rsidRPr="00B56866">
              <w:rPr>
                <w:rFonts w:eastAsia="Cambria"/>
                <w:bCs/>
              </w:rPr>
              <w:t>Principles</w:t>
            </w:r>
            <w:proofErr w:type="gramEnd"/>
            <w:r w:rsidRPr="00B56866">
              <w:rPr>
                <w:rFonts w:eastAsia="Cambria"/>
                <w:bCs/>
              </w:rPr>
              <w:t xml:space="preserve"> for the new Digital Inclusion Action Plan. </w:t>
            </w:r>
          </w:p>
          <w:p w14:paraId="452CF8F9" w14:textId="77777777" w:rsidR="00B56866" w:rsidRPr="00B56866" w:rsidRDefault="00B56866" w:rsidP="00B56866">
            <w:pPr>
              <w:rPr>
                <w:rFonts w:eastAsia="Cambria"/>
                <w:bCs/>
              </w:rPr>
            </w:pPr>
            <w:r w:rsidRPr="00B56866">
              <w:rPr>
                <w:rFonts w:eastAsia="Cambria"/>
                <w:bCs/>
              </w:rPr>
              <w:t>Consultation on Melbourne's draft food policy concluded on Friday 15 March with 273 Participate Melbourne online surveys submitted. Feedback will be presented to the Future Melbourne Committee in May.</w:t>
            </w:r>
          </w:p>
          <w:p w14:paraId="6958521B" w14:textId="77777777" w:rsidR="00FA20BF" w:rsidRPr="00D367C9" w:rsidRDefault="00B56866" w:rsidP="00B56866">
            <w:pPr>
              <w:rPr>
                <w:rFonts w:eastAsia="Cambria"/>
                <w:bCs/>
              </w:rPr>
            </w:pPr>
            <w:r w:rsidRPr="00B56866">
              <w:rPr>
                <w:rFonts w:eastAsia="Cambria"/>
                <w:bCs/>
              </w:rPr>
              <w:lastRenderedPageBreak/>
              <w:t>Commenced community engagement on the Draft Homelessness Strategy 2024-30 following endorsement by the Future Melbourne Committee.</w:t>
            </w:r>
          </w:p>
          <w:p w14:paraId="7C52B3FD" w14:textId="77777777" w:rsidR="003D6D4A" w:rsidRPr="00D367C9" w:rsidRDefault="003D6D4A" w:rsidP="003D6D4A">
            <w:pPr>
              <w:pStyle w:val="Heading2"/>
            </w:pPr>
            <w:bookmarkStart w:id="29" w:name="_Toc193204216"/>
            <w:r w:rsidRPr="00D367C9">
              <w:t>Our progress</w:t>
            </w:r>
            <w:bookmarkEnd w:id="29"/>
            <w:r w:rsidRPr="00D367C9">
              <w:t xml:space="preserve"> </w:t>
            </w:r>
          </w:p>
          <w:p w14:paraId="0BCFFD7B" w14:textId="77777777" w:rsidR="00BE5903" w:rsidRPr="00D367C9" w:rsidRDefault="00B56866" w:rsidP="00B56866">
            <w:pPr>
              <w:rPr>
                <w:rFonts w:eastAsia="Cambria"/>
                <w:bCs/>
              </w:rPr>
            </w:pPr>
            <w:r w:rsidRPr="00B56866">
              <w:rPr>
                <w:rFonts w:eastAsia="Cambria"/>
                <w:bCs/>
              </w:rPr>
              <w:t xml:space="preserve">Extended negotiations with external partners and complexity of the scope have delayed the delivery of the North Melbourne Community Centre redevelopment and precinct enhancement project. </w:t>
            </w:r>
            <w:r w:rsidR="00BE5903" w:rsidRPr="00D367C9">
              <w:rPr>
                <w:rFonts w:eastAsia="Cambria"/>
                <w:bCs/>
              </w:rPr>
              <w:t xml:space="preserve">  </w:t>
            </w:r>
          </w:p>
          <w:p w14:paraId="453C01DE" w14:textId="77777777" w:rsidR="005735E1" w:rsidRPr="00D367C9" w:rsidRDefault="00BE5903" w:rsidP="00BE5903">
            <w:pPr>
              <w:spacing w:after="0"/>
            </w:pPr>
            <w:r w:rsidRPr="00D367C9">
              <w:rPr>
                <w:rFonts w:eastAsia="Cambria"/>
                <w:bCs/>
              </w:rPr>
              <w:t>Delivery of our major initiatives within the Council Plan term is on track.</w:t>
            </w:r>
          </w:p>
        </w:tc>
      </w:tr>
    </w:tbl>
    <w:p w14:paraId="3CB24AA0" w14:textId="77777777" w:rsidR="005735E1" w:rsidRPr="00784FF6" w:rsidRDefault="005735E1" w:rsidP="005735E1">
      <w:pPr>
        <w:pStyle w:val="Heading2"/>
      </w:pPr>
      <w:bookmarkStart w:id="30" w:name="_Toc193204217"/>
      <w:r w:rsidRPr="00784FF6">
        <w:lastRenderedPageBreak/>
        <w:t>The major initiatives we’re delivering this year</w:t>
      </w:r>
      <w:bookmarkEnd w:id="30"/>
      <w:r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2268"/>
        <w:gridCol w:w="2268"/>
      </w:tblGrid>
      <w:tr w:rsidR="003D6D4A" w14:paraId="12015C1A" w14:textId="77777777" w:rsidTr="00B56866">
        <w:trPr>
          <w:cantSplit/>
          <w:tblHeader/>
        </w:trPr>
        <w:tc>
          <w:tcPr>
            <w:tcW w:w="9412" w:type="dxa"/>
            <w:shd w:val="clear" w:color="auto" w:fill="auto"/>
          </w:tcPr>
          <w:p w14:paraId="1EE5A243" w14:textId="77777777" w:rsidR="003D6D4A" w:rsidRPr="0038645E" w:rsidRDefault="003D6D4A" w:rsidP="0052081B">
            <w:pPr>
              <w:pStyle w:val="TableofFigures"/>
              <w:rPr>
                <w:b/>
              </w:rPr>
            </w:pPr>
            <w:r w:rsidRPr="0038645E">
              <w:rPr>
                <w:b/>
              </w:rPr>
              <w:t>Initiative</w:t>
            </w:r>
          </w:p>
        </w:tc>
        <w:tc>
          <w:tcPr>
            <w:tcW w:w="2268" w:type="dxa"/>
            <w:shd w:val="clear" w:color="auto" w:fill="auto"/>
          </w:tcPr>
          <w:p w14:paraId="6A8E986A" w14:textId="77777777" w:rsidR="003D6D4A" w:rsidRPr="0038645E" w:rsidRDefault="003D6D4A" w:rsidP="0052081B">
            <w:pPr>
              <w:pStyle w:val="TableofFigures"/>
              <w:rPr>
                <w:b/>
              </w:rPr>
            </w:pPr>
            <w:r w:rsidRPr="0038645E">
              <w:rPr>
                <w:b/>
              </w:rPr>
              <w:t>Council’s role</w:t>
            </w:r>
          </w:p>
        </w:tc>
        <w:tc>
          <w:tcPr>
            <w:tcW w:w="2268" w:type="dxa"/>
            <w:shd w:val="clear" w:color="auto" w:fill="auto"/>
          </w:tcPr>
          <w:p w14:paraId="7B79FD8F" w14:textId="77777777" w:rsidR="003D6D4A" w:rsidRPr="00D367C9" w:rsidRDefault="003D6D4A" w:rsidP="0052081B">
            <w:pPr>
              <w:pStyle w:val="TableofFigures"/>
              <w:rPr>
                <w:b/>
              </w:rPr>
            </w:pPr>
            <w:r w:rsidRPr="00D367C9">
              <w:rPr>
                <w:b/>
              </w:rPr>
              <w:t>Our progress</w:t>
            </w:r>
          </w:p>
        </w:tc>
      </w:tr>
      <w:tr w:rsidR="003D6D4A" w14:paraId="36A0FD18" w14:textId="77777777" w:rsidTr="00B56866">
        <w:trPr>
          <w:cantSplit/>
        </w:trPr>
        <w:tc>
          <w:tcPr>
            <w:tcW w:w="9412" w:type="dxa"/>
            <w:shd w:val="clear" w:color="auto" w:fill="auto"/>
          </w:tcPr>
          <w:p w14:paraId="5936FC61" w14:textId="77777777" w:rsidR="003D6D4A" w:rsidRPr="003D6D4A" w:rsidRDefault="003D6D4A" w:rsidP="003D6D4A">
            <w:pPr>
              <w:pStyle w:val="Default"/>
              <w:spacing w:line="276" w:lineRule="auto"/>
              <w:rPr>
                <w:sz w:val="20"/>
                <w:szCs w:val="20"/>
              </w:rPr>
            </w:pPr>
            <w:r w:rsidRPr="003D6D4A">
              <w:rPr>
                <w:color w:val="252525"/>
                <w:sz w:val="20"/>
                <w:szCs w:val="20"/>
              </w:rPr>
              <w:t xml:space="preserve">Increase and upgrade accessible, inclusive spaces for women in City of Melbourne sports facilities </w:t>
            </w:r>
          </w:p>
        </w:tc>
        <w:tc>
          <w:tcPr>
            <w:tcW w:w="2268" w:type="dxa"/>
            <w:shd w:val="clear" w:color="auto" w:fill="auto"/>
          </w:tcPr>
          <w:p w14:paraId="2D7CF227" w14:textId="77777777" w:rsidR="003D6D4A" w:rsidRPr="003D6D4A" w:rsidRDefault="003D6D4A" w:rsidP="003D6D4A">
            <w:pPr>
              <w:pStyle w:val="Default"/>
              <w:spacing w:line="276" w:lineRule="auto"/>
              <w:rPr>
                <w:sz w:val="20"/>
                <w:szCs w:val="20"/>
              </w:rPr>
            </w:pPr>
            <w:r w:rsidRPr="003D6D4A">
              <w:rPr>
                <w:color w:val="252525"/>
                <w:sz w:val="20"/>
                <w:szCs w:val="20"/>
              </w:rPr>
              <w:t xml:space="preserve">Deliver </w:t>
            </w:r>
          </w:p>
        </w:tc>
        <w:tc>
          <w:tcPr>
            <w:tcW w:w="2268" w:type="dxa"/>
            <w:shd w:val="clear" w:color="auto" w:fill="auto"/>
          </w:tcPr>
          <w:p w14:paraId="2D627EA3" w14:textId="77777777" w:rsidR="003D6D4A" w:rsidRPr="00D367C9" w:rsidRDefault="00B56866" w:rsidP="003D6D4A">
            <w:pPr>
              <w:pStyle w:val="Default"/>
              <w:spacing w:line="276" w:lineRule="auto"/>
              <w:rPr>
                <w:color w:val="auto"/>
                <w:sz w:val="20"/>
                <w:szCs w:val="20"/>
              </w:rPr>
            </w:pPr>
            <w:r w:rsidRPr="00D367C9">
              <w:rPr>
                <w:color w:val="auto"/>
                <w:sz w:val="20"/>
                <w:szCs w:val="20"/>
              </w:rPr>
              <w:t>On track</w:t>
            </w:r>
          </w:p>
        </w:tc>
      </w:tr>
      <w:tr w:rsidR="003D6D4A" w14:paraId="7AFD6787" w14:textId="77777777" w:rsidTr="00B56866">
        <w:trPr>
          <w:cantSplit/>
        </w:trPr>
        <w:tc>
          <w:tcPr>
            <w:tcW w:w="9412" w:type="dxa"/>
            <w:shd w:val="clear" w:color="auto" w:fill="auto"/>
          </w:tcPr>
          <w:p w14:paraId="591A5F4E" w14:textId="77777777" w:rsidR="003D6D4A" w:rsidRPr="003D6D4A" w:rsidRDefault="003D6D4A" w:rsidP="003D6D4A">
            <w:pPr>
              <w:pStyle w:val="Default"/>
              <w:spacing w:line="276" w:lineRule="auto"/>
              <w:rPr>
                <w:sz w:val="20"/>
                <w:szCs w:val="20"/>
              </w:rPr>
            </w:pPr>
            <w:r w:rsidRPr="003D6D4A">
              <w:rPr>
                <w:color w:val="252525"/>
                <w:sz w:val="20"/>
                <w:szCs w:val="20"/>
              </w:rPr>
              <w:t xml:space="preserve">Implement a neighbourhood model by working with communities to develop neighbourhood plans and neighbourhood service centres that respond to the local community’s existing and projected needs. </w:t>
            </w:r>
          </w:p>
        </w:tc>
        <w:tc>
          <w:tcPr>
            <w:tcW w:w="2268" w:type="dxa"/>
            <w:shd w:val="clear" w:color="auto" w:fill="auto"/>
          </w:tcPr>
          <w:p w14:paraId="63C70827" w14:textId="77777777" w:rsidR="003D6D4A" w:rsidRPr="003D6D4A" w:rsidRDefault="003D6D4A" w:rsidP="003D6D4A">
            <w:pPr>
              <w:pStyle w:val="Default"/>
              <w:spacing w:line="276" w:lineRule="auto"/>
              <w:rPr>
                <w:sz w:val="20"/>
                <w:szCs w:val="20"/>
              </w:rPr>
            </w:pPr>
            <w:r w:rsidRPr="003D6D4A">
              <w:rPr>
                <w:color w:val="252525"/>
                <w:sz w:val="20"/>
                <w:szCs w:val="20"/>
              </w:rPr>
              <w:t xml:space="preserve">Deliver </w:t>
            </w:r>
          </w:p>
        </w:tc>
        <w:tc>
          <w:tcPr>
            <w:tcW w:w="2268" w:type="dxa"/>
            <w:shd w:val="clear" w:color="auto" w:fill="auto"/>
          </w:tcPr>
          <w:p w14:paraId="6590B1AF" w14:textId="77777777" w:rsidR="003D6D4A" w:rsidRPr="00D367C9" w:rsidRDefault="003D6D4A" w:rsidP="003D6D4A">
            <w:pPr>
              <w:pStyle w:val="Default"/>
              <w:spacing w:line="276" w:lineRule="auto"/>
              <w:rPr>
                <w:color w:val="auto"/>
                <w:sz w:val="20"/>
                <w:szCs w:val="20"/>
              </w:rPr>
            </w:pPr>
            <w:r w:rsidRPr="00D367C9">
              <w:rPr>
                <w:color w:val="auto"/>
                <w:sz w:val="20"/>
                <w:szCs w:val="20"/>
              </w:rPr>
              <w:t xml:space="preserve">On track </w:t>
            </w:r>
          </w:p>
        </w:tc>
      </w:tr>
      <w:tr w:rsidR="003D6D4A" w14:paraId="1131012F" w14:textId="77777777" w:rsidTr="00B56866">
        <w:trPr>
          <w:cantSplit/>
        </w:trPr>
        <w:tc>
          <w:tcPr>
            <w:tcW w:w="9412" w:type="dxa"/>
            <w:shd w:val="clear" w:color="auto" w:fill="auto"/>
          </w:tcPr>
          <w:p w14:paraId="6679A7E4" w14:textId="77777777" w:rsidR="003D6D4A" w:rsidRPr="003D6D4A" w:rsidRDefault="003D6D4A" w:rsidP="003D6D4A">
            <w:pPr>
              <w:pStyle w:val="Default"/>
              <w:spacing w:line="276" w:lineRule="auto"/>
              <w:rPr>
                <w:sz w:val="20"/>
                <w:szCs w:val="20"/>
              </w:rPr>
            </w:pPr>
            <w:r w:rsidRPr="003D6D4A">
              <w:rPr>
                <w:color w:val="252525"/>
                <w:sz w:val="20"/>
                <w:szCs w:val="20"/>
              </w:rPr>
              <w:t xml:space="preserve">Deliver a revitalised library network, including pop-up libraries, to increase access for our diverse community and to help revitalise the city. </w:t>
            </w:r>
          </w:p>
        </w:tc>
        <w:tc>
          <w:tcPr>
            <w:tcW w:w="2268" w:type="dxa"/>
            <w:shd w:val="clear" w:color="auto" w:fill="auto"/>
          </w:tcPr>
          <w:p w14:paraId="642ACDC9" w14:textId="77777777" w:rsidR="003D6D4A" w:rsidRPr="003D6D4A" w:rsidRDefault="003D6D4A" w:rsidP="003D6D4A">
            <w:pPr>
              <w:pStyle w:val="Default"/>
              <w:spacing w:line="276" w:lineRule="auto"/>
              <w:rPr>
                <w:sz w:val="20"/>
                <w:szCs w:val="20"/>
              </w:rPr>
            </w:pPr>
            <w:r w:rsidRPr="003D6D4A">
              <w:rPr>
                <w:color w:val="252525"/>
                <w:sz w:val="20"/>
                <w:szCs w:val="20"/>
              </w:rPr>
              <w:t xml:space="preserve">Deliver </w:t>
            </w:r>
          </w:p>
        </w:tc>
        <w:tc>
          <w:tcPr>
            <w:tcW w:w="2268" w:type="dxa"/>
            <w:shd w:val="clear" w:color="auto" w:fill="auto"/>
          </w:tcPr>
          <w:p w14:paraId="592590CD" w14:textId="77777777" w:rsidR="003D6D4A" w:rsidRPr="00D367C9" w:rsidRDefault="003D6D4A" w:rsidP="003D6D4A">
            <w:pPr>
              <w:pStyle w:val="Default"/>
              <w:spacing w:line="276" w:lineRule="auto"/>
              <w:rPr>
                <w:color w:val="auto"/>
                <w:sz w:val="20"/>
                <w:szCs w:val="20"/>
              </w:rPr>
            </w:pPr>
            <w:r w:rsidRPr="00D367C9">
              <w:rPr>
                <w:color w:val="auto"/>
                <w:sz w:val="20"/>
                <w:szCs w:val="20"/>
              </w:rPr>
              <w:t xml:space="preserve">On track </w:t>
            </w:r>
          </w:p>
        </w:tc>
      </w:tr>
      <w:tr w:rsidR="003D6D4A" w14:paraId="54C3E698" w14:textId="77777777" w:rsidTr="00B56866">
        <w:trPr>
          <w:cantSplit/>
        </w:trPr>
        <w:tc>
          <w:tcPr>
            <w:tcW w:w="9412" w:type="dxa"/>
            <w:shd w:val="clear" w:color="auto" w:fill="auto"/>
          </w:tcPr>
          <w:p w14:paraId="20073374" w14:textId="77777777" w:rsidR="003D6D4A" w:rsidRPr="003D6D4A" w:rsidRDefault="003D6D4A" w:rsidP="003D6D4A">
            <w:pPr>
              <w:pStyle w:val="Default"/>
              <w:spacing w:line="276" w:lineRule="auto"/>
              <w:rPr>
                <w:sz w:val="20"/>
                <w:szCs w:val="20"/>
              </w:rPr>
            </w:pPr>
            <w:r w:rsidRPr="003D6D4A">
              <w:rPr>
                <w:color w:val="252525"/>
                <w:sz w:val="20"/>
                <w:szCs w:val="20"/>
              </w:rPr>
              <w:t xml:space="preserve">Deliver the </w:t>
            </w:r>
            <w:r w:rsidRPr="003D6D4A">
              <w:rPr>
                <w:color w:val="0000FF"/>
                <w:sz w:val="20"/>
                <w:szCs w:val="20"/>
              </w:rPr>
              <w:t>Disability Access Plan 2020–2024</w:t>
            </w:r>
            <w:r w:rsidR="00A95083">
              <w:rPr>
                <w:rStyle w:val="FootnoteReference"/>
                <w:color w:val="0000FF"/>
                <w:sz w:val="20"/>
                <w:szCs w:val="20"/>
              </w:rPr>
              <w:footnoteReference w:id="14"/>
            </w:r>
            <w:r w:rsidRPr="003D6D4A">
              <w:rPr>
                <w:color w:val="0000FF"/>
                <w:sz w:val="20"/>
                <w:szCs w:val="20"/>
              </w:rPr>
              <w:t xml:space="preserve"> </w:t>
            </w:r>
            <w:r w:rsidRPr="003D6D4A">
              <w:rPr>
                <w:color w:val="252525"/>
                <w:sz w:val="20"/>
                <w:szCs w:val="20"/>
              </w:rPr>
              <w:t xml:space="preserve">including ensuring our services and events are more accessible, increasing the number of accessible adult change facilities, and partnering with community and transport groups to make transport more accessible. </w:t>
            </w:r>
          </w:p>
        </w:tc>
        <w:tc>
          <w:tcPr>
            <w:tcW w:w="2268" w:type="dxa"/>
            <w:shd w:val="clear" w:color="auto" w:fill="auto"/>
          </w:tcPr>
          <w:p w14:paraId="4F4DB8A4" w14:textId="77777777" w:rsidR="003D6D4A" w:rsidRPr="003D6D4A" w:rsidRDefault="003D6D4A" w:rsidP="003D6D4A">
            <w:pPr>
              <w:pStyle w:val="Default"/>
              <w:spacing w:line="276" w:lineRule="auto"/>
              <w:rPr>
                <w:sz w:val="20"/>
                <w:szCs w:val="20"/>
              </w:rPr>
            </w:pPr>
            <w:r w:rsidRPr="003D6D4A">
              <w:rPr>
                <w:color w:val="252525"/>
                <w:sz w:val="20"/>
                <w:szCs w:val="20"/>
              </w:rPr>
              <w:t xml:space="preserve">Deliver </w:t>
            </w:r>
          </w:p>
          <w:p w14:paraId="73B13AB3" w14:textId="77777777" w:rsidR="003D6D4A" w:rsidRPr="003D6D4A" w:rsidRDefault="003D6D4A" w:rsidP="003D6D4A">
            <w:pPr>
              <w:pStyle w:val="Default"/>
              <w:spacing w:line="276" w:lineRule="auto"/>
              <w:rPr>
                <w:color w:val="252525"/>
                <w:sz w:val="20"/>
                <w:szCs w:val="20"/>
              </w:rPr>
            </w:pPr>
            <w:r w:rsidRPr="003D6D4A">
              <w:rPr>
                <w:color w:val="252525"/>
                <w:sz w:val="20"/>
                <w:szCs w:val="20"/>
              </w:rPr>
              <w:t xml:space="preserve">Partner </w:t>
            </w:r>
          </w:p>
        </w:tc>
        <w:tc>
          <w:tcPr>
            <w:tcW w:w="2268" w:type="dxa"/>
            <w:shd w:val="clear" w:color="auto" w:fill="auto"/>
          </w:tcPr>
          <w:p w14:paraId="7125DE09" w14:textId="77777777" w:rsidR="003D6D4A" w:rsidRPr="00D367C9" w:rsidRDefault="003D6D4A" w:rsidP="003D6D4A">
            <w:pPr>
              <w:pStyle w:val="Default"/>
              <w:spacing w:line="276" w:lineRule="auto"/>
              <w:rPr>
                <w:color w:val="auto"/>
                <w:sz w:val="20"/>
                <w:szCs w:val="20"/>
              </w:rPr>
            </w:pPr>
            <w:r w:rsidRPr="00D367C9">
              <w:rPr>
                <w:color w:val="auto"/>
                <w:sz w:val="20"/>
                <w:szCs w:val="20"/>
              </w:rPr>
              <w:t xml:space="preserve">On track </w:t>
            </w:r>
          </w:p>
        </w:tc>
      </w:tr>
      <w:tr w:rsidR="003D6D4A" w14:paraId="087C0699" w14:textId="77777777" w:rsidTr="00B56866">
        <w:trPr>
          <w:cantSplit/>
        </w:trPr>
        <w:tc>
          <w:tcPr>
            <w:tcW w:w="9412" w:type="dxa"/>
          </w:tcPr>
          <w:p w14:paraId="7A7241A3" w14:textId="77777777" w:rsidR="003D6D4A" w:rsidRPr="003D6D4A" w:rsidRDefault="003D6D4A" w:rsidP="003D6D4A">
            <w:pPr>
              <w:pStyle w:val="Default"/>
              <w:spacing w:line="276" w:lineRule="auto"/>
              <w:rPr>
                <w:sz w:val="20"/>
                <w:szCs w:val="20"/>
              </w:rPr>
            </w:pPr>
            <w:r w:rsidRPr="003D6D4A">
              <w:rPr>
                <w:color w:val="252525"/>
                <w:sz w:val="20"/>
                <w:szCs w:val="20"/>
              </w:rPr>
              <w:t xml:space="preserve">Develop and deliver initiatives and programs that will provide food relief to vulnerable members of our community and improve local food production by supporting communities to grow their own food. </w:t>
            </w:r>
          </w:p>
        </w:tc>
        <w:tc>
          <w:tcPr>
            <w:tcW w:w="2268" w:type="dxa"/>
          </w:tcPr>
          <w:p w14:paraId="0C4D040D" w14:textId="77777777" w:rsidR="003D6D4A" w:rsidRPr="003D6D4A" w:rsidRDefault="003D6D4A" w:rsidP="003D6D4A">
            <w:pPr>
              <w:pStyle w:val="Default"/>
              <w:spacing w:line="276" w:lineRule="auto"/>
              <w:rPr>
                <w:sz w:val="20"/>
                <w:szCs w:val="20"/>
              </w:rPr>
            </w:pPr>
            <w:r w:rsidRPr="003D6D4A">
              <w:rPr>
                <w:color w:val="252525"/>
                <w:sz w:val="20"/>
                <w:szCs w:val="20"/>
              </w:rPr>
              <w:t xml:space="preserve">Deliver </w:t>
            </w:r>
          </w:p>
          <w:p w14:paraId="01A127B1" w14:textId="77777777" w:rsidR="003D6D4A" w:rsidRPr="003D6D4A" w:rsidRDefault="003D6D4A" w:rsidP="003D6D4A">
            <w:pPr>
              <w:pStyle w:val="Default"/>
              <w:spacing w:line="276" w:lineRule="auto"/>
              <w:rPr>
                <w:color w:val="252525"/>
                <w:sz w:val="20"/>
                <w:szCs w:val="20"/>
              </w:rPr>
            </w:pPr>
            <w:r w:rsidRPr="003D6D4A">
              <w:rPr>
                <w:color w:val="252525"/>
                <w:sz w:val="20"/>
                <w:szCs w:val="20"/>
              </w:rPr>
              <w:t xml:space="preserve">Partner </w:t>
            </w:r>
          </w:p>
          <w:p w14:paraId="1E7C50EC" w14:textId="77777777" w:rsidR="003D6D4A" w:rsidRPr="003D6D4A" w:rsidRDefault="003D6D4A" w:rsidP="003D6D4A">
            <w:pPr>
              <w:pStyle w:val="Default"/>
              <w:spacing w:line="276" w:lineRule="auto"/>
              <w:rPr>
                <w:color w:val="252525"/>
                <w:sz w:val="20"/>
                <w:szCs w:val="20"/>
              </w:rPr>
            </w:pPr>
            <w:r w:rsidRPr="003D6D4A">
              <w:rPr>
                <w:color w:val="252525"/>
                <w:sz w:val="20"/>
                <w:szCs w:val="20"/>
              </w:rPr>
              <w:t xml:space="preserve">Advocate </w:t>
            </w:r>
          </w:p>
        </w:tc>
        <w:tc>
          <w:tcPr>
            <w:tcW w:w="2268" w:type="dxa"/>
          </w:tcPr>
          <w:p w14:paraId="22393A3D" w14:textId="77777777" w:rsidR="003D6D4A" w:rsidRPr="00D367C9" w:rsidRDefault="003D6D4A" w:rsidP="003D6D4A">
            <w:pPr>
              <w:pStyle w:val="Default"/>
              <w:spacing w:line="276" w:lineRule="auto"/>
              <w:rPr>
                <w:color w:val="auto"/>
                <w:sz w:val="20"/>
                <w:szCs w:val="20"/>
              </w:rPr>
            </w:pPr>
            <w:r w:rsidRPr="00D367C9">
              <w:rPr>
                <w:color w:val="auto"/>
                <w:sz w:val="20"/>
                <w:szCs w:val="20"/>
              </w:rPr>
              <w:t xml:space="preserve">On track </w:t>
            </w:r>
          </w:p>
        </w:tc>
      </w:tr>
      <w:tr w:rsidR="003D6D4A" w14:paraId="3833CA01" w14:textId="77777777" w:rsidTr="00B56866">
        <w:trPr>
          <w:cantSplit/>
        </w:trPr>
        <w:tc>
          <w:tcPr>
            <w:tcW w:w="9412" w:type="dxa"/>
          </w:tcPr>
          <w:p w14:paraId="1915E1E8" w14:textId="77777777" w:rsidR="003D6D4A" w:rsidRPr="00235DD6" w:rsidRDefault="003D6D4A" w:rsidP="003D6D4A">
            <w:pPr>
              <w:pStyle w:val="Default"/>
              <w:spacing w:line="276" w:lineRule="auto"/>
              <w:rPr>
                <w:sz w:val="20"/>
                <w:szCs w:val="20"/>
              </w:rPr>
            </w:pPr>
            <w:r w:rsidRPr="00235DD6">
              <w:rPr>
                <w:color w:val="252525"/>
                <w:sz w:val="20"/>
                <w:szCs w:val="20"/>
              </w:rPr>
              <w:t xml:space="preserve">As part of a new corporate strategy for the City of Melbourne, ensure our core services remain accessible and affordable. </w:t>
            </w:r>
          </w:p>
        </w:tc>
        <w:tc>
          <w:tcPr>
            <w:tcW w:w="2268" w:type="dxa"/>
          </w:tcPr>
          <w:p w14:paraId="77883398" w14:textId="77777777" w:rsidR="003D6D4A" w:rsidRPr="00235DD6" w:rsidRDefault="003D6D4A" w:rsidP="003D6D4A">
            <w:pPr>
              <w:pStyle w:val="Default"/>
              <w:spacing w:line="276" w:lineRule="auto"/>
              <w:rPr>
                <w:sz w:val="20"/>
                <w:szCs w:val="20"/>
              </w:rPr>
            </w:pPr>
            <w:r w:rsidRPr="00235DD6">
              <w:rPr>
                <w:color w:val="252525"/>
                <w:sz w:val="20"/>
                <w:szCs w:val="20"/>
              </w:rPr>
              <w:t xml:space="preserve">Deliver </w:t>
            </w:r>
          </w:p>
        </w:tc>
        <w:tc>
          <w:tcPr>
            <w:tcW w:w="2268" w:type="dxa"/>
          </w:tcPr>
          <w:p w14:paraId="3F303A27" w14:textId="77777777" w:rsidR="003D6D4A" w:rsidRPr="00D367C9" w:rsidRDefault="00B56866" w:rsidP="003D6D4A">
            <w:pPr>
              <w:pStyle w:val="Default"/>
              <w:spacing w:line="276" w:lineRule="auto"/>
              <w:rPr>
                <w:color w:val="auto"/>
                <w:sz w:val="20"/>
                <w:szCs w:val="20"/>
              </w:rPr>
            </w:pPr>
            <w:r w:rsidRPr="00D367C9">
              <w:rPr>
                <w:color w:val="auto"/>
                <w:sz w:val="20"/>
                <w:szCs w:val="20"/>
              </w:rPr>
              <w:t>On track</w:t>
            </w:r>
          </w:p>
        </w:tc>
      </w:tr>
      <w:tr w:rsidR="003D6D4A" w14:paraId="448ACB5F" w14:textId="77777777" w:rsidTr="00B56866">
        <w:trPr>
          <w:cantSplit/>
        </w:trPr>
        <w:tc>
          <w:tcPr>
            <w:tcW w:w="9412" w:type="dxa"/>
          </w:tcPr>
          <w:p w14:paraId="35D9480E" w14:textId="77777777" w:rsidR="003D6D4A" w:rsidRPr="003D6D4A" w:rsidRDefault="003D6D4A" w:rsidP="003D6D4A">
            <w:pPr>
              <w:pStyle w:val="Default"/>
              <w:spacing w:line="276" w:lineRule="auto"/>
              <w:rPr>
                <w:sz w:val="20"/>
                <w:szCs w:val="20"/>
              </w:rPr>
            </w:pPr>
            <w:r w:rsidRPr="003D6D4A">
              <w:rPr>
                <w:color w:val="252525"/>
                <w:sz w:val="20"/>
                <w:szCs w:val="20"/>
              </w:rPr>
              <w:t xml:space="preserve">In partnership with the Victorian Government commence construction on a replacement North Melbourne Community Centre precinct for the Melrose St community and growing Macaulay population. </w:t>
            </w:r>
          </w:p>
        </w:tc>
        <w:tc>
          <w:tcPr>
            <w:tcW w:w="2268" w:type="dxa"/>
          </w:tcPr>
          <w:p w14:paraId="6BAE03B2" w14:textId="77777777" w:rsidR="003D6D4A" w:rsidRPr="003D6D4A" w:rsidRDefault="003D6D4A" w:rsidP="003D6D4A">
            <w:pPr>
              <w:pStyle w:val="Default"/>
              <w:spacing w:line="276" w:lineRule="auto"/>
              <w:rPr>
                <w:sz w:val="20"/>
                <w:szCs w:val="20"/>
              </w:rPr>
            </w:pPr>
            <w:r w:rsidRPr="003D6D4A">
              <w:rPr>
                <w:color w:val="252525"/>
                <w:sz w:val="20"/>
                <w:szCs w:val="20"/>
              </w:rPr>
              <w:t xml:space="preserve">Deliver </w:t>
            </w:r>
          </w:p>
          <w:p w14:paraId="0DD0AFDD" w14:textId="77777777" w:rsidR="003D6D4A" w:rsidRPr="003D6D4A" w:rsidRDefault="003D6D4A" w:rsidP="003D6D4A">
            <w:pPr>
              <w:pStyle w:val="Default"/>
              <w:spacing w:line="276" w:lineRule="auto"/>
              <w:rPr>
                <w:color w:val="252525"/>
                <w:sz w:val="20"/>
                <w:szCs w:val="20"/>
              </w:rPr>
            </w:pPr>
            <w:r w:rsidRPr="003D6D4A">
              <w:rPr>
                <w:color w:val="252525"/>
                <w:sz w:val="20"/>
                <w:szCs w:val="20"/>
              </w:rPr>
              <w:t xml:space="preserve">Partner </w:t>
            </w:r>
          </w:p>
        </w:tc>
        <w:tc>
          <w:tcPr>
            <w:tcW w:w="2268" w:type="dxa"/>
          </w:tcPr>
          <w:p w14:paraId="19F76FDA" w14:textId="77777777" w:rsidR="003D6D4A" w:rsidRPr="00D367C9" w:rsidRDefault="00AF3640" w:rsidP="003D6D4A">
            <w:pPr>
              <w:pStyle w:val="Default"/>
              <w:spacing w:line="276" w:lineRule="auto"/>
              <w:rPr>
                <w:color w:val="auto"/>
                <w:sz w:val="20"/>
                <w:szCs w:val="20"/>
              </w:rPr>
            </w:pPr>
            <w:r w:rsidRPr="00D367C9">
              <w:rPr>
                <w:color w:val="auto"/>
                <w:sz w:val="20"/>
                <w:szCs w:val="20"/>
              </w:rPr>
              <w:t>Delayed</w:t>
            </w:r>
          </w:p>
        </w:tc>
      </w:tr>
      <w:tr w:rsidR="003D6D4A" w14:paraId="700C1FAF" w14:textId="77777777" w:rsidTr="00B56866">
        <w:trPr>
          <w:cantSplit/>
        </w:trPr>
        <w:tc>
          <w:tcPr>
            <w:tcW w:w="9412" w:type="dxa"/>
          </w:tcPr>
          <w:p w14:paraId="1BA8D8CD" w14:textId="77777777" w:rsidR="003D6D4A" w:rsidRPr="003D6D4A" w:rsidRDefault="003D6D4A" w:rsidP="003D6D4A">
            <w:pPr>
              <w:pStyle w:val="Default"/>
              <w:spacing w:line="276" w:lineRule="auto"/>
              <w:rPr>
                <w:sz w:val="20"/>
                <w:szCs w:val="20"/>
              </w:rPr>
            </w:pPr>
            <w:r w:rsidRPr="003D6D4A">
              <w:rPr>
                <w:color w:val="252525"/>
                <w:sz w:val="20"/>
                <w:szCs w:val="20"/>
              </w:rPr>
              <w:lastRenderedPageBreak/>
              <w:t xml:space="preserve">Deliver programs that will build digital literacy skills and capabilities, improve access to free Wi-Fi from our community facilities and advocate for appropriate digital infrastructure, to improve digital inclusion for all, particularly for vulnerable groups. </w:t>
            </w:r>
          </w:p>
        </w:tc>
        <w:tc>
          <w:tcPr>
            <w:tcW w:w="2268" w:type="dxa"/>
          </w:tcPr>
          <w:p w14:paraId="3791E96B" w14:textId="77777777" w:rsidR="003D6D4A" w:rsidRPr="003D6D4A" w:rsidRDefault="003D6D4A" w:rsidP="003D6D4A">
            <w:pPr>
              <w:pStyle w:val="Default"/>
              <w:spacing w:line="276" w:lineRule="auto"/>
              <w:rPr>
                <w:sz w:val="20"/>
                <w:szCs w:val="20"/>
              </w:rPr>
            </w:pPr>
            <w:r w:rsidRPr="003D6D4A">
              <w:rPr>
                <w:color w:val="252525"/>
                <w:sz w:val="20"/>
                <w:szCs w:val="20"/>
              </w:rPr>
              <w:t xml:space="preserve">Deliver </w:t>
            </w:r>
          </w:p>
        </w:tc>
        <w:tc>
          <w:tcPr>
            <w:tcW w:w="2268" w:type="dxa"/>
          </w:tcPr>
          <w:p w14:paraId="73B48981" w14:textId="77777777" w:rsidR="003D6D4A" w:rsidRPr="003D6D4A" w:rsidRDefault="003D6D4A" w:rsidP="003D6D4A">
            <w:pPr>
              <w:pStyle w:val="Default"/>
              <w:spacing w:line="276" w:lineRule="auto"/>
              <w:rPr>
                <w:color w:val="auto"/>
                <w:sz w:val="20"/>
                <w:szCs w:val="20"/>
              </w:rPr>
            </w:pPr>
            <w:r w:rsidRPr="003D6D4A">
              <w:rPr>
                <w:color w:val="auto"/>
                <w:sz w:val="20"/>
                <w:szCs w:val="20"/>
              </w:rPr>
              <w:t xml:space="preserve">On track </w:t>
            </w:r>
          </w:p>
        </w:tc>
      </w:tr>
      <w:tr w:rsidR="003D6D4A" w14:paraId="4150908C" w14:textId="77777777" w:rsidTr="00B56866">
        <w:trPr>
          <w:cantSplit/>
        </w:trPr>
        <w:tc>
          <w:tcPr>
            <w:tcW w:w="9412" w:type="dxa"/>
          </w:tcPr>
          <w:p w14:paraId="1C28664D" w14:textId="77777777" w:rsidR="003D6D4A" w:rsidRPr="003D6D4A" w:rsidRDefault="003D6D4A" w:rsidP="003D6D4A">
            <w:pPr>
              <w:pStyle w:val="Default"/>
              <w:spacing w:line="276" w:lineRule="auto"/>
              <w:rPr>
                <w:color w:val="252525"/>
                <w:sz w:val="20"/>
                <w:szCs w:val="20"/>
              </w:rPr>
            </w:pPr>
            <w:r w:rsidRPr="003D6D4A">
              <w:rPr>
                <w:color w:val="252525"/>
                <w:sz w:val="20"/>
                <w:szCs w:val="20"/>
              </w:rPr>
              <w:t xml:space="preserve">Create a new entity ‘Homes Melbourne’, to coordinate and facilitate more affordable housing for key workers and people on low-incomes and progress a demonstration project on Council-owned land, support the Make Room accommodation project and new homeless support hubs for vulnerable citizens to access essential support. </w:t>
            </w:r>
          </w:p>
        </w:tc>
        <w:tc>
          <w:tcPr>
            <w:tcW w:w="2268" w:type="dxa"/>
          </w:tcPr>
          <w:p w14:paraId="54E956D6" w14:textId="77777777" w:rsidR="003D6D4A" w:rsidRPr="003D6D4A" w:rsidRDefault="003D6D4A" w:rsidP="003D6D4A">
            <w:pPr>
              <w:pStyle w:val="Default"/>
              <w:spacing w:line="276" w:lineRule="auto"/>
              <w:rPr>
                <w:sz w:val="20"/>
                <w:szCs w:val="20"/>
              </w:rPr>
            </w:pPr>
            <w:r w:rsidRPr="003D6D4A">
              <w:rPr>
                <w:color w:val="252525"/>
                <w:sz w:val="20"/>
                <w:szCs w:val="20"/>
              </w:rPr>
              <w:t xml:space="preserve">Partner </w:t>
            </w:r>
          </w:p>
        </w:tc>
        <w:tc>
          <w:tcPr>
            <w:tcW w:w="2268" w:type="dxa"/>
          </w:tcPr>
          <w:p w14:paraId="16B538CB" w14:textId="77777777" w:rsidR="003D6D4A" w:rsidRPr="003D6D4A" w:rsidRDefault="00FF3A35" w:rsidP="003D6D4A">
            <w:pPr>
              <w:pStyle w:val="Default"/>
              <w:spacing w:line="276" w:lineRule="auto"/>
              <w:rPr>
                <w:color w:val="auto"/>
                <w:sz w:val="20"/>
                <w:szCs w:val="20"/>
              </w:rPr>
            </w:pPr>
            <w:r>
              <w:rPr>
                <w:color w:val="auto"/>
                <w:sz w:val="20"/>
                <w:szCs w:val="20"/>
              </w:rPr>
              <w:t>On track</w:t>
            </w:r>
          </w:p>
        </w:tc>
      </w:tr>
    </w:tbl>
    <w:p w14:paraId="4AC62BAB" w14:textId="77777777" w:rsidR="003D6D4A" w:rsidRPr="00CF27A2" w:rsidRDefault="003D6D4A" w:rsidP="003D6D4A">
      <w:pPr>
        <w:pStyle w:val="Heading2"/>
      </w:pPr>
      <w:bookmarkStart w:id="31" w:name="_Toc193204218"/>
      <w:r>
        <w:t>How we’re measuring progress over four years</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3D6D4A" w14:paraId="6EF9EDF3" w14:textId="77777777" w:rsidTr="0052081B">
        <w:trPr>
          <w:tblHeader/>
        </w:trPr>
        <w:tc>
          <w:tcPr>
            <w:tcW w:w="9412" w:type="dxa"/>
            <w:shd w:val="clear" w:color="auto" w:fill="auto"/>
          </w:tcPr>
          <w:p w14:paraId="2F860CAC" w14:textId="77777777" w:rsidR="003D6D4A" w:rsidRPr="00784FF6" w:rsidRDefault="003D6D4A" w:rsidP="0052081B">
            <w:pPr>
              <w:pStyle w:val="TableofFigures"/>
              <w:rPr>
                <w:b/>
              </w:rPr>
            </w:pPr>
            <w:r>
              <w:rPr>
                <w:b/>
              </w:rPr>
              <w:t>Indicator</w:t>
            </w:r>
          </w:p>
        </w:tc>
        <w:tc>
          <w:tcPr>
            <w:tcW w:w="4537" w:type="dxa"/>
            <w:shd w:val="clear" w:color="auto" w:fill="auto"/>
          </w:tcPr>
          <w:p w14:paraId="44A0FC40" w14:textId="77777777" w:rsidR="003D6D4A" w:rsidRPr="00784FF6" w:rsidRDefault="003D6D4A" w:rsidP="0052081B">
            <w:pPr>
              <w:pStyle w:val="TableofFigures"/>
              <w:rPr>
                <w:b/>
              </w:rPr>
            </w:pPr>
            <w:r>
              <w:rPr>
                <w:b/>
              </w:rPr>
              <w:t>Target outcome</w:t>
            </w:r>
          </w:p>
        </w:tc>
      </w:tr>
      <w:tr w:rsidR="003D6D4A" w14:paraId="6286DC17" w14:textId="77777777" w:rsidTr="0052081B">
        <w:tc>
          <w:tcPr>
            <w:tcW w:w="9412" w:type="dxa"/>
          </w:tcPr>
          <w:p w14:paraId="052A8728" w14:textId="77777777" w:rsidR="003D6D4A" w:rsidRPr="003D6D4A" w:rsidRDefault="003D6D4A" w:rsidP="003D6D4A">
            <w:pPr>
              <w:pStyle w:val="Default"/>
              <w:spacing w:line="276" w:lineRule="auto"/>
              <w:rPr>
                <w:sz w:val="20"/>
                <w:szCs w:val="18"/>
              </w:rPr>
            </w:pPr>
            <w:r w:rsidRPr="003D6D4A">
              <w:rPr>
                <w:sz w:val="20"/>
                <w:szCs w:val="18"/>
              </w:rPr>
              <w:t xml:space="preserve">Number of people sleeping rough who have not been offered accommodation. </w:t>
            </w:r>
          </w:p>
        </w:tc>
        <w:tc>
          <w:tcPr>
            <w:tcW w:w="4537" w:type="dxa"/>
          </w:tcPr>
          <w:p w14:paraId="4B8FB105" w14:textId="77777777" w:rsidR="003D6D4A" w:rsidRPr="003D6D4A" w:rsidRDefault="003D6D4A" w:rsidP="003D6D4A">
            <w:pPr>
              <w:pStyle w:val="Default"/>
              <w:spacing w:line="276" w:lineRule="auto"/>
              <w:rPr>
                <w:sz w:val="20"/>
                <w:szCs w:val="18"/>
              </w:rPr>
            </w:pPr>
            <w:r w:rsidRPr="003D6D4A">
              <w:rPr>
                <w:sz w:val="20"/>
                <w:szCs w:val="18"/>
              </w:rPr>
              <w:t xml:space="preserve">Zero </w:t>
            </w:r>
          </w:p>
        </w:tc>
      </w:tr>
      <w:tr w:rsidR="003D6D4A" w14:paraId="5272D04A" w14:textId="77777777" w:rsidTr="0052081B">
        <w:tc>
          <w:tcPr>
            <w:tcW w:w="9412" w:type="dxa"/>
          </w:tcPr>
          <w:p w14:paraId="6AB63EF0" w14:textId="77777777" w:rsidR="003D6D4A" w:rsidRPr="003D6D4A" w:rsidRDefault="003D6D4A" w:rsidP="003D6D4A">
            <w:pPr>
              <w:pStyle w:val="Default"/>
              <w:spacing w:line="276" w:lineRule="auto"/>
              <w:rPr>
                <w:sz w:val="20"/>
                <w:szCs w:val="18"/>
              </w:rPr>
            </w:pPr>
            <w:r w:rsidRPr="003D6D4A">
              <w:rPr>
                <w:sz w:val="20"/>
                <w:szCs w:val="18"/>
              </w:rPr>
              <w:t xml:space="preserve">Number of people supported through a range of accommodation including long-term supportive housing and affordable housing. </w:t>
            </w:r>
          </w:p>
        </w:tc>
        <w:tc>
          <w:tcPr>
            <w:tcW w:w="4537" w:type="dxa"/>
          </w:tcPr>
          <w:p w14:paraId="6C995C32" w14:textId="77777777" w:rsidR="003D6D4A" w:rsidRPr="003D6D4A" w:rsidRDefault="003D6D4A" w:rsidP="003D6D4A">
            <w:pPr>
              <w:pStyle w:val="Default"/>
              <w:spacing w:line="276" w:lineRule="auto"/>
              <w:rPr>
                <w:sz w:val="20"/>
                <w:szCs w:val="18"/>
              </w:rPr>
            </w:pPr>
            <w:r w:rsidRPr="003D6D4A">
              <w:rPr>
                <w:sz w:val="20"/>
                <w:szCs w:val="18"/>
              </w:rPr>
              <w:t xml:space="preserve">500 (by 2025) </w:t>
            </w:r>
          </w:p>
        </w:tc>
      </w:tr>
      <w:tr w:rsidR="003D6D4A" w14:paraId="3F88A2C4" w14:textId="77777777" w:rsidTr="0052081B">
        <w:tc>
          <w:tcPr>
            <w:tcW w:w="9412" w:type="dxa"/>
          </w:tcPr>
          <w:p w14:paraId="19AD96E7" w14:textId="77777777" w:rsidR="003D6D4A" w:rsidRPr="003D6D4A" w:rsidRDefault="003D6D4A" w:rsidP="003D6D4A">
            <w:pPr>
              <w:pStyle w:val="Default"/>
              <w:spacing w:line="276" w:lineRule="auto"/>
              <w:rPr>
                <w:sz w:val="20"/>
                <w:szCs w:val="18"/>
              </w:rPr>
            </w:pPr>
            <w:r w:rsidRPr="003D6D4A">
              <w:rPr>
                <w:sz w:val="20"/>
                <w:szCs w:val="18"/>
              </w:rPr>
              <w:t xml:space="preserve">Number of new demonstration social and affordable housing units facilitated on City of Melbourne land. </w:t>
            </w:r>
          </w:p>
        </w:tc>
        <w:tc>
          <w:tcPr>
            <w:tcW w:w="4537" w:type="dxa"/>
          </w:tcPr>
          <w:p w14:paraId="3382E499" w14:textId="77777777" w:rsidR="003D6D4A" w:rsidRPr="003D6D4A" w:rsidRDefault="003D6D4A" w:rsidP="003D6D4A">
            <w:pPr>
              <w:pStyle w:val="Default"/>
              <w:spacing w:line="276" w:lineRule="auto"/>
              <w:rPr>
                <w:sz w:val="20"/>
                <w:szCs w:val="18"/>
              </w:rPr>
            </w:pPr>
            <w:r w:rsidRPr="003D6D4A">
              <w:rPr>
                <w:sz w:val="20"/>
                <w:szCs w:val="18"/>
              </w:rPr>
              <w:t xml:space="preserve">100 (by 2025) </w:t>
            </w:r>
          </w:p>
        </w:tc>
      </w:tr>
      <w:tr w:rsidR="003D6D4A" w14:paraId="4278F7E7" w14:textId="77777777" w:rsidTr="0052081B">
        <w:tc>
          <w:tcPr>
            <w:tcW w:w="9412" w:type="dxa"/>
          </w:tcPr>
          <w:p w14:paraId="77D9033B" w14:textId="77777777" w:rsidR="003D6D4A" w:rsidRPr="003D6D4A" w:rsidRDefault="003D6D4A" w:rsidP="003D6D4A">
            <w:pPr>
              <w:pStyle w:val="Default"/>
              <w:spacing w:line="276" w:lineRule="auto"/>
              <w:rPr>
                <w:sz w:val="20"/>
                <w:szCs w:val="18"/>
              </w:rPr>
            </w:pPr>
            <w:r w:rsidRPr="003D6D4A">
              <w:rPr>
                <w:sz w:val="20"/>
                <w:szCs w:val="18"/>
              </w:rPr>
              <w:t xml:space="preserve">Proportion of people reporting food insecurity. </w:t>
            </w:r>
          </w:p>
        </w:tc>
        <w:tc>
          <w:tcPr>
            <w:tcW w:w="4537" w:type="dxa"/>
          </w:tcPr>
          <w:p w14:paraId="5B5DD9F4" w14:textId="77777777" w:rsidR="003D6D4A" w:rsidRPr="003D6D4A" w:rsidRDefault="003D6D4A" w:rsidP="003D6D4A">
            <w:pPr>
              <w:pStyle w:val="Default"/>
              <w:spacing w:line="276" w:lineRule="auto"/>
              <w:rPr>
                <w:sz w:val="20"/>
                <w:szCs w:val="18"/>
              </w:rPr>
            </w:pPr>
            <w:r w:rsidRPr="003D6D4A">
              <w:rPr>
                <w:sz w:val="20"/>
                <w:szCs w:val="18"/>
              </w:rPr>
              <w:t xml:space="preserve">25% reduction </w:t>
            </w:r>
          </w:p>
          <w:p w14:paraId="3A7F58A8" w14:textId="77777777" w:rsidR="003D6D4A" w:rsidRPr="003D6D4A" w:rsidRDefault="003D6D4A" w:rsidP="003D6D4A">
            <w:pPr>
              <w:pStyle w:val="Default"/>
              <w:spacing w:line="276" w:lineRule="auto"/>
              <w:rPr>
                <w:sz w:val="20"/>
                <w:szCs w:val="18"/>
              </w:rPr>
            </w:pPr>
            <w:r w:rsidRPr="003D6D4A">
              <w:rPr>
                <w:sz w:val="20"/>
                <w:szCs w:val="18"/>
              </w:rPr>
              <w:t xml:space="preserve">(by 2025) </w:t>
            </w:r>
          </w:p>
        </w:tc>
      </w:tr>
      <w:tr w:rsidR="003D6D4A" w14:paraId="7CBC4B18" w14:textId="77777777" w:rsidTr="0052081B">
        <w:tc>
          <w:tcPr>
            <w:tcW w:w="9412" w:type="dxa"/>
          </w:tcPr>
          <w:p w14:paraId="35CB2EB6" w14:textId="77777777" w:rsidR="003D6D4A" w:rsidRPr="003D6D4A" w:rsidRDefault="003D6D4A" w:rsidP="003D6D4A">
            <w:pPr>
              <w:pStyle w:val="Default"/>
              <w:spacing w:line="276" w:lineRule="auto"/>
              <w:rPr>
                <w:sz w:val="20"/>
                <w:szCs w:val="18"/>
              </w:rPr>
            </w:pPr>
            <w:r w:rsidRPr="003D6D4A">
              <w:rPr>
                <w:sz w:val="20"/>
                <w:szCs w:val="18"/>
              </w:rPr>
              <w:t xml:space="preserve">Proportion of people surveyed who participate in lifelong learning in the municipality. </w:t>
            </w:r>
          </w:p>
        </w:tc>
        <w:tc>
          <w:tcPr>
            <w:tcW w:w="4537" w:type="dxa"/>
          </w:tcPr>
          <w:p w14:paraId="4ECBD522" w14:textId="77777777" w:rsidR="003D6D4A" w:rsidRPr="003D6D4A" w:rsidRDefault="003D6D4A" w:rsidP="003D6D4A">
            <w:pPr>
              <w:pStyle w:val="Default"/>
              <w:spacing w:line="276" w:lineRule="auto"/>
              <w:rPr>
                <w:sz w:val="20"/>
                <w:szCs w:val="18"/>
              </w:rPr>
            </w:pPr>
            <w:r w:rsidRPr="003D6D4A">
              <w:rPr>
                <w:sz w:val="20"/>
                <w:szCs w:val="18"/>
              </w:rPr>
              <w:t xml:space="preserve">Increase </w:t>
            </w:r>
          </w:p>
        </w:tc>
      </w:tr>
      <w:tr w:rsidR="003D6D4A" w14:paraId="60100D66" w14:textId="77777777" w:rsidTr="0052081B">
        <w:tc>
          <w:tcPr>
            <w:tcW w:w="9412" w:type="dxa"/>
          </w:tcPr>
          <w:p w14:paraId="5E99DE70" w14:textId="77777777" w:rsidR="003D6D4A" w:rsidRPr="003D6D4A" w:rsidRDefault="003D6D4A" w:rsidP="003D6D4A">
            <w:pPr>
              <w:pStyle w:val="Default"/>
              <w:spacing w:line="276" w:lineRule="auto"/>
              <w:rPr>
                <w:sz w:val="20"/>
                <w:szCs w:val="18"/>
              </w:rPr>
            </w:pPr>
            <w:r w:rsidRPr="003D6D4A">
              <w:rPr>
                <w:sz w:val="20"/>
                <w:szCs w:val="18"/>
              </w:rPr>
              <w:t xml:space="preserve">Proportion of people surveyed who participate in arts and cultural activities in the municipality. </w:t>
            </w:r>
          </w:p>
        </w:tc>
        <w:tc>
          <w:tcPr>
            <w:tcW w:w="4537" w:type="dxa"/>
          </w:tcPr>
          <w:p w14:paraId="4FF75F4E" w14:textId="77777777" w:rsidR="003D6D4A" w:rsidRPr="003D6D4A" w:rsidRDefault="003D6D4A" w:rsidP="003D6D4A">
            <w:pPr>
              <w:pStyle w:val="Default"/>
              <w:spacing w:line="276" w:lineRule="auto"/>
              <w:rPr>
                <w:sz w:val="20"/>
                <w:szCs w:val="18"/>
              </w:rPr>
            </w:pPr>
            <w:r w:rsidRPr="003D6D4A">
              <w:rPr>
                <w:sz w:val="20"/>
                <w:szCs w:val="18"/>
              </w:rPr>
              <w:t xml:space="preserve">Increase </w:t>
            </w:r>
          </w:p>
        </w:tc>
      </w:tr>
    </w:tbl>
    <w:p w14:paraId="62DEE8A1" w14:textId="77777777" w:rsidR="005735E1" w:rsidRDefault="00175895" w:rsidP="005735E1">
      <w:pPr>
        <w:pStyle w:val="Heading1"/>
      </w:pPr>
      <w:r>
        <w:rPr>
          <w:rFonts w:hint="eastAsia"/>
        </w:rPr>
        <w:br w:type="page"/>
      </w:r>
      <w:bookmarkStart w:id="32" w:name="_Toc193204219"/>
      <w:r w:rsidR="00B30455" w:rsidRPr="00B30455">
        <w:lastRenderedPageBreak/>
        <w:t>Safety and wellbeing</w:t>
      </w:r>
      <w:bookmarkEnd w:id="32"/>
    </w:p>
    <w:p w14:paraId="1C8F5BE1" w14:textId="77777777" w:rsidR="005735E1" w:rsidRDefault="00B30455" w:rsidP="005735E1">
      <w:r w:rsidRPr="00B30455">
        <w:t>Over the next four years, we will plan and design for the safety and wellbeing of those who live, visit, work and do business in Melbourne,</w:t>
      </w:r>
      <w:r>
        <w:t xml:space="preserve"> regardless of their background</w:t>
      </w:r>
      <w:r w:rsidR="005735E1" w:rsidRPr="00784FF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3920"/>
      </w:tblGrid>
      <w:tr w:rsidR="005735E1" w14:paraId="4FDE816A" w14:textId="77777777" w:rsidTr="00004EFF">
        <w:tc>
          <w:tcPr>
            <w:tcW w:w="13920" w:type="dxa"/>
            <w:shd w:val="clear" w:color="auto" w:fill="auto"/>
          </w:tcPr>
          <w:p w14:paraId="42C49616" w14:textId="77777777" w:rsidR="009E6BAD" w:rsidRPr="00D367C9" w:rsidRDefault="009E6BAD" w:rsidP="009E6BAD">
            <w:pPr>
              <w:pStyle w:val="Heading2"/>
              <w:spacing w:before="0"/>
            </w:pPr>
            <w:bookmarkStart w:id="33" w:name="_Toc193204220"/>
            <w:r w:rsidRPr="00D367C9">
              <w:t>Highlights for quarter three (January to March 202</w:t>
            </w:r>
            <w:r w:rsidR="00B56866">
              <w:t>4</w:t>
            </w:r>
            <w:r w:rsidRPr="00D367C9">
              <w:t>)</w:t>
            </w:r>
            <w:bookmarkEnd w:id="33"/>
          </w:p>
          <w:p w14:paraId="0ABEB18C" w14:textId="77777777" w:rsidR="00B56866" w:rsidRDefault="00B56866" w:rsidP="00B56866">
            <w:r>
              <w:t>Activities and community events were held across several neighbourhoods as part of the Cultural Diversity week and the United Nations International Day for the Elimination of Racial Discrimination on 21 March, including community celebrations, Welcome to Country Smoking ceremonies and International Student gatherings.</w:t>
            </w:r>
          </w:p>
          <w:p w14:paraId="50ADFC62" w14:textId="77777777" w:rsidR="00B56866" w:rsidRDefault="00B56866" w:rsidP="00B56866">
            <w:r>
              <w:t xml:space="preserve">The City of Melbourne hosted a workshop for the Western Region’s Preventing Violence Together Partnership. More than 20 organisations came together to share priority issues and actions they are working on to address family and gender-based violence. The workshop provided the opportunity to identify collaborative actions over the next two years. </w:t>
            </w:r>
          </w:p>
          <w:p w14:paraId="3DB8221B" w14:textId="77777777" w:rsidR="00B56866" w:rsidRDefault="00B56866" w:rsidP="00B56866">
            <w:r>
              <w:t xml:space="preserve">Heat Lab activities were extended beyond the pilot period during the heatwave event on 8-11 March. One of our libraries and participating community organisations extended opening hours during the period.  Evaluation of the Heat Lab program commenced in March. </w:t>
            </w:r>
          </w:p>
          <w:p w14:paraId="5C012BDD" w14:textId="77777777" w:rsidR="00B56866" w:rsidRDefault="00B56866" w:rsidP="00B56866">
            <w:r>
              <w:t xml:space="preserve">Engagement with Victoria Police, resident groups, businesses and business groups continued to discuss safety in the municipality. This included the commencement of the 'Presidents of residents safety committee meeting', where we </w:t>
            </w:r>
            <w:proofErr w:type="gramStart"/>
            <w:r>
              <w:t>have the opportunity to</w:t>
            </w:r>
            <w:proofErr w:type="gramEnd"/>
            <w:r>
              <w:t xml:space="preserve"> hear from resident groups on matters that affect their safety. </w:t>
            </w:r>
          </w:p>
          <w:p w14:paraId="33FCB71F" w14:textId="77777777" w:rsidR="00B56866" w:rsidRDefault="00B56866" w:rsidP="00B56866">
            <w:r>
              <w:t xml:space="preserve">Projects continued as part of the implementation of Transport Strategy 2030 included: </w:t>
            </w:r>
          </w:p>
          <w:p w14:paraId="0109E114" w14:textId="77777777" w:rsidR="00B56866" w:rsidRDefault="00B56866" w:rsidP="00B56866">
            <w:pPr>
              <w:numPr>
                <w:ilvl w:val="0"/>
                <w:numId w:val="28"/>
              </w:numPr>
            </w:pPr>
            <w:r>
              <w:t xml:space="preserve">Construction commenced on bike lanes on Grattan Street from Rathdowne Street west to the Melbourne Metro station construction site. </w:t>
            </w:r>
          </w:p>
          <w:p w14:paraId="730C744F" w14:textId="77777777" w:rsidR="00B56866" w:rsidRDefault="00B56866" w:rsidP="00B56866">
            <w:pPr>
              <w:numPr>
                <w:ilvl w:val="0"/>
                <w:numId w:val="28"/>
              </w:numPr>
            </w:pPr>
            <w:r>
              <w:t>Works on Little Lonsdale Street have been completed including a new, wide pedestrian crossing connecting two major shopping destinations and road safety works to ensure slow vehicle speeds.</w:t>
            </w:r>
          </w:p>
          <w:p w14:paraId="3FD6F5CF" w14:textId="77777777" w:rsidR="00B56866" w:rsidRDefault="00B56866" w:rsidP="00B56866">
            <w:pPr>
              <w:numPr>
                <w:ilvl w:val="0"/>
                <w:numId w:val="28"/>
              </w:numPr>
            </w:pPr>
            <w:r>
              <w:t>Footpath expansions, bluestone installation and streetscape upgrades continued in the Exhibition Street theatre precinct.</w:t>
            </w:r>
          </w:p>
          <w:p w14:paraId="34A0D600" w14:textId="77777777" w:rsidR="00BE5903" w:rsidRPr="00B56866" w:rsidRDefault="00B56866" w:rsidP="00B56866">
            <w:pPr>
              <w:numPr>
                <w:ilvl w:val="0"/>
                <w:numId w:val="28"/>
              </w:numPr>
            </w:pPr>
            <w:r>
              <w:t xml:space="preserve">Delivered upgrades on Elizabeth Street to restrict unauthorised vehicles from driving through the pedestrianised area between Flinders Lane and Flinders </w:t>
            </w:r>
            <w:proofErr w:type="gramStart"/>
            <w:r>
              <w:t>Street.</w:t>
            </w:r>
            <w:r w:rsidR="00BE5903" w:rsidRPr="00B56866">
              <w:rPr>
                <w:rFonts w:eastAsia="Arial"/>
              </w:rPr>
              <w:t>.</w:t>
            </w:r>
            <w:proofErr w:type="gramEnd"/>
            <w:r w:rsidR="00BE5903" w:rsidRPr="00B56866">
              <w:rPr>
                <w:rFonts w:eastAsia="Arial"/>
              </w:rPr>
              <w:t xml:space="preserve"> </w:t>
            </w:r>
          </w:p>
          <w:p w14:paraId="193E82A3" w14:textId="77777777" w:rsidR="00A95083" w:rsidRPr="00D367C9" w:rsidRDefault="00A95083" w:rsidP="00BE5903">
            <w:pPr>
              <w:pStyle w:val="Heading2"/>
            </w:pPr>
            <w:bookmarkStart w:id="34" w:name="_Toc193204221"/>
            <w:r w:rsidRPr="00D367C9">
              <w:t>Our progress</w:t>
            </w:r>
            <w:bookmarkEnd w:id="34"/>
          </w:p>
          <w:p w14:paraId="0E266961" w14:textId="77777777" w:rsidR="00BE5903" w:rsidRPr="00D367C9" w:rsidRDefault="00B56866" w:rsidP="00BE5903">
            <w:r w:rsidRPr="00B56866">
              <w:lastRenderedPageBreak/>
              <w:t>Limited access to sites and need to seek alternative design options have resulted in delays to some pedestrian and bicycle infrastructure projects.</w:t>
            </w:r>
          </w:p>
          <w:p w14:paraId="72A5709F" w14:textId="77777777" w:rsidR="00002693" w:rsidRPr="00FC0EFA" w:rsidRDefault="00BE5903" w:rsidP="00BE5903">
            <w:r w:rsidRPr="00D367C9">
              <w:t>Delivery of our major initiatives within the Council Plan term is on track.</w:t>
            </w:r>
          </w:p>
        </w:tc>
      </w:tr>
    </w:tbl>
    <w:p w14:paraId="2617B0E0" w14:textId="77777777" w:rsidR="005735E1" w:rsidRPr="00784FF6" w:rsidRDefault="005735E1" w:rsidP="005735E1">
      <w:pPr>
        <w:pStyle w:val="Heading2"/>
      </w:pPr>
      <w:bookmarkStart w:id="35" w:name="_Toc193204222"/>
      <w:r w:rsidRPr="00784FF6">
        <w:lastRenderedPageBreak/>
        <w:t>The major initiatives we’re delivering this year</w:t>
      </w:r>
      <w:bookmarkEnd w:id="35"/>
      <w:r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2268"/>
        <w:gridCol w:w="2268"/>
      </w:tblGrid>
      <w:tr w:rsidR="00A95083" w:rsidRPr="00235DD6" w14:paraId="09365919" w14:textId="77777777" w:rsidTr="0052081B">
        <w:trPr>
          <w:tblHeader/>
        </w:trPr>
        <w:tc>
          <w:tcPr>
            <w:tcW w:w="9412" w:type="dxa"/>
            <w:shd w:val="clear" w:color="auto" w:fill="auto"/>
          </w:tcPr>
          <w:p w14:paraId="75E95465" w14:textId="77777777" w:rsidR="00A95083" w:rsidRPr="0038645E" w:rsidRDefault="00A95083" w:rsidP="0052081B">
            <w:pPr>
              <w:pStyle w:val="TableofFigures"/>
              <w:rPr>
                <w:b/>
              </w:rPr>
            </w:pPr>
            <w:r w:rsidRPr="0038645E">
              <w:rPr>
                <w:b/>
              </w:rPr>
              <w:t>Initiative</w:t>
            </w:r>
          </w:p>
        </w:tc>
        <w:tc>
          <w:tcPr>
            <w:tcW w:w="2268" w:type="dxa"/>
            <w:shd w:val="clear" w:color="auto" w:fill="auto"/>
          </w:tcPr>
          <w:p w14:paraId="13578A6D" w14:textId="77777777" w:rsidR="00A95083" w:rsidRPr="0038645E" w:rsidRDefault="00A95083" w:rsidP="0052081B">
            <w:pPr>
              <w:pStyle w:val="TableofFigures"/>
              <w:rPr>
                <w:b/>
              </w:rPr>
            </w:pPr>
            <w:r w:rsidRPr="0038645E">
              <w:rPr>
                <w:b/>
              </w:rPr>
              <w:t>Council’s role</w:t>
            </w:r>
          </w:p>
        </w:tc>
        <w:tc>
          <w:tcPr>
            <w:tcW w:w="2268" w:type="dxa"/>
            <w:shd w:val="clear" w:color="auto" w:fill="auto"/>
          </w:tcPr>
          <w:p w14:paraId="20662216" w14:textId="77777777" w:rsidR="00A95083" w:rsidRPr="00235DD6" w:rsidRDefault="00A95083" w:rsidP="0052081B">
            <w:pPr>
              <w:pStyle w:val="TableofFigures"/>
              <w:rPr>
                <w:b/>
              </w:rPr>
            </w:pPr>
            <w:r w:rsidRPr="00235DD6">
              <w:rPr>
                <w:b/>
              </w:rPr>
              <w:t>Our progress</w:t>
            </w:r>
          </w:p>
        </w:tc>
      </w:tr>
      <w:tr w:rsidR="00CB006D" w:rsidRPr="00235DD6" w14:paraId="6EC38431" w14:textId="77777777" w:rsidTr="0052081B">
        <w:tc>
          <w:tcPr>
            <w:tcW w:w="9412" w:type="dxa"/>
            <w:shd w:val="clear" w:color="auto" w:fill="auto"/>
          </w:tcPr>
          <w:p w14:paraId="0504C2EB"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Continue to implement the </w:t>
            </w:r>
            <w:r w:rsidRPr="00CB006D">
              <w:rPr>
                <w:color w:val="0000FF"/>
                <w:sz w:val="20"/>
                <w:szCs w:val="20"/>
              </w:rPr>
              <w:t>Transport Strategy 2030</w:t>
            </w:r>
            <w:r>
              <w:rPr>
                <w:rStyle w:val="FootnoteReference"/>
                <w:color w:val="252525"/>
                <w:sz w:val="20"/>
                <w:szCs w:val="20"/>
              </w:rPr>
              <w:footnoteReference w:id="15"/>
            </w:r>
            <w:r w:rsidRPr="00CB006D">
              <w:rPr>
                <w:color w:val="252525"/>
                <w:sz w:val="20"/>
                <w:szCs w:val="20"/>
              </w:rPr>
              <w:t xml:space="preserve">, including delivery of a protected bike lane network, station precincts, streets for people, safer speed limits, etcetera. </w:t>
            </w:r>
          </w:p>
        </w:tc>
        <w:tc>
          <w:tcPr>
            <w:tcW w:w="2268" w:type="dxa"/>
            <w:shd w:val="clear" w:color="auto" w:fill="auto"/>
          </w:tcPr>
          <w:p w14:paraId="22B652A4" w14:textId="77777777" w:rsidR="00CB006D" w:rsidRPr="00CB006D" w:rsidRDefault="00CB006D" w:rsidP="00CB006D">
            <w:pPr>
              <w:pStyle w:val="Default"/>
              <w:spacing w:line="276" w:lineRule="auto"/>
              <w:rPr>
                <w:sz w:val="20"/>
                <w:szCs w:val="20"/>
              </w:rPr>
            </w:pPr>
            <w:r w:rsidRPr="00CB006D">
              <w:rPr>
                <w:color w:val="252525"/>
                <w:sz w:val="20"/>
                <w:szCs w:val="20"/>
              </w:rPr>
              <w:t xml:space="preserve">Advocate </w:t>
            </w:r>
          </w:p>
          <w:p w14:paraId="478D29EE"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Partner </w:t>
            </w:r>
          </w:p>
          <w:p w14:paraId="0D8E6CD3"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tc>
        <w:tc>
          <w:tcPr>
            <w:tcW w:w="2268" w:type="dxa"/>
            <w:shd w:val="clear" w:color="auto" w:fill="auto"/>
          </w:tcPr>
          <w:p w14:paraId="2BF19A91" w14:textId="77777777" w:rsidR="00CB006D" w:rsidRPr="00235DD6" w:rsidRDefault="00B56866" w:rsidP="00CB006D">
            <w:pPr>
              <w:pStyle w:val="Default"/>
              <w:spacing w:line="276" w:lineRule="auto"/>
              <w:rPr>
                <w:color w:val="auto"/>
                <w:sz w:val="20"/>
                <w:szCs w:val="20"/>
              </w:rPr>
            </w:pPr>
            <w:r>
              <w:rPr>
                <w:color w:val="auto"/>
                <w:sz w:val="20"/>
                <w:szCs w:val="20"/>
              </w:rPr>
              <w:t>Delayed</w:t>
            </w:r>
          </w:p>
        </w:tc>
      </w:tr>
      <w:tr w:rsidR="00CB006D" w14:paraId="2FCAA350" w14:textId="77777777" w:rsidTr="0052081B">
        <w:tc>
          <w:tcPr>
            <w:tcW w:w="9412" w:type="dxa"/>
            <w:shd w:val="clear" w:color="auto" w:fill="auto"/>
          </w:tcPr>
          <w:p w14:paraId="5DB32BA2"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the North and West Melbourne and Docklands Transport and Amenity Program in partnership with the Victorian Government. </w:t>
            </w:r>
          </w:p>
        </w:tc>
        <w:tc>
          <w:tcPr>
            <w:tcW w:w="2268" w:type="dxa"/>
            <w:shd w:val="clear" w:color="auto" w:fill="auto"/>
          </w:tcPr>
          <w:p w14:paraId="3D9DCBFB"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p w14:paraId="69A725C3"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Partner </w:t>
            </w:r>
          </w:p>
        </w:tc>
        <w:tc>
          <w:tcPr>
            <w:tcW w:w="2268" w:type="dxa"/>
            <w:shd w:val="clear" w:color="auto" w:fill="auto"/>
          </w:tcPr>
          <w:p w14:paraId="4C6091EA" w14:textId="77777777" w:rsidR="00CB006D" w:rsidRPr="00CB006D" w:rsidRDefault="00211A97" w:rsidP="00211A97">
            <w:pPr>
              <w:pStyle w:val="Default"/>
              <w:spacing w:line="276" w:lineRule="auto"/>
              <w:rPr>
                <w:color w:val="auto"/>
                <w:sz w:val="20"/>
                <w:szCs w:val="20"/>
              </w:rPr>
            </w:pPr>
            <w:r>
              <w:rPr>
                <w:color w:val="auto"/>
                <w:sz w:val="20"/>
                <w:szCs w:val="20"/>
              </w:rPr>
              <w:t>Delayed</w:t>
            </w:r>
            <w:r w:rsidR="00CB006D" w:rsidRPr="00CB006D">
              <w:rPr>
                <w:color w:val="auto"/>
                <w:sz w:val="20"/>
                <w:szCs w:val="20"/>
              </w:rPr>
              <w:t xml:space="preserve"> </w:t>
            </w:r>
          </w:p>
        </w:tc>
      </w:tr>
      <w:tr w:rsidR="00CB006D" w14:paraId="7709E195" w14:textId="77777777" w:rsidTr="0052081B">
        <w:tc>
          <w:tcPr>
            <w:tcW w:w="9412" w:type="dxa"/>
            <w:shd w:val="clear" w:color="auto" w:fill="auto"/>
          </w:tcPr>
          <w:p w14:paraId="0BE7FDB8" w14:textId="77777777" w:rsidR="00CB006D" w:rsidRPr="00CB006D" w:rsidRDefault="00CB006D" w:rsidP="00CB006D">
            <w:pPr>
              <w:pStyle w:val="Default"/>
              <w:spacing w:line="276" w:lineRule="auto"/>
              <w:rPr>
                <w:sz w:val="20"/>
                <w:szCs w:val="20"/>
              </w:rPr>
            </w:pPr>
            <w:r w:rsidRPr="00CB006D">
              <w:rPr>
                <w:color w:val="252525"/>
                <w:sz w:val="20"/>
                <w:szCs w:val="20"/>
              </w:rPr>
              <w:t xml:space="preserve">City of Melbourne will design and deliver the upgrades to the City Road northern </w:t>
            </w:r>
            <w:proofErr w:type="spellStart"/>
            <w:r w:rsidRPr="00CB006D">
              <w:rPr>
                <w:color w:val="252525"/>
                <w:sz w:val="20"/>
                <w:szCs w:val="20"/>
              </w:rPr>
              <w:t>undercroft</w:t>
            </w:r>
            <w:proofErr w:type="spellEnd"/>
            <w:r w:rsidRPr="00CB006D">
              <w:rPr>
                <w:color w:val="252525"/>
                <w:sz w:val="20"/>
                <w:szCs w:val="20"/>
              </w:rPr>
              <w:t xml:space="preserve"> by end of 2023-2024 and advocate for the full delivery of upgrades to the City Road East and West. </w:t>
            </w:r>
          </w:p>
        </w:tc>
        <w:tc>
          <w:tcPr>
            <w:tcW w:w="2268" w:type="dxa"/>
            <w:shd w:val="clear" w:color="auto" w:fill="auto"/>
          </w:tcPr>
          <w:p w14:paraId="5DFD4486"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p w14:paraId="583AA9DC"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Advocate </w:t>
            </w:r>
          </w:p>
        </w:tc>
        <w:tc>
          <w:tcPr>
            <w:tcW w:w="2268" w:type="dxa"/>
            <w:shd w:val="clear" w:color="auto" w:fill="auto"/>
          </w:tcPr>
          <w:p w14:paraId="5D934D50" w14:textId="77777777" w:rsidR="00CB006D" w:rsidRPr="00CB006D" w:rsidRDefault="00E43FA0" w:rsidP="00CB006D">
            <w:pPr>
              <w:pStyle w:val="Default"/>
              <w:spacing w:line="276" w:lineRule="auto"/>
              <w:rPr>
                <w:color w:val="auto"/>
                <w:sz w:val="20"/>
                <w:szCs w:val="20"/>
              </w:rPr>
            </w:pPr>
            <w:r>
              <w:rPr>
                <w:color w:val="auto"/>
                <w:sz w:val="20"/>
                <w:szCs w:val="20"/>
              </w:rPr>
              <w:t>Delayed</w:t>
            </w:r>
            <w:r w:rsidR="00CB006D" w:rsidRPr="00CB006D">
              <w:rPr>
                <w:color w:val="auto"/>
                <w:sz w:val="20"/>
                <w:szCs w:val="20"/>
              </w:rPr>
              <w:t xml:space="preserve"> </w:t>
            </w:r>
          </w:p>
        </w:tc>
      </w:tr>
      <w:tr w:rsidR="00CB006D" w14:paraId="53305A27" w14:textId="77777777" w:rsidTr="0052081B">
        <w:tc>
          <w:tcPr>
            <w:tcW w:w="9412" w:type="dxa"/>
            <w:shd w:val="clear" w:color="auto" w:fill="auto"/>
          </w:tcPr>
          <w:p w14:paraId="51200411" w14:textId="77777777" w:rsidR="00CB006D" w:rsidRPr="00CB006D" w:rsidRDefault="00CB006D" w:rsidP="00CB006D">
            <w:pPr>
              <w:pStyle w:val="Default"/>
              <w:spacing w:line="276" w:lineRule="auto"/>
              <w:rPr>
                <w:sz w:val="20"/>
                <w:szCs w:val="20"/>
              </w:rPr>
            </w:pPr>
            <w:r w:rsidRPr="00CB006D">
              <w:rPr>
                <w:color w:val="252525"/>
                <w:sz w:val="20"/>
                <w:szCs w:val="20"/>
              </w:rPr>
              <w:t xml:space="preserve">Adopt in 2021-22 and then implement an </w:t>
            </w:r>
            <w:r w:rsidRPr="00CB006D">
              <w:rPr>
                <w:color w:val="0000FF"/>
                <w:sz w:val="20"/>
                <w:szCs w:val="20"/>
              </w:rPr>
              <w:t>Inclusive Melbourne Strategy</w:t>
            </w:r>
            <w:r>
              <w:rPr>
                <w:rStyle w:val="FootnoteReference"/>
                <w:color w:val="0000FF"/>
                <w:sz w:val="20"/>
                <w:szCs w:val="20"/>
              </w:rPr>
              <w:footnoteReference w:id="16"/>
            </w:r>
            <w:r w:rsidRPr="00CB006D">
              <w:rPr>
                <w:color w:val="0000FF"/>
                <w:sz w:val="20"/>
                <w:szCs w:val="20"/>
              </w:rPr>
              <w:t xml:space="preserve"> </w:t>
            </w:r>
            <w:r w:rsidRPr="00CB006D">
              <w:rPr>
                <w:color w:val="252525"/>
                <w:sz w:val="20"/>
                <w:szCs w:val="20"/>
              </w:rPr>
              <w:t xml:space="preserve">that will increase access to opportunities for all people who live, work, study in and visit the city. </w:t>
            </w:r>
          </w:p>
        </w:tc>
        <w:tc>
          <w:tcPr>
            <w:tcW w:w="2268" w:type="dxa"/>
            <w:shd w:val="clear" w:color="auto" w:fill="auto"/>
          </w:tcPr>
          <w:p w14:paraId="5448F297"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tc>
        <w:tc>
          <w:tcPr>
            <w:tcW w:w="2268" w:type="dxa"/>
            <w:shd w:val="clear" w:color="auto" w:fill="auto"/>
          </w:tcPr>
          <w:p w14:paraId="0D8F72B6" w14:textId="77777777" w:rsidR="00CB006D" w:rsidRPr="00CB006D" w:rsidRDefault="00CB006D" w:rsidP="00CB006D">
            <w:pPr>
              <w:pStyle w:val="Default"/>
              <w:spacing w:line="276" w:lineRule="auto"/>
              <w:rPr>
                <w:color w:val="auto"/>
                <w:sz w:val="20"/>
                <w:szCs w:val="20"/>
              </w:rPr>
            </w:pPr>
            <w:r w:rsidRPr="00CB006D">
              <w:rPr>
                <w:color w:val="auto"/>
                <w:sz w:val="20"/>
                <w:szCs w:val="20"/>
              </w:rPr>
              <w:t xml:space="preserve">On track </w:t>
            </w:r>
          </w:p>
        </w:tc>
      </w:tr>
      <w:tr w:rsidR="00CB006D" w14:paraId="3EBDD0C3" w14:textId="77777777" w:rsidTr="0052081B">
        <w:tc>
          <w:tcPr>
            <w:tcW w:w="9412" w:type="dxa"/>
          </w:tcPr>
          <w:p w14:paraId="00FF6031" w14:textId="77777777" w:rsidR="00CB006D" w:rsidRPr="00CB006D" w:rsidRDefault="00CB006D" w:rsidP="00CB006D">
            <w:pPr>
              <w:pStyle w:val="Default"/>
              <w:spacing w:line="276" w:lineRule="auto"/>
              <w:rPr>
                <w:sz w:val="20"/>
                <w:szCs w:val="20"/>
              </w:rPr>
            </w:pPr>
            <w:r w:rsidRPr="00CB006D">
              <w:rPr>
                <w:color w:val="252525"/>
                <w:sz w:val="20"/>
                <w:szCs w:val="20"/>
              </w:rPr>
              <w:t xml:space="preserve">We will be a leading organisation on equality and inclusion and deliver programs in communities that will reduce physical and psychological harm to all people. </w:t>
            </w:r>
          </w:p>
        </w:tc>
        <w:tc>
          <w:tcPr>
            <w:tcW w:w="2268" w:type="dxa"/>
          </w:tcPr>
          <w:p w14:paraId="6019D8FE"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tc>
        <w:tc>
          <w:tcPr>
            <w:tcW w:w="2268" w:type="dxa"/>
          </w:tcPr>
          <w:p w14:paraId="5AA67405" w14:textId="77777777" w:rsidR="00CB006D" w:rsidRPr="00CB006D" w:rsidRDefault="00CB006D" w:rsidP="00CB006D">
            <w:pPr>
              <w:pStyle w:val="Default"/>
              <w:spacing w:line="276" w:lineRule="auto"/>
              <w:rPr>
                <w:color w:val="auto"/>
                <w:sz w:val="20"/>
                <w:szCs w:val="20"/>
              </w:rPr>
            </w:pPr>
            <w:r w:rsidRPr="00CB006D">
              <w:rPr>
                <w:color w:val="auto"/>
                <w:sz w:val="20"/>
                <w:szCs w:val="20"/>
              </w:rPr>
              <w:t xml:space="preserve">On track </w:t>
            </w:r>
          </w:p>
        </w:tc>
      </w:tr>
      <w:tr w:rsidR="00CB006D" w14:paraId="78588EAD" w14:textId="77777777" w:rsidTr="0052081B">
        <w:tc>
          <w:tcPr>
            <w:tcW w:w="9412" w:type="dxa"/>
          </w:tcPr>
          <w:p w14:paraId="12FEA6BA" w14:textId="77777777" w:rsidR="00CB006D" w:rsidRPr="00CB006D" w:rsidRDefault="00CB006D" w:rsidP="00CB006D">
            <w:pPr>
              <w:pStyle w:val="Default"/>
              <w:spacing w:line="276" w:lineRule="auto"/>
              <w:rPr>
                <w:sz w:val="20"/>
                <w:szCs w:val="20"/>
              </w:rPr>
            </w:pPr>
            <w:r w:rsidRPr="00CB006D">
              <w:rPr>
                <w:color w:val="252525"/>
                <w:sz w:val="20"/>
                <w:szCs w:val="20"/>
              </w:rPr>
              <w:t xml:space="preserve">We will continue to work with Victoria Police and other agencies to deliver a range of initiatives that improve safety on the streets of Melbourne and within our communities. </w:t>
            </w:r>
          </w:p>
        </w:tc>
        <w:tc>
          <w:tcPr>
            <w:tcW w:w="2268" w:type="dxa"/>
          </w:tcPr>
          <w:p w14:paraId="4E4EF7E6" w14:textId="77777777" w:rsidR="00CB006D" w:rsidRPr="00CB006D" w:rsidRDefault="00CB006D" w:rsidP="00CB006D">
            <w:pPr>
              <w:pStyle w:val="Default"/>
              <w:spacing w:line="276" w:lineRule="auto"/>
              <w:rPr>
                <w:sz w:val="20"/>
                <w:szCs w:val="20"/>
              </w:rPr>
            </w:pPr>
            <w:r w:rsidRPr="00CB006D">
              <w:rPr>
                <w:color w:val="252525"/>
                <w:sz w:val="20"/>
                <w:szCs w:val="20"/>
              </w:rPr>
              <w:t xml:space="preserve">Partner </w:t>
            </w:r>
          </w:p>
          <w:p w14:paraId="46891396"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Deliver </w:t>
            </w:r>
          </w:p>
        </w:tc>
        <w:tc>
          <w:tcPr>
            <w:tcW w:w="2268" w:type="dxa"/>
          </w:tcPr>
          <w:p w14:paraId="13C143F3" w14:textId="77777777" w:rsidR="00CB006D" w:rsidRPr="00CB006D" w:rsidRDefault="00CB006D" w:rsidP="00CB006D">
            <w:pPr>
              <w:pStyle w:val="Default"/>
              <w:spacing w:line="276" w:lineRule="auto"/>
              <w:rPr>
                <w:color w:val="auto"/>
                <w:sz w:val="20"/>
                <w:szCs w:val="20"/>
              </w:rPr>
            </w:pPr>
            <w:r w:rsidRPr="00CB006D">
              <w:rPr>
                <w:color w:val="auto"/>
                <w:sz w:val="20"/>
                <w:szCs w:val="20"/>
              </w:rPr>
              <w:t xml:space="preserve">On track </w:t>
            </w:r>
          </w:p>
        </w:tc>
      </w:tr>
      <w:tr w:rsidR="00CB006D" w14:paraId="7D8B3CCE" w14:textId="77777777" w:rsidTr="0052081B">
        <w:tc>
          <w:tcPr>
            <w:tcW w:w="9412" w:type="dxa"/>
          </w:tcPr>
          <w:p w14:paraId="78667509"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and maintain a clean city through the Rapid Response Clean Team initiative. </w:t>
            </w:r>
          </w:p>
        </w:tc>
        <w:tc>
          <w:tcPr>
            <w:tcW w:w="2268" w:type="dxa"/>
          </w:tcPr>
          <w:p w14:paraId="0DA4D395"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tc>
        <w:tc>
          <w:tcPr>
            <w:tcW w:w="2268" w:type="dxa"/>
          </w:tcPr>
          <w:p w14:paraId="0755B19B" w14:textId="77777777" w:rsidR="00CB006D" w:rsidRPr="00CB006D" w:rsidRDefault="00CB006D" w:rsidP="00CB006D">
            <w:pPr>
              <w:pStyle w:val="Default"/>
              <w:spacing w:line="276" w:lineRule="auto"/>
              <w:rPr>
                <w:color w:val="auto"/>
                <w:sz w:val="20"/>
                <w:szCs w:val="20"/>
              </w:rPr>
            </w:pPr>
            <w:r w:rsidRPr="00CB006D">
              <w:rPr>
                <w:color w:val="auto"/>
                <w:sz w:val="20"/>
                <w:szCs w:val="20"/>
              </w:rPr>
              <w:t xml:space="preserve">On track </w:t>
            </w:r>
          </w:p>
        </w:tc>
      </w:tr>
      <w:tr w:rsidR="00CB006D" w14:paraId="5A834CA6" w14:textId="77777777" w:rsidTr="0052081B">
        <w:tc>
          <w:tcPr>
            <w:tcW w:w="9412" w:type="dxa"/>
          </w:tcPr>
          <w:p w14:paraId="61A89F33"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Engage and prepare residents and communities to enhance their resilience to hazards, disasters and the health impacts of climate change. </w:t>
            </w:r>
          </w:p>
        </w:tc>
        <w:tc>
          <w:tcPr>
            <w:tcW w:w="2268" w:type="dxa"/>
          </w:tcPr>
          <w:p w14:paraId="1CF044D1"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tc>
        <w:tc>
          <w:tcPr>
            <w:tcW w:w="2268" w:type="dxa"/>
          </w:tcPr>
          <w:p w14:paraId="488CBEDF" w14:textId="77777777" w:rsidR="00CB006D" w:rsidRPr="00CB006D" w:rsidRDefault="00B56866" w:rsidP="00CB006D">
            <w:pPr>
              <w:pStyle w:val="Default"/>
              <w:spacing w:line="276" w:lineRule="auto"/>
              <w:rPr>
                <w:color w:val="auto"/>
                <w:sz w:val="20"/>
                <w:szCs w:val="20"/>
              </w:rPr>
            </w:pPr>
            <w:r>
              <w:rPr>
                <w:color w:val="auto"/>
                <w:sz w:val="20"/>
                <w:szCs w:val="20"/>
              </w:rPr>
              <w:t>Delayed</w:t>
            </w:r>
          </w:p>
        </w:tc>
      </w:tr>
    </w:tbl>
    <w:p w14:paraId="7A205BC3" w14:textId="77777777" w:rsidR="00CB006D" w:rsidRPr="00CF27A2" w:rsidRDefault="00CB006D" w:rsidP="00CB006D">
      <w:pPr>
        <w:pStyle w:val="Heading2"/>
      </w:pPr>
      <w:bookmarkStart w:id="36" w:name="_Toc193204223"/>
      <w:r>
        <w:t>How we’re measuring progress over four years</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CB006D" w14:paraId="2FF93167" w14:textId="77777777" w:rsidTr="0052081B">
        <w:trPr>
          <w:tblHeader/>
        </w:trPr>
        <w:tc>
          <w:tcPr>
            <w:tcW w:w="9412" w:type="dxa"/>
            <w:shd w:val="clear" w:color="auto" w:fill="auto"/>
          </w:tcPr>
          <w:p w14:paraId="466D316A" w14:textId="77777777" w:rsidR="00CB006D" w:rsidRPr="00784FF6" w:rsidRDefault="00CB006D" w:rsidP="0052081B">
            <w:pPr>
              <w:pStyle w:val="TableofFigures"/>
              <w:rPr>
                <w:b/>
              </w:rPr>
            </w:pPr>
            <w:r>
              <w:rPr>
                <w:b/>
              </w:rPr>
              <w:lastRenderedPageBreak/>
              <w:t>Indicator</w:t>
            </w:r>
          </w:p>
        </w:tc>
        <w:tc>
          <w:tcPr>
            <w:tcW w:w="4537" w:type="dxa"/>
            <w:shd w:val="clear" w:color="auto" w:fill="auto"/>
          </w:tcPr>
          <w:p w14:paraId="660D86CC" w14:textId="77777777" w:rsidR="00CB006D" w:rsidRPr="00784FF6" w:rsidRDefault="00CB006D" w:rsidP="0052081B">
            <w:pPr>
              <w:pStyle w:val="TableofFigures"/>
              <w:rPr>
                <w:b/>
              </w:rPr>
            </w:pPr>
            <w:r>
              <w:rPr>
                <w:b/>
              </w:rPr>
              <w:t>Target outcome</w:t>
            </w:r>
          </w:p>
        </w:tc>
      </w:tr>
      <w:tr w:rsidR="00CB006D" w14:paraId="1EAA9595" w14:textId="77777777" w:rsidTr="0052081B">
        <w:tc>
          <w:tcPr>
            <w:tcW w:w="9412" w:type="dxa"/>
          </w:tcPr>
          <w:p w14:paraId="05E90879" w14:textId="77777777" w:rsidR="00CB006D" w:rsidRPr="00CB006D" w:rsidRDefault="00CB006D" w:rsidP="00CB006D">
            <w:pPr>
              <w:pStyle w:val="Default"/>
              <w:spacing w:line="276" w:lineRule="auto"/>
              <w:rPr>
                <w:sz w:val="20"/>
                <w:szCs w:val="18"/>
              </w:rPr>
            </w:pPr>
            <w:r w:rsidRPr="00CB006D">
              <w:rPr>
                <w:sz w:val="20"/>
                <w:szCs w:val="18"/>
              </w:rPr>
              <w:t xml:space="preserve">Proportion of people who report feeling safe in the city. </w:t>
            </w:r>
          </w:p>
        </w:tc>
        <w:tc>
          <w:tcPr>
            <w:tcW w:w="4537" w:type="dxa"/>
          </w:tcPr>
          <w:p w14:paraId="57F6CB71" w14:textId="77777777" w:rsidR="00CB006D" w:rsidRPr="00CB006D" w:rsidRDefault="00CB006D" w:rsidP="00CB006D">
            <w:pPr>
              <w:pStyle w:val="Default"/>
              <w:spacing w:line="276" w:lineRule="auto"/>
              <w:rPr>
                <w:sz w:val="20"/>
                <w:szCs w:val="18"/>
              </w:rPr>
            </w:pPr>
            <w:r w:rsidRPr="00CB006D">
              <w:rPr>
                <w:sz w:val="20"/>
                <w:szCs w:val="18"/>
              </w:rPr>
              <w:t xml:space="preserve">90% by day, </w:t>
            </w:r>
          </w:p>
          <w:p w14:paraId="31E7A4D0" w14:textId="77777777" w:rsidR="00CB006D" w:rsidRPr="00CB006D" w:rsidRDefault="00CB006D" w:rsidP="00CB006D">
            <w:pPr>
              <w:pStyle w:val="Default"/>
              <w:spacing w:line="276" w:lineRule="auto"/>
              <w:rPr>
                <w:sz w:val="20"/>
                <w:szCs w:val="18"/>
              </w:rPr>
            </w:pPr>
            <w:r w:rsidRPr="00CB006D">
              <w:rPr>
                <w:sz w:val="20"/>
                <w:szCs w:val="18"/>
              </w:rPr>
              <w:t xml:space="preserve">65% by night </w:t>
            </w:r>
          </w:p>
        </w:tc>
      </w:tr>
      <w:tr w:rsidR="00CB006D" w14:paraId="530BB845" w14:textId="77777777" w:rsidTr="0052081B">
        <w:tc>
          <w:tcPr>
            <w:tcW w:w="9412" w:type="dxa"/>
          </w:tcPr>
          <w:p w14:paraId="11393CB0" w14:textId="77777777" w:rsidR="00CB006D" w:rsidRPr="00CB006D" w:rsidRDefault="00CB006D" w:rsidP="00CB006D">
            <w:pPr>
              <w:pStyle w:val="Default"/>
              <w:spacing w:line="276" w:lineRule="auto"/>
              <w:rPr>
                <w:sz w:val="20"/>
                <w:szCs w:val="18"/>
              </w:rPr>
            </w:pPr>
            <w:r w:rsidRPr="00CB006D">
              <w:rPr>
                <w:sz w:val="20"/>
                <w:szCs w:val="18"/>
              </w:rPr>
              <w:t xml:space="preserve">Melburnians’ self-reported sense of belonging to community. </w:t>
            </w:r>
          </w:p>
        </w:tc>
        <w:tc>
          <w:tcPr>
            <w:tcW w:w="4537" w:type="dxa"/>
          </w:tcPr>
          <w:p w14:paraId="5BD9F152" w14:textId="77777777" w:rsidR="00CB006D" w:rsidRPr="00CB006D" w:rsidRDefault="00CB006D" w:rsidP="00CB006D">
            <w:pPr>
              <w:pStyle w:val="Default"/>
              <w:spacing w:line="276" w:lineRule="auto"/>
              <w:rPr>
                <w:sz w:val="20"/>
                <w:szCs w:val="18"/>
              </w:rPr>
            </w:pPr>
            <w:r w:rsidRPr="00CB006D">
              <w:rPr>
                <w:sz w:val="20"/>
                <w:szCs w:val="18"/>
              </w:rPr>
              <w:t xml:space="preserve">At least 70 /100 </w:t>
            </w:r>
          </w:p>
        </w:tc>
      </w:tr>
      <w:tr w:rsidR="00CB006D" w14:paraId="08806B6E" w14:textId="77777777" w:rsidTr="0052081B">
        <w:tc>
          <w:tcPr>
            <w:tcW w:w="9412" w:type="dxa"/>
          </w:tcPr>
          <w:p w14:paraId="03A914F9" w14:textId="77777777" w:rsidR="00CB006D" w:rsidRPr="00CB006D" w:rsidRDefault="00CB006D" w:rsidP="00CB006D">
            <w:pPr>
              <w:pStyle w:val="Default"/>
              <w:spacing w:line="276" w:lineRule="auto"/>
              <w:rPr>
                <w:sz w:val="20"/>
                <w:szCs w:val="18"/>
              </w:rPr>
            </w:pPr>
            <w:r w:rsidRPr="00CB006D">
              <w:rPr>
                <w:sz w:val="20"/>
                <w:szCs w:val="18"/>
              </w:rPr>
              <w:t xml:space="preserve">Rate of recorded family violence incidents. </w:t>
            </w:r>
          </w:p>
        </w:tc>
        <w:tc>
          <w:tcPr>
            <w:tcW w:w="4537" w:type="dxa"/>
          </w:tcPr>
          <w:p w14:paraId="08964923" w14:textId="77777777" w:rsidR="00CB006D" w:rsidRPr="00CB006D" w:rsidRDefault="00CB006D" w:rsidP="00CB006D">
            <w:pPr>
              <w:pStyle w:val="Default"/>
              <w:spacing w:line="276" w:lineRule="auto"/>
              <w:rPr>
                <w:sz w:val="20"/>
                <w:szCs w:val="18"/>
              </w:rPr>
            </w:pPr>
            <w:r w:rsidRPr="00CB006D">
              <w:rPr>
                <w:sz w:val="20"/>
                <w:szCs w:val="18"/>
              </w:rPr>
              <w:t xml:space="preserve">Decrease </w:t>
            </w:r>
          </w:p>
        </w:tc>
      </w:tr>
      <w:tr w:rsidR="00CB006D" w14:paraId="6163A7B9" w14:textId="77777777" w:rsidTr="0052081B">
        <w:tc>
          <w:tcPr>
            <w:tcW w:w="9412" w:type="dxa"/>
          </w:tcPr>
          <w:p w14:paraId="41A618C7" w14:textId="77777777" w:rsidR="00CB006D" w:rsidRPr="00CB006D" w:rsidRDefault="00CB006D" w:rsidP="00CB006D">
            <w:pPr>
              <w:pStyle w:val="Default"/>
              <w:spacing w:line="276" w:lineRule="auto"/>
              <w:rPr>
                <w:sz w:val="20"/>
                <w:szCs w:val="18"/>
              </w:rPr>
            </w:pPr>
            <w:r w:rsidRPr="00CB006D">
              <w:rPr>
                <w:sz w:val="20"/>
                <w:szCs w:val="18"/>
              </w:rPr>
              <w:t xml:space="preserve">Complaints of discrimination based on sexual orientation, sexuality, disability, sex, gender, race, religious or political beliefs or other grounds for unlawful discrimination. </w:t>
            </w:r>
          </w:p>
        </w:tc>
        <w:tc>
          <w:tcPr>
            <w:tcW w:w="4537" w:type="dxa"/>
          </w:tcPr>
          <w:p w14:paraId="1C115E84" w14:textId="77777777" w:rsidR="00CB006D" w:rsidRPr="00CB006D" w:rsidRDefault="00CB006D" w:rsidP="00CB006D">
            <w:pPr>
              <w:pStyle w:val="Default"/>
              <w:spacing w:line="276" w:lineRule="auto"/>
              <w:rPr>
                <w:sz w:val="20"/>
                <w:szCs w:val="18"/>
              </w:rPr>
            </w:pPr>
            <w:r w:rsidRPr="00CB006D">
              <w:rPr>
                <w:sz w:val="20"/>
                <w:szCs w:val="18"/>
              </w:rPr>
              <w:t xml:space="preserve">Decrease </w:t>
            </w:r>
          </w:p>
        </w:tc>
      </w:tr>
      <w:tr w:rsidR="00CB006D" w14:paraId="5DF1A3C8" w14:textId="77777777" w:rsidTr="0052081B">
        <w:tc>
          <w:tcPr>
            <w:tcW w:w="9412" w:type="dxa"/>
          </w:tcPr>
          <w:p w14:paraId="47263FC5" w14:textId="77777777" w:rsidR="00CB006D" w:rsidRPr="00CB006D" w:rsidRDefault="00CB006D" w:rsidP="00CB006D">
            <w:pPr>
              <w:pStyle w:val="Default"/>
              <w:spacing w:line="276" w:lineRule="auto"/>
              <w:rPr>
                <w:sz w:val="20"/>
                <w:szCs w:val="18"/>
              </w:rPr>
            </w:pPr>
            <w:r w:rsidRPr="00CB006D">
              <w:rPr>
                <w:sz w:val="20"/>
                <w:szCs w:val="18"/>
              </w:rPr>
              <w:t xml:space="preserve">Proportion of adults who get adequate physical exercise. </w:t>
            </w:r>
          </w:p>
        </w:tc>
        <w:tc>
          <w:tcPr>
            <w:tcW w:w="4537" w:type="dxa"/>
          </w:tcPr>
          <w:p w14:paraId="2169410F" w14:textId="77777777" w:rsidR="00CB006D" w:rsidRPr="00CB006D" w:rsidRDefault="00CB006D" w:rsidP="00CB006D">
            <w:pPr>
              <w:pStyle w:val="Default"/>
              <w:spacing w:line="276" w:lineRule="auto"/>
              <w:rPr>
                <w:sz w:val="20"/>
                <w:szCs w:val="18"/>
              </w:rPr>
            </w:pPr>
            <w:r w:rsidRPr="00CB006D">
              <w:rPr>
                <w:sz w:val="20"/>
                <w:szCs w:val="18"/>
              </w:rPr>
              <w:t xml:space="preserve">Increase </w:t>
            </w:r>
          </w:p>
        </w:tc>
      </w:tr>
      <w:tr w:rsidR="00CB006D" w14:paraId="0AAC38F7" w14:textId="77777777" w:rsidTr="0052081B">
        <w:tc>
          <w:tcPr>
            <w:tcW w:w="9412" w:type="dxa"/>
          </w:tcPr>
          <w:p w14:paraId="1A250680" w14:textId="77777777" w:rsidR="00CB006D" w:rsidRPr="00CB006D" w:rsidRDefault="00CB006D" w:rsidP="00CB006D">
            <w:pPr>
              <w:pStyle w:val="Default"/>
              <w:spacing w:line="276" w:lineRule="auto"/>
              <w:rPr>
                <w:sz w:val="20"/>
                <w:szCs w:val="18"/>
              </w:rPr>
            </w:pPr>
            <w:r w:rsidRPr="00CB006D">
              <w:rPr>
                <w:sz w:val="20"/>
                <w:szCs w:val="18"/>
              </w:rPr>
              <w:t xml:space="preserve">Rate of ambulance attendance for alcohol and drug misuse in the municipality. </w:t>
            </w:r>
          </w:p>
        </w:tc>
        <w:tc>
          <w:tcPr>
            <w:tcW w:w="4537" w:type="dxa"/>
          </w:tcPr>
          <w:p w14:paraId="197723FC" w14:textId="77777777" w:rsidR="00CB006D" w:rsidRPr="00CB006D" w:rsidRDefault="00CB006D" w:rsidP="00CB006D">
            <w:pPr>
              <w:pStyle w:val="Default"/>
              <w:spacing w:line="276" w:lineRule="auto"/>
              <w:rPr>
                <w:sz w:val="20"/>
                <w:szCs w:val="18"/>
              </w:rPr>
            </w:pPr>
            <w:r w:rsidRPr="00CB006D">
              <w:rPr>
                <w:sz w:val="20"/>
                <w:szCs w:val="18"/>
              </w:rPr>
              <w:t xml:space="preserve">Decrease </w:t>
            </w:r>
          </w:p>
        </w:tc>
      </w:tr>
      <w:tr w:rsidR="00CB006D" w14:paraId="27F68F53" w14:textId="77777777" w:rsidTr="0052081B">
        <w:tc>
          <w:tcPr>
            <w:tcW w:w="9412" w:type="dxa"/>
          </w:tcPr>
          <w:p w14:paraId="0C121AF9" w14:textId="77777777" w:rsidR="00CB006D" w:rsidRPr="00CB006D" w:rsidRDefault="00CB006D" w:rsidP="00CB006D">
            <w:pPr>
              <w:pStyle w:val="Default"/>
              <w:spacing w:line="276" w:lineRule="auto"/>
              <w:rPr>
                <w:sz w:val="20"/>
                <w:szCs w:val="18"/>
              </w:rPr>
            </w:pPr>
            <w:r w:rsidRPr="00CB006D">
              <w:rPr>
                <w:sz w:val="20"/>
                <w:szCs w:val="18"/>
              </w:rPr>
              <w:t xml:space="preserve">Number of transport related injuries and fatalities. </w:t>
            </w:r>
          </w:p>
        </w:tc>
        <w:tc>
          <w:tcPr>
            <w:tcW w:w="4537" w:type="dxa"/>
          </w:tcPr>
          <w:p w14:paraId="2DA1819F" w14:textId="77777777" w:rsidR="00CB006D" w:rsidRPr="00CB006D" w:rsidRDefault="00CB006D" w:rsidP="00CB006D">
            <w:pPr>
              <w:pStyle w:val="Default"/>
              <w:spacing w:line="276" w:lineRule="auto"/>
              <w:rPr>
                <w:sz w:val="20"/>
                <w:szCs w:val="18"/>
              </w:rPr>
            </w:pPr>
            <w:r w:rsidRPr="00CB006D">
              <w:rPr>
                <w:sz w:val="20"/>
                <w:szCs w:val="18"/>
              </w:rPr>
              <w:t xml:space="preserve">Decrease </w:t>
            </w:r>
          </w:p>
        </w:tc>
      </w:tr>
      <w:tr w:rsidR="00CB006D" w14:paraId="7EFBFD61" w14:textId="77777777" w:rsidTr="0052081B">
        <w:tc>
          <w:tcPr>
            <w:tcW w:w="9412" w:type="dxa"/>
          </w:tcPr>
          <w:p w14:paraId="38E51F78" w14:textId="77777777" w:rsidR="00CB006D" w:rsidRPr="00CB006D" w:rsidRDefault="00CB006D" w:rsidP="00CB006D">
            <w:pPr>
              <w:pStyle w:val="Default"/>
              <w:spacing w:line="276" w:lineRule="auto"/>
              <w:rPr>
                <w:sz w:val="20"/>
                <w:szCs w:val="18"/>
              </w:rPr>
            </w:pPr>
            <w:r w:rsidRPr="00CB006D">
              <w:rPr>
                <w:sz w:val="20"/>
                <w:szCs w:val="18"/>
              </w:rPr>
              <w:t xml:space="preserve">Proportion of trips made by public transport, bicycle or on foot. </w:t>
            </w:r>
          </w:p>
        </w:tc>
        <w:tc>
          <w:tcPr>
            <w:tcW w:w="4537" w:type="dxa"/>
          </w:tcPr>
          <w:p w14:paraId="48F520E6" w14:textId="77777777" w:rsidR="00CB006D" w:rsidRPr="00CB006D" w:rsidRDefault="00CB006D" w:rsidP="00CB006D">
            <w:pPr>
              <w:pStyle w:val="Default"/>
              <w:spacing w:line="276" w:lineRule="auto"/>
              <w:rPr>
                <w:sz w:val="20"/>
                <w:szCs w:val="18"/>
              </w:rPr>
            </w:pPr>
            <w:r w:rsidRPr="00CB006D">
              <w:rPr>
                <w:sz w:val="20"/>
                <w:szCs w:val="18"/>
              </w:rPr>
              <w:t xml:space="preserve">Increase </w:t>
            </w:r>
          </w:p>
        </w:tc>
      </w:tr>
    </w:tbl>
    <w:p w14:paraId="24346CAC" w14:textId="77777777" w:rsidR="00784FF6" w:rsidRDefault="00784FF6" w:rsidP="00784FF6">
      <w:pPr>
        <w:rPr>
          <w:lang w:val="en-US"/>
        </w:rPr>
      </w:pPr>
    </w:p>
    <w:p w14:paraId="0A39D4D6" w14:textId="77777777" w:rsidR="005735E1" w:rsidRPr="00784FF6" w:rsidRDefault="005735E1" w:rsidP="00784FF6">
      <w:pPr>
        <w:rPr>
          <w:lang w:val="en-US"/>
        </w:rPr>
      </w:pPr>
    </w:p>
    <w:sectPr w:rsidR="005735E1" w:rsidRPr="00784FF6" w:rsidSect="007F02C9">
      <w:endnotePr>
        <w:numFmt w:val="decimal"/>
      </w:endnotePr>
      <w:pgSz w:w="16840" w:h="11900" w:orient="landscape"/>
      <w:pgMar w:top="1134" w:right="1418" w:bottom="98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E4D56" w14:textId="77777777" w:rsidR="00A47015" w:rsidRDefault="00A47015" w:rsidP="00BC719D">
      <w:pPr>
        <w:spacing w:after="0"/>
      </w:pPr>
      <w:r>
        <w:separator/>
      </w:r>
    </w:p>
  </w:endnote>
  <w:endnote w:type="continuationSeparator" w:id="0">
    <w:p w14:paraId="29079818" w14:textId="77777777" w:rsidR="00A47015" w:rsidRDefault="00A47015"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90CF1" w14:textId="77777777" w:rsidR="00A47015" w:rsidRDefault="00A47015" w:rsidP="00577A39">
      <w:pPr>
        <w:spacing w:after="40" w:line="240" w:lineRule="auto"/>
      </w:pPr>
      <w:r>
        <w:separator/>
      </w:r>
    </w:p>
  </w:footnote>
  <w:footnote w:type="continuationSeparator" w:id="0">
    <w:p w14:paraId="5E31D634" w14:textId="77777777" w:rsidR="00A47015" w:rsidRDefault="00A47015" w:rsidP="00EA2130">
      <w:r>
        <w:continuationSeparator/>
      </w:r>
    </w:p>
  </w:footnote>
  <w:footnote w:id="1">
    <w:p w14:paraId="02B4D107" w14:textId="77777777" w:rsidR="00CF27A2" w:rsidRDefault="00CF27A2">
      <w:pPr>
        <w:pStyle w:val="FootnoteText"/>
      </w:pPr>
      <w:r>
        <w:rPr>
          <w:rStyle w:val="FootnoteReference"/>
        </w:rPr>
        <w:footnoteRef/>
      </w:r>
      <w:r>
        <w:t xml:space="preserve"> </w:t>
      </w:r>
      <w:r w:rsidRPr="00784FF6">
        <w:t>https://</w:t>
      </w:r>
      <w:r>
        <w:t>www</w:t>
      </w:r>
      <w:r w:rsidRPr="00784FF6">
        <w:t>.melbourne.vic.gov.au/business/Pages/business-concierge-service.aspx</w:t>
      </w:r>
    </w:p>
  </w:footnote>
  <w:footnote w:id="2">
    <w:p w14:paraId="6DC3A90C" w14:textId="77777777" w:rsidR="00CF27A2" w:rsidRDefault="00CF27A2">
      <w:pPr>
        <w:pStyle w:val="FootnoteText"/>
      </w:pPr>
      <w:r>
        <w:rPr>
          <w:rStyle w:val="FootnoteReference"/>
        </w:rPr>
        <w:footnoteRef/>
      </w:r>
      <w:r>
        <w:t xml:space="preserve"> </w:t>
      </w:r>
      <w:r w:rsidRPr="00784FF6">
        <w:t>https://www.melbourne.vic.gov.au/about-council/vision-goals/Pages/economic-development-strategy-2031.aspx</w:t>
      </w:r>
    </w:p>
  </w:footnote>
  <w:footnote w:id="3">
    <w:p w14:paraId="06391159" w14:textId="77777777" w:rsidR="00CF27A2" w:rsidRDefault="00CF27A2">
      <w:pPr>
        <w:pStyle w:val="FootnoteText"/>
      </w:pPr>
      <w:r>
        <w:rPr>
          <w:rStyle w:val="FootnoteReference"/>
        </w:rPr>
        <w:footnoteRef/>
      </w:r>
      <w:r>
        <w:t xml:space="preserve"> </w:t>
      </w:r>
      <w:r w:rsidRPr="00784FF6">
        <w:t>https://www.melbourne.vic.gov.au/arts-and-culture/strategies-support/funding/Pages/event-partnership-program.aspx</w:t>
      </w:r>
    </w:p>
  </w:footnote>
  <w:footnote w:id="4">
    <w:p w14:paraId="565B4199" w14:textId="77777777" w:rsidR="00CF27A2" w:rsidRDefault="00CF27A2">
      <w:pPr>
        <w:pStyle w:val="FootnoteText"/>
      </w:pPr>
      <w:r>
        <w:rPr>
          <w:rStyle w:val="FootnoteReference"/>
        </w:rPr>
        <w:footnoteRef/>
      </w:r>
      <w:r>
        <w:t xml:space="preserve"> </w:t>
      </w:r>
      <w:r w:rsidRPr="00784FF6">
        <w:t>https://www.melbourne.vic.gov.au/about-council/vision-goals/Pages/united-nations-sustainable-development-goals.aspx</w:t>
      </w:r>
    </w:p>
  </w:footnote>
  <w:footnote w:id="5">
    <w:p w14:paraId="05F06241" w14:textId="77777777" w:rsidR="007F02C9" w:rsidRDefault="007F02C9">
      <w:pPr>
        <w:pStyle w:val="FootnoteText"/>
      </w:pPr>
      <w:r>
        <w:rPr>
          <w:rStyle w:val="FootnoteReference"/>
        </w:rPr>
        <w:footnoteRef/>
      </w:r>
      <w:r>
        <w:t xml:space="preserve"> </w:t>
      </w:r>
      <w:r w:rsidRPr="00B30455">
        <w:t>https://participate.melbourne.vic.gov.au/greenline/implementation-plan-overview</w:t>
      </w:r>
    </w:p>
  </w:footnote>
  <w:footnote w:id="6">
    <w:p w14:paraId="71F5F8A7" w14:textId="77777777" w:rsidR="00B56866" w:rsidRDefault="00B56866" w:rsidP="00B56866">
      <w:pPr>
        <w:pStyle w:val="FootnoteText"/>
      </w:pPr>
      <w:r>
        <w:rPr>
          <w:rStyle w:val="FootnoteReference"/>
        </w:rPr>
        <w:footnoteRef/>
      </w:r>
      <w:r>
        <w:t xml:space="preserve"> </w:t>
      </w:r>
      <w:r w:rsidRPr="0038645E">
        <w:t>https://participate.melbourne.vic.gov.au/city-river-strategy</w:t>
      </w:r>
    </w:p>
  </w:footnote>
  <w:footnote w:id="7">
    <w:p w14:paraId="045122D8" w14:textId="77777777" w:rsidR="00B56866" w:rsidRDefault="00B56866" w:rsidP="00B56866">
      <w:pPr>
        <w:pStyle w:val="FootnoteText"/>
      </w:pPr>
      <w:r>
        <w:rPr>
          <w:rStyle w:val="FootnoteReference"/>
        </w:rPr>
        <w:footnoteRef/>
      </w:r>
      <w:r>
        <w:t xml:space="preserve"> </w:t>
      </w:r>
      <w:r w:rsidRPr="00B30455">
        <w:t>https://participate.melbourne.vic.gov.au/arden/plan</w:t>
      </w:r>
    </w:p>
  </w:footnote>
  <w:footnote w:id="8">
    <w:p w14:paraId="37B27BD5" w14:textId="77777777" w:rsidR="00B56866" w:rsidRDefault="00B56866" w:rsidP="00B56866">
      <w:pPr>
        <w:pStyle w:val="FootnoteText"/>
      </w:pPr>
      <w:r>
        <w:rPr>
          <w:rStyle w:val="FootnoteReference"/>
        </w:rPr>
        <w:footnoteRef/>
      </w:r>
      <w:r>
        <w:t xml:space="preserve"> </w:t>
      </w:r>
      <w:r w:rsidRPr="00B30455">
        <w:t>https://participate.melbourne.vic.gov.au/macaulay-refresh</w:t>
      </w:r>
    </w:p>
  </w:footnote>
  <w:footnote w:id="9">
    <w:p w14:paraId="5545592B" w14:textId="77777777" w:rsidR="00B56866" w:rsidRDefault="00B56866" w:rsidP="00B56866">
      <w:pPr>
        <w:pStyle w:val="FootnoteText"/>
      </w:pPr>
      <w:r>
        <w:rPr>
          <w:rStyle w:val="FootnoteReference"/>
        </w:rPr>
        <w:footnoteRef/>
      </w:r>
      <w:r>
        <w:t xml:space="preserve"> </w:t>
      </w:r>
      <w:r w:rsidRPr="00B30455">
        <w:t>https://www.fishermansbend</w:t>
      </w:r>
      <w:r>
        <w:t>.vic.gov.au</w:t>
      </w:r>
    </w:p>
  </w:footnote>
  <w:footnote w:id="10">
    <w:p w14:paraId="607AA8B3" w14:textId="77777777" w:rsidR="00B56866" w:rsidRDefault="00B56866" w:rsidP="00B56866">
      <w:pPr>
        <w:pStyle w:val="FootnoteText"/>
      </w:pPr>
      <w:r>
        <w:rPr>
          <w:rStyle w:val="FootnoteReference"/>
        </w:rPr>
        <w:footnoteRef/>
      </w:r>
      <w:r>
        <w:t xml:space="preserve"> </w:t>
      </w:r>
      <w:r w:rsidRPr="00B30455">
        <w:t>https://www.melbourne.vic.gov.au/qvmrenewal</w:t>
      </w:r>
    </w:p>
  </w:footnote>
  <w:footnote w:id="11">
    <w:p w14:paraId="5CA6D250" w14:textId="77777777" w:rsidR="00B56866" w:rsidRDefault="00B56866" w:rsidP="00B56866">
      <w:pPr>
        <w:pStyle w:val="FootnoteText"/>
      </w:pPr>
      <w:r>
        <w:rPr>
          <w:rStyle w:val="FootnoteReference"/>
        </w:rPr>
        <w:footnoteRef/>
      </w:r>
      <w:r>
        <w:t xml:space="preserve"> </w:t>
      </w:r>
      <w:r w:rsidRPr="0038645E">
        <w:t>https://participate.melbourne.vic.gov.au/design-excellence-program</w:t>
      </w:r>
    </w:p>
  </w:footnote>
  <w:footnote w:id="12">
    <w:p w14:paraId="06DF2780" w14:textId="77777777" w:rsidR="00B56866" w:rsidRDefault="00B56866">
      <w:pPr>
        <w:pStyle w:val="FootnoteText"/>
      </w:pPr>
      <w:r>
        <w:rPr>
          <w:rStyle w:val="FootnoteReference"/>
        </w:rPr>
        <w:footnoteRef/>
      </w:r>
      <w:r>
        <w:t xml:space="preserve"> </w:t>
      </w:r>
      <w:r w:rsidRPr="001F471F">
        <w:t>https://www.melbourne.vic.gov.au/community/greening-the-city/urban-forest/pages/urban-forest-strategy.aspx</w:t>
      </w:r>
    </w:p>
  </w:footnote>
  <w:footnote w:id="13">
    <w:p w14:paraId="39FB0436" w14:textId="77777777" w:rsidR="001F471F" w:rsidRDefault="001F471F">
      <w:pPr>
        <w:pStyle w:val="FootnoteText"/>
      </w:pPr>
      <w:r>
        <w:rPr>
          <w:rStyle w:val="FootnoteReference"/>
        </w:rPr>
        <w:footnoteRef/>
      </w:r>
      <w:r>
        <w:t xml:space="preserve"> </w:t>
      </w:r>
      <w:r w:rsidRPr="001F471F">
        <w:t>https://www.melbourne.vic.gov.au/about-council/vision-goals/eco-city/climate-change/Pages/taking-action-climate-change.aspx?k=climate+and+biodiversity+emergency&amp;type=web</w:t>
      </w:r>
    </w:p>
  </w:footnote>
  <w:footnote w:id="14">
    <w:p w14:paraId="6DDD539F" w14:textId="77777777" w:rsidR="00A95083" w:rsidRDefault="00A95083">
      <w:pPr>
        <w:pStyle w:val="FootnoteText"/>
      </w:pPr>
      <w:r>
        <w:rPr>
          <w:rStyle w:val="FootnoteReference"/>
        </w:rPr>
        <w:footnoteRef/>
      </w:r>
      <w:r>
        <w:t xml:space="preserve"> </w:t>
      </w:r>
      <w:r w:rsidRPr="00A95083">
        <w:t>https://participate.melbourne.vic.gov.au/disability-access-plan</w:t>
      </w:r>
    </w:p>
  </w:footnote>
  <w:footnote w:id="15">
    <w:p w14:paraId="5EDDE9F4" w14:textId="77777777" w:rsidR="00CB006D" w:rsidRDefault="00CB006D">
      <w:pPr>
        <w:pStyle w:val="FootnoteText"/>
      </w:pPr>
      <w:r>
        <w:rPr>
          <w:rStyle w:val="FootnoteReference"/>
        </w:rPr>
        <w:footnoteRef/>
      </w:r>
      <w:r>
        <w:t xml:space="preserve"> </w:t>
      </w:r>
      <w:r w:rsidRPr="00CB006D">
        <w:t>https://www.melbourne.vic.gov.au/parking-and-transport/transport-planning-projects/Pages/transport-strategy.aspx</w:t>
      </w:r>
    </w:p>
  </w:footnote>
  <w:footnote w:id="16">
    <w:p w14:paraId="026524C3" w14:textId="77777777" w:rsidR="00CB006D" w:rsidRDefault="00CB006D">
      <w:pPr>
        <w:pStyle w:val="FootnoteText"/>
      </w:pPr>
      <w:r>
        <w:rPr>
          <w:rStyle w:val="FootnoteReference"/>
        </w:rPr>
        <w:footnoteRef/>
      </w:r>
      <w:r>
        <w:t xml:space="preserve"> </w:t>
      </w:r>
      <w:r w:rsidRPr="00CB006D">
        <w:t>https://participate.melbourne.vic.gov.au/inclusive-melbourne-strategy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15E1130C"/>
    <w:multiLevelType w:val="hybridMultilevel"/>
    <w:tmpl w:val="D8B2C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2F67E64"/>
    <w:multiLevelType w:val="hybridMultilevel"/>
    <w:tmpl w:val="0BD408BC"/>
    <w:lvl w:ilvl="0" w:tplc="A01CC4E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632B1F"/>
    <w:multiLevelType w:val="hybridMultilevel"/>
    <w:tmpl w:val="22569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8" w15:restartNumberingAfterBreak="0">
    <w:nsid w:val="2A2B5D1C"/>
    <w:multiLevelType w:val="multilevel"/>
    <w:tmpl w:val="16506B6C"/>
    <w:numStyleLink w:val="ListNumbers"/>
  </w:abstractNum>
  <w:abstractNum w:abstractNumId="9" w15:restartNumberingAfterBreak="0">
    <w:nsid w:val="2B4F9C02"/>
    <w:multiLevelType w:val="hybridMultilevel"/>
    <w:tmpl w:val="E53CD122"/>
    <w:lvl w:ilvl="0" w:tplc="8A58F36A">
      <w:start w:val="1"/>
      <w:numFmt w:val="bullet"/>
      <w:lvlText w:val=""/>
      <w:lvlJc w:val="left"/>
      <w:pPr>
        <w:ind w:left="720" w:hanging="360"/>
      </w:pPr>
      <w:rPr>
        <w:rFonts w:ascii="Symbol" w:hAnsi="Symbol" w:hint="default"/>
      </w:rPr>
    </w:lvl>
    <w:lvl w:ilvl="1" w:tplc="B3CADC1E">
      <w:start w:val="1"/>
      <w:numFmt w:val="bullet"/>
      <w:lvlText w:val="o"/>
      <w:lvlJc w:val="left"/>
      <w:pPr>
        <w:ind w:left="1440" w:hanging="360"/>
      </w:pPr>
      <w:rPr>
        <w:rFonts w:ascii="Courier New" w:hAnsi="Courier New" w:hint="default"/>
      </w:rPr>
    </w:lvl>
    <w:lvl w:ilvl="2" w:tplc="270A0758">
      <w:start w:val="1"/>
      <w:numFmt w:val="bullet"/>
      <w:lvlText w:val=""/>
      <w:lvlJc w:val="left"/>
      <w:pPr>
        <w:ind w:left="2160" w:hanging="360"/>
      </w:pPr>
      <w:rPr>
        <w:rFonts w:ascii="Wingdings" w:hAnsi="Wingdings" w:hint="default"/>
      </w:rPr>
    </w:lvl>
    <w:lvl w:ilvl="3" w:tplc="2820B080">
      <w:start w:val="1"/>
      <w:numFmt w:val="bullet"/>
      <w:lvlText w:val=""/>
      <w:lvlJc w:val="left"/>
      <w:pPr>
        <w:ind w:left="2880" w:hanging="360"/>
      </w:pPr>
      <w:rPr>
        <w:rFonts w:ascii="Symbol" w:hAnsi="Symbol" w:hint="default"/>
      </w:rPr>
    </w:lvl>
    <w:lvl w:ilvl="4" w:tplc="B68805AE">
      <w:start w:val="1"/>
      <w:numFmt w:val="bullet"/>
      <w:lvlText w:val="o"/>
      <w:lvlJc w:val="left"/>
      <w:pPr>
        <w:ind w:left="3600" w:hanging="360"/>
      </w:pPr>
      <w:rPr>
        <w:rFonts w:ascii="Courier New" w:hAnsi="Courier New" w:hint="default"/>
      </w:rPr>
    </w:lvl>
    <w:lvl w:ilvl="5" w:tplc="5A3873AA">
      <w:start w:val="1"/>
      <w:numFmt w:val="bullet"/>
      <w:lvlText w:val=""/>
      <w:lvlJc w:val="left"/>
      <w:pPr>
        <w:ind w:left="4320" w:hanging="360"/>
      </w:pPr>
      <w:rPr>
        <w:rFonts w:ascii="Wingdings" w:hAnsi="Wingdings" w:hint="default"/>
      </w:rPr>
    </w:lvl>
    <w:lvl w:ilvl="6" w:tplc="D3FABC5C">
      <w:start w:val="1"/>
      <w:numFmt w:val="bullet"/>
      <w:lvlText w:val=""/>
      <w:lvlJc w:val="left"/>
      <w:pPr>
        <w:ind w:left="5040" w:hanging="360"/>
      </w:pPr>
      <w:rPr>
        <w:rFonts w:ascii="Symbol" w:hAnsi="Symbol" w:hint="default"/>
      </w:rPr>
    </w:lvl>
    <w:lvl w:ilvl="7" w:tplc="C834E87C">
      <w:start w:val="1"/>
      <w:numFmt w:val="bullet"/>
      <w:lvlText w:val="o"/>
      <w:lvlJc w:val="left"/>
      <w:pPr>
        <w:ind w:left="5760" w:hanging="360"/>
      </w:pPr>
      <w:rPr>
        <w:rFonts w:ascii="Courier New" w:hAnsi="Courier New" w:hint="default"/>
      </w:rPr>
    </w:lvl>
    <w:lvl w:ilvl="8" w:tplc="74FA2716">
      <w:start w:val="1"/>
      <w:numFmt w:val="bullet"/>
      <w:lvlText w:val=""/>
      <w:lvlJc w:val="left"/>
      <w:pPr>
        <w:ind w:left="6480" w:hanging="360"/>
      </w:pPr>
      <w:rPr>
        <w:rFonts w:ascii="Wingdings" w:hAnsi="Wingdings" w:hint="default"/>
      </w:rPr>
    </w:lvl>
  </w:abstractNum>
  <w:abstractNum w:abstractNumId="10" w15:restartNumberingAfterBreak="0">
    <w:nsid w:val="2C8C295D"/>
    <w:multiLevelType w:val="hybridMultilevel"/>
    <w:tmpl w:val="3E2EDEDC"/>
    <w:lvl w:ilvl="0" w:tplc="56880AFE">
      <w:start w:val="1"/>
      <w:numFmt w:val="bullet"/>
      <w:lvlText w:val=""/>
      <w:lvlJc w:val="left"/>
      <w:pPr>
        <w:ind w:left="720" w:hanging="360"/>
      </w:pPr>
      <w:rPr>
        <w:rFonts w:ascii="Symbol" w:hAnsi="Symbol" w:hint="default"/>
      </w:rPr>
    </w:lvl>
    <w:lvl w:ilvl="1" w:tplc="1ADE2B20">
      <w:start w:val="1"/>
      <w:numFmt w:val="bullet"/>
      <w:lvlText w:val="o"/>
      <w:lvlJc w:val="left"/>
      <w:pPr>
        <w:ind w:left="1440" w:hanging="360"/>
      </w:pPr>
      <w:rPr>
        <w:rFonts w:ascii="Courier New" w:hAnsi="Courier New" w:hint="default"/>
      </w:rPr>
    </w:lvl>
    <w:lvl w:ilvl="2" w:tplc="B2224EBA">
      <w:start w:val="1"/>
      <w:numFmt w:val="bullet"/>
      <w:lvlText w:val=""/>
      <w:lvlJc w:val="left"/>
      <w:pPr>
        <w:ind w:left="2160" w:hanging="360"/>
      </w:pPr>
      <w:rPr>
        <w:rFonts w:ascii="Wingdings" w:hAnsi="Wingdings" w:hint="default"/>
      </w:rPr>
    </w:lvl>
    <w:lvl w:ilvl="3" w:tplc="BAA4DBCC">
      <w:start w:val="1"/>
      <w:numFmt w:val="bullet"/>
      <w:lvlText w:val=""/>
      <w:lvlJc w:val="left"/>
      <w:pPr>
        <w:ind w:left="2880" w:hanging="360"/>
      </w:pPr>
      <w:rPr>
        <w:rFonts w:ascii="Symbol" w:hAnsi="Symbol" w:hint="default"/>
      </w:rPr>
    </w:lvl>
    <w:lvl w:ilvl="4" w:tplc="A38CB862">
      <w:start w:val="1"/>
      <w:numFmt w:val="bullet"/>
      <w:lvlText w:val="o"/>
      <w:lvlJc w:val="left"/>
      <w:pPr>
        <w:ind w:left="3600" w:hanging="360"/>
      </w:pPr>
      <w:rPr>
        <w:rFonts w:ascii="Courier New" w:hAnsi="Courier New" w:hint="default"/>
      </w:rPr>
    </w:lvl>
    <w:lvl w:ilvl="5" w:tplc="2F1E216E">
      <w:start w:val="1"/>
      <w:numFmt w:val="bullet"/>
      <w:lvlText w:val=""/>
      <w:lvlJc w:val="left"/>
      <w:pPr>
        <w:ind w:left="4320" w:hanging="360"/>
      </w:pPr>
      <w:rPr>
        <w:rFonts w:ascii="Wingdings" w:hAnsi="Wingdings" w:hint="default"/>
      </w:rPr>
    </w:lvl>
    <w:lvl w:ilvl="6" w:tplc="D1BCCB3E">
      <w:start w:val="1"/>
      <w:numFmt w:val="bullet"/>
      <w:lvlText w:val=""/>
      <w:lvlJc w:val="left"/>
      <w:pPr>
        <w:ind w:left="5040" w:hanging="360"/>
      </w:pPr>
      <w:rPr>
        <w:rFonts w:ascii="Symbol" w:hAnsi="Symbol" w:hint="default"/>
      </w:rPr>
    </w:lvl>
    <w:lvl w:ilvl="7" w:tplc="C4B26E56">
      <w:start w:val="1"/>
      <w:numFmt w:val="bullet"/>
      <w:lvlText w:val="o"/>
      <w:lvlJc w:val="left"/>
      <w:pPr>
        <w:ind w:left="5760" w:hanging="360"/>
      </w:pPr>
      <w:rPr>
        <w:rFonts w:ascii="Courier New" w:hAnsi="Courier New" w:hint="default"/>
      </w:rPr>
    </w:lvl>
    <w:lvl w:ilvl="8" w:tplc="79F2D174">
      <w:start w:val="1"/>
      <w:numFmt w:val="bullet"/>
      <w:lvlText w:val=""/>
      <w:lvlJc w:val="left"/>
      <w:pPr>
        <w:ind w:left="6480" w:hanging="360"/>
      </w:pPr>
      <w:rPr>
        <w:rFonts w:ascii="Wingdings" w:hAnsi="Wingdings" w:hint="default"/>
      </w:rPr>
    </w:lvl>
  </w:abstractNum>
  <w:abstractNum w:abstractNumId="11"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C10957"/>
    <w:multiLevelType w:val="multilevel"/>
    <w:tmpl w:val="16506B6C"/>
    <w:numStyleLink w:val="ListNumbers"/>
  </w:abstractNum>
  <w:abstractNum w:abstractNumId="13" w15:restartNumberingAfterBreak="0">
    <w:nsid w:val="461559E1"/>
    <w:multiLevelType w:val="hybridMultilevel"/>
    <w:tmpl w:val="AE708700"/>
    <w:lvl w:ilvl="0" w:tplc="A01CC4E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DA2D9C"/>
    <w:multiLevelType w:val="hybridMultilevel"/>
    <w:tmpl w:val="DC80A966"/>
    <w:lvl w:ilvl="0" w:tplc="A01CC4E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4C7572"/>
    <w:multiLevelType w:val="hybridMultilevel"/>
    <w:tmpl w:val="142C5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4B3C27"/>
    <w:multiLevelType w:val="hybridMultilevel"/>
    <w:tmpl w:val="CD6E9D04"/>
    <w:lvl w:ilvl="0" w:tplc="A01CC4E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8359D6"/>
    <w:multiLevelType w:val="hybridMultilevel"/>
    <w:tmpl w:val="61D8FE76"/>
    <w:lvl w:ilvl="0" w:tplc="A01CC4E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1209CA"/>
    <w:multiLevelType w:val="multilevel"/>
    <w:tmpl w:val="16506B6C"/>
    <w:numStyleLink w:val="ListNumbers"/>
  </w:abstractNum>
  <w:abstractNum w:abstractNumId="20" w15:restartNumberingAfterBreak="0">
    <w:nsid w:val="7051124E"/>
    <w:multiLevelType w:val="hybridMultilevel"/>
    <w:tmpl w:val="E9561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534343"/>
    <w:multiLevelType w:val="hybridMultilevel"/>
    <w:tmpl w:val="FD78A9F0"/>
    <w:lvl w:ilvl="0" w:tplc="EC5072A4">
      <w:start w:val="1"/>
      <w:numFmt w:val="bullet"/>
      <w:lvlText w:val=""/>
      <w:lvlJc w:val="left"/>
      <w:pPr>
        <w:ind w:left="720" w:hanging="360"/>
      </w:pPr>
      <w:rPr>
        <w:rFonts w:ascii="Symbol" w:hAnsi="Symbol" w:hint="default"/>
      </w:rPr>
    </w:lvl>
    <w:lvl w:ilvl="1" w:tplc="6E12239E">
      <w:start w:val="1"/>
      <w:numFmt w:val="bullet"/>
      <w:lvlText w:val="o"/>
      <w:lvlJc w:val="left"/>
      <w:pPr>
        <w:ind w:left="1440" w:hanging="360"/>
      </w:pPr>
      <w:rPr>
        <w:rFonts w:ascii="Courier New" w:hAnsi="Courier New" w:hint="default"/>
      </w:rPr>
    </w:lvl>
    <w:lvl w:ilvl="2" w:tplc="BEB82422">
      <w:start w:val="1"/>
      <w:numFmt w:val="bullet"/>
      <w:lvlText w:val=""/>
      <w:lvlJc w:val="left"/>
      <w:pPr>
        <w:ind w:left="2160" w:hanging="360"/>
      </w:pPr>
      <w:rPr>
        <w:rFonts w:ascii="Wingdings" w:hAnsi="Wingdings" w:hint="default"/>
      </w:rPr>
    </w:lvl>
    <w:lvl w:ilvl="3" w:tplc="7444CACC">
      <w:start w:val="1"/>
      <w:numFmt w:val="bullet"/>
      <w:lvlText w:val=""/>
      <w:lvlJc w:val="left"/>
      <w:pPr>
        <w:ind w:left="2880" w:hanging="360"/>
      </w:pPr>
      <w:rPr>
        <w:rFonts w:ascii="Symbol" w:hAnsi="Symbol" w:hint="default"/>
      </w:rPr>
    </w:lvl>
    <w:lvl w:ilvl="4" w:tplc="6F8E2142">
      <w:start w:val="1"/>
      <w:numFmt w:val="bullet"/>
      <w:lvlText w:val="o"/>
      <w:lvlJc w:val="left"/>
      <w:pPr>
        <w:ind w:left="3600" w:hanging="360"/>
      </w:pPr>
      <w:rPr>
        <w:rFonts w:ascii="Courier New" w:hAnsi="Courier New" w:hint="default"/>
      </w:rPr>
    </w:lvl>
    <w:lvl w:ilvl="5" w:tplc="46547304">
      <w:start w:val="1"/>
      <w:numFmt w:val="bullet"/>
      <w:lvlText w:val=""/>
      <w:lvlJc w:val="left"/>
      <w:pPr>
        <w:ind w:left="4320" w:hanging="360"/>
      </w:pPr>
      <w:rPr>
        <w:rFonts w:ascii="Wingdings" w:hAnsi="Wingdings" w:hint="default"/>
      </w:rPr>
    </w:lvl>
    <w:lvl w:ilvl="6" w:tplc="E52419A6">
      <w:start w:val="1"/>
      <w:numFmt w:val="bullet"/>
      <w:lvlText w:val=""/>
      <w:lvlJc w:val="left"/>
      <w:pPr>
        <w:ind w:left="5040" w:hanging="360"/>
      </w:pPr>
      <w:rPr>
        <w:rFonts w:ascii="Symbol" w:hAnsi="Symbol" w:hint="default"/>
      </w:rPr>
    </w:lvl>
    <w:lvl w:ilvl="7" w:tplc="44F85C8E">
      <w:start w:val="1"/>
      <w:numFmt w:val="bullet"/>
      <w:lvlText w:val="o"/>
      <w:lvlJc w:val="left"/>
      <w:pPr>
        <w:ind w:left="5760" w:hanging="360"/>
      </w:pPr>
      <w:rPr>
        <w:rFonts w:ascii="Courier New" w:hAnsi="Courier New" w:hint="default"/>
      </w:rPr>
    </w:lvl>
    <w:lvl w:ilvl="8" w:tplc="123A7D3C">
      <w:start w:val="1"/>
      <w:numFmt w:val="bullet"/>
      <w:lvlText w:val=""/>
      <w:lvlJc w:val="left"/>
      <w:pPr>
        <w:ind w:left="6480" w:hanging="360"/>
      </w:pPr>
      <w:rPr>
        <w:rFonts w:ascii="Wingdings" w:hAnsi="Wingdings" w:hint="default"/>
      </w:rPr>
    </w:lvl>
  </w:abstractNum>
  <w:abstractNum w:abstractNumId="22" w15:restartNumberingAfterBreak="0">
    <w:nsid w:val="7A2C43DC"/>
    <w:multiLevelType w:val="multilevel"/>
    <w:tmpl w:val="16506B6C"/>
    <w:numStyleLink w:val="ListNumbers"/>
  </w:abstractNum>
  <w:abstractNum w:abstractNumId="23"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2047099287">
    <w:abstractNumId w:val="3"/>
  </w:num>
  <w:num w:numId="2" w16cid:durableId="1974675984">
    <w:abstractNumId w:val="7"/>
  </w:num>
  <w:num w:numId="3" w16cid:durableId="1860270060">
    <w:abstractNumId w:val="22"/>
  </w:num>
  <w:num w:numId="4" w16cid:durableId="1497502967">
    <w:abstractNumId w:val="0"/>
  </w:num>
  <w:num w:numId="5" w16cid:durableId="21195968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1658323">
    <w:abstractNumId w:val="8"/>
  </w:num>
  <w:num w:numId="7" w16cid:durableId="18415796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3324981">
    <w:abstractNumId w:val="19"/>
  </w:num>
  <w:num w:numId="9" w16cid:durableId="2013023694">
    <w:abstractNumId w:val="12"/>
  </w:num>
  <w:num w:numId="10" w16cid:durableId="3085608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0779393">
    <w:abstractNumId w:val="1"/>
  </w:num>
  <w:num w:numId="12" w16cid:durableId="663362749">
    <w:abstractNumId w:val="11"/>
  </w:num>
  <w:num w:numId="13" w16cid:durableId="665858682">
    <w:abstractNumId w:val="17"/>
  </w:num>
  <w:num w:numId="14" w16cid:durableId="989942783">
    <w:abstractNumId w:val="23"/>
  </w:num>
  <w:num w:numId="15" w16cid:durableId="8005405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4458906">
    <w:abstractNumId w:val="2"/>
  </w:num>
  <w:num w:numId="17" w16cid:durableId="2038504844">
    <w:abstractNumId w:val="15"/>
  </w:num>
  <w:num w:numId="18" w16cid:durableId="1027874959">
    <w:abstractNumId w:val="6"/>
  </w:num>
  <w:num w:numId="19" w16cid:durableId="966157473">
    <w:abstractNumId w:val="5"/>
  </w:num>
  <w:num w:numId="20" w16cid:durableId="976959756">
    <w:abstractNumId w:val="21"/>
  </w:num>
  <w:num w:numId="21" w16cid:durableId="1020545594">
    <w:abstractNumId w:val="13"/>
  </w:num>
  <w:num w:numId="22" w16cid:durableId="1398474685">
    <w:abstractNumId w:val="10"/>
  </w:num>
  <w:num w:numId="23" w16cid:durableId="114250802">
    <w:abstractNumId w:val="9"/>
  </w:num>
  <w:num w:numId="24" w16cid:durableId="1441411671">
    <w:abstractNumId w:val="16"/>
  </w:num>
  <w:num w:numId="25" w16cid:durableId="2036151857">
    <w:abstractNumId w:val="14"/>
  </w:num>
  <w:num w:numId="26" w16cid:durableId="675616084">
    <w:abstractNumId w:val="4"/>
  </w:num>
  <w:num w:numId="27" w16cid:durableId="1736974700">
    <w:abstractNumId w:val="18"/>
  </w:num>
  <w:num w:numId="28" w16cid:durableId="1735272514">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4"/>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F3"/>
    <w:rsid w:val="0000225A"/>
    <w:rsid w:val="00002693"/>
    <w:rsid w:val="00004EFF"/>
    <w:rsid w:val="00020B35"/>
    <w:rsid w:val="000437C5"/>
    <w:rsid w:val="000474AE"/>
    <w:rsid w:val="000571FF"/>
    <w:rsid w:val="00071857"/>
    <w:rsid w:val="0009705E"/>
    <w:rsid w:val="000A2BDA"/>
    <w:rsid w:val="000A48D5"/>
    <w:rsid w:val="000B5EAA"/>
    <w:rsid w:val="000F3535"/>
    <w:rsid w:val="00175895"/>
    <w:rsid w:val="00185145"/>
    <w:rsid w:val="00190B0E"/>
    <w:rsid w:val="001B51BF"/>
    <w:rsid w:val="001F46B4"/>
    <w:rsid w:val="001F471F"/>
    <w:rsid w:val="001F554D"/>
    <w:rsid w:val="00211A97"/>
    <w:rsid w:val="00215922"/>
    <w:rsid w:val="00235DD6"/>
    <w:rsid w:val="002367BA"/>
    <w:rsid w:val="002436A6"/>
    <w:rsid w:val="002438B7"/>
    <w:rsid w:val="0024773F"/>
    <w:rsid w:val="00261308"/>
    <w:rsid w:val="00262A0F"/>
    <w:rsid w:val="002B3919"/>
    <w:rsid w:val="002D630D"/>
    <w:rsid w:val="002E4153"/>
    <w:rsid w:val="002F47B6"/>
    <w:rsid w:val="002F6A88"/>
    <w:rsid w:val="00347479"/>
    <w:rsid w:val="003678A8"/>
    <w:rsid w:val="003749C0"/>
    <w:rsid w:val="00380F44"/>
    <w:rsid w:val="0038645E"/>
    <w:rsid w:val="00392688"/>
    <w:rsid w:val="003B0F6D"/>
    <w:rsid w:val="003D63A8"/>
    <w:rsid w:val="003D6D4A"/>
    <w:rsid w:val="003E3A9F"/>
    <w:rsid w:val="003F1608"/>
    <w:rsid w:val="00407429"/>
    <w:rsid w:val="00426584"/>
    <w:rsid w:val="00431D45"/>
    <w:rsid w:val="004564F4"/>
    <w:rsid w:val="00457042"/>
    <w:rsid w:val="00482EF3"/>
    <w:rsid w:val="004878DB"/>
    <w:rsid w:val="00493E0A"/>
    <w:rsid w:val="00494A2D"/>
    <w:rsid w:val="004A26E3"/>
    <w:rsid w:val="004D00DD"/>
    <w:rsid w:val="004E1ECE"/>
    <w:rsid w:val="004F4EE8"/>
    <w:rsid w:val="004F54F5"/>
    <w:rsid w:val="00500612"/>
    <w:rsid w:val="00505C05"/>
    <w:rsid w:val="0052081B"/>
    <w:rsid w:val="00535159"/>
    <w:rsid w:val="0053666A"/>
    <w:rsid w:val="005620A0"/>
    <w:rsid w:val="0056634E"/>
    <w:rsid w:val="0057264C"/>
    <w:rsid w:val="005735E1"/>
    <w:rsid w:val="00577A39"/>
    <w:rsid w:val="005814F5"/>
    <w:rsid w:val="005D30BA"/>
    <w:rsid w:val="005F4391"/>
    <w:rsid w:val="00631E1B"/>
    <w:rsid w:val="00687D4A"/>
    <w:rsid w:val="006A2F63"/>
    <w:rsid w:val="006A3718"/>
    <w:rsid w:val="006C7F7B"/>
    <w:rsid w:val="006E0D9F"/>
    <w:rsid w:val="006E1D3A"/>
    <w:rsid w:val="00712950"/>
    <w:rsid w:val="00715B3E"/>
    <w:rsid w:val="0073401D"/>
    <w:rsid w:val="007361D8"/>
    <w:rsid w:val="00737A99"/>
    <w:rsid w:val="00782E37"/>
    <w:rsid w:val="00784FF6"/>
    <w:rsid w:val="007A0AA6"/>
    <w:rsid w:val="007C5F75"/>
    <w:rsid w:val="007E291E"/>
    <w:rsid w:val="007F02C9"/>
    <w:rsid w:val="007F0661"/>
    <w:rsid w:val="00802A52"/>
    <w:rsid w:val="00806F0F"/>
    <w:rsid w:val="00831224"/>
    <w:rsid w:val="00850D66"/>
    <w:rsid w:val="00855F84"/>
    <w:rsid w:val="00881C97"/>
    <w:rsid w:val="0089381B"/>
    <w:rsid w:val="008D2DDA"/>
    <w:rsid w:val="008E2476"/>
    <w:rsid w:val="009043FC"/>
    <w:rsid w:val="009050C6"/>
    <w:rsid w:val="0091365A"/>
    <w:rsid w:val="00955E32"/>
    <w:rsid w:val="0097181E"/>
    <w:rsid w:val="00990B3C"/>
    <w:rsid w:val="009D1FBA"/>
    <w:rsid w:val="009E0344"/>
    <w:rsid w:val="009E3921"/>
    <w:rsid w:val="009E47E0"/>
    <w:rsid w:val="009E6BAD"/>
    <w:rsid w:val="009F4681"/>
    <w:rsid w:val="00A01D13"/>
    <w:rsid w:val="00A121B3"/>
    <w:rsid w:val="00A22386"/>
    <w:rsid w:val="00A47015"/>
    <w:rsid w:val="00A5273A"/>
    <w:rsid w:val="00A8651A"/>
    <w:rsid w:val="00A95083"/>
    <w:rsid w:val="00AA4303"/>
    <w:rsid w:val="00AB6132"/>
    <w:rsid w:val="00AD2B6E"/>
    <w:rsid w:val="00AF02E0"/>
    <w:rsid w:val="00AF3640"/>
    <w:rsid w:val="00B152AF"/>
    <w:rsid w:val="00B30455"/>
    <w:rsid w:val="00B37735"/>
    <w:rsid w:val="00B53D5A"/>
    <w:rsid w:val="00B56866"/>
    <w:rsid w:val="00B61F7F"/>
    <w:rsid w:val="00B93B1F"/>
    <w:rsid w:val="00BC5E8E"/>
    <w:rsid w:val="00BC719D"/>
    <w:rsid w:val="00BE100F"/>
    <w:rsid w:val="00BE1269"/>
    <w:rsid w:val="00BE4B49"/>
    <w:rsid w:val="00BE5903"/>
    <w:rsid w:val="00BE6801"/>
    <w:rsid w:val="00C0291B"/>
    <w:rsid w:val="00C05740"/>
    <w:rsid w:val="00C07190"/>
    <w:rsid w:val="00C14F9F"/>
    <w:rsid w:val="00C2007C"/>
    <w:rsid w:val="00C37F6A"/>
    <w:rsid w:val="00C42412"/>
    <w:rsid w:val="00C73DA2"/>
    <w:rsid w:val="00CA3730"/>
    <w:rsid w:val="00CB006D"/>
    <w:rsid w:val="00CB6145"/>
    <w:rsid w:val="00CD382D"/>
    <w:rsid w:val="00CD41B4"/>
    <w:rsid w:val="00CE76E8"/>
    <w:rsid w:val="00CF27A2"/>
    <w:rsid w:val="00D00427"/>
    <w:rsid w:val="00D02C4A"/>
    <w:rsid w:val="00D367C9"/>
    <w:rsid w:val="00D458D4"/>
    <w:rsid w:val="00D77363"/>
    <w:rsid w:val="00D8650A"/>
    <w:rsid w:val="00D9253D"/>
    <w:rsid w:val="00E33417"/>
    <w:rsid w:val="00E43FA0"/>
    <w:rsid w:val="00E4646D"/>
    <w:rsid w:val="00E5089C"/>
    <w:rsid w:val="00E866C4"/>
    <w:rsid w:val="00E86DCD"/>
    <w:rsid w:val="00E93CBA"/>
    <w:rsid w:val="00E94A1C"/>
    <w:rsid w:val="00EA2130"/>
    <w:rsid w:val="00EA3CBF"/>
    <w:rsid w:val="00EC4AF9"/>
    <w:rsid w:val="00ED7629"/>
    <w:rsid w:val="00ED7D9E"/>
    <w:rsid w:val="00EE2B9B"/>
    <w:rsid w:val="00EE6703"/>
    <w:rsid w:val="00EF11AE"/>
    <w:rsid w:val="00F03DF7"/>
    <w:rsid w:val="00F04BA5"/>
    <w:rsid w:val="00F07FBE"/>
    <w:rsid w:val="00F24B46"/>
    <w:rsid w:val="00F4048D"/>
    <w:rsid w:val="00F41FC6"/>
    <w:rsid w:val="00F61B69"/>
    <w:rsid w:val="00F63593"/>
    <w:rsid w:val="00F83261"/>
    <w:rsid w:val="00FA20BF"/>
    <w:rsid w:val="00FA2DFF"/>
    <w:rsid w:val="00FB78D6"/>
    <w:rsid w:val="00FC0EFA"/>
    <w:rsid w:val="00FC6D23"/>
    <w:rsid w:val="00FF1497"/>
    <w:rsid w:val="00FF3A3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0D1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uiPriority w:val="34"/>
    <w:qFormat/>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Default">
    <w:name w:val="Default"/>
    <w:rsid w:val="000571FF"/>
    <w:pPr>
      <w:autoSpaceDE w:val="0"/>
      <w:autoSpaceDN w:val="0"/>
      <w:adjustRightInd w:val="0"/>
    </w:pPr>
    <w:rPr>
      <w:rFonts w:ascii="Arial" w:hAnsi="Arial" w:cs="Arial"/>
      <w:color w:val="000000"/>
      <w:sz w:val="24"/>
      <w:szCs w:val="24"/>
    </w:rPr>
  </w:style>
  <w:style w:type="character" w:styleId="CommentReference">
    <w:name w:val="annotation reference"/>
    <w:semiHidden/>
    <w:unhideWhenUsed/>
    <w:rsid w:val="009E47E0"/>
    <w:rPr>
      <w:sz w:val="16"/>
      <w:szCs w:val="16"/>
    </w:rPr>
  </w:style>
  <w:style w:type="paragraph" w:styleId="CommentText">
    <w:name w:val="annotation text"/>
    <w:basedOn w:val="Normal"/>
    <w:link w:val="CommentTextChar"/>
    <w:semiHidden/>
    <w:unhideWhenUsed/>
    <w:rsid w:val="009E47E0"/>
    <w:rPr>
      <w:szCs w:val="20"/>
    </w:rPr>
  </w:style>
  <w:style w:type="character" w:customStyle="1" w:styleId="CommentTextChar">
    <w:name w:val="Comment Text Char"/>
    <w:link w:val="CommentText"/>
    <w:semiHidden/>
    <w:rsid w:val="009E47E0"/>
    <w:rPr>
      <w:rFonts w:ascii="Arial" w:hAnsi="Arial"/>
      <w:lang w:eastAsia="en-US"/>
    </w:rPr>
  </w:style>
  <w:style w:type="paragraph" w:styleId="CommentSubject">
    <w:name w:val="annotation subject"/>
    <w:basedOn w:val="CommentText"/>
    <w:next w:val="CommentText"/>
    <w:link w:val="CommentSubjectChar"/>
    <w:semiHidden/>
    <w:unhideWhenUsed/>
    <w:rsid w:val="009E47E0"/>
    <w:rPr>
      <w:b/>
      <w:bCs/>
    </w:rPr>
  </w:style>
  <w:style w:type="character" w:customStyle="1" w:styleId="CommentSubjectChar">
    <w:name w:val="Comment Subject Char"/>
    <w:link w:val="CommentSubject"/>
    <w:semiHidden/>
    <w:rsid w:val="009E47E0"/>
    <w:rPr>
      <w:rFonts w:ascii="Arial" w:hAnsi="Arial"/>
      <w:b/>
      <w:bCs/>
      <w:lang w:eastAsia="en-US"/>
    </w:rPr>
  </w:style>
  <w:style w:type="character" w:styleId="FollowedHyperlink">
    <w:name w:val="FollowedHyperlink"/>
    <w:semiHidden/>
    <w:unhideWhenUsed/>
    <w:rsid w:val="00BE590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832852">
      <w:bodyDiv w:val="1"/>
      <w:marLeft w:val="0"/>
      <w:marRight w:val="0"/>
      <w:marTop w:val="0"/>
      <w:marBottom w:val="0"/>
      <w:divBdr>
        <w:top w:val="none" w:sz="0" w:space="0" w:color="auto"/>
        <w:left w:val="none" w:sz="0" w:space="0" w:color="auto"/>
        <w:bottom w:val="none" w:sz="0" w:space="0" w:color="auto"/>
        <w:right w:val="none" w:sz="0" w:space="0" w:color="auto"/>
      </w:divBdr>
      <w:divsChild>
        <w:div w:id="578370589">
          <w:marLeft w:val="0"/>
          <w:marRight w:val="0"/>
          <w:marTop w:val="0"/>
          <w:marBottom w:val="0"/>
          <w:divBdr>
            <w:top w:val="none" w:sz="0" w:space="0" w:color="auto"/>
            <w:left w:val="none" w:sz="0" w:space="0" w:color="auto"/>
            <w:bottom w:val="none" w:sz="0" w:space="0" w:color="auto"/>
            <w:right w:val="none" w:sz="0" w:space="0" w:color="auto"/>
          </w:divBdr>
        </w:div>
        <w:div w:id="630868108">
          <w:marLeft w:val="0"/>
          <w:marRight w:val="0"/>
          <w:marTop w:val="0"/>
          <w:marBottom w:val="0"/>
          <w:divBdr>
            <w:top w:val="none" w:sz="0" w:space="0" w:color="auto"/>
            <w:left w:val="none" w:sz="0" w:space="0" w:color="auto"/>
            <w:bottom w:val="none" w:sz="0" w:space="0" w:color="auto"/>
            <w:right w:val="none" w:sz="0" w:space="0" w:color="auto"/>
          </w:divBdr>
        </w:div>
        <w:div w:id="899173037">
          <w:marLeft w:val="0"/>
          <w:marRight w:val="0"/>
          <w:marTop w:val="0"/>
          <w:marBottom w:val="0"/>
          <w:divBdr>
            <w:top w:val="none" w:sz="0" w:space="0" w:color="auto"/>
            <w:left w:val="none" w:sz="0" w:space="0" w:color="auto"/>
            <w:bottom w:val="none" w:sz="0" w:space="0" w:color="auto"/>
            <w:right w:val="none" w:sz="0" w:space="0" w:color="auto"/>
          </w:divBdr>
        </w:div>
        <w:div w:id="945113618">
          <w:marLeft w:val="0"/>
          <w:marRight w:val="0"/>
          <w:marTop w:val="0"/>
          <w:marBottom w:val="0"/>
          <w:divBdr>
            <w:top w:val="none" w:sz="0" w:space="0" w:color="auto"/>
            <w:left w:val="none" w:sz="0" w:space="0" w:color="auto"/>
            <w:bottom w:val="none" w:sz="0" w:space="0" w:color="auto"/>
            <w:right w:val="none" w:sz="0" w:space="0" w:color="auto"/>
          </w:divBdr>
        </w:div>
        <w:div w:id="1121921705">
          <w:marLeft w:val="0"/>
          <w:marRight w:val="0"/>
          <w:marTop w:val="0"/>
          <w:marBottom w:val="0"/>
          <w:divBdr>
            <w:top w:val="none" w:sz="0" w:space="0" w:color="auto"/>
            <w:left w:val="none" w:sz="0" w:space="0" w:color="auto"/>
            <w:bottom w:val="none" w:sz="0" w:space="0" w:color="auto"/>
            <w:right w:val="none" w:sz="0" w:space="0" w:color="auto"/>
          </w:divBdr>
        </w:div>
        <w:div w:id="1601646922">
          <w:marLeft w:val="0"/>
          <w:marRight w:val="0"/>
          <w:marTop w:val="0"/>
          <w:marBottom w:val="0"/>
          <w:divBdr>
            <w:top w:val="none" w:sz="0" w:space="0" w:color="auto"/>
            <w:left w:val="none" w:sz="0" w:space="0" w:color="auto"/>
            <w:bottom w:val="none" w:sz="0" w:space="0" w:color="auto"/>
            <w:right w:val="none" w:sz="0" w:space="0" w:color="auto"/>
          </w:divBdr>
        </w:div>
        <w:div w:id="207534803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lbourne.vic.gov.au/business/Pages/business-concierge-service.aspx" TargetMode="External"/><Relationship Id="rId13" Type="http://schemas.openxmlformats.org/officeDocument/2006/relationships/hyperlink" Target="https://participate.melbourne.vic.gov.au/city-river-strategy" TargetMode="External"/><Relationship Id="rId18" Type="http://schemas.openxmlformats.org/officeDocument/2006/relationships/hyperlink" Target="https://www.melbourne.vic.gov.au/qvmrenewa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articipate.melbourne.vic.gov.au/greenline/implementation-plan-overview" TargetMode="External"/><Relationship Id="rId17" Type="http://schemas.openxmlformats.org/officeDocument/2006/relationships/hyperlink" Target="https://www.melbourne.vic.gov.au/qvmrenewal" TargetMode="External"/><Relationship Id="rId2" Type="http://schemas.openxmlformats.org/officeDocument/2006/relationships/styles" Target="styles.xml"/><Relationship Id="rId16" Type="http://schemas.openxmlformats.org/officeDocument/2006/relationships/hyperlink" Target="https://www.fishermansbend.vic.gov.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lbourne.vic.gov.au/about-council/vision-goals/Pages/united-nations-sustainable-development-goals.aspx" TargetMode="External"/><Relationship Id="rId5" Type="http://schemas.openxmlformats.org/officeDocument/2006/relationships/footnotes" Target="footnotes.xml"/><Relationship Id="rId15" Type="http://schemas.openxmlformats.org/officeDocument/2006/relationships/hyperlink" Target="https://participate.melbourne.vic.gov.au/macaulay-refresh" TargetMode="External"/><Relationship Id="rId10" Type="http://schemas.openxmlformats.org/officeDocument/2006/relationships/hyperlink" Target="https://www.melbourne.vic.gov.au/arts-and-culture/strategies-support/funding/Pages/event-partnership-program.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lbourne.vic.gov.au/about-council/vision-goals/Pages/economic-development-strategy-2031.aspx" TargetMode="External"/><Relationship Id="rId14" Type="http://schemas.openxmlformats.org/officeDocument/2006/relationships/hyperlink" Target="https://participate.melbourne.vic.gov.au/arde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4748</Words>
  <Characters>27069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31754</CharactersWithSpaces>
  <SharedDoc>false</SharedDoc>
  <HLinks>
    <vt:vector size="246" baseType="variant">
      <vt:variant>
        <vt:i4>7602286</vt:i4>
      </vt:variant>
      <vt:variant>
        <vt:i4>213</vt:i4>
      </vt:variant>
      <vt:variant>
        <vt:i4>0</vt:i4>
      </vt:variant>
      <vt:variant>
        <vt:i4>5</vt:i4>
      </vt:variant>
      <vt:variant>
        <vt:lpwstr>https://www.melbourne.vic.gov.au/qvmrenewal</vt:lpwstr>
      </vt:variant>
      <vt:variant>
        <vt:lpwstr/>
      </vt:variant>
      <vt:variant>
        <vt:i4>7602286</vt:i4>
      </vt:variant>
      <vt:variant>
        <vt:i4>210</vt:i4>
      </vt:variant>
      <vt:variant>
        <vt:i4>0</vt:i4>
      </vt:variant>
      <vt:variant>
        <vt:i4>5</vt:i4>
      </vt:variant>
      <vt:variant>
        <vt:lpwstr>https://www.melbourne.vic.gov.au/qvmrenewal</vt:lpwstr>
      </vt:variant>
      <vt:variant>
        <vt:lpwstr/>
      </vt:variant>
      <vt:variant>
        <vt:i4>6422626</vt:i4>
      </vt:variant>
      <vt:variant>
        <vt:i4>207</vt:i4>
      </vt:variant>
      <vt:variant>
        <vt:i4>0</vt:i4>
      </vt:variant>
      <vt:variant>
        <vt:i4>5</vt:i4>
      </vt:variant>
      <vt:variant>
        <vt:lpwstr>https://www.fishermansbend.vic.gov.au/</vt:lpwstr>
      </vt:variant>
      <vt:variant>
        <vt:lpwstr/>
      </vt:variant>
      <vt:variant>
        <vt:i4>6225937</vt:i4>
      </vt:variant>
      <vt:variant>
        <vt:i4>204</vt:i4>
      </vt:variant>
      <vt:variant>
        <vt:i4>0</vt:i4>
      </vt:variant>
      <vt:variant>
        <vt:i4>5</vt:i4>
      </vt:variant>
      <vt:variant>
        <vt:lpwstr>https://participate.melbourne.vic.gov.au/macaulay-refresh</vt:lpwstr>
      </vt:variant>
      <vt:variant>
        <vt:lpwstr/>
      </vt:variant>
      <vt:variant>
        <vt:i4>7733281</vt:i4>
      </vt:variant>
      <vt:variant>
        <vt:i4>201</vt:i4>
      </vt:variant>
      <vt:variant>
        <vt:i4>0</vt:i4>
      </vt:variant>
      <vt:variant>
        <vt:i4>5</vt:i4>
      </vt:variant>
      <vt:variant>
        <vt:lpwstr>https://participate.melbourne.vic.gov.au/arden/plan</vt:lpwstr>
      </vt:variant>
      <vt:variant>
        <vt:lpwstr/>
      </vt:variant>
      <vt:variant>
        <vt:i4>1966081</vt:i4>
      </vt:variant>
      <vt:variant>
        <vt:i4>198</vt:i4>
      </vt:variant>
      <vt:variant>
        <vt:i4>0</vt:i4>
      </vt:variant>
      <vt:variant>
        <vt:i4>5</vt:i4>
      </vt:variant>
      <vt:variant>
        <vt:lpwstr>https://participate.melbourne.vic.gov.au/city-river-strategy</vt:lpwstr>
      </vt:variant>
      <vt:variant>
        <vt:lpwstr/>
      </vt:variant>
      <vt:variant>
        <vt:i4>2883706</vt:i4>
      </vt:variant>
      <vt:variant>
        <vt:i4>195</vt:i4>
      </vt:variant>
      <vt:variant>
        <vt:i4>0</vt:i4>
      </vt:variant>
      <vt:variant>
        <vt:i4>5</vt:i4>
      </vt:variant>
      <vt:variant>
        <vt:lpwstr>https://participate.melbourne.vic.gov.au/greenline/implementation-plan-overview</vt:lpwstr>
      </vt:variant>
      <vt:variant>
        <vt:lpwstr/>
      </vt:variant>
      <vt:variant>
        <vt:i4>2162745</vt:i4>
      </vt:variant>
      <vt:variant>
        <vt:i4>192</vt:i4>
      </vt:variant>
      <vt:variant>
        <vt:i4>0</vt:i4>
      </vt:variant>
      <vt:variant>
        <vt:i4>5</vt:i4>
      </vt:variant>
      <vt:variant>
        <vt:lpwstr>https://www.melbourne.vic.gov.au/about-council/vision-goals/Pages/united-nations-sustainable-development-goals.aspx</vt:lpwstr>
      </vt:variant>
      <vt:variant>
        <vt:lpwstr/>
      </vt:variant>
      <vt:variant>
        <vt:i4>6094922</vt:i4>
      </vt:variant>
      <vt:variant>
        <vt:i4>189</vt:i4>
      </vt:variant>
      <vt:variant>
        <vt:i4>0</vt:i4>
      </vt:variant>
      <vt:variant>
        <vt:i4>5</vt:i4>
      </vt:variant>
      <vt:variant>
        <vt:lpwstr>https://www.melbourne.vic.gov.au/arts-and-culture/strategies-support/funding/Pages/event-partnership-program.aspx</vt:lpwstr>
      </vt:variant>
      <vt:variant>
        <vt:lpwstr/>
      </vt:variant>
      <vt:variant>
        <vt:i4>1638468</vt:i4>
      </vt:variant>
      <vt:variant>
        <vt:i4>186</vt:i4>
      </vt:variant>
      <vt:variant>
        <vt:i4>0</vt:i4>
      </vt:variant>
      <vt:variant>
        <vt:i4>5</vt:i4>
      </vt:variant>
      <vt:variant>
        <vt:lpwstr>https://www.melbourne.vic.gov.au/about-council/vision-goals/Pages/economic-development-strategy-2031.aspx</vt:lpwstr>
      </vt:variant>
      <vt:variant>
        <vt:lpwstr/>
      </vt:variant>
      <vt:variant>
        <vt:i4>6553650</vt:i4>
      </vt:variant>
      <vt:variant>
        <vt:i4>183</vt:i4>
      </vt:variant>
      <vt:variant>
        <vt:i4>0</vt:i4>
      </vt:variant>
      <vt:variant>
        <vt:i4>5</vt:i4>
      </vt:variant>
      <vt:variant>
        <vt:lpwstr>https://www.melbourne.vic.gov.au/business/Pages/business-concierge-service.aspx</vt:lpwstr>
      </vt:variant>
      <vt:variant>
        <vt:lpwstr/>
      </vt:variant>
      <vt:variant>
        <vt:i4>1703984</vt:i4>
      </vt:variant>
      <vt:variant>
        <vt:i4>176</vt:i4>
      </vt:variant>
      <vt:variant>
        <vt:i4>0</vt:i4>
      </vt:variant>
      <vt:variant>
        <vt:i4>5</vt:i4>
      </vt:variant>
      <vt:variant>
        <vt:lpwstr/>
      </vt:variant>
      <vt:variant>
        <vt:lpwstr>_Toc193204223</vt:lpwstr>
      </vt:variant>
      <vt:variant>
        <vt:i4>1703984</vt:i4>
      </vt:variant>
      <vt:variant>
        <vt:i4>170</vt:i4>
      </vt:variant>
      <vt:variant>
        <vt:i4>0</vt:i4>
      </vt:variant>
      <vt:variant>
        <vt:i4>5</vt:i4>
      </vt:variant>
      <vt:variant>
        <vt:lpwstr/>
      </vt:variant>
      <vt:variant>
        <vt:lpwstr>_Toc193204222</vt:lpwstr>
      </vt:variant>
      <vt:variant>
        <vt:i4>1703984</vt:i4>
      </vt:variant>
      <vt:variant>
        <vt:i4>164</vt:i4>
      </vt:variant>
      <vt:variant>
        <vt:i4>0</vt:i4>
      </vt:variant>
      <vt:variant>
        <vt:i4>5</vt:i4>
      </vt:variant>
      <vt:variant>
        <vt:lpwstr/>
      </vt:variant>
      <vt:variant>
        <vt:lpwstr>_Toc193204221</vt:lpwstr>
      </vt:variant>
      <vt:variant>
        <vt:i4>1703984</vt:i4>
      </vt:variant>
      <vt:variant>
        <vt:i4>158</vt:i4>
      </vt:variant>
      <vt:variant>
        <vt:i4>0</vt:i4>
      </vt:variant>
      <vt:variant>
        <vt:i4>5</vt:i4>
      </vt:variant>
      <vt:variant>
        <vt:lpwstr/>
      </vt:variant>
      <vt:variant>
        <vt:lpwstr>_Toc193204220</vt:lpwstr>
      </vt:variant>
      <vt:variant>
        <vt:i4>1638448</vt:i4>
      </vt:variant>
      <vt:variant>
        <vt:i4>152</vt:i4>
      </vt:variant>
      <vt:variant>
        <vt:i4>0</vt:i4>
      </vt:variant>
      <vt:variant>
        <vt:i4>5</vt:i4>
      </vt:variant>
      <vt:variant>
        <vt:lpwstr/>
      </vt:variant>
      <vt:variant>
        <vt:lpwstr>_Toc193204219</vt:lpwstr>
      </vt:variant>
      <vt:variant>
        <vt:i4>1638448</vt:i4>
      </vt:variant>
      <vt:variant>
        <vt:i4>146</vt:i4>
      </vt:variant>
      <vt:variant>
        <vt:i4>0</vt:i4>
      </vt:variant>
      <vt:variant>
        <vt:i4>5</vt:i4>
      </vt:variant>
      <vt:variant>
        <vt:lpwstr/>
      </vt:variant>
      <vt:variant>
        <vt:lpwstr>_Toc193204218</vt:lpwstr>
      </vt:variant>
      <vt:variant>
        <vt:i4>1638448</vt:i4>
      </vt:variant>
      <vt:variant>
        <vt:i4>140</vt:i4>
      </vt:variant>
      <vt:variant>
        <vt:i4>0</vt:i4>
      </vt:variant>
      <vt:variant>
        <vt:i4>5</vt:i4>
      </vt:variant>
      <vt:variant>
        <vt:lpwstr/>
      </vt:variant>
      <vt:variant>
        <vt:lpwstr>_Toc193204217</vt:lpwstr>
      </vt:variant>
      <vt:variant>
        <vt:i4>1638448</vt:i4>
      </vt:variant>
      <vt:variant>
        <vt:i4>134</vt:i4>
      </vt:variant>
      <vt:variant>
        <vt:i4>0</vt:i4>
      </vt:variant>
      <vt:variant>
        <vt:i4>5</vt:i4>
      </vt:variant>
      <vt:variant>
        <vt:lpwstr/>
      </vt:variant>
      <vt:variant>
        <vt:lpwstr>_Toc193204216</vt:lpwstr>
      </vt:variant>
      <vt:variant>
        <vt:i4>1638448</vt:i4>
      </vt:variant>
      <vt:variant>
        <vt:i4>128</vt:i4>
      </vt:variant>
      <vt:variant>
        <vt:i4>0</vt:i4>
      </vt:variant>
      <vt:variant>
        <vt:i4>5</vt:i4>
      </vt:variant>
      <vt:variant>
        <vt:lpwstr/>
      </vt:variant>
      <vt:variant>
        <vt:lpwstr>_Toc193204215</vt:lpwstr>
      </vt:variant>
      <vt:variant>
        <vt:i4>1638448</vt:i4>
      </vt:variant>
      <vt:variant>
        <vt:i4>122</vt:i4>
      </vt:variant>
      <vt:variant>
        <vt:i4>0</vt:i4>
      </vt:variant>
      <vt:variant>
        <vt:i4>5</vt:i4>
      </vt:variant>
      <vt:variant>
        <vt:lpwstr/>
      </vt:variant>
      <vt:variant>
        <vt:lpwstr>_Toc193204214</vt:lpwstr>
      </vt:variant>
      <vt:variant>
        <vt:i4>1638448</vt:i4>
      </vt:variant>
      <vt:variant>
        <vt:i4>116</vt:i4>
      </vt:variant>
      <vt:variant>
        <vt:i4>0</vt:i4>
      </vt:variant>
      <vt:variant>
        <vt:i4>5</vt:i4>
      </vt:variant>
      <vt:variant>
        <vt:lpwstr/>
      </vt:variant>
      <vt:variant>
        <vt:lpwstr>_Toc193204213</vt:lpwstr>
      </vt:variant>
      <vt:variant>
        <vt:i4>1638448</vt:i4>
      </vt:variant>
      <vt:variant>
        <vt:i4>110</vt:i4>
      </vt:variant>
      <vt:variant>
        <vt:i4>0</vt:i4>
      </vt:variant>
      <vt:variant>
        <vt:i4>5</vt:i4>
      </vt:variant>
      <vt:variant>
        <vt:lpwstr/>
      </vt:variant>
      <vt:variant>
        <vt:lpwstr>_Toc193204212</vt:lpwstr>
      </vt:variant>
      <vt:variant>
        <vt:i4>1638448</vt:i4>
      </vt:variant>
      <vt:variant>
        <vt:i4>104</vt:i4>
      </vt:variant>
      <vt:variant>
        <vt:i4>0</vt:i4>
      </vt:variant>
      <vt:variant>
        <vt:i4>5</vt:i4>
      </vt:variant>
      <vt:variant>
        <vt:lpwstr/>
      </vt:variant>
      <vt:variant>
        <vt:lpwstr>_Toc193204211</vt:lpwstr>
      </vt:variant>
      <vt:variant>
        <vt:i4>1638448</vt:i4>
      </vt:variant>
      <vt:variant>
        <vt:i4>98</vt:i4>
      </vt:variant>
      <vt:variant>
        <vt:i4>0</vt:i4>
      </vt:variant>
      <vt:variant>
        <vt:i4>5</vt:i4>
      </vt:variant>
      <vt:variant>
        <vt:lpwstr/>
      </vt:variant>
      <vt:variant>
        <vt:lpwstr>_Toc193204210</vt:lpwstr>
      </vt:variant>
      <vt:variant>
        <vt:i4>1572912</vt:i4>
      </vt:variant>
      <vt:variant>
        <vt:i4>92</vt:i4>
      </vt:variant>
      <vt:variant>
        <vt:i4>0</vt:i4>
      </vt:variant>
      <vt:variant>
        <vt:i4>5</vt:i4>
      </vt:variant>
      <vt:variant>
        <vt:lpwstr/>
      </vt:variant>
      <vt:variant>
        <vt:lpwstr>_Toc193204209</vt:lpwstr>
      </vt:variant>
      <vt:variant>
        <vt:i4>1572912</vt:i4>
      </vt:variant>
      <vt:variant>
        <vt:i4>86</vt:i4>
      </vt:variant>
      <vt:variant>
        <vt:i4>0</vt:i4>
      </vt:variant>
      <vt:variant>
        <vt:i4>5</vt:i4>
      </vt:variant>
      <vt:variant>
        <vt:lpwstr/>
      </vt:variant>
      <vt:variant>
        <vt:lpwstr>_Toc193204208</vt:lpwstr>
      </vt:variant>
      <vt:variant>
        <vt:i4>1572912</vt:i4>
      </vt:variant>
      <vt:variant>
        <vt:i4>80</vt:i4>
      </vt:variant>
      <vt:variant>
        <vt:i4>0</vt:i4>
      </vt:variant>
      <vt:variant>
        <vt:i4>5</vt:i4>
      </vt:variant>
      <vt:variant>
        <vt:lpwstr/>
      </vt:variant>
      <vt:variant>
        <vt:lpwstr>_Toc193204207</vt:lpwstr>
      </vt:variant>
      <vt:variant>
        <vt:i4>1572912</vt:i4>
      </vt:variant>
      <vt:variant>
        <vt:i4>74</vt:i4>
      </vt:variant>
      <vt:variant>
        <vt:i4>0</vt:i4>
      </vt:variant>
      <vt:variant>
        <vt:i4>5</vt:i4>
      </vt:variant>
      <vt:variant>
        <vt:lpwstr/>
      </vt:variant>
      <vt:variant>
        <vt:lpwstr>_Toc193204206</vt:lpwstr>
      </vt:variant>
      <vt:variant>
        <vt:i4>1572912</vt:i4>
      </vt:variant>
      <vt:variant>
        <vt:i4>68</vt:i4>
      </vt:variant>
      <vt:variant>
        <vt:i4>0</vt:i4>
      </vt:variant>
      <vt:variant>
        <vt:i4>5</vt:i4>
      </vt:variant>
      <vt:variant>
        <vt:lpwstr/>
      </vt:variant>
      <vt:variant>
        <vt:lpwstr>_Toc193204205</vt:lpwstr>
      </vt:variant>
      <vt:variant>
        <vt:i4>1572912</vt:i4>
      </vt:variant>
      <vt:variant>
        <vt:i4>62</vt:i4>
      </vt:variant>
      <vt:variant>
        <vt:i4>0</vt:i4>
      </vt:variant>
      <vt:variant>
        <vt:i4>5</vt:i4>
      </vt:variant>
      <vt:variant>
        <vt:lpwstr/>
      </vt:variant>
      <vt:variant>
        <vt:lpwstr>_Toc193204204</vt:lpwstr>
      </vt:variant>
      <vt:variant>
        <vt:i4>1572912</vt:i4>
      </vt:variant>
      <vt:variant>
        <vt:i4>56</vt:i4>
      </vt:variant>
      <vt:variant>
        <vt:i4>0</vt:i4>
      </vt:variant>
      <vt:variant>
        <vt:i4>5</vt:i4>
      </vt:variant>
      <vt:variant>
        <vt:lpwstr/>
      </vt:variant>
      <vt:variant>
        <vt:lpwstr>_Toc193204203</vt:lpwstr>
      </vt:variant>
      <vt:variant>
        <vt:i4>1572912</vt:i4>
      </vt:variant>
      <vt:variant>
        <vt:i4>50</vt:i4>
      </vt:variant>
      <vt:variant>
        <vt:i4>0</vt:i4>
      </vt:variant>
      <vt:variant>
        <vt:i4>5</vt:i4>
      </vt:variant>
      <vt:variant>
        <vt:lpwstr/>
      </vt:variant>
      <vt:variant>
        <vt:lpwstr>_Toc193204202</vt:lpwstr>
      </vt:variant>
      <vt:variant>
        <vt:i4>1572912</vt:i4>
      </vt:variant>
      <vt:variant>
        <vt:i4>44</vt:i4>
      </vt:variant>
      <vt:variant>
        <vt:i4>0</vt:i4>
      </vt:variant>
      <vt:variant>
        <vt:i4>5</vt:i4>
      </vt:variant>
      <vt:variant>
        <vt:lpwstr/>
      </vt:variant>
      <vt:variant>
        <vt:lpwstr>_Toc193204201</vt:lpwstr>
      </vt:variant>
      <vt:variant>
        <vt:i4>1572912</vt:i4>
      </vt:variant>
      <vt:variant>
        <vt:i4>38</vt:i4>
      </vt:variant>
      <vt:variant>
        <vt:i4>0</vt:i4>
      </vt:variant>
      <vt:variant>
        <vt:i4>5</vt:i4>
      </vt:variant>
      <vt:variant>
        <vt:lpwstr/>
      </vt:variant>
      <vt:variant>
        <vt:lpwstr>_Toc193204200</vt:lpwstr>
      </vt:variant>
      <vt:variant>
        <vt:i4>1114163</vt:i4>
      </vt:variant>
      <vt:variant>
        <vt:i4>32</vt:i4>
      </vt:variant>
      <vt:variant>
        <vt:i4>0</vt:i4>
      </vt:variant>
      <vt:variant>
        <vt:i4>5</vt:i4>
      </vt:variant>
      <vt:variant>
        <vt:lpwstr/>
      </vt:variant>
      <vt:variant>
        <vt:lpwstr>_Toc193204199</vt:lpwstr>
      </vt:variant>
      <vt:variant>
        <vt:i4>1114163</vt:i4>
      </vt:variant>
      <vt:variant>
        <vt:i4>26</vt:i4>
      </vt:variant>
      <vt:variant>
        <vt:i4>0</vt:i4>
      </vt:variant>
      <vt:variant>
        <vt:i4>5</vt:i4>
      </vt:variant>
      <vt:variant>
        <vt:lpwstr/>
      </vt:variant>
      <vt:variant>
        <vt:lpwstr>_Toc193204198</vt:lpwstr>
      </vt:variant>
      <vt:variant>
        <vt:i4>1114163</vt:i4>
      </vt:variant>
      <vt:variant>
        <vt:i4>20</vt:i4>
      </vt:variant>
      <vt:variant>
        <vt:i4>0</vt:i4>
      </vt:variant>
      <vt:variant>
        <vt:i4>5</vt:i4>
      </vt:variant>
      <vt:variant>
        <vt:lpwstr/>
      </vt:variant>
      <vt:variant>
        <vt:lpwstr>_Toc193204197</vt:lpwstr>
      </vt:variant>
      <vt:variant>
        <vt:i4>1114163</vt:i4>
      </vt:variant>
      <vt:variant>
        <vt:i4>14</vt:i4>
      </vt:variant>
      <vt:variant>
        <vt:i4>0</vt:i4>
      </vt:variant>
      <vt:variant>
        <vt:i4>5</vt:i4>
      </vt:variant>
      <vt:variant>
        <vt:lpwstr/>
      </vt:variant>
      <vt:variant>
        <vt:lpwstr>_Toc193204196</vt:lpwstr>
      </vt:variant>
      <vt:variant>
        <vt:i4>1114163</vt:i4>
      </vt:variant>
      <vt:variant>
        <vt:i4>8</vt:i4>
      </vt:variant>
      <vt:variant>
        <vt:i4>0</vt:i4>
      </vt:variant>
      <vt:variant>
        <vt:i4>5</vt:i4>
      </vt:variant>
      <vt:variant>
        <vt:lpwstr/>
      </vt:variant>
      <vt:variant>
        <vt:lpwstr>_Toc193204195</vt:lpwstr>
      </vt:variant>
      <vt:variant>
        <vt:i4>1114163</vt:i4>
      </vt:variant>
      <vt:variant>
        <vt:i4>2</vt:i4>
      </vt:variant>
      <vt:variant>
        <vt:i4>0</vt:i4>
      </vt:variant>
      <vt:variant>
        <vt:i4>5</vt:i4>
      </vt:variant>
      <vt:variant>
        <vt:lpwstr/>
      </vt:variant>
      <vt:variant>
        <vt:lpwstr>_Toc193204194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2025-03-18T23:23:00Z</dcterms:created>
  <dcterms:modified xsi:type="dcterms:W3CDTF">2025-03-18T23:23:00Z</dcterms:modified>
</cp:coreProperties>
</file>