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2D252" w14:textId="7E3FD35A" w:rsidR="00737A99" w:rsidRPr="005814F5" w:rsidRDefault="0098408B" w:rsidP="00020B35">
      <w:pPr>
        <w:spacing w:after="0"/>
        <w:jc w:val="right"/>
      </w:pPr>
      <w:r w:rsidRPr="00B23B9A">
        <w:rPr>
          <w:noProof/>
          <w:lang w:eastAsia="en-AU"/>
        </w:rPr>
        <w:drawing>
          <wp:inline distT="0" distB="0" distL="0" distR="0" wp14:anchorId="316C0A91" wp14:editId="46672694">
            <wp:extent cx="986790" cy="960755"/>
            <wp:effectExtent l="0" t="0" r="0" b="0"/>
            <wp:docPr id="1" name="Picture 1" descr="City of Melbou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of Melbour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6790" cy="960755"/>
                    </a:xfrm>
                    <a:prstGeom prst="rect">
                      <a:avLst/>
                    </a:prstGeom>
                    <a:noFill/>
                    <a:ln>
                      <a:noFill/>
                    </a:ln>
                  </pic:spPr>
                </pic:pic>
              </a:graphicData>
            </a:graphic>
          </wp:inline>
        </w:drawing>
      </w:r>
    </w:p>
    <w:p w14:paraId="324B519B" w14:textId="77777777" w:rsidR="000F3535" w:rsidRDefault="00482EF3" w:rsidP="00482EF3">
      <w:pPr>
        <w:pStyle w:val="DocumentTitle"/>
        <w:spacing w:before="3360"/>
      </w:pPr>
      <w:r>
        <w:t xml:space="preserve">Council Plan 2021-25 </w:t>
      </w:r>
      <w:r>
        <w:br/>
        <w:t>quarterly report card</w:t>
      </w:r>
    </w:p>
    <w:p w14:paraId="0E867B88" w14:textId="77777777" w:rsidR="000F3535" w:rsidRDefault="004A293F" w:rsidP="00FF3A35">
      <w:pPr>
        <w:pStyle w:val="Subtitle2"/>
        <w:jc w:val="both"/>
      </w:pPr>
      <w:r w:rsidRPr="004A293F">
        <w:t>April to June 202</w:t>
      </w:r>
      <w:r w:rsidR="004E1C37">
        <w:t>4</w:t>
      </w:r>
    </w:p>
    <w:p w14:paraId="583DCA2D" w14:textId="77777777" w:rsidR="00B152AF" w:rsidRPr="00E5089C" w:rsidRDefault="00020B35" w:rsidP="00020B35">
      <w:pPr>
        <w:pStyle w:val="TOCHeading"/>
        <w:rPr>
          <w:rFonts w:hint="eastAsia"/>
        </w:rPr>
      </w:pPr>
      <w:r>
        <w:br w:type="page"/>
      </w:r>
      <w:bookmarkStart w:id="0" w:name="_Toc403992663"/>
      <w:bookmarkStart w:id="1" w:name="_Toc403992345"/>
      <w:bookmarkStart w:id="2" w:name="_Toc403992580"/>
      <w:r w:rsidR="00B152AF" w:rsidRPr="00E5089C">
        <w:lastRenderedPageBreak/>
        <w:t>Contents</w:t>
      </w:r>
      <w:bookmarkEnd w:id="0"/>
    </w:p>
    <w:p w14:paraId="5581FBE9" w14:textId="77777777" w:rsidR="006E5EC2" w:rsidRPr="002A16E8" w:rsidRDefault="00B152AF">
      <w:pPr>
        <w:pStyle w:val="TOC1"/>
        <w:tabs>
          <w:tab w:val="right" w:leader="dot" w:pos="9769"/>
        </w:tabs>
        <w:rPr>
          <w:rFonts w:ascii="Aptos" w:eastAsia="Times New Roman" w:hAnsi="Aptos"/>
          <w:noProof/>
          <w:kern w:val="2"/>
          <w:sz w:val="24"/>
          <w:lang w:eastAsia="en-AU"/>
        </w:rPr>
      </w:pPr>
      <w:r>
        <w:fldChar w:fldCharType="begin"/>
      </w:r>
      <w:r>
        <w:instrText xml:space="preserve"> TOC \o "1-3" \h \z \u </w:instrText>
      </w:r>
      <w:r>
        <w:fldChar w:fldCharType="separate"/>
      </w:r>
      <w:hyperlink w:anchor="_Toc193203085" w:history="1">
        <w:r w:rsidR="006E5EC2" w:rsidRPr="00670A15">
          <w:rPr>
            <w:rStyle w:val="Hyperlink"/>
            <w:noProof/>
          </w:rPr>
          <w:t>Economy of the Future</w:t>
        </w:r>
        <w:r w:rsidR="006E5EC2">
          <w:rPr>
            <w:noProof/>
            <w:webHidden/>
          </w:rPr>
          <w:tab/>
        </w:r>
        <w:r w:rsidR="006E5EC2">
          <w:rPr>
            <w:noProof/>
            <w:webHidden/>
          </w:rPr>
          <w:fldChar w:fldCharType="begin"/>
        </w:r>
        <w:r w:rsidR="006E5EC2">
          <w:rPr>
            <w:noProof/>
            <w:webHidden/>
          </w:rPr>
          <w:instrText xml:space="preserve"> PAGEREF _Toc193203085 \h </w:instrText>
        </w:r>
        <w:r w:rsidR="006E5EC2">
          <w:rPr>
            <w:noProof/>
            <w:webHidden/>
          </w:rPr>
        </w:r>
        <w:r w:rsidR="006E5EC2">
          <w:rPr>
            <w:noProof/>
            <w:webHidden/>
          </w:rPr>
          <w:fldChar w:fldCharType="separate"/>
        </w:r>
        <w:r w:rsidR="006E5EC2">
          <w:rPr>
            <w:noProof/>
            <w:webHidden/>
          </w:rPr>
          <w:t>3</w:t>
        </w:r>
        <w:r w:rsidR="006E5EC2">
          <w:rPr>
            <w:noProof/>
            <w:webHidden/>
          </w:rPr>
          <w:fldChar w:fldCharType="end"/>
        </w:r>
      </w:hyperlink>
    </w:p>
    <w:p w14:paraId="76A9F222" w14:textId="77777777" w:rsidR="006E5EC2" w:rsidRPr="002A16E8" w:rsidRDefault="006E5EC2">
      <w:pPr>
        <w:pStyle w:val="TOC2"/>
        <w:rPr>
          <w:rFonts w:ascii="Aptos" w:eastAsia="Times New Roman" w:hAnsi="Aptos"/>
          <w:noProof/>
          <w:kern w:val="2"/>
          <w:sz w:val="24"/>
          <w:lang w:eastAsia="en-AU"/>
        </w:rPr>
      </w:pPr>
      <w:hyperlink w:anchor="_Toc193203086" w:history="1">
        <w:r w:rsidRPr="00670A15">
          <w:rPr>
            <w:rStyle w:val="Hyperlink"/>
            <w:noProof/>
          </w:rPr>
          <w:t>Highlights for quarter four (April to June 2024)</w:t>
        </w:r>
        <w:r>
          <w:rPr>
            <w:noProof/>
            <w:webHidden/>
          </w:rPr>
          <w:tab/>
        </w:r>
        <w:r>
          <w:rPr>
            <w:noProof/>
            <w:webHidden/>
          </w:rPr>
          <w:fldChar w:fldCharType="begin"/>
        </w:r>
        <w:r>
          <w:rPr>
            <w:noProof/>
            <w:webHidden/>
          </w:rPr>
          <w:instrText xml:space="preserve"> PAGEREF _Toc193203086 \h </w:instrText>
        </w:r>
        <w:r>
          <w:rPr>
            <w:noProof/>
            <w:webHidden/>
          </w:rPr>
        </w:r>
        <w:r>
          <w:rPr>
            <w:noProof/>
            <w:webHidden/>
          </w:rPr>
          <w:fldChar w:fldCharType="separate"/>
        </w:r>
        <w:r>
          <w:rPr>
            <w:noProof/>
            <w:webHidden/>
          </w:rPr>
          <w:t>3</w:t>
        </w:r>
        <w:r>
          <w:rPr>
            <w:noProof/>
            <w:webHidden/>
          </w:rPr>
          <w:fldChar w:fldCharType="end"/>
        </w:r>
      </w:hyperlink>
    </w:p>
    <w:p w14:paraId="70BAF00B" w14:textId="77777777" w:rsidR="006E5EC2" w:rsidRPr="002A16E8" w:rsidRDefault="006E5EC2">
      <w:pPr>
        <w:pStyle w:val="TOC2"/>
        <w:rPr>
          <w:rFonts w:ascii="Aptos" w:eastAsia="Times New Roman" w:hAnsi="Aptos"/>
          <w:noProof/>
          <w:kern w:val="2"/>
          <w:sz w:val="24"/>
          <w:lang w:eastAsia="en-AU"/>
        </w:rPr>
      </w:pPr>
      <w:hyperlink w:anchor="_Toc193203087" w:history="1">
        <w:r w:rsidRPr="00670A15">
          <w:rPr>
            <w:rStyle w:val="Hyperlink"/>
            <w:noProof/>
          </w:rPr>
          <w:t>Our progress</w:t>
        </w:r>
        <w:r>
          <w:rPr>
            <w:noProof/>
            <w:webHidden/>
          </w:rPr>
          <w:tab/>
        </w:r>
        <w:r>
          <w:rPr>
            <w:noProof/>
            <w:webHidden/>
          </w:rPr>
          <w:fldChar w:fldCharType="begin"/>
        </w:r>
        <w:r>
          <w:rPr>
            <w:noProof/>
            <w:webHidden/>
          </w:rPr>
          <w:instrText xml:space="preserve"> PAGEREF _Toc193203087 \h </w:instrText>
        </w:r>
        <w:r>
          <w:rPr>
            <w:noProof/>
            <w:webHidden/>
          </w:rPr>
        </w:r>
        <w:r>
          <w:rPr>
            <w:noProof/>
            <w:webHidden/>
          </w:rPr>
          <w:fldChar w:fldCharType="separate"/>
        </w:r>
        <w:r>
          <w:rPr>
            <w:noProof/>
            <w:webHidden/>
          </w:rPr>
          <w:t>3</w:t>
        </w:r>
        <w:r>
          <w:rPr>
            <w:noProof/>
            <w:webHidden/>
          </w:rPr>
          <w:fldChar w:fldCharType="end"/>
        </w:r>
      </w:hyperlink>
    </w:p>
    <w:p w14:paraId="4E97D333" w14:textId="77777777" w:rsidR="006E5EC2" w:rsidRPr="002A16E8" w:rsidRDefault="006E5EC2">
      <w:pPr>
        <w:pStyle w:val="TOC2"/>
        <w:rPr>
          <w:rFonts w:ascii="Aptos" w:eastAsia="Times New Roman" w:hAnsi="Aptos"/>
          <w:noProof/>
          <w:kern w:val="2"/>
          <w:sz w:val="24"/>
          <w:lang w:eastAsia="en-AU"/>
        </w:rPr>
      </w:pPr>
      <w:hyperlink w:anchor="_Toc193203088" w:history="1">
        <w:r w:rsidRPr="00670A15">
          <w:rPr>
            <w:rStyle w:val="Hyperlink"/>
            <w:noProof/>
          </w:rPr>
          <w:t>The major initiatives we’re delivering this year</w:t>
        </w:r>
        <w:r>
          <w:rPr>
            <w:noProof/>
            <w:webHidden/>
          </w:rPr>
          <w:tab/>
        </w:r>
        <w:r>
          <w:rPr>
            <w:noProof/>
            <w:webHidden/>
          </w:rPr>
          <w:fldChar w:fldCharType="begin"/>
        </w:r>
        <w:r>
          <w:rPr>
            <w:noProof/>
            <w:webHidden/>
          </w:rPr>
          <w:instrText xml:space="preserve"> PAGEREF _Toc193203088 \h </w:instrText>
        </w:r>
        <w:r>
          <w:rPr>
            <w:noProof/>
            <w:webHidden/>
          </w:rPr>
        </w:r>
        <w:r>
          <w:rPr>
            <w:noProof/>
            <w:webHidden/>
          </w:rPr>
          <w:fldChar w:fldCharType="separate"/>
        </w:r>
        <w:r>
          <w:rPr>
            <w:noProof/>
            <w:webHidden/>
          </w:rPr>
          <w:t>4</w:t>
        </w:r>
        <w:r>
          <w:rPr>
            <w:noProof/>
            <w:webHidden/>
          </w:rPr>
          <w:fldChar w:fldCharType="end"/>
        </w:r>
      </w:hyperlink>
    </w:p>
    <w:p w14:paraId="318E3973" w14:textId="77777777" w:rsidR="006E5EC2" w:rsidRPr="002A16E8" w:rsidRDefault="006E5EC2">
      <w:pPr>
        <w:pStyle w:val="TOC2"/>
        <w:rPr>
          <w:rFonts w:ascii="Aptos" w:eastAsia="Times New Roman" w:hAnsi="Aptos"/>
          <w:noProof/>
          <w:kern w:val="2"/>
          <w:sz w:val="24"/>
          <w:lang w:eastAsia="en-AU"/>
        </w:rPr>
      </w:pPr>
      <w:hyperlink w:anchor="_Toc193203089" w:history="1">
        <w:r w:rsidRPr="00670A15">
          <w:rPr>
            <w:rStyle w:val="Hyperlink"/>
            <w:noProof/>
          </w:rPr>
          <w:t>How we’re measuring progress over four years</w:t>
        </w:r>
        <w:r>
          <w:rPr>
            <w:noProof/>
            <w:webHidden/>
          </w:rPr>
          <w:tab/>
        </w:r>
        <w:r>
          <w:rPr>
            <w:noProof/>
            <w:webHidden/>
          </w:rPr>
          <w:fldChar w:fldCharType="begin"/>
        </w:r>
        <w:r>
          <w:rPr>
            <w:noProof/>
            <w:webHidden/>
          </w:rPr>
          <w:instrText xml:space="preserve"> PAGEREF _Toc193203089 \h </w:instrText>
        </w:r>
        <w:r>
          <w:rPr>
            <w:noProof/>
            <w:webHidden/>
          </w:rPr>
        </w:r>
        <w:r>
          <w:rPr>
            <w:noProof/>
            <w:webHidden/>
          </w:rPr>
          <w:fldChar w:fldCharType="separate"/>
        </w:r>
        <w:r>
          <w:rPr>
            <w:noProof/>
            <w:webHidden/>
          </w:rPr>
          <w:t>4</w:t>
        </w:r>
        <w:r>
          <w:rPr>
            <w:noProof/>
            <w:webHidden/>
          </w:rPr>
          <w:fldChar w:fldCharType="end"/>
        </w:r>
      </w:hyperlink>
    </w:p>
    <w:p w14:paraId="383EB629" w14:textId="77777777" w:rsidR="006E5EC2" w:rsidRPr="002A16E8" w:rsidRDefault="006E5EC2">
      <w:pPr>
        <w:pStyle w:val="TOC1"/>
        <w:tabs>
          <w:tab w:val="right" w:leader="dot" w:pos="9769"/>
        </w:tabs>
        <w:rPr>
          <w:rFonts w:ascii="Aptos" w:eastAsia="Times New Roman" w:hAnsi="Aptos"/>
          <w:noProof/>
          <w:kern w:val="2"/>
          <w:sz w:val="24"/>
          <w:lang w:eastAsia="en-AU"/>
        </w:rPr>
      </w:pPr>
      <w:hyperlink w:anchor="_Toc193203090" w:history="1">
        <w:r w:rsidRPr="00670A15">
          <w:rPr>
            <w:rStyle w:val="Hyperlink"/>
            <w:noProof/>
          </w:rPr>
          <w:t>Melbourne’s unique identity and place</w:t>
        </w:r>
        <w:r>
          <w:rPr>
            <w:noProof/>
            <w:webHidden/>
          </w:rPr>
          <w:tab/>
        </w:r>
        <w:r>
          <w:rPr>
            <w:noProof/>
            <w:webHidden/>
          </w:rPr>
          <w:fldChar w:fldCharType="begin"/>
        </w:r>
        <w:r>
          <w:rPr>
            <w:noProof/>
            <w:webHidden/>
          </w:rPr>
          <w:instrText xml:space="preserve"> PAGEREF _Toc193203090 \h </w:instrText>
        </w:r>
        <w:r>
          <w:rPr>
            <w:noProof/>
            <w:webHidden/>
          </w:rPr>
        </w:r>
        <w:r>
          <w:rPr>
            <w:noProof/>
            <w:webHidden/>
          </w:rPr>
          <w:fldChar w:fldCharType="separate"/>
        </w:r>
        <w:r>
          <w:rPr>
            <w:noProof/>
            <w:webHidden/>
          </w:rPr>
          <w:t>6</w:t>
        </w:r>
        <w:r>
          <w:rPr>
            <w:noProof/>
            <w:webHidden/>
          </w:rPr>
          <w:fldChar w:fldCharType="end"/>
        </w:r>
      </w:hyperlink>
    </w:p>
    <w:p w14:paraId="58DF2460" w14:textId="77777777" w:rsidR="006E5EC2" w:rsidRPr="002A16E8" w:rsidRDefault="006E5EC2">
      <w:pPr>
        <w:pStyle w:val="TOC2"/>
        <w:rPr>
          <w:rFonts w:ascii="Aptos" w:eastAsia="Times New Roman" w:hAnsi="Aptos"/>
          <w:noProof/>
          <w:kern w:val="2"/>
          <w:sz w:val="24"/>
          <w:lang w:eastAsia="en-AU"/>
        </w:rPr>
      </w:pPr>
      <w:hyperlink w:anchor="_Toc193203091" w:history="1">
        <w:r w:rsidRPr="00670A15">
          <w:rPr>
            <w:rStyle w:val="Hyperlink"/>
            <w:noProof/>
          </w:rPr>
          <w:t>Highlights for quarter three (April to June 2024)</w:t>
        </w:r>
        <w:r>
          <w:rPr>
            <w:noProof/>
            <w:webHidden/>
          </w:rPr>
          <w:tab/>
        </w:r>
        <w:r>
          <w:rPr>
            <w:noProof/>
            <w:webHidden/>
          </w:rPr>
          <w:fldChar w:fldCharType="begin"/>
        </w:r>
        <w:r>
          <w:rPr>
            <w:noProof/>
            <w:webHidden/>
          </w:rPr>
          <w:instrText xml:space="preserve"> PAGEREF _Toc193203091 \h </w:instrText>
        </w:r>
        <w:r>
          <w:rPr>
            <w:noProof/>
            <w:webHidden/>
          </w:rPr>
        </w:r>
        <w:r>
          <w:rPr>
            <w:noProof/>
            <w:webHidden/>
          </w:rPr>
          <w:fldChar w:fldCharType="separate"/>
        </w:r>
        <w:r>
          <w:rPr>
            <w:noProof/>
            <w:webHidden/>
          </w:rPr>
          <w:t>6</w:t>
        </w:r>
        <w:r>
          <w:rPr>
            <w:noProof/>
            <w:webHidden/>
          </w:rPr>
          <w:fldChar w:fldCharType="end"/>
        </w:r>
      </w:hyperlink>
    </w:p>
    <w:p w14:paraId="03835CC8" w14:textId="77777777" w:rsidR="006E5EC2" w:rsidRPr="002A16E8" w:rsidRDefault="006E5EC2">
      <w:pPr>
        <w:pStyle w:val="TOC2"/>
        <w:rPr>
          <w:rFonts w:ascii="Aptos" w:eastAsia="Times New Roman" w:hAnsi="Aptos"/>
          <w:noProof/>
          <w:kern w:val="2"/>
          <w:sz w:val="24"/>
          <w:lang w:eastAsia="en-AU"/>
        </w:rPr>
      </w:pPr>
      <w:hyperlink w:anchor="_Toc193203092" w:history="1">
        <w:r w:rsidRPr="00670A15">
          <w:rPr>
            <w:rStyle w:val="Hyperlink"/>
            <w:noProof/>
          </w:rPr>
          <w:t>Our progress</w:t>
        </w:r>
        <w:r>
          <w:rPr>
            <w:noProof/>
            <w:webHidden/>
          </w:rPr>
          <w:tab/>
        </w:r>
        <w:r>
          <w:rPr>
            <w:noProof/>
            <w:webHidden/>
          </w:rPr>
          <w:fldChar w:fldCharType="begin"/>
        </w:r>
        <w:r>
          <w:rPr>
            <w:noProof/>
            <w:webHidden/>
          </w:rPr>
          <w:instrText xml:space="preserve"> PAGEREF _Toc193203092 \h </w:instrText>
        </w:r>
        <w:r>
          <w:rPr>
            <w:noProof/>
            <w:webHidden/>
          </w:rPr>
        </w:r>
        <w:r>
          <w:rPr>
            <w:noProof/>
            <w:webHidden/>
          </w:rPr>
          <w:fldChar w:fldCharType="separate"/>
        </w:r>
        <w:r>
          <w:rPr>
            <w:noProof/>
            <w:webHidden/>
          </w:rPr>
          <w:t>6</w:t>
        </w:r>
        <w:r>
          <w:rPr>
            <w:noProof/>
            <w:webHidden/>
          </w:rPr>
          <w:fldChar w:fldCharType="end"/>
        </w:r>
      </w:hyperlink>
    </w:p>
    <w:p w14:paraId="618B1954" w14:textId="77777777" w:rsidR="006E5EC2" w:rsidRPr="002A16E8" w:rsidRDefault="006E5EC2">
      <w:pPr>
        <w:pStyle w:val="TOC2"/>
        <w:rPr>
          <w:rFonts w:ascii="Aptos" w:eastAsia="Times New Roman" w:hAnsi="Aptos"/>
          <w:noProof/>
          <w:kern w:val="2"/>
          <w:sz w:val="24"/>
          <w:lang w:eastAsia="en-AU"/>
        </w:rPr>
      </w:pPr>
      <w:hyperlink w:anchor="_Toc193203093" w:history="1">
        <w:r w:rsidRPr="00670A15">
          <w:rPr>
            <w:rStyle w:val="Hyperlink"/>
            <w:noProof/>
          </w:rPr>
          <w:t>The major initiatives we’re delivering this year</w:t>
        </w:r>
        <w:r>
          <w:rPr>
            <w:noProof/>
            <w:webHidden/>
          </w:rPr>
          <w:tab/>
        </w:r>
        <w:r>
          <w:rPr>
            <w:noProof/>
            <w:webHidden/>
          </w:rPr>
          <w:fldChar w:fldCharType="begin"/>
        </w:r>
        <w:r>
          <w:rPr>
            <w:noProof/>
            <w:webHidden/>
          </w:rPr>
          <w:instrText xml:space="preserve"> PAGEREF _Toc193203093 \h </w:instrText>
        </w:r>
        <w:r>
          <w:rPr>
            <w:noProof/>
            <w:webHidden/>
          </w:rPr>
        </w:r>
        <w:r>
          <w:rPr>
            <w:noProof/>
            <w:webHidden/>
          </w:rPr>
          <w:fldChar w:fldCharType="separate"/>
        </w:r>
        <w:r>
          <w:rPr>
            <w:noProof/>
            <w:webHidden/>
          </w:rPr>
          <w:t>7</w:t>
        </w:r>
        <w:r>
          <w:rPr>
            <w:noProof/>
            <w:webHidden/>
          </w:rPr>
          <w:fldChar w:fldCharType="end"/>
        </w:r>
      </w:hyperlink>
    </w:p>
    <w:p w14:paraId="30579FF5" w14:textId="77777777" w:rsidR="006E5EC2" w:rsidRPr="002A16E8" w:rsidRDefault="006E5EC2">
      <w:pPr>
        <w:pStyle w:val="TOC2"/>
        <w:rPr>
          <w:rFonts w:ascii="Aptos" w:eastAsia="Times New Roman" w:hAnsi="Aptos"/>
          <w:noProof/>
          <w:kern w:val="2"/>
          <w:sz w:val="24"/>
          <w:lang w:eastAsia="en-AU"/>
        </w:rPr>
      </w:pPr>
      <w:hyperlink w:anchor="_Toc193203094" w:history="1">
        <w:r w:rsidRPr="00670A15">
          <w:rPr>
            <w:rStyle w:val="Hyperlink"/>
            <w:noProof/>
          </w:rPr>
          <w:t>How we’re measuring progress over four years</w:t>
        </w:r>
        <w:r>
          <w:rPr>
            <w:noProof/>
            <w:webHidden/>
          </w:rPr>
          <w:tab/>
        </w:r>
        <w:r>
          <w:rPr>
            <w:noProof/>
            <w:webHidden/>
          </w:rPr>
          <w:fldChar w:fldCharType="begin"/>
        </w:r>
        <w:r>
          <w:rPr>
            <w:noProof/>
            <w:webHidden/>
          </w:rPr>
          <w:instrText xml:space="preserve"> PAGEREF _Toc193203094 \h </w:instrText>
        </w:r>
        <w:r>
          <w:rPr>
            <w:noProof/>
            <w:webHidden/>
          </w:rPr>
        </w:r>
        <w:r>
          <w:rPr>
            <w:noProof/>
            <w:webHidden/>
          </w:rPr>
          <w:fldChar w:fldCharType="separate"/>
        </w:r>
        <w:r>
          <w:rPr>
            <w:noProof/>
            <w:webHidden/>
          </w:rPr>
          <w:t>8</w:t>
        </w:r>
        <w:r>
          <w:rPr>
            <w:noProof/>
            <w:webHidden/>
          </w:rPr>
          <w:fldChar w:fldCharType="end"/>
        </w:r>
      </w:hyperlink>
    </w:p>
    <w:p w14:paraId="2CA037D2" w14:textId="77777777" w:rsidR="006E5EC2" w:rsidRPr="002A16E8" w:rsidRDefault="006E5EC2">
      <w:pPr>
        <w:pStyle w:val="TOC1"/>
        <w:tabs>
          <w:tab w:val="right" w:leader="dot" w:pos="9769"/>
        </w:tabs>
        <w:rPr>
          <w:rFonts w:ascii="Aptos" w:eastAsia="Times New Roman" w:hAnsi="Aptos"/>
          <w:noProof/>
          <w:kern w:val="2"/>
          <w:sz w:val="24"/>
          <w:lang w:eastAsia="en-AU"/>
        </w:rPr>
      </w:pPr>
      <w:hyperlink w:anchor="_Toc193203095" w:history="1">
        <w:r w:rsidRPr="00670A15">
          <w:rPr>
            <w:rStyle w:val="Hyperlink"/>
            <w:noProof/>
          </w:rPr>
          <w:t>Aboriginal Melbourne</w:t>
        </w:r>
        <w:r>
          <w:rPr>
            <w:noProof/>
            <w:webHidden/>
          </w:rPr>
          <w:tab/>
        </w:r>
        <w:r>
          <w:rPr>
            <w:noProof/>
            <w:webHidden/>
          </w:rPr>
          <w:fldChar w:fldCharType="begin"/>
        </w:r>
        <w:r>
          <w:rPr>
            <w:noProof/>
            <w:webHidden/>
          </w:rPr>
          <w:instrText xml:space="preserve"> PAGEREF _Toc193203095 \h </w:instrText>
        </w:r>
        <w:r>
          <w:rPr>
            <w:noProof/>
            <w:webHidden/>
          </w:rPr>
        </w:r>
        <w:r>
          <w:rPr>
            <w:noProof/>
            <w:webHidden/>
          </w:rPr>
          <w:fldChar w:fldCharType="separate"/>
        </w:r>
        <w:r>
          <w:rPr>
            <w:noProof/>
            <w:webHidden/>
          </w:rPr>
          <w:t>9</w:t>
        </w:r>
        <w:r>
          <w:rPr>
            <w:noProof/>
            <w:webHidden/>
          </w:rPr>
          <w:fldChar w:fldCharType="end"/>
        </w:r>
      </w:hyperlink>
    </w:p>
    <w:p w14:paraId="198A4783" w14:textId="77777777" w:rsidR="006E5EC2" w:rsidRPr="002A16E8" w:rsidRDefault="006E5EC2">
      <w:pPr>
        <w:pStyle w:val="TOC2"/>
        <w:rPr>
          <w:rFonts w:ascii="Aptos" w:eastAsia="Times New Roman" w:hAnsi="Aptos"/>
          <w:noProof/>
          <w:kern w:val="2"/>
          <w:sz w:val="24"/>
          <w:lang w:eastAsia="en-AU"/>
        </w:rPr>
      </w:pPr>
      <w:hyperlink w:anchor="_Toc193203096" w:history="1">
        <w:r w:rsidRPr="00670A15">
          <w:rPr>
            <w:rStyle w:val="Hyperlink"/>
            <w:noProof/>
          </w:rPr>
          <w:t>Highlights for quarter three (April to June 2024)</w:t>
        </w:r>
        <w:r>
          <w:rPr>
            <w:noProof/>
            <w:webHidden/>
          </w:rPr>
          <w:tab/>
        </w:r>
        <w:r>
          <w:rPr>
            <w:noProof/>
            <w:webHidden/>
          </w:rPr>
          <w:fldChar w:fldCharType="begin"/>
        </w:r>
        <w:r>
          <w:rPr>
            <w:noProof/>
            <w:webHidden/>
          </w:rPr>
          <w:instrText xml:space="preserve"> PAGEREF _Toc193203096 \h </w:instrText>
        </w:r>
        <w:r>
          <w:rPr>
            <w:noProof/>
            <w:webHidden/>
          </w:rPr>
        </w:r>
        <w:r>
          <w:rPr>
            <w:noProof/>
            <w:webHidden/>
          </w:rPr>
          <w:fldChar w:fldCharType="separate"/>
        </w:r>
        <w:r>
          <w:rPr>
            <w:noProof/>
            <w:webHidden/>
          </w:rPr>
          <w:t>9</w:t>
        </w:r>
        <w:r>
          <w:rPr>
            <w:noProof/>
            <w:webHidden/>
          </w:rPr>
          <w:fldChar w:fldCharType="end"/>
        </w:r>
      </w:hyperlink>
    </w:p>
    <w:p w14:paraId="68E6265B" w14:textId="77777777" w:rsidR="006E5EC2" w:rsidRPr="002A16E8" w:rsidRDefault="006E5EC2">
      <w:pPr>
        <w:pStyle w:val="TOC2"/>
        <w:rPr>
          <w:rFonts w:ascii="Aptos" w:eastAsia="Times New Roman" w:hAnsi="Aptos"/>
          <w:noProof/>
          <w:kern w:val="2"/>
          <w:sz w:val="24"/>
          <w:lang w:eastAsia="en-AU"/>
        </w:rPr>
      </w:pPr>
      <w:hyperlink w:anchor="_Toc193203097" w:history="1">
        <w:r w:rsidRPr="00670A15">
          <w:rPr>
            <w:rStyle w:val="Hyperlink"/>
            <w:noProof/>
          </w:rPr>
          <w:t>Our progress</w:t>
        </w:r>
        <w:r>
          <w:rPr>
            <w:noProof/>
            <w:webHidden/>
          </w:rPr>
          <w:tab/>
        </w:r>
        <w:r>
          <w:rPr>
            <w:noProof/>
            <w:webHidden/>
          </w:rPr>
          <w:fldChar w:fldCharType="begin"/>
        </w:r>
        <w:r>
          <w:rPr>
            <w:noProof/>
            <w:webHidden/>
          </w:rPr>
          <w:instrText xml:space="preserve"> PAGEREF _Toc193203097 \h </w:instrText>
        </w:r>
        <w:r>
          <w:rPr>
            <w:noProof/>
            <w:webHidden/>
          </w:rPr>
        </w:r>
        <w:r>
          <w:rPr>
            <w:noProof/>
            <w:webHidden/>
          </w:rPr>
          <w:fldChar w:fldCharType="separate"/>
        </w:r>
        <w:r>
          <w:rPr>
            <w:noProof/>
            <w:webHidden/>
          </w:rPr>
          <w:t>9</w:t>
        </w:r>
        <w:r>
          <w:rPr>
            <w:noProof/>
            <w:webHidden/>
          </w:rPr>
          <w:fldChar w:fldCharType="end"/>
        </w:r>
      </w:hyperlink>
    </w:p>
    <w:p w14:paraId="605A72FC" w14:textId="77777777" w:rsidR="006E5EC2" w:rsidRPr="002A16E8" w:rsidRDefault="006E5EC2">
      <w:pPr>
        <w:pStyle w:val="TOC2"/>
        <w:rPr>
          <w:rFonts w:ascii="Aptos" w:eastAsia="Times New Roman" w:hAnsi="Aptos"/>
          <w:noProof/>
          <w:kern w:val="2"/>
          <w:sz w:val="24"/>
          <w:lang w:eastAsia="en-AU"/>
        </w:rPr>
      </w:pPr>
      <w:hyperlink w:anchor="_Toc193203098" w:history="1">
        <w:r w:rsidRPr="00670A15">
          <w:rPr>
            <w:rStyle w:val="Hyperlink"/>
            <w:noProof/>
          </w:rPr>
          <w:t>The major initiatives we’re delivering this year</w:t>
        </w:r>
        <w:r>
          <w:rPr>
            <w:noProof/>
            <w:webHidden/>
          </w:rPr>
          <w:tab/>
        </w:r>
        <w:r>
          <w:rPr>
            <w:noProof/>
            <w:webHidden/>
          </w:rPr>
          <w:fldChar w:fldCharType="begin"/>
        </w:r>
        <w:r>
          <w:rPr>
            <w:noProof/>
            <w:webHidden/>
          </w:rPr>
          <w:instrText xml:space="preserve"> PAGEREF _Toc193203098 \h </w:instrText>
        </w:r>
        <w:r>
          <w:rPr>
            <w:noProof/>
            <w:webHidden/>
          </w:rPr>
        </w:r>
        <w:r>
          <w:rPr>
            <w:noProof/>
            <w:webHidden/>
          </w:rPr>
          <w:fldChar w:fldCharType="separate"/>
        </w:r>
        <w:r>
          <w:rPr>
            <w:noProof/>
            <w:webHidden/>
          </w:rPr>
          <w:t>9</w:t>
        </w:r>
        <w:r>
          <w:rPr>
            <w:noProof/>
            <w:webHidden/>
          </w:rPr>
          <w:fldChar w:fldCharType="end"/>
        </w:r>
      </w:hyperlink>
    </w:p>
    <w:p w14:paraId="08FA060A" w14:textId="77777777" w:rsidR="006E5EC2" w:rsidRPr="002A16E8" w:rsidRDefault="006E5EC2">
      <w:pPr>
        <w:pStyle w:val="TOC2"/>
        <w:rPr>
          <w:rFonts w:ascii="Aptos" w:eastAsia="Times New Roman" w:hAnsi="Aptos"/>
          <w:noProof/>
          <w:kern w:val="2"/>
          <w:sz w:val="24"/>
          <w:lang w:eastAsia="en-AU"/>
        </w:rPr>
      </w:pPr>
      <w:hyperlink w:anchor="_Toc193203099" w:history="1">
        <w:r w:rsidRPr="00670A15">
          <w:rPr>
            <w:rStyle w:val="Hyperlink"/>
            <w:noProof/>
          </w:rPr>
          <w:t>How we’re measuring progress over four years</w:t>
        </w:r>
        <w:r>
          <w:rPr>
            <w:noProof/>
            <w:webHidden/>
          </w:rPr>
          <w:tab/>
        </w:r>
        <w:r>
          <w:rPr>
            <w:noProof/>
            <w:webHidden/>
          </w:rPr>
          <w:fldChar w:fldCharType="begin"/>
        </w:r>
        <w:r>
          <w:rPr>
            <w:noProof/>
            <w:webHidden/>
          </w:rPr>
          <w:instrText xml:space="preserve"> PAGEREF _Toc193203099 \h </w:instrText>
        </w:r>
        <w:r>
          <w:rPr>
            <w:noProof/>
            <w:webHidden/>
          </w:rPr>
        </w:r>
        <w:r>
          <w:rPr>
            <w:noProof/>
            <w:webHidden/>
          </w:rPr>
          <w:fldChar w:fldCharType="separate"/>
        </w:r>
        <w:r>
          <w:rPr>
            <w:noProof/>
            <w:webHidden/>
          </w:rPr>
          <w:t>10</w:t>
        </w:r>
        <w:r>
          <w:rPr>
            <w:noProof/>
            <w:webHidden/>
          </w:rPr>
          <w:fldChar w:fldCharType="end"/>
        </w:r>
      </w:hyperlink>
    </w:p>
    <w:p w14:paraId="7AC674F6" w14:textId="77777777" w:rsidR="006E5EC2" w:rsidRPr="002A16E8" w:rsidRDefault="006E5EC2">
      <w:pPr>
        <w:pStyle w:val="TOC1"/>
        <w:tabs>
          <w:tab w:val="right" w:leader="dot" w:pos="9769"/>
        </w:tabs>
        <w:rPr>
          <w:rFonts w:ascii="Aptos" w:eastAsia="Times New Roman" w:hAnsi="Aptos"/>
          <w:noProof/>
          <w:kern w:val="2"/>
          <w:sz w:val="24"/>
          <w:lang w:eastAsia="en-AU"/>
        </w:rPr>
      </w:pPr>
      <w:hyperlink w:anchor="_Toc193203100" w:history="1">
        <w:r w:rsidRPr="00670A15">
          <w:rPr>
            <w:rStyle w:val="Hyperlink"/>
            <w:noProof/>
          </w:rPr>
          <w:t>Climate and biodiversity emergency</w:t>
        </w:r>
        <w:r>
          <w:rPr>
            <w:noProof/>
            <w:webHidden/>
          </w:rPr>
          <w:tab/>
        </w:r>
        <w:r>
          <w:rPr>
            <w:noProof/>
            <w:webHidden/>
          </w:rPr>
          <w:fldChar w:fldCharType="begin"/>
        </w:r>
        <w:r>
          <w:rPr>
            <w:noProof/>
            <w:webHidden/>
          </w:rPr>
          <w:instrText xml:space="preserve"> PAGEREF _Toc193203100 \h </w:instrText>
        </w:r>
        <w:r>
          <w:rPr>
            <w:noProof/>
            <w:webHidden/>
          </w:rPr>
        </w:r>
        <w:r>
          <w:rPr>
            <w:noProof/>
            <w:webHidden/>
          </w:rPr>
          <w:fldChar w:fldCharType="separate"/>
        </w:r>
        <w:r>
          <w:rPr>
            <w:noProof/>
            <w:webHidden/>
          </w:rPr>
          <w:t>11</w:t>
        </w:r>
        <w:r>
          <w:rPr>
            <w:noProof/>
            <w:webHidden/>
          </w:rPr>
          <w:fldChar w:fldCharType="end"/>
        </w:r>
      </w:hyperlink>
    </w:p>
    <w:p w14:paraId="2A81FE93" w14:textId="77777777" w:rsidR="006E5EC2" w:rsidRPr="002A16E8" w:rsidRDefault="006E5EC2">
      <w:pPr>
        <w:pStyle w:val="TOC2"/>
        <w:rPr>
          <w:rFonts w:ascii="Aptos" w:eastAsia="Times New Roman" w:hAnsi="Aptos"/>
          <w:noProof/>
          <w:kern w:val="2"/>
          <w:sz w:val="24"/>
          <w:lang w:eastAsia="en-AU"/>
        </w:rPr>
      </w:pPr>
      <w:hyperlink w:anchor="_Toc193203101" w:history="1">
        <w:r w:rsidRPr="00670A15">
          <w:rPr>
            <w:rStyle w:val="Hyperlink"/>
            <w:noProof/>
          </w:rPr>
          <w:t>Highlights for quarter three (April to June 2024)</w:t>
        </w:r>
        <w:r>
          <w:rPr>
            <w:noProof/>
            <w:webHidden/>
          </w:rPr>
          <w:tab/>
        </w:r>
        <w:r>
          <w:rPr>
            <w:noProof/>
            <w:webHidden/>
          </w:rPr>
          <w:fldChar w:fldCharType="begin"/>
        </w:r>
        <w:r>
          <w:rPr>
            <w:noProof/>
            <w:webHidden/>
          </w:rPr>
          <w:instrText xml:space="preserve"> PAGEREF _Toc193203101 \h </w:instrText>
        </w:r>
        <w:r>
          <w:rPr>
            <w:noProof/>
            <w:webHidden/>
          </w:rPr>
        </w:r>
        <w:r>
          <w:rPr>
            <w:noProof/>
            <w:webHidden/>
          </w:rPr>
          <w:fldChar w:fldCharType="separate"/>
        </w:r>
        <w:r>
          <w:rPr>
            <w:noProof/>
            <w:webHidden/>
          </w:rPr>
          <w:t>11</w:t>
        </w:r>
        <w:r>
          <w:rPr>
            <w:noProof/>
            <w:webHidden/>
          </w:rPr>
          <w:fldChar w:fldCharType="end"/>
        </w:r>
      </w:hyperlink>
    </w:p>
    <w:p w14:paraId="581014F5" w14:textId="77777777" w:rsidR="006E5EC2" w:rsidRPr="002A16E8" w:rsidRDefault="006E5EC2">
      <w:pPr>
        <w:pStyle w:val="TOC2"/>
        <w:rPr>
          <w:rFonts w:ascii="Aptos" w:eastAsia="Times New Roman" w:hAnsi="Aptos"/>
          <w:noProof/>
          <w:kern w:val="2"/>
          <w:sz w:val="24"/>
          <w:lang w:eastAsia="en-AU"/>
        </w:rPr>
      </w:pPr>
      <w:hyperlink w:anchor="_Toc193203102" w:history="1">
        <w:r w:rsidRPr="00670A15">
          <w:rPr>
            <w:rStyle w:val="Hyperlink"/>
            <w:noProof/>
          </w:rPr>
          <w:t>Our progress</w:t>
        </w:r>
        <w:r>
          <w:rPr>
            <w:noProof/>
            <w:webHidden/>
          </w:rPr>
          <w:tab/>
        </w:r>
        <w:r>
          <w:rPr>
            <w:noProof/>
            <w:webHidden/>
          </w:rPr>
          <w:fldChar w:fldCharType="begin"/>
        </w:r>
        <w:r>
          <w:rPr>
            <w:noProof/>
            <w:webHidden/>
          </w:rPr>
          <w:instrText xml:space="preserve"> PAGEREF _Toc193203102 \h </w:instrText>
        </w:r>
        <w:r>
          <w:rPr>
            <w:noProof/>
            <w:webHidden/>
          </w:rPr>
        </w:r>
        <w:r>
          <w:rPr>
            <w:noProof/>
            <w:webHidden/>
          </w:rPr>
          <w:fldChar w:fldCharType="separate"/>
        </w:r>
        <w:r>
          <w:rPr>
            <w:noProof/>
            <w:webHidden/>
          </w:rPr>
          <w:t>11</w:t>
        </w:r>
        <w:r>
          <w:rPr>
            <w:noProof/>
            <w:webHidden/>
          </w:rPr>
          <w:fldChar w:fldCharType="end"/>
        </w:r>
      </w:hyperlink>
    </w:p>
    <w:p w14:paraId="7C00E6BF" w14:textId="77777777" w:rsidR="006E5EC2" w:rsidRPr="002A16E8" w:rsidRDefault="006E5EC2">
      <w:pPr>
        <w:pStyle w:val="TOC2"/>
        <w:rPr>
          <w:rFonts w:ascii="Aptos" w:eastAsia="Times New Roman" w:hAnsi="Aptos"/>
          <w:noProof/>
          <w:kern w:val="2"/>
          <w:sz w:val="24"/>
          <w:lang w:eastAsia="en-AU"/>
        </w:rPr>
      </w:pPr>
      <w:hyperlink w:anchor="_Toc193203103" w:history="1">
        <w:r w:rsidRPr="00670A15">
          <w:rPr>
            <w:rStyle w:val="Hyperlink"/>
            <w:noProof/>
          </w:rPr>
          <w:t>The major initiatives we’re delivering this year</w:t>
        </w:r>
        <w:r>
          <w:rPr>
            <w:noProof/>
            <w:webHidden/>
          </w:rPr>
          <w:tab/>
        </w:r>
        <w:r>
          <w:rPr>
            <w:noProof/>
            <w:webHidden/>
          </w:rPr>
          <w:fldChar w:fldCharType="begin"/>
        </w:r>
        <w:r>
          <w:rPr>
            <w:noProof/>
            <w:webHidden/>
          </w:rPr>
          <w:instrText xml:space="preserve"> PAGEREF _Toc193203103 \h </w:instrText>
        </w:r>
        <w:r>
          <w:rPr>
            <w:noProof/>
            <w:webHidden/>
          </w:rPr>
        </w:r>
        <w:r>
          <w:rPr>
            <w:noProof/>
            <w:webHidden/>
          </w:rPr>
          <w:fldChar w:fldCharType="separate"/>
        </w:r>
        <w:r>
          <w:rPr>
            <w:noProof/>
            <w:webHidden/>
          </w:rPr>
          <w:t>12</w:t>
        </w:r>
        <w:r>
          <w:rPr>
            <w:noProof/>
            <w:webHidden/>
          </w:rPr>
          <w:fldChar w:fldCharType="end"/>
        </w:r>
      </w:hyperlink>
    </w:p>
    <w:p w14:paraId="49A1353B" w14:textId="77777777" w:rsidR="006E5EC2" w:rsidRPr="002A16E8" w:rsidRDefault="006E5EC2">
      <w:pPr>
        <w:pStyle w:val="TOC2"/>
        <w:rPr>
          <w:rFonts w:ascii="Aptos" w:eastAsia="Times New Roman" w:hAnsi="Aptos"/>
          <w:noProof/>
          <w:kern w:val="2"/>
          <w:sz w:val="24"/>
          <w:lang w:eastAsia="en-AU"/>
        </w:rPr>
      </w:pPr>
      <w:hyperlink w:anchor="_Toc193203104" w:history="1">
        <w:r w:rsidRPr="00670A15">
          <w:rPr>
            <w:rStyle w:val="Hyperlink"/>
            <w:noProof/>
          </w:rPr>
          <w:t>How we’re measuring progress over four years</w:t>
        </w:r>
        <w:r>
          <w:rPr>
            <w:noProof/>
            <w:webHidden/>
          </w:rPr>
          <w:tab/>
        </w:r>
        <w:r>
          <w:rPr>
            <w:noProof/>
            <w:webHidden/>
          </w:rPr>
          <w:fldChar w:fldCharType="begin"/>
        </w:r>
        <w:r>
          <w:rPr>
            <w:noProof/>
            <w:webHidden/>
          </w:rPr>
          <w:instrText xml:space="preserve"> PAGEREF _Toc193203104 \h </w:instrText>
        </w:r>
        <w:r>
          <w:rPr>
            <w:noProof/>
            <w:webHidden/>
          </w:rPr>
        </w:r>
        <w:r>
          <w:rPr>
            <w:noProof/>
            <w:webHidden/>
          </w:rPr>
          <w:fldChar w:fldCharType="separate"/>
        </w:r>
        <w:r>
          <w:rPr>
            <w:noProof/>
            <w:webHidden/>
          </w:rPr>
          <w:t>12</w:t>
        </w:r>
        <w:r>
          <w:rPr>
            <w:noProof/>
            <w:webHidden/>
          </w:rPr>
          <w:fldChar w:fldCharType="end"/>
        </w:r>
      </w:hyperlink>
    </w:p>
    <w:p w14:paraId="4883FE69" w14:textId="77777777" w:rsidR="006E5EC2" w:rsidRPr="002A16E8" w:rsidRDefault="006E5EC2">
      <w:pPr>
        <w:pStyle w:val="TOC1"/>
        <w:tabs>
          <w:tab w:val="right" w:leader="dot" w:pos="9769"/>
        </w:tabs>
        <w:rPr>
          <w:rFonts w:ascii="Aptos" w:eastAsia="Times New Roman" w:hAnsi="Aptos"/>
          <w:noProof/>
          <w:kern w:val="2"/>
          <w:sz w:val="24"/>
          <w:lang w:eastAsia="en-AU"/>
        </w:rPr>
      </w:pPr>
      <w:hyperlink w:anchor="_Toc193203105" w:history="1">
        <w:r w:rsidRPr="00670A15">
          <w:rPr>
            <w:rStyle w:val="Hyperlink"/>
            <w:noProof/>
          </w:rPr>
          <w:t>Access and affordability</w:t>
        </w:r>
        <w:r>
          <w:rPr>
            <w:noProof/>
            <w:webHidden/>
          </w:rPr>
          <w:tab/>
        </w:r>
        <w:r>
          <w:rPr>
            <w:noProof/>
            <w:webHidden/>
          </w:rPr>
          <w:fldChar w:fldCharType="begin"/>
        </w:r>
        <w:r>
          <w:rPr>
            <w:noProof/>
            <w:webHidden/>
          </w:rPr>
          <w:instrText xml:space="preserve"> PAGEREF _Toc193203105 \h </w:instrText>
        </w:r>
        <w:r>
          <w:rPr>
            <w:noProof/>
            <w:webHidden/>
          </w:rPr>
        </w:r>
        <w:r>
          <w:rPr>
            <w:noProof/>
            <w:webHidden/>
          </w:rPr>
          <w:fldChar w:fldCharType="separate"/>
        </w:r>
        <w:r>
          <w:rPr>
            <w:noProof/>
            <w:webHidden/>
          </w:rPr>
          <w:t>14</w:t>
        </w:r>
        <w:r>
          <w:rPr>
            <w:noProof/>
            <w:webHidden/>
          </w:rPr>
          <w:fldChar w:fldCharType="end"/>
        </w:r>
      </w:hyperlink>
    </w:p>
    <w:p w14:paraId="0AC3E428" w14:textId="77777777" w:rsidR="006E5EC2" w:rsidRPr="002A16E8" w:rsidRDefault="006E5EC2">
      <w:pPr>
        <w:pStyle w:val="TOC2"/>
        <w:rPr>
          <w:rFonts w:ascii="Aptos" w:eastAsia="Times New Roman" w:hAnsi="Aptos"/>
          <w:noProof/>
          <w:kern w:val="2"/>
          <w:sz w:val="24"/>
          <w:lang w:eastAsia="en-AU"/>
        </w:rPr>
      </w:pPr>
      <w:hyperlink w:anchor="_Toc193203106" w:history="1">
        <w:r w:rsidRPr="00670A15">
          <w:rPr>
            <w:rStyle w:val="Hyperlink"/>
            <w:noProof/>
          </w:rPr>
          <w:t>Highlights for quarter three (April to June 2024)</w:t>
        </w:r>
        <w:r>
          <w:rPr>
            <w:noProof/>
            <w:webHidden/>
          </w:rPr>
          <w:tab/>
        </w:r>
        <w:r>
          <w:rPr>
            <w:noProof/>
            <w:webHidden/>
          </w:rPr>
          <w:fldChar w:fldCharType="begin"/>
        </w:r>
        <w:r>
          <w:rPr>
            <w:noProof/>
            <w:webHidden/>
          </w:rPr>
          <w:instrText xml:space="preserve"> PAGEREF _Toc193203106 \h </w:instrText>
        </w:r>
        <w:r>
          <w:rPr>
            <w:noProof/>
            <w:webHidden/>
          </w:rPr>
        </w:r>
        <w:r>
          <w:rPr>
            <w:noProof/>
            <w:webHidden/>
          </w:rPr>
          <w:fldChar w:fldCharType="separate"/>
        </w:r>
        <w:r>
          <w:rPr>
            <w:noProof/>
            <w:webHidden/>
          </w:rPr>
          <w:t>14</w:t>
        </w:r>
        <w:r>
          <w:rPr>
            <w:noProof/>
            <w:webHidden/>
          </w:rPr>
          <w:fldChar w:fldCharType="end"/>
        </w:r>
      </w:hyperlink>
    </w:p>
    <w:p w14:paraId="18147620" w14:textId="77777777" w:rsidR="006E5EC2" w:rsidRPr="002A16E8" w:rsidRDefault="006E5EC2">
      <w:pPr>
        <w:pStyle w:val="TOC2"/>
        <w:rPr>
          <w:rFonts w:ascii="Aptos" w:eastAsia="Times New Roman" w:hAnsi="Aptos"/>
          <w:noProof/>
          <w:kern w:val="2"/>
          <w:sz w:val="24"/>
          <w:lang w:eastAsia="en-AU"/>
        </w:rPr>
      </w:pPr>
      <w:hyperlink w:anchor="_Toc193203107" w:history="1">
        <w:r w:rsidRPr="00670A15">
          <w:rPr>
            <w:rStyle w:val="Hyperlink"/>
            <w:noProof/>
          </w:rPr>
          <w:t>Our progress</w:t>
        </w:r>
        <w:r>
          <w:rPr>
            <w:noProof/>
            <w:webHidden/>
          </w:rPr>
          <w:tab/>
        </w:r>
        <w:r>
          <w:rPr>
            <w:noProof/>
            <w:webHidden/>
          </w:rPr>
          <w:fldChar w:fldCharType="begin"/>
        </w:r>
        <w:r>
          <w:rPr>
            <w:noProof/>
            <w:webHidden/>
          </w:rPr>
          <w:instrText xml:space="preserve"> PAGEREF _Toc193203107 \h </w:instrText>
        </w:r>
        <w:r>
          <w:rPr>
            <w:noProof/>
            <w:webHidden/>
          </w:rPr>
        </w:r>
        <w:r>
          <w:rPr>
            <w:noProof/>
            <w:webHidden/>
          </w:rPr>
          <w:fldChar w:fldCharType="separate"/>
        </w:r>
        <w:r>
          <w:rPr>
            <w:noProof/>
            <w:webHidden/>
          </w:rPr>
          <w:t>14</w:t>
        </w:r>
        <w:r>
          <w:rPr>
            <w:noProof/>
            <w:webHidden/>
          </w:rPr>
          <w:fldChar w:fldCharType="end"/>
        </w:r>
      </w:hyperlink>
    </w:p>
    <w:p w14:paraId="640467D0" w14:textId="77777777" w:rsidR="006E5EC2" w:rsidRPr="002A16E8" w:rsidRDefault="006E5EC2">
      <w:pPr>
        <w:pStyle w:val="TOC2"/>
        <w:rPr>
          <w:rFonts w:ascii="Aptos" w:eastAsia="Times New Roman" w:hAnsi="Aptos"/>
          <w:noProof/>
          <w:kern w:val="2"/>
          <w:sz w:val="24"/>
          <w:lang w:eastAsia="en-AU"/>
        </w:rPr>
      </w:pPr>
      <w:hyperlink w:anchor="_Toc193203108" w:history="1">
        <w:r w:rsidRPr="00670A15">
          <w:rPr>
            <w:rStyle w:val="Hyperlink"/>
            <w:noProof/>
          </w:rPr>
          <w:t>The major initiatives we’re delivering this year</w:t>
        </w:r>
        <w:r>
          <w:rPr>
            <w:noProof/>
            <w:webHidden/>
          </w:rPr>
          <w:tab/>
        </w:r>
        <w:r>
          <w:rPr>
            <w:noProof/>
            <w:webHidden/>
          </w:rPr>
          <w:fldChar w:fldCharType="begin"/>
        </w:r>
        <w:r>
          <w:rPr>
            <w:noProof/>
            <w:webHidden/>
          </w:rPr>
          <w:instrText xml:space="preserve"> PAGEREF _Toc193203108 \h </w:instrText>
        </w:r>
        <w:r>
          <w:rPr>
            <w:noProof/>
            <w:webHidden/>
          </w:rPr>
        </w:r>
        <w:r>
          <w:rPr>
            <w:noProof/>
            <w:webHidden/>
          </w:rPr>
          <w:fldChar w:fldCharType="separate"/>
        </w:r>
        <w:r>
          <w:rPr>
            <w:noProof/>
            <w:webHidden/>
          </w:rPr>
          <w:t>15</w:t>
        </w:r>
        <w:r>
          <w:rPr>
            <w:noProof/>
            <w:webHidden/>
          </w:rPr>
          <w:fldChar w:fldCharType="end"/>
        </w:r>
      </w:hyperlink>
    </w:p>
    <w:p w14:paraId="180F8DA0" w14:textId="77777777" w:rsidR="006E5EC2" w:rsidRPr="002A16E8" w:rsidRDefault="006E5EC2">
      <w:pPr>
        <w:pStyle w:val="TOC2"/>
        <w:rPr>
          <w:rFonts w:ascii="Aptos" w:eastAsia="Times New Roman" w:hAnsi="Aptos"/>
          <w:noProof/>
          <w:kern w:val="2"/>
          <w:sz w:val="24"/>
          <w:lang w:eastAsia="en-AU"/>
        </w:rPr>
      </w:pPr>
      <w:hyperlink w:anchor="_Toc193203109" w:history="1">
        <w:r w:rsidRPr="00670A15">
          <w:rPr>
            <w:rStyle w:val="Hyperlink"/>
            <w:noProof/>
          </w:rPr>
          <w:t>How we’re measuring progress over four years</w:t>
        </w:r>
        <w:r>
          <w:rPr>
            <w:noProof/>
            <w:webHidden/>
          </w:rPr>
          <w:tab/>
        </w:r>
        <w:r>
          <w:rPr>
            <w:noProof/>
            <w:webHidden/>
          </w:rPr>
          <w:fldChar w:fldCharType="begin"/>
        </w:r>
        <w:r>
          <w:rPr>
            <w:noProof/>
            <w:webHidden/>
          </w:rPr>
          <w:instrText xml:space="preserve"> PAGEREF _Toc193203109 \h </w:instrText>
        </w:r>
        <w:r>
          <w:rPr>
            <w:noProof/>
            <w:webHidden/>
          </w:rPr>
        </w:r>
        <w:r>
          <w:rPr>
            <w:noProof/>
            <w:webHidden/>
          </w:rPr>
          <w:fldChar w:fldCharType="separate"/>
        </w:r>
        <w:r>
          <w:rPr>
            <w:noProof/>
            <w:webHidden/>
          </w:rPr>
          <w:t>16</w:t>
        </w:r>
        <w:r>
          <w:rPr>
            <w:noProof/>
            <w:webHidden/>
          </w:rPr>
          <w:fldChar w:fldCharType="end"/>
        </w:r>
      </w:hyperlink>
    </w:p>
    <w:p w14:paraId="27B8FEA8" w14:textId="77777777" w:rsidR="006E5EC2" w:rsidRPr="002A16E8" w:rsidRDefault="006E5EC2">
      <w:pPr>
        <w:pStyle w:val="TOC1"/>
        <w:tabs>
          <w:tab w:val="right" w:leader="dot" w:pos="9769"/>
        </w:tabs>
        <w:rPr>
          <w:rFonts w:ascii="Aptos" w:eastAsia="Times New Roman" w:hAnsi="Aptos"/>
          <w:noProof/>
          <w:kern w:val="2"/>
          <w:sz w:val="24"/>
          <w:lang w:eastAsia="en-AU"/>
        </w:rPr>
      </w:pPr>
      <w:hyperlink w:anchor="_Toc193203110" w:history="1">
        <w:r w:rsidRPr="00670A15">
          <w:rPr>
            <w:rStyle w:val="Hyperlink"/>
            <w:noProof/>
          </w:rPr>
          <w:t>Safety and wellbeing</w:t>
        </w:r>
        <w:r>
          <w:rPr>
            <w:noProof/>
            <w:webHidden/>
          </w:rPr>
          <w:tab/>
        </w:r>
        <w:r>
          <w:rPr>
            <w:noProof/>
            <w:webHidden/>
          </w:rPr>
          <w:fldChar w:fldCharType="begin"/>
        </w:r>
        <w:r>
          <w:rPr>
            <w:noProof/>
            <w:webHidden/>
          </w:rPr>
          <w:instrText xml:space="preserve"> PAGEREF _Toc193203110 \h </w:instrText>
        </w:r>
        <w:r>
          <w:rPr>
            <w:noProof/>
            <w:webHidden/>
          </w:rPr>
        </w:r>
        <w:r>
          <w:rPr>
            <w:noProof/>
            <w:webHidden/>
          </w:rPr>
          <w:fldChar w:fldCharType="separate"/>
        </w:r>
        <w:r>
          <w:rPr>
            <w:noProof/>
            <w:webHidden/>
          </w:rPr>
          <w:t>17</w:t>
        </w:r>
        <w:r>
          <w:rPr>
            <w:noProof/>
            <w:webHidden/>
          </w:rPr>
          <w:fldChar w:fldCharType="end"/>
        </w:r>
      </w:hyperlink>
    </w:p>
    <w:p w14:paraId="7F0E2A1A" w14:textId="77777777" w:rsidR="006E5EC2" w:rsidRPr="002A16E8" w:rsidRDefault="006E5EC2">
      <w:pPr>
        <w:pStyle w:val="TOC2"/>
        <w:rPr>
          <w:rFonts w:ascii="Aptos" w:eastAsia="Times New Roman" w:hAnsi="Aptos"/>
          <w:noProof/>
          <w:kern w:val="2"/>
          <w:sz w:val="24"/>
          <w:lang w:eastAsia="en-AU"/>
        </w:rPr>
      </w:pPr>
      <w:hyperlink w:anchor="_Toc193203111" w:history="1">
        <w:r w:rsidRPr="00670A15">
          <w:rPr>
            <w:rStyle w:val="Hyperlink"/>
            <w:noProof/>
          </w:rPr>
          <w:t>Highlights for quarter three (April to June 2024)</w:t>
        </w:r>
        <w:r>
          <w:rPr>
            <w:noProof/>
            <w:webHidden/>
          </w:rPr>
          <w:tab/>
        </w:r>
        <w:r>
          <w:rPr>
            <w:noProof/>
            <w:webHidden/>
          </w:rPr>
          <w:fldChar w:fldCharType="begin"/>
        </w:r>
        <w:r>
          <w:rPr>
            <w:noProof/>
            <w:webHidden/>
          </w:rPr>
          <w:instrText xml:space="preserve"> PAGEREF _Toc193203111 \h </w:instrText>
        </w:r>
        <w:r>
          <w:rPr>
            <w:noProof/>
            <w:webHidden/>
          </w:rPr>
        </w:r>
        <w:r>
          <w:rPr>
            <w:noProof/>
            <w:webHidden/>
          </w:rPr>
          <w:fldChar w:fldCharType="separate"/>
        </w:r>
        <w:r>
          <w:rPr>
            <w:noProof/>
            <w:webHidden/>
          </w:rPr>
          <w:t>17</w:t>
        </w:r>
        <w:r>
          <w:rPr>
            <w:noProof/>
            <w:webHidden/>
          </w:rPr>
          <w:fldChar w:fldCharType="end"/>
        </w:r>
      </w:hyperlink>
    </w:p>
    <w:p w14:paraId="5D7214B0" w14:textId="77777777" w:rsidR="006E5EC2" w:rsidRPr="002A16E8" w:rsidRDefault="006E5EC2">
      <w:pPr>
        <w:pStyle w:val="TOC2"/>
        <w:rPr>
          <w:rFonts w:ascii="Aptos" w:eastAsia="Times New Roman" w:hAnsi="Aptos"/>
          <w:noProof/>
          <w:kern w:val="2"/>
          <w:sz w:val="24"/>
          <w:lang w:eastAsia="en-AU"/>
        </w:rPr>
      </w:pPr>
      <w:hyperlink w:anchor="_Toc193203112" w:history="1">
        <w:r w:rsidRPr="00670A15">
          <w:rPr>
            <w:rStyle w:val="Hyperlink"/>
            <w:noProof/>
          </w:rPr>
          <w:t>Our progress</w:t>
        </w:r>
        <w:r>
          <w:rPr>
            <w:noProof/>
            <w:webHidden/>
          </w:rPr>
          <w:tab/>
        </w:r>
        <w:r>
          <w:rPr>
            <w:noProof/>
            <w:webHidden/>
          </w:rPr>
          <w:fldChar w:fldCharType="begin"/>
        </w:r>
        <w:r>
          <w:rPr>
            <w:noProof/>
            <w:webHidden/>
          </w:rPr>
          <w:instrText xml:space="preserve"> PAGEREF _Toc193203112 \h </w:instrText>
        </w:r>
        <w:r>
          <w:rPr>
            <w:noProof/>
            <w:webHidden/>
          </w:rPr>
        </w:r>
        <w:r>
          <w:rPr>
            <w:noProof/>
            <w:webHidden/>
          </w:rPr>
          <w:fldChar w:fldCharType="separate"/>
        </w:r>
        <w:r>
          <w:rPr>
            <w:noProof/>
            <w:webHidden/>
          </w:rPr>
          <w:t>18</w:t>
        </w:r>
        <w:r>
          <w:rPr>
            <w:noProof/>
            <w:webHidden/>
          </w:rPr>
          <w:fldChar w:fldCharType="end"/>
        </w:r>
      </w:hyperlink>
    </w:p>
    <w:p w14:paraId="7C909DD8" w14:textId="77777777" w:rsidR="006E5EC2" w:rsidRPr="002A16E8" w:rsidRDefault="006E5EC2">
      <w:pPr>
        <w:pStyle w:val="TOC2"/>
        <w:rPr>
          <w:rFonts w:ascii="Aptos" w:eastAsia="Times New Roman" w:hAnsi="Aptos"/>
          <w:noProof/>
          <w:kern w:val="2"/>
          <w:sz w:val="24"/>
          <w:lang w:eastAsia="en-AU"/>
        </w:rPr>
      </w:pPr>
      <w:hyperlink w:anchor="_Toc193203113" w:history="1">
        <w:r w:rsidRPr="00670A15">
          <w:rPr>
            <w:rStyle w:val="Hyperlink"/>
            <w:noProof/>
          </w:rPr>
          <w:t>The major initiatives we’re delivering this year</w:t>
        </w:r>
        <w:r>
          <w:rPr>
            <w:noProof/>
            <w:webHidden/>
          </w:rPr>
          <w:tab/>
        </w:r>
        <w:r>
          <w:rPr>
            <w:noProof/>
            <w:webHidden/>
          </w:rPr>
          <w:fldChar w:fldCharType="begin"/>
        </w:r>
        <w:r>
          <w:rPr>
            <w:noProof/>
            <w:webHidden/>
          </w:rPr>
          <w:instrText xml:space="preserve"> PAGEREF _Toc193203113 \h </w:instrText>
        </w:r>
        <w:r>
          <w:rPr>
            <w:noProof/>
            <w:webHidden/>
          </w:rPr>
        </w:r>
        <w:r>
          <w:rPr>
            <w:noProof/>
            <w:webHidden/>
          </w:rPr>
          <w:fldChar w:fldCharType="separate"/>
        </w:r>
        <w:r>
          <w:rPr>
            <w:noProof/>
            <w:webHidden/>
          </w:rPr>
          <w:t>18</w:t>
        </w:r>
        <w:r>
          <w:rPr>
            <w:noProof/>
            <w:webHidden/>
          </w:rPr>
          <w:fldChar w:fldCharType="end"/>
        </w:r>
      </w:hyperlink>
    </w:p>
    <w:p w14:paraId="5304559D" w14:textId="77777777" w:rsidR="006E5EC2" w:rsidRPr="002A16E8" w:rsidRDefault="006E5EC2">
      <w:pPr>
        <w:pStyle w:val="TOC2"/>
        <w:rPr>
          <w:rFonts w:ascii="Aptos" w:eastAsia="Times New Roman" w:hAnsi="Aptos"/>
          <w:noProof/>
          <w:kern w:val="2"/>
          <w:sz w:val="24"/>
          <w:lang w:eastAsia="en-AU"/>
        </w:rPr>
      </w:pPr>
      <w:hyperlink w:anchor="_Toc193203114" w:history="1">
        <w:r w:rsidRPr="00670A15">
          <w:rPr>
            <w:rStyle w:val="Hyperlink"/>
            <w:noProof/>
          </w:rPr>
          <w:t>How we’re measuring progress over four years</w:t>
        </w:r>
        <w:r>
          <w:rPr>
            <w:noProof/>
            <w:webHidden/>
          </w:rPr>
          <w:tab/>
        </w:r>
        <w:r>
          <w:rPr>
            <w:noProof/>
            <w:webHidden/>
          </w:rPr>
          <w:fldChar w:fldCharType="begin"/>
        </w:r>
        <w:r>
          <w:rPr>
            <w:noProof/>
            <w:webHidden/>
          </w:rPr>
          <w:instrText xml:space="preserve"> PAGEREF _Toc193203114 \h </w:instrText>
        </w:r>
        <w:r>
          <w:rPr>
            <w:noProof/>
            <w:webHidden/>
          </w:rPr>
        </w:r>
        <w:r>
          <w:rPr>
            <w:noProof/>
            <w:webHidden/>
          </w:rPr>
          <w:fldChar w:fldCharType="separate"/>
        </w:r>
        <w:r>
          <w:rPr>
            <w:noProof/>
            <w:webHidden/>
          </w:rPr>
          <w:t>19</w:t>
        </w:r>
        <w:r>
          <w:rPr>
            <w:noProof/>
            <w:webHidden/>
          </w:rPr>
          <w:fldChar w:fldCharType="end"/>
        </w:r>
      </w:hyperlink>
    </w:p>
    <w:p w14:paraId="68554279" w14:textId="77777777" w:rsidR="00D8650A" w:rsidRDefault="00B152AF" w:rsidP="00802A52">
      <w:pPr>
        <w:pStyle w:val="Heading1"/>
        <w:rPr>
          <w:rFonts w:hint="eastAsia"/>
        </w:rPr>
        <w:sectPr w:rsidR="00D8650A" w:rsidSect="00EF11AE">
          <w:endnotePr>
            <w:numFmt w:val="decimal"/>
          </w:endnotePr>
          <w:pgSz w:w="11900" w:h="16840"/>
          <w:pgMar w:top="1418" w:right="987" w:bottom="1134" w:left="1134" w:header="709" w:footer="709" w:gutter="0"/>
          <w:cols w:space="708"/>
          <w:docGrid w:linePitch="360"/>
        </w:sectPr>
      </w:pPr>
      <w:r>
        <w:rPr>
          <w:noProof/>
        </w:rPr>
        <w:fldChar w:fldCharType="end"/>
      </w:r>
      <w:bookmarkEnd w:id="1"/>
      <w:bookmarkEnd w:id="2"/>
    </w:p>
    <w:p w14:paraId="29E3FF04" w14:textId="77777777" w:rsidR="00BE6801" w:rsidRPr="00802A52" w:rsidRDefault="00482EF3" w:rsidP="00D8650A">
      <w:pPr>
        <w:pStyle w:val="Heading1"/>
        <w:spacing w:before="0"/>
        <w:rPr>
          <w:rFonts w:hint="eastAsia"/>
        </w:rPr>
      </w:pPr>
      <w:bookmarkStart w:id="3" w:name="_Toc193203085"/>
      <w:r w:rsidRPr="00482EF3">
        <w:lastRenderedPageBreak/>
        <w:t>Economy of the Future</w:t>
      </w:r>
      <w:bookmarkEnd w:id="3"/>
    </w:p>
    <w:p w14:paraId="2ABAF4E0" w14:textId="77777777" w:rsidR="00482EF3" w:rsidRDefault="004A293F" w:rsidP="00482EF3">
      <w:bookmarkStart w:id="4" w:name="_Toc403992346"/>
      <w:bookmarkStart w:id="5" w:name="_Toc403992581"/>
      <w:bookmarkStart w:id="6" w:name="_Toc419982306"/>
      <w:r>
        <w:t>W</w:t>
      </w:r>
      <w:r w:rsidR="00482EF3" w:rsidRPr="00482EF3">
        <w:t>e will focus on driving economic recovery and creating the conditions for a strong, adaptive, sustainable and thriving future city economy supported by a diverse mix of industries and jobs that provide dignity and opportunity.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4A0" w:firstRow="1" w:lastRow="0" w:firstColumn="1" w:lastColumn="0" w:noHBand="0" w:noVBand="1"/>
      </w:tblPr>
      <w:tblGrid>
        <w:gridCol w:w="14062"/>
      </w:tblGrid>
      <w:tr w:rsidR="00482EF3" w14:paraId="11B78A37" w14:textId="77777777" w:rsidTr="00004EFF">
        <w:tc>
          <w:tcPr>
            <w:tcW w:w="14062" w:type="dxa"/>
            <w:shd w:val="clear" w:color="auto" w:fill="auto"/>
          </w:tcPr>
          <w:p w14:paraId="61510698" w14:textId="77777777" w:rsidR="009E6BAD" w:rsidRPr="009E6BAD" w:rsidRDefault="009E6BAD" w:rsidP="009E6BAD">
            <w:pPr>
              <w:pStyle w:val="Heading2"/>
              <w:spacing w:before="0"/>
            </w:pPr>
            <w:bookmarkStart w:id="7" w:name="_Toc193203086"/>
            <w:r w:rsidRPr="009E6BAD">
              <w:t>Highlights for quarter</w:t>
            </w:r>
            <w:r w:rsidR="004A293F">
              <w:t xml:space="preserve"> four</w:t>
            </w:r>
            <w:r w:rsidRPr="009E6BAD">
              <w:t xml:space="preserve"> (</w:t>
            </w:r>
            <w:r w:rsidR="004A293F" w:rsidRPr="004A293F">
              <w:t>April to June 202</w:t>
            </w:r>
            <w:r w:rsidR="004E1C37">
              <w:t>4</w:t>
            </w:r>
            <w:r w:rsidRPr="009E6BAD">
              <w:t>)</w:t>
            </w:r>
            <w:bookmarkEnd w:id="7"/>
          </w:p>
          <w:p w14:paraId="7C76F185" w14:textId="77777777" w:rsidR="004E1C37" w:rsidRPr="004E1C37" w:rsidRDefault="004E1C37" w:rsidP="004E1C37">
            <w:r w:rsidRPr="004E1C37">
              <w:t>The Mainstreaming Twilight Trade project ended in May, with webinars and in-person sessions</w:t>
            </w:r>
            <w:r>
              <w:t xml:space="preserve"> </w:t>
            </w:r>
            <w:r w:rsidRPr="004E1C37">
              <w:t>planned to help businesses learn about twilight trading.</w:t>
            </w:r>
          </w:p>
          <w:p w14:paraId="7A1C88A1" w14:textId="77777777" w:rsidR="004E1C37" w:rsidRPr="004E1C37" w:rsidRDefault="004E1C37" w:rsidP="004E1C37">
            <w:r w:rsidRPr="004E1C37">
              <w:t>More than 850 international students were actively involved through various programs, celebrations,</w:t>
            </w:r>
            <w:r>
              <w:t xml:space="preserve"> </w:t>
            </w:r>
            <w:r w:rsidRPr="004E1C37">
              <w:t>and workshops, showcasing the city's commitment to international student engagement.</w:t>
            </w:r>
          </w:p>
          <w:p w14:paraId="33B27882" w14:textId="77777777" w:rsidR="004E1C37" w:rsidRPr="004E1C37" w:rsidRDefault="004E1C37" w:rsidP="004E1C37">
            <w:r w:rsidRPr="004E1C37">
              <w:t>Invest Melbourne has delivered 85 investment projects, creating or expediting 1,209 jobs and $369</w:t>
            </w:r>
            <w:r>
              <w:t xml:space="preserve"> </w:t>
            </w:r>
            <w:r w:rsidRPr="004E1C37">
              <w:t>million in capital expenditure year to date.</w:t>
            </w:r>
          </w:p>
          <w:p w14:paraId="60C5DBFB" w14:textId="77777777" w:rsidR="004E1C37" w:rsidRPr="004E1C37" w:rsidRDefault="004E1C37" w:rsidP="004E1C37">
            <w:r w:rsidRPr="004E1C37">
              <w:t>The sixth edition of the Melbourne Economy Snapshot, published in June, highlights improving</w:t>
            </w:r>
            <w:r>
              <w:t xml:space="preserve"> </w:t>
            </w:r>
            <w:r w:rsidRPr="004E1C37">
              <w:t>shopfront vacancy rate across the municipality at 10.4 per cent, with the central city retail core</w:t>
            </w:r>
            <w:r>
              <w:t xml:space="preserve"> </w:t>
            </w:r>
            <w:r w:rsidRPr="004E1C37">
              <w:t>experiencing a reduced vacancy rate of 6.5 per cent, Australia's lowest CBD vacancy rate, and</w:t>
            </w:r>
            <w:r>
              <w:t xml:space="preserve"> </w:t>
            </w:r>
            <w:r w:rsidRPr="004E1C37">
              <w:t>growth in the city’s retail and hospitality sectors.</w:t>
            </w:r>
          </w:p>
          <w:p w14:paraId="21951456" w14:textId="77777777" w:rsidR="004E1C37" w:rsidRPr="004E1C37" w:rsidRDefault="004E1C37" w:rsidP="004E1C37">
            <w:r w:rsidRPr="004E1C37">
              <w:t xml:space="preserve">The integrated </w:t>
            </w:r>
            <w:r w:rsidRPr="004E1C37">
              <w:rPr>
                <w:i/>
                <w:iCs/>
              </w:rPr>
              <w:t xml:space="preserve">Only in the City </w:t>
            </w:r>
            <w:r w:rsidRPr="004E1C37">
              <w:t>campaign drove visitation and spending in winter, with a $15 million</w:t>
            </w:r>
            <w:r>
              <w:t xml:space="preserve"> </w:t>
            </w:r>
            <w:r w:rsidRPr="004E1C37">
              <w:t xml:space="preserve">increase in visitor spending monthly. </w:t>
            </w:r>
            <w:r w:rsidRPr="004E1C37">
              <w:rPr>
                <w:i/>
                <w:iCs/>
              </w:rPr>
              <w:t xml:space="preserve">Only in the City </w:t>
            </w:r>
            <w:r w:rsidRPr="004E1C37">
              <w:t xml:space="preserve">and </w:t>
            </w:r>
            <w:r w:rsidRPr="004E1C37">
              <w:rPr>
                <w:i/>
                <w:iCs/>
              </w:rPr>
              <w:t xml:space="preserve">What’s On </w:t>
            </w:r>
            <w:r w:rsidRPr="004E1C37">
              <w:t>achieved more than 1 million</w:t>
            </w:r>
            <w:r>
              <w:t xml:space="preserve"> </w:t>
            </w:r>
            <w:r w:rsidRPr="004E1C37">
              <w:t>website sessions during the campaign.</w:t>
            </w:r>
          </w:p>
          <w:p w14:paraId="6F39ED26" w14:textId="77777777" w:rsidR="004E1C37" w:rsidRPr="004E1C37" w:rsidRDefault="004E1C37" w:rsidP="004E1C37">
            <w:r w:rsidRPr="004E1C37">
              <w:t>Hotel occupancy in Melbourne averaged 72 per cent, up 6 per cent year-on-year. Domestic visitor</w:t>
            </w:r>
            <w:r>
              <w:t xml:space="preserve"> </w:t>
            </w:r>
            <w:r w:rsidRPr="004E1C37">
              <w:t>expenditure for the year ending March 2024 was $7.2 billion, a 177 per cent increase on March</w:t>
            </w:r>
            <w:r>
              <w:t xml:space="preserve"> </w:t>
            </w:r>
            <w:r w:rsidRPr="004E1C37">
              <w:t>2022.</w:t>
            </w:r>
          </w:p>
          <w:p w14:paraId="1C4BB6B4" w14:textId="77777777" w:rsidR="004E1C37" w:rsidRPr="004E1C37" w:rsidRDefault="004E1C37" w:rsidP="004E1C37">
            <w:r w:rsidRPr="004E1C37">
              <w:t>The Firelight program was launched, with a new addition to the program called 'Firelight Labyrinth', a</w:t>
            </w:r>
            <w:r>
              <w:t xml:space="preserve"> </w:t>
            </w:r>
            <w:r w:rsidRPr="004E1C37">
              <w:t>17 day ticketed activation in Docklands. The May Melbourne Conversations event had more than</w:t>
            </w:r>
            <w:r>
              <w:t xml:space="preserve"> </w:t>
            </w:r>
            <w:r w:rsidRPr="004E1C37">
              <w:t>900 tickets booked with more than 400 people attending the event at Federation Square.</w:t>
            </w:r>
          </w:p>
          <w:p w14:paraId="1FACE073" w14:textId="77777777" w:rsidR="004A293F" w:rsidRPr="00BC2825" w:rsidRDefault="004E1C37" w:rsidP="004E1C37">
            <w:r w:rsidRPr="004E1C37">
              <w:t>The TradeStart program, in partnership with Austrade, successfully concluded on 30 June, having</w:t>
            </w:r>
            <w:r>
              <w:t xml:space="preserve"> </w:t>
            </w:r>
            <w:r w:rsidRPr="004E1C37">
              <w:t>engaged and supported 56 Melbourne-based health companies and completed 106 Austraderecognised</w:t>
            </w:r>
            <w:r>
              <w:t xml:space="preserve"> </w:t>
            </w:r>
            <w:r w:rsidRPr="004E1C37">
              <w:t>export-related services to 32 unique clients in the sector</w:t>
            </w:r>
            <w:r w:rsidR="004A293F" w:rsidRPr="00BC2825">
              <w:t xml:space="preserve">. </w:t>
            </w:r>
          </w:p>
          <w:p w14:paraId="462B5313" w14:textId="77777777" w:rsidR="00CF27A2" w:rsidRPr="00EA3CBF" w:rsidRDefault="00CF27A2" w:rsidP="004A293F">
            <w:pPr>
              <w:pStyle w:val="Heading2"/>
            </w:pPr>
            <w:bookmarkStart w:id="8" w:name="_Toc193203087"/>
            <w:r w:rsidRPr="00EA3CBF">
              <w:t>Our progress</w:t>
            </w:r>
            <w:bookmarkEnd w:id="8"/>
          </w:p>
          <w:p w14:paraId="071EDBB1" w14:textId="77777777" w:rsidR="004E1C37" w:rsidRPr="004E1C37" w:rsidRDefault="004E1C37" w:rsidP="004E1C37">
            <w:pPr>
              <w:rPr>
                <w:rFonts w:eastAsia="Cambria"/>
              </w:rPr>
            </w:pPr>
            <w:r w:rsidRPr="004E1C37">
              <w:rPr>
                <w:rFonts w:eastAsia="Cambria"/>
              </w:rPr>
              <w:t>Delays in finalising funding for The Couch impacted the implementation of the Economic Development</w:t>
            </w:r>
            <w:r>
              <w:rPr>
                <w:rFonts w:eastAsia="Cambria"/>
              </w:rPr>
              <w:t xml:space="preserve"> </w:t>
            </w:r>
            <w:r w:rsidRPr="004E1C37">
              <w:rPr>
                <w:rFonts w:eastAsia="Cambria"/>
              </w:rPr>
              <w:t>Strategy.</w:t>
            </w:r>
          </w:p>
          <w:p w14:paraId="45DEDC55" w14:textId="77777777" w:rsidR="00CF27A2" w:rsidRPr="00CF27A2" w:rsidRDefault="004E1C37" w:rsidP="004E1C37">
            <w:pPr>
              <w:rPr>
                <w:rFonts w:eastAsia="Cambria"/>
              </w:rPr>
            </w:pPr>
            <w:r w:rsidRPr="004E1C37">
              <w:rPr>
                <w:rFonts w:eastAsia="Cambria"/>
              </w:rPr>
              <w:t>Delivery of our major initiatives within the Council Plan term is on track.</w:t>
            </w:r>
          </w:p>
        </w:tc>
      </w:tr>
    </w:tbl>
    <w:p w14:paraId="493E1195" w14:textId="77777777" w:rsidR="00482EF3" w:rsidRPr="00784FF6" w:rsidRDefault="00482EF3" w:rsidP="00784FF6">
      <w:pPr>
        <w:pStyle w:val="Heading2"/>
      </w:pPr>
      <w:bookmarkStart w:id="9" w:name="_Toc193203088"/>
      <w:bookmarkEnd w:id="4"/>
      <w:bookmarkEnd w:id="5"/>
      <w:bookmarkEnd w:id="6"/>
      <w:r w:rsidRPr="00784FF6">
        <w:t xml:space="preserve">The major initiatives </w:t>
      </w:r>
      <w:proofErr w:type="gramStart"/>
      <w:r w:rsidRPr="00784FF6">
        <w:t>we’re</w:t>
      </w:r>
      <w:proofErr w:type="gramEnd"/>
      <w:r w:rsidRPr="00784FF6">
        <w:t xml:space="preserve"> delivering this year</w:t>
      </w:r>
      <w:bookmarkEnd w:id="9"/>
      <w:r w:rsidRPr="00784FF6">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9412"/>
        <w:gridCol w:w="2268"/>
        <w:gridCol w:w="2268"/>
      </w:tblGrid>
      <w:tr w:rsidR="00CF27A2" w14:paraId="61413BFE" w14:textId="77777777" w:rsidTr="00CF27A2">
        <w:trPr>
          <w:tblHeader/>
        </w:trPr>
        <w:tc>
          <w:tcPr>
            <w:tcW w:w="9412" w:type="dxa"/>
            <w:shd w:val="clear" w:color="auto" w:fill="auto"/>
          </w:tcPr>
          <w:p w14:paraId="6D356468" w14:textId="77777777" w:rsidR="00CF27A2" w:rsidRPr="00784FF6" w:rsidRDefault="00CF27A2" w:rsidP="00784FF6">
            <w:pPr>
              <w:pStyle w:val="TableofFigures"/>
              <w:rPr>
                <w:b/>
              </w:rPr>
            </w:pPr>
            <w:r w:rsidRPr="00784FF6">
              <w:rPr>
                <w:b/>
              </w:rPr>
              <w:t>Initiative</w:t>
            </w:r>
          </w:p>
        </w:tc>
        <w:tc>
          <w:tcPr>
            <w:tcW w:w="2268" w:type="dxa"/>
            <w:shd w:val="clear" w:color="auto" w:fill="auto"/>
          </w:tcPr>
          <w:p w14:paraId="3459DD79" w14:textId="77777777" w:rsidR="00CF27A2" w:rsidRPr="00784FF6" w:rsidRDefault="00CF27A2" w:rsidP="00784FF6">
            <w:pPr>
              <w:pStyle w:val="TableofFigures"/>
              <w:rPr>
                <w:b/>
              </w:rPr>
            </w:pPr>
            <w:r w:rsidRPr="00784FF6">
              <w:rPr>
                <w:b/>
              </w:rPr>
              <w:t>Council’s role</w:t>
            </w:r>
          </w:p>
        </w:tc>
        <w:tc>
          <w:tcPr>
            <w:tcW w:w="2268" w:type="dxa"/>
            <w:shd w:val="clear" w:color="auto" w:fill="auto"/>
          </w:tcPr>
          <w:p w14:paraId="76922FD0" w14:textId="77777777" w:rsidR="00CF27A2" w:rsidRPr="00EA3CBF" w:rsidRDefault="00CF27A2" w:rsidP="00D8650A">
            <w:pPr>
              <w:pStyle w:val="TableofFigures"/>
              <w:rPr>
                <w:b/>
              </w:rPr>
            </w:pPr>
            <w:r w:rsidRPr="00EA3CBF">
              <w:rPr>
                <w:b/>
              </w:rPr>
              <w:t>Our progress</w:t>
            </w:r>
          </w:p>
        </w:tc>
      </w:tr>
      <w:tr w:rsidR="00CF27A2" w14:paraId="548D03A8" w14:textId="77777777" w:rsidTr="00CF27A2">
        <w:tc>
          <w:tcPr>
            <w:tcW w:w="9412" w:type="dxa"/>
            <w:shd w:val="clear" w:color="auto" w:fill="auto"/>
          </w:tcPr>
          <w:p w14:paraId="1EA75BD0" w14:textId="77777777" w:rsidR="00CF27A2" w:rsidRPr="009E0344" w:rsidRDefault="00CF27A2" w:rsidP="00784FF6">
            <w:pPr>
              <w:pStyle w:val="TableofFigures"/>
            </w:pPr>
            <w:r w:rsidRPr="009E0344">
              <w:t xml:space="preserve">Continue to strengthen Melbourne’s economic recovery, including through precinct and shopfront activation, delivery of an enhanced </w:t>
            </w:r>
            <w:hyperlink r:id="rId8" w:history="1">
              <w:r w:rsidRPr="009E0344">
                <w:rPr>
                  <w:rStyle w:val="Hyperlink"/>
                </w:rPr>
                <w:t>business concierge service</w:t>
              </w:r>
            </w:hyperlink>
            <w:r w:rsidRPr="009E0344">
              <w:rPr>
                <w:rStyle w:val="FootnoteReference"/>
              </w:rPr>
              <w:footnoteReference w:id="1"/>
            </w:r>
            <w:r w:rsidRPr="009E0344">
              <w:t xml:space="preserve"> and support for the night-time economy.</w:t>
            </w:r>
          </w:p>
        </w:tc>
        <w:tc>
          <w:tcPr>
            <w:tcW w:w="2268" w:type="dxa"/>
            <w:shd w:val="clear" w:color="auto" w:fill="auto"/>
          </w:tcPr>
          <w:p w14:paraId="1579FA8E" w14:textId="77777777" w:rsidR="00CF27A2" w:rsidRPr="00784FF6" w:rsidRDefault="00CF27A2" w:rsidP="00784FF6">
            <w:pPr>
              <w:pStyle w:val="TableofFigures"/>
            </w:pPr>
            <w:r w:rsidRPr="00784FF6">
              <w:t>Deliver</w:t>
            </w:r>
          </w:p>
          <w:p w14:paraId="038DD1B6" w14:textId="77777777" w:rsidR="00CF27A2" w:rsidRPr="00784FF6" w:rsidRDefault="00CF27A2" w:rsidP="00784FF6">
            <w:pPr>
              <w:pStyle w:val="TableofFigures"/>
            </w:pPr>
          </w:p>
        </w:tc>
        <w:tc>
          <w:tcPr>
            <w:tcW w:w="2268" w:type="dxa"/>
            <w:shd w:val="clear" w:color="auto" w:fill="auto"/>
          </w:tcPr>
          <w:p w14:paraId="72B2E877" w14:textId="77777777" w:rsidR="00CF27A2" w:rsidRPr="00EA3CBF" w:rsidRDefault="00CF27A2" w:rsidP="00784FF6">
            <w:pPr>
              <w:pStyle w:val="TableofFigures"/>
            </w:pPr>
            <w:r w:rsidRPr="00EA3CBF">
              <w:t>On track</w:t>
            </w:r>
          </w:p>
        </w:tc>
      </w:tr>
      <w:tr w:rsidR="00CF27A2" w14:paraId="56EBE896" w14:textId="77777777" w:rsidTr="00CF27A2">
        <w:tc>
          <w:tcPr>
            <w:tcW w:w="9412" w:type="dxa"/>
            <w:shd w:val="clear" w:color="auto" w:fill="auto"/>
          </w:tcPr>
          <w:p w14:paraId="40D2298F" w14:textId="77777777" w:rsidR="00CF27A2" w:rsidRPr="009E0344" w:rsidRDefault="00CF27A2" w:rsidP="00784FF6">
            <w:pPr>
              <w:pStyle w:val="TableofFigures"/>
            </w:pPr>
            <w:r w:rsidRPr="009E0344">
              <w:t>Ensure Melbourne is the easiest place to start and grow a business through the establishment of Invest Melbourne.</w:t>
            </w:r>
          </w:p>
        </w:tc>
        <w:tc>
          <w:tcPr>
            <w:tcW w:w="2268" w:type="dxa"/>
            <w:shd w:val="clear" w:color="auto" w:fill="auto"/>
          </w:tcPr>
          <w:p w14:paraId="59913182" w14:textId="77777777" w:rsidR="00CF27A2" w:rsidRPr="00784FF6" w:rsidRDefault="00CF27A2" w:rsidP="00784FF6">
            <w:pPr>
              <w:pStyle w:val="TableofFigures"/>
            </w:pPr>
            <w:r w:rsidRPr="00784FF6">
              <w:t>Deliver</w:t>
            </w:r>
          </w:p>
        </w:tc>
        <w:tc>
          <w:tcPr>
            <w:tcW w:w="2268" w:type="dxa"/>
            <w:shd w:val="clear" w:color="auto" w:fill="auto"/>
          </w:tcPr>
          <w:p w14:paraId="32252AE9" w14:textId="77777777" w:rsidR="00CF27A2" w:rsidRPr="00EA3CBF" w:rsidRDefault="004E1C37" w:rsidP="00784FF6">
            <w:pPr>
              <w:pStyle w:val="TableofFigures"/>
            </w:pPr>
            <w:r>
              <w:t>Completed</w:t>
            </w:r>
          </w:p>
        </w:tc>
      </w:tr>
      <w:tr w:rsidR="00CF27A2" w14:paraId="3786BE22" w14:textId="77777777" w:rsidTr="00CF27A2">
        <w:tc>
          <w:tcPr>
            <w:tcW w:w="9412" w:type="dxa"/>
            <w:shd w:val="clear" w:color="auto" w:fill="auto"/>
          </w:tcPr>
          <w:p w14:paraId="3346A852" w14:textId="77777777" w:rsidR="00CF27A2" w:rsidRPr="009E0344" w:rsidRDefault="00CF27A2" w:rsidP="00784FF6">
            <w:pPr>
              <w:pStyle w:val="TableofFigures"/>
            </w:pPr>
            <w:r w:rsidRPr="009E0344">
              <w:t xml:space="preserve">Drive economic growth and resilience by implementing the </w:t>
            </w:r>
            <w:hyperlink r:id="rId9" w:history="1">
              <w:r w:rsidRPr="009E0344">
                <w:rPr>
                  <w:rStyle w:val="Hyperlink"/>
                </w:rPr>
                <w:t>Economic Development Strategy</w:t>
              </w:r>
            </w:hyperlink>
            <w:r w:rsidRPr="009E0344">
              <w:rPr>
                <w:rStyle w:val="FootnoteReference"/>
              </w:rPr>
              <w:footnoteReference w:id="2"/>
            </w:r>
            <w:r w:rsidRPr="009E0344">
              <w:t>, focusing support on existing and emerging industry sectors.</w:t>
            </w:r>
          </w:p>
        </w:tc>
        <w:tc>
          <w:tcPr>
            <w:tcW w:w="2268" w:type="dxa"/>
            <w:shd w:val="clear" w:color="auto" w:fill="auto"/>
          </w:tcPr>
          <w:p w14:paraId="38B425DC" w14:textId="77777777" w:rsidR="00CF27A2" w:rsidRPr="00784FF6" w:rsidRDefault="00CF27A2" w:rsidP="00784FF6">
            <w:pPr>
              <w:pStyle w:val="TableofFigures"/>
            </w:pPr>
            <w:r w:rsidRPr="00784FF6">
              <w:t>Deliver</w:t>
            </w:r>
          </w:p>
          <w:p w14:paraId="721D3B1E" w14:textId="77777777" w:rsidR="00CF27A2" w:rsidRPr="00784FF6" w:rsidRDefault="00CF27A2" w:rsidP="00784FF6">
            <w:pPr>
              <w:pStyle w:val="TableofFigures"/>
            </w:pPr>
            <w:r w:rsidRPr="00784FF6">
              <w:t>Partner</w:t>
            </w:r>
          </w:p>
        </w:tc>
        <w:tc>
          <w:tcPr>
            <w:tcW w:w="2268" w:type="dxa"/>
            <w:shd w:val="clear" w:color="auto" w:fill="auto"/>
          </w:tcPr>
          <w:p w14:paraId="6671D1B3" w14:textId="77777777" w:rsidR="00CF27A2" w:rsidRPr="00EA3CBF" w:rsidRDefault="00CF27A2" w:rsidP="00784FF6">
            <w:pPr>
              <w:pStyle w:val="TableofFigures"/>
            </w:pPr>
            <w:r w:rsidRPr="00EA3CBF">
              <w:t>On track</w:t>
            </w:r>
          </w:p>
        </w:tc>
      </w:tr>
      <w:tr w:rsidR="00CF27A2" w14:paraId="7231EE3E" w14:textId="77777777" w:rsidTr="00CF27A2">
        <w:tc>
          <w:tcPr>
            <w:tcW w:w="9412" w:type="dxa"/>
            <w:shd w:val="clear" w:color="auto" w:fill="auto"/>
          </w:tcPr>
          <w:p w14:paraId="4738ECBA" w14:textId="77777777" w:rsidR="00CF27A2" w:rsidRPr="009E0344" w:rsidRDefault="00CF27A2" w:rsidP="00784FF6">
            <w:pPr>
              <w:pStyle w:val="TableofFigures"/>
            </w:pPr>
            <w:r w:rsidRPr="009E0344">
              <w:t>Work in partnership with the Victorian Government and other stakeholders to advocate for and deliver integrated high-quality public and active transport in urban renewal areas.</w:t>
            </w:r>
          </w:p>
        </w:tc>
        <w:tc>
          <w:tcPr>
            <w:tcW w:w="2268" w:type="dxa"/>
            <w:shd w:val="clear" w:color="auto" w:fill="auto"/>
          </w:tcPr>
          <w:p w14:paraId="6DDE7542" w14:textId="77777777" w:rsidR="00CF27A2" w:rsidRPr="00784FF6" w:rsidRDefault="00CF27A2" w:rsidP="00784FF6">
            <w:pPr>
              <w:pStyle w:val="TableofFigures"/>
            </w:pPr>
            <w:r w:rsidRPr="00784FF6">
              <w:t>Partner</w:t>
            </w:r>
          </w:p>
          <w:p w14:paraId="0A454F14" w14:textId="77777777" w:rsidR="00CF27A2" w:rsidRPr="00784FF6" w:rsidRDefault="00CF27A2" w:rsidP="00784FF6">
            <w:pPr>
              <w:pStyle w:val="TableofFigures"/>
            </w:pPr>
          </w:p>
        </w:tc>
        <w:tc>
          <w:tcPr>
            <w:tcW w:w="2268" w:type="dxa"/>
            <w:shd w:val="clear" w:color="auto" w:fill="auto"/>
          </w:tcPr>
          <w:p w14:paraId="1FF76D89" w14:textId="77777777" w:rsidR="00CF27A2" w:rsidRPr="00EA3CBF" w:rsidRDefault="00505C05" w:rsidP="00784FF6">
            <w:pPr>
              <w:pStyle w:val="TableofFigures"/>
            </w:pPr>
            <w:r w:rsidRPr="00EA3CBF">
              <w:t>On track</w:t>
            </w:r>
          </w:p>
        </w:tc>
      </w:tr>
      <w:tr w:rsidR="00CF27A2" w14:paraId="16CE8448" w14:textId="77777777" w:rsidTr="00CF27A2">
        <w:tc>
          <w:tcPr>
            <w:tcW w:w="9412" w:type="dxa"/>
            <w:shd w:val="clear" w:color="auto" w:fill="auto"/>
          </w:tcPr>
          <w:p w14:paraId="008DB9B0" w14:textId="77777777" w:rsidR="00CF27A2" w:rsidRPr="009E0344" w:rsidRDefault="00CF27A2" w:rsidP="00784FF6">
            <w:pPr>
              <w:pStyle w:val="TableofFigures"/>
            </w:pPr>
            <w:r w:rsidRPr="009E0344">
              <w:t xml:space="preserve">Establish a new tourism entity called Visit Melbourne and review and refresh the program of City of Melbourne-owned and </w:t>
            </w:r>
            <w:hyperlink r:id="rId10" w:history="1">
              <w:r w:rsidRPr="009E0344">
                <w:rPr>
                  <w:rStyle w:val="Hyperlink"/>
                </w:rPr>
                <w:t>sponsored events</w:t>
              </w:r>
            </w:hyperlink>
            <w:r w:rsidRPr="009E0344">
              <w:rPr>
                <w:rStyle w:val="FootnoteReference"/>
              </w:rPr>
              <w:footnoteReference w:id="3"/>
            </w:r>
            <w:r w:rsidRPr="009E0344">
              <w:t xml:space="preserve"> to maximise opportunities to drive visitation and spend.</w:t>
            </w:r>
          </w:p>
        </w:tc>
        <w:tc>
          <w:tcPr>
            <w:tcW w:w="2268" w:type="dxa"/>
            <w:shd w:val="clear" w:color="auto" w:fill="auto"/>
          </w:tcPr>
          <w:p w14:paraId="58193D79" w14:textId="77777777" w:rsidR="00CF27A2" w:rsidRDefault="00CF27A2" w:rsidP="00784FF6">
            <w:pPr>
              <w:pStyle w:val="TableofFigures"/>
            </w:pPr>
            <w:r w:rsidRPr="00784FF6">
              <w:t>Deliver</w:t>
            </w:r>
          </w:p>
          <w:p w14:paraId="5B582F10" w14:textId="77777777" w:rsidR="00CF27A2" w:rsidRPr="00784FF6" w:rsidRDefault="00CF27A2" w:rsidP="00784FF6">
            <w:pPr>
              <w:pStyle w:val="TableofFigures"/>
            </w:pPr>
            <w:r w:rsidRPr="00784FF6">
              <w:t>Partner</w:t>
            </w:r>
          </w:p>
        </w:tc>
        <w:tc>
          <w:tcPr>
            <w:tcW w:w="2268" w:type="dxa"/>
            <w:shd w:val="clear" w:color="auto" w:fill="auto"/>
          </w:tcPr>
          <w:p w14:paraId="61125187" w14:textId="77777777" w:rsidR="00CF27A2" w:rsidRPr="00784FF6" w:rsidRDefault="004E1C37" w:rsidP="00784FF6">
            <w:pPr>
              <w:pStyle w:val="TableofFigures"/>
            </w:pPr>
            <w:r>
              <w:t>Completed</w:t>
            </w:r>
          </w:p>
        </w:tc>
      </w:tr>
      <w:tr w:rsidR="00CF27A2" w14:paraId="06893204" w14:textId="77777777" w:rsidTr="00CF27A2">
        <w:tc>
          <w:tcPr>
            <w:tcW w:w="9412" w:type="dxa"/>
            <w:shd w:val="clear" w:color="auto" w:fill="auto"/>
          </w:tcPr>
          <w:p w14:paraId="0BB588A3" w14:textId="77777777" w:rsidR="00CF27A2" w:rsidRPr="009E0344" w:rsidRDefault="00CF27A2" w:rsidP="00784FF6">
            <w:pPr>
              <w:pStyle w:val="TableofFigures"/>
            </w:pPr>
            <w:r w:rsidRPr="009E0344">
              <w:t>Market and promote Melbourne as a great place to live for all, while ensuring key workers have access to affordable housing.</w:t>
            </w:r>
          </w:p>
        </w:tc>
        <w:tc>
          <w:tcPr>
            <w:tcW w:w="2268" w:type="dxa"/>
            <w:shd w:val="clear" w:color="auto" w:fill="auto"/>
          </w:tcPr>
          <w:p w14:paraId="4E479DD2" w14:textId="77777777" w:rsidR="00CF27A2" w:rsidRPr="00784FF6" w:rsidRDefault="00CF27A2" w:rsidP="00784FF6">
            <w:pPr>
              <w:pStyle w:val="TableofFigures"/>
            </w:pPr>
            <w:r w:rsidRPr="00784FF6">
              <w:t>Deliver</w:t>
            </w:r>
          </w:p>
        </w:tc>
        <w:tc>
          <w:tcPr>
            <w:tcW w:w="2268" w:type="dxa"/>
            <w:shd w:val="clear" w:color="auto" w:fill="auto"/>
          </w:tcPr>
          <w:p w14:paraId="2C7E5B81" w14:textId="77777777" w:rsidR="00CF27A2" w:rsidRPr="00784FF6" w:rsidRDefault="009E6BAD" w:rsidP="00784FF6">
            <w:pPr>
              <w:pStyle w:val="TableofFigures"/>
            </w:pPr>
            <w:r>
              <w:t>Completed</w:t>
            </w:r>
          </w:p>
        </w:tc>
      </w:tr>
      <w:tr w:rsidR="00CF27A2" w14:paraId="39C17F51" w14:textId="77777777" w:rsidTr="00CF27A2">
        <w:tc>
          <w:tcPr>
            <w:tcW w:w="9412" w:type="dxa"/>
            <w:shd w:val="clear" w:color="auto" w:fill="auto"/>
          </w:tcPr>
          <w:p w14:paraId="5850883C" w14:textId="77777777" w:rsidR="00CF27A2" w:rsidRPr="009E6BAD" w:rsidRDefault="00CF27A2" w:rsidP="00784FF6">
            <w:pPr>
              <w:pStyle w:val="TableofFigures"/>
            </w:pPr>
            <w:r w:rsidRPr="009E6BAD">
              <w:t>Increase visitation to Docklands by partnering with the Victorian Government and key stakeholders to enable reconstruction and redevelopment in Central Pier and surrounds.</w:t>
            </w:r>
          </w:p>
        </w:tc>
        <w:tc>
          <w:tcPr>
            <w:tcW w:w="2268" w:type="dxa"/>
            <w:shd w:val="clear" w:color="auto" w:fill="auto"/>
          </w:tcPr>
          <w:p w14:paraId="24875C43" w14:textId="77777777" w:rsidR="00CF27A2" w:rsidRPr="009E6BAD" w:rsidRDefault="00CF27A2" w:rsidP="00784FF6">
            <w:pPr>
              <w:pStyle w:val="TableofFigures"/>
            </w:pPr>
            <w:r w:rsidRPr="009E6BAD">
              <w:t>Partner</w:t>
            </w:r>
          </w:p>
          <w:p w14:paraId="77EB307B" w14:textId="77777777" w:rsidR="00CF27A2" w:rsidRPr="009E6BAD" w:rsidRDefault="00CF27A2" w:rsidP="00784FF6">
            <w:pPr>
              <w:pStyle w:val="TableofFigures"/>
            </w:pPr>
            <w:r w:rsidRPr="009E6BAD">
              <w:t>Advocate</w:t>
            </w:r>
          </w:p>
        </w:tc>
        <w:tc>
          <w:tcPr>
            <w:tcW w:w="2268" w:type="dxa"/>
            <w:shd w:val="clear" w:color="auto" w:fill="auto"/>
          </w:tcPr>
          <w:p w14:paraId="14AFDD17" w14:textId="77777777" w:rsidR="00CF27A2" w:rsidRPr="009E6BAD" w:rsidRDefault="00ED7D9E" w:rsidP="00784FF6">
            <w:pPr>
              <w:pStyle w:val="TableofFigures"/>
            </w:pPr>
            <w:r w:rsidRPr="009E6BAD">
              <w:t>On track</w:t>
            </w:r>
          </w:p>
        </w:tc>
      </w:tr>
      <w:tr w:rsidR="00CF27A2" w14:paraId="0A3092C6" w14:textId="77777777" w:rsidTr="00CF27A2">
        <w:tc>
          <w:tcPr>
            <w:tcW w:w="9412" w:type="dxa"/>
            <w:shd w:val="clear" w:color="auto" w:fill="auto"/>
          </w:tcPr>
          <w:p w14:paraId="4F3E1699" w14:textId="77777777" w:rsidR="00CF27A2" w:rsidRPr="009E0344" w:rsidRDefault="00CF27A2" w:rsidP="00784FF6">
            <w:pPr>
              <w:pStyle w:val="TableofFigures"/>
            </w:pPr>
            <w:r w:rsidRPr="009E0344">
              <w:t>Review Melbourne’s international relationships to optimise future and existing partnerships to enable mutual growth and opportunity.</w:t>
            </w:r>
          </w:p>
        </w:tc>
        <w:tc>
          <w:tcPr>
            <w:tcW w:w="2268" w:type="dxa"/>
            <w:shd w:val="clear" w:color="auto" w:fill="auto"/>
          </w:tcPr>
          <w:p w14:paraId="1BF5D30F" w14:textId="77777777" w:rsidR="00CF27A2" w:rsidRPr="00784FF6" w:rsidRDefault="00CF27A2" w:rsidP="00784FF6">
            <w:pPr>
              <w:pStyle w:val="TableofFigures"/>
            </w:pPr>
            <w:r w:rsidRPr="00784FF6">
              <w:t>Deliver</w:t>
            </w:r>
          </w:p>
        </w:tc>
        <w:tc>
          <w:tcPr>
            <w:tcW w:w="2268" w:type="dxa"/>
            <w:shd w:val="clear" w:color="auto" w:fill="auto"/>
          </w:tcPr>
          <w:p w14:paraId="40AEBA5F" w14:textId="77777777" w:rsidR="00CF27A2" w:rsidRPr="00784FF6" w:rsidRDefault="00CF27A2" w:rsidP="00784FF6">
            <w:pPr>
              <w:pStyle w:val="TableofFigures"/>
            </w:pPr>
            <w:r w:rsidRPr="00784FF6">
              <w:t>On track</w:t>
            </w:r>
          </w:p>
        </w:tc>
      </w:tr>
      <w:tr w:rsidR="00CF27A2" w14:paraId="5C2AA345" w14:textId="77777777" w:rsidTr="00CF27A2">
        <w:tc>
          <w:tcPr>
            <w:tcW w:w="9412" w:type="dxa"/>
            <w:shd w:val="clear" w:color="auto" w:fill="auto"/>
          </w:tcPr>
          <w:p w14:paraId="047B7B9E" w14:textId="77777777" w:rsidR="00CF27A2" w:rsidRPr="009E0344" w:rsidRDefault="00CF27A2" w:rsidP="00784FF6">
            <w:pPr>
              <w:pStyle w:val="TableofFigures"/>
            </w:pPr>
            <w:r w:rsidRPr="009E0344">
              <w:t>Partner with industry to support the development of globally competitive innovation ecosystems.</w:t>
            </w:r>
          </w:p>
        </w:tc>
        <w:tc>
          <w:tcPr>
            <w:tcW w:w="2268" w:type="dxa"/>
            <w:shd w:val="clear" w:color="auto" w:fill="auto"/>
          </w:tcPr>
          <w:p w14:paraId="10420D08" w14:textId="77777777" w:rsidR="00CF27A2" w:rsidRPr="00784FF6" w:rsidRDefault="00CF27A2" w:rsidP="00784FF6">
            <w:pPr>
              <w:pStyle w:val="TableofFigures"/>
            </w:pPr>
            <w:r w:rsidRPr="00784FF6">
              <w:t>Partner</w:t>
            </w:r>
          </w:p>
          <w:p w14:paraId="50FA9AF6" w14:textId="77777777" w:rsidR="00CF27A2" w:rsidRPr="00784FF6" w:rsidRDefault="00CF27A2" w:rsidP="00784FF6">
            <w:pPr>
              <w:pStyle w:val="TableofFigures"/>
            </w:pPr>
            <w:r w:rsidRPr="00784FF6">
              <w:t>Deliver</w:t>
            </w:r>
          </w:p>
        </w:tc>
        <w:tc>
          <w:tcPr>
            <w:tcW w:w="2268" w:type="dxa"/>
            <w:shd w:val="clear" w:color="auto" w:fill="auto"/>
          </w:tcPr>
          <w:p w14:paraId="3917ABE8" w14:textId="77777777" w:rsidR="00CF27A2" w:rsidRPr="00784FF6" w:rsidRDefault="00CF27A2" w:rsidP="00784FF6">
            <w:pPr>
              <w:pStyle w:val="TableofFigures"/>
            </w:pPr>
            <w:r w:rsidRPr="00784FF6">
              <w:t>On track</w:t>
            </w:r>
          </w:p>
        </w:tc>
      </w:tr>
      <w:tr w:rsidR="00CF27A2" w14:paraId="3DEDEFB4" w14:textId="77777777" w:rsidTr="00CF27A2">
        <w:tc>
          <w:tcPr>
            <w:tcW w:w="9412" w:type="dxa"/>
            <w:shd w:val="clear" w:color="auto" w:fill="auto"/>
          </w:tcPr>
          <w:p w14:paraId="6AC66C8C" w14:textId="77777777" w:rsidR="00CF27A2" w:rsidRPr="009E0344" w:rsidRDefault="00CF27A2" w:rsidP="00784FF6">
            <w:pPr>
              <w:pStyle w:val="TableofFigures"/>
            </w:pPr>
            <w:r w:rsidRPr="009E0344">
              <w:t>Develop a corporate strategy for the City of Melbourne to drive exemplary customer service, digitise services and operations, improve productivity and identify new revenue opportunities.</w:t>
            </w:r>
          </w:p>
        </w:tc>
        <w:tc>
          <w:tcPr>
            <w:tcW w:w="2268" w:type="dxa"/>
            <w:shd w:val="clear" w:color="auto" w:fill="auto"/>
          </w:tcPr>
          <w:p w14:paraId="593F38EF" w14:textId="77777777" w:rsidR="00CF27A2" w:rsidRPr="00784FF6" w:rsidRDefault="00CF27A2" w:rsidP="00784FF6">
            <w:pPr>
              <w:pStyle w:val="TableofFigures"/>
            </w:pPr>
            <w:r w:rsidRPr="00784FF6">
              <w:t>Deliver</w:t>
            </w:r>
          </w:p>
        </w:tc>
        <w:tc>
          <w:tcPr>
            <w:tcW w:w="2268" w:type="dxa"/>
            <w:shd w:val="clear" w:color="auto" w:fill="auto"/>
          </w:tcPr>
          <w:p w14:paraId="69780F40" w14:textId="77777777" w:rsidR="00CF27A2" w:rsidRPr="00784FF6" w:rsidRDefault="0089381B" w:rsidP="00784FF6">
            <w:pPr>
              <w:pStyle w:val="TableofFigures"/>
            </w:pPr>
            <w:r>
              <w:t>On track</w:t>
            </w:r>
          </w:p>
        </w:tc>
      </w:tr>
      <w:tr w:rsidR="00CF27A2" w14:paraId="20132CBF" w14:textId="77777777" w:rsidTr="00CF27A2">
        <w:tc>
          <w:tcPr>
            <w:tcW w:w="9412" w:type="dxa"/>
            <w:shd w:val="clear" w:color="auto" w:fill="auto"/>
          </w:tcPr>
          <w:p w14:paraId="6C11A3FB" w14:textId="77777777" w:rsidR="00CF27A2" w:rsidRPr="009E0344" w:rsidRDefault="00CF27A2" w:rsidP="00784FF6">
            <w:pPr>
              <w:pStyle w:val="TableofFigures"/>
            </w:pPr>
            <w:r w:rsidRPr="009E0344">
              <w:t xml:space="preserve">Embed the </w:t>
            </w:r>
            <w:hyperlink r:id="rId11" w:history="1">
              <w:r w:rsidRPr="009E0344">
                <w:rPr>
                  <w:rStyle w:val="Hyperlink"/>
                </w:rPr>
                <w:t>Sustainable Development Goals</w:t>
              </w:r>
            </w:hyperlink>
            <w:r w:rsidRPr="009E0344">
              <w:rPr>
                <w:rStyle w:val="FootnoteReference"/>
              </w:rPr>
              <w:footnoteReference w:id="4"/>
            </w:r>
            <w:r w:rsidRPr="009E0344">
              <w:t xml:space="preserve"> in the way City of Melbourne plans, prioritises its investments, reports and benchmarks against other cities.</w:t>
            </w:r>
          </w:p>
        </w:tc>
        <w:tc>
          <w:tcPr>
            <w:tcW w:w="2268" w:type="dxa"/>
            <w:shd w:val="clear" w:color="auto" w:fill="auto"/>
          </w:tcPr>
          <w:p w14:paraId="7BCCBAFB" w14:textId="77777777" w:rsidR="00CF27A2" w:rsidRPr="00784FF6" w:rsidRDefault="00CF27A2" w:rsidP="00784FF6">
            <w:pPr>
              <w:pStyle w:val="TableofFigures"/>
            </w:pPr>
            <w:r w:rsidRPr="00784FF6">
              <w:t>Deliver</w:t>
            </w:r>
          </w:p>
        </w:tc>
        <w:tc>
          <w:tcPr>
            <w:tcW w:w="2268" w:type="dxa"/>
            <w:shd w:val="clear" w:color="auto" w:fill="auto"/>
          </w:tcPr>
          <w:p w14:paraId="782E377A" w14:textId="77777777" w:rsidR="00CF27A2" w:rsidRPr="00784FF6" w:rsidRDefault="00CF27A2" w:rsidP="00784FF6">
            <w:pPr>
              <w:pStyle w:val="TableofFigures"/>
            </w:pPr>
            <w:r w:rsidRPr="00784FF6">
              <w:t>On track</w:t>
            </w:r>
          </w:p>
        </w:tc>
      </w:tr>
    </w:tbl>
    <w:p w14:paraId="1AA864BE" w14:textId="77777777" w:rsidR="00CF27A2" w:rsidRPr="00CF27A2" w:rsidRDefault="00CF27A2" w:rsidP="00CF27A2">
      <w:pPr>
        <w:pStyle w:val="Heading2"/>
      </w:pPr>
      <w:bookmarkStart w:id="10" w:name="_Toc193203089"/>
      <w:r>
        <w:t xml:space="preserve">How </w:t>
      </w:r>
      <w:proofErr w:type="gramStart"/>
      <w:r>
        <w:t>we’re</w:t>
      </w:r>
      <w:proofErr w:type="gramEnd"/>
      <w:r>
        <w:t xml:space="preserve"> measuring progress over four years</w:t>
      </w:r>
      <w:bookmarkEnd w:id="1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9412"/>
        <w:gridCol w:w="4537"/>
      </w:tblGrid>
      <w:tr w:rsidR="00CF27A2" w14:paraId="7845E91F" w14:textId="77777777" w:rsidTr="00CF27A2">
        <w:trPr>
          <w:tblHeader/>
        </w:trPr>
        <w:tc>
          <w:tcPr>
            <w:tcW w:w="9412" w:type="dxa"/>
            <w:shd w:val="clear" w:color="auto" w:fill="auto"/>
          </w:tcPr>
          <w:p w14:paraId="492DA032" w14:textId="77777777" w:rsidR="00CF27A2" w:rsidRPr="00784FF6" w:rsidRDefault="00CF27A2" w:rsidP="0052081B">
            <w:pPr>
              <w:pStyle w:val="TableofFigures"/>
              <w:rPr>
                <w:b/>
              </w:rPr>
            </w:pPr>
            <w:r>
              <w:rPr>
                <w:b/>
              </w:rPr>
              <w:t>Indicator</w:t>
            </w:r>
          </w:p>
        </w:tc>
        <w:tc>
          <w:tcPr>
            <w:tcW w:w="4537" w:type="dxa"/>
            <w:shd w:val="clear" w:color="auto" w:fill="auto"/>
          </w:tcPr>
          <w:p w14:paraId="76676977" w14:textId="77777777" w:rsidR="00CF27A2" w:rsidRPr="00784FF6" w:rsidRDefault="00CF27A2" w:rsidP="0052081B">
            <w:pPr>
              <w:pStyle w:val="TableofFigures"/>
              <w:rPr>
                <w:b/>
              </w:rPr>
            </w:pPr>
            <w:r>
              <w:rPr>
                <w:b/>
              </w:rPr>
              <w:t>Target outcome</w:t>
            </w:r>
          </w:p>
        </w:tc>
      </w:tr>
      <w:tr w:rsidR="00CF27A2" w14:paraId="7ED558CC" w14:textId="77777777" w:rsidTr="00CF27A2">
        <w:tc>
          <w:tcPr>
            <w:tcW w:w="9412" w:type="dxa"/>
            <w:shd w:val="clear" w:color="auto" w:fill="auto"/>
          </w:tcPr>
          <w:p w14:paraId="2D0D43DF" w14:textId="77777777" w:rsidR="00CF27A2" w:rsidRPr="009E0344" w:rsidRDefault="00CF27A2" w:rsidP="0052081B">
            <w:pPr>
              <w:pStyle w:val="TableofFigures"/>
            </w:pPr>
            <w:r w:rsidRPr="009E0344">
              <w:t>Capital city gross local product.</w:t>
            </w:r>
          </w:p>
        </w:tc>
        <w:tc>
          <w:tcPr>
            <w:tcW w:w="4537" w:type="dxa"/>
            <w:shd w:val="clear" w:color="auto" w:fill="auto"/>
          </w:tcPr>
          <w:p w14:paraId="70F1945B" w14:textId="77777777" w:rsidR="00CF27A2" w:rsidRPr="00784FF6" w:rsidRDefault="00CF27A2" w:rsidP="0052081B">
            <w:pPr>
              <w:pStyle w:val="TableofFigures"/>
            </w:pPr>
            <w:r>
              <w:t>Increase</w:t>
            </w:r>
          </w:p>
        </w:tc>
      </w:tr>
      <w:tr w:rsidR="00CF27A2" w14:paraId="2944D46E" w14:textId="77777777" w:rsidTr="00CF27A2">
        <w:tc>
          <w:tcPr>
            <w:tcW w:w="9412" w:type="dxa"/>
            <w:shd w:val="clear" w:color="auto" w:fill="auto"/>
          </w:tcPr>
          <w:p w14:paraId="59BC801F" w14:textId="77777777" w:rsidR="00CF27A2" w:rsidRPr="009E0344" w:rsidRDefault="00CF27A2" w:rsidP="0052081B">
            <w:pPr>
              <w:pStyle w:val="TableofFigures"/>
            </w:pPr>
            <w:r w:rsidRPr="009E0344">
              <w:t>Number of businesses in the municipality.</w:t>
            </w:r>
          </w:p>
        </w:tc>
        <w:tc>
          <w:tcPr>
            <w:tcW w:w="4537" w:type="dxa"/>
            <w:shd w:val="clear" w:color="auto" w:fill="auto"/>
          </w:tcPr>
          <w:p w14:paraId="2F8C0266" w14:textId="77777777" w:rsidR="00CF27A2" w:rsidRPr="00784FF6" w:rsidRDefault="00CF27A2" w:rsidP="0052081B">
            <w:pPr>
              <w:pStyle w:val="TableofFigures"/>
            </w:pPr>
            <w:r>
              <w:t>Increase</w:t>
            </w:r>
          </w:p>
        </w:tc>
      </w:tr>
      <w:tr w:rsidR="00CF27A2" w14:paraId="49280D29" w14:textId="77777777" w:rsidTr="00CF27A2">
        <w:tc>
          <w:tcPr>
            <w:tcW w:w="9412" w:type="dxa"/>
            <w:shd w:val="clear" w:color="auto" w:fill="auto"/>
          </w:tcPr>
          <w:p w14:paraId="50963D7A" w14:textId="77777777" w:rsidR="00CF27A2" w:rsidRPr="009E0344" w:rsidRDefault="00CF27A2" w:rsidP="0052081B">
            <w:pPr>
              <w:pStyle w:val="TableofFigures"/>
            </w:pPr>
            <w:r w:rsidRPr="009E0344">
              <w:t>Number of start-ups in the municipality.</w:t>
            </w:r>
          </w:p>
        </w:tc>
        <w:tc>
          <w:tcPr>
            <w:tcW w:w="4537" w:type="dxa"/>
            <w:shd w:val="clear" w:color="auto" w:fill="auto"/>
          </w:tcPr>
          <w:p w14:paraId="2EC15008" w14:textId="77777777" w:rsidR="00CF27A2" w:rsidRPr="00784FF6" w:rsidRDefault="00CF27A2" w:rsidP="0052081B">
            <w:pPr>
              <w:pStyle w:val="TableofFigures"/>
            </w:pPr>
            <w:r>
              <w:t>Increase</w:t>
            </w:r>
          </w:p>
        </w:tc>
      </w:tr>
      <w:tr w:rsidR="009E0344" w14:paraId="11D6D929" w14:textId="77777777" w:rsidTr="00CF27A2">
        <w:tc>
          <w:tcPr>
            <w:tcW w:w="9412" w:type="dxa"/>
            <w:shd w:val="clear" w:color="auto" w:fill="auto"/>
          </w:tcPr>
          <w:p w14:paraId="208DB7F6" w14:textId="77777777" w:rsidR="009E0344" w:rsidRPr="00DA045B" w:rsidRDefault="009E0344" w:rsidP="009E0344">
            <w:pPr>
              <w:pStyle w:val="TableofFigures"/>
            </w:pPr>
            <w:r w:rsidRPr="00DA045B">
              <w:t xml:space="preserve">Vacancy rate of retail premises. </w:t>
            </w:r>
          </w:p>
        </w:tc>
        <w:tc>
          <w:tcPr>
            <w:tcW w:w="4537" w:type="dxa"/>
            <w:shd w:val="clear" w:color="auto" w:fill="auto"/>
          </w:tcPr>
          <w:p w14:paraId="77D71894" w14:textId="77777777" w:rsidR="009E0344" w:rsidRPr="00DA045B" w:rsidRDefault="009E0344" w:rsidP="009E0344">
            <w:pPr>
              <w:pStyle w:val="TableofFigures"/>
            </w:pPr>
            <w:r w:rsidRPr="00DA045B">
              <w:t>Decrease</w:t>
            </w:r>
          </w:p>
        </w:tc>
      </w:tr>
      <w:tr w:rsidR="009E0344" w14:paraId="0A77E6ED" w14:textId="77777777" w:rsidTr="00CF27A2">
        <w:tc>
          <w:tcPr>
            <w:tcW w:w="9412" w:type="dxa"/>
            <w:shd w:val="clear" w:color="auto" w:fill="auto"/>
          </w:tcPr>
          <w:p w14:paraId="7A55A2E1" w14:textId="77777777" w:rsidR="009E0344" w:rsidRDefault="009E0344" w:rsidP="009E0344">
            <w:pPr>
              <w:pStyle w:val="TableofFigures"/>
            </w:pPr>
            <w:r w:rsidRPr="00DA045B">
              <w:t xml:space="preserve">Proportion of residents employed in the municipality. </w:t>
            </w:r>
          </w:p>
        </w:tc>
        <w:tc>
          <w:tcPr>
            <w:tcW w:w="4537" w:type="dxa"/>
            <w:shd w:val="clear" w:color="auto" w:fill="auto"/>
          </w:tcPr>
          <w:p w14:paraId="4256794A" w14:textId="77777777" w:rsidR="009E0344" w:rsidRDefault="009E0344" w:rsidP="009E0344">
            <w:pPr>
              <w:pStyle w:val="TableofFigures"/>
            </w:pPr>
            <w:r w:rsidRPr="00DA045B">
              <w:t>Increase</w:t>
            </w:r>
          </w:p>
        </w:tc>
      </w:tr>
      <w:tr w:rsidR="009E0344" w14:paraId="6E3D4375" w14:textId="77777777" w:rsidTr="00CF27A2">
        <w:tc>
          <w:tcPr>
            <w:tcW w:w="9412" w:type="dxa"/>
            <w:shd w:val="clear" w:color="auto" w:fill="auto"/>
          </w:tcPr>
          <w:p w14:paraId="34E2B9D0" w14:textId="77777777" w:rsidR="009E0344" w:rsidRPr="00D459D8" w:rsidRDefault="009E0344" w:rsidP="009E0344">
            <w:pPr>
              <w:pStyle w:val="TableofFigures"/>
            </w:pPr>
            <w:r w:rsidRPr="00D459D8">
              <w:t xml:space="preserve">Gross local product per capita per person employed. </w:t>
            </w:r>
          </w:p>
        </w:tc>
        <w:tc>
          <w:tcPr>
            <w:tcW w:w="4537" w:type="dxa"/>
            <w:shd w:val="clear" w:color="auto" w:fill="auto"/>
          </w:tcPr>
          <w:p w14:paraId="78FF1E60" w14:textId="77777777" w:rsidR="009E0344" w:rsidRPr="00D459D8" w:rsidRDefault="009E0344" w:rsidP="009E0344">
            <w:pPr>
              <w:pStyle w:val="TableofFigures"/>
            </w:pPr>
            <w:r w:rsidRPr="00D459D8">
              <w:t>Increase</w:t>
            </w:r>
          </w:p>
        </w:tc>
      </w:tr>
      <w:tr w:rsidR="009E0344" w14:paraId="129AA9A8" w14:textId="77777777" w:rsidTr="00CF27A2">
        <w:tc>
          <w:tcPr>
            <w:tcW w:w="9412" w:type="dxa"/>
            <w:shd w:val="clear" w:color="auto" w:fill="auto"/>
          </w:tcPr>
          <w:p w14:paraId="3F51BFA3" w14:textId="77777777" w:rsidR="009E0344" w:rsidRPr="00D459D8" w:rsidRDefault="009E0344" w:rsidP="009E0344">
            <w:pPr>
              <w:pStyle w:val="TableofFigures"/>
            </w:pPr>
            <w:r w:rsidRPr="00D459D8">
              <w:t xml:space="preserve">Number of jobs in the municipality. </w:t>
            </w:r>
          </w:p>
        </w:tc>
        <w:tc>
          <w:tcPr>
            <w:tcW w:w="4537" w:type="dxa"/>
            <w:shd w:val="clear" w:color="auto" w:fill="auto"/>
          </w:tcPr>
          <w:p w14:paraId="3E31ABDA" w14:textId="77777777" w:rsidR="009E0344" w:rsidRPr="00D459D8" w:rsidRDefault="009E0344" w:rsidP="009E0344">
            <w:pPr>
              <w:pStyle w:val="TableofFigures"/>
            </w:pPr>
            <w:r>
              <w:t>I</w:t>
            </w:r>
            <w:r w:rsidRPr="00D459D8">
              <w:t>ncrease</w:t>
            </w:r>
          </w:p>
        </w:tc>
      </w:tr>
      <w:tr w:rsidR="009E0344" w14:paraId="1A1FF6FC" w14:textId="77777777" w:rsidTr="00CF27A2">
        <w:tc>
          <w:tcPr>
            <w:tcW w:w="9412" w:type="dxa"/>
            <w:shd w:val="clear" w:color="auto" w:fill="auto"/>
          </w:tcPr>
          <w:p w14:paraId="526B553E" w14:textId="77777777" w:rsidR="009E0344" w:rsidRPr="00D459D8" w:rsidRDefault="009E0344" w:rsidP="009E0344">
            <w:pPr>
              <w:pStyle w:val="TableofFigures"/>
            </w:pPr>
            <w:r w:rsidRPr="00D459D8">
              <w:t xml:space="preserve">Number of visitors to the municipality. </w:t>
            </w:r>
          </w:p>
        </w:tc>
        <w:tc>
          <w:tcPr>
            <w:tcW w:w="4537" w:type="dxa"/>
            <w:shd w:val="clear" w:color="auto" w:fill="auto"/>
          </w:tcPr>
          <w:p w14:paraId="7AB202BD" w14:textId="77777777" w:rsidR="009E0344" w:rsidRPr="00D459D8" w:rsidRDefault="009E0344" w:rsidP="009E0344">
            <w:pPr>
              <w:pStyle w:val="TableofFigures"/>
            </w:pPr>
            <w:r w:rsidRPr="00D459D8">
              <w:t>Increase</w:t>
            </w:r>
          </w:p>
        </w:tc>
      </w:tr>
      <w:tr w:rsidR="009E0344" w14:paraId="043C129A" w14:textId="77777777" w:rsidTr="00CF27A2">
        <w:tc>
          <w:tcPr>
            <w:tcW w:w="9412" w:type="dxa"/>
            <w:shd w:val="clear" w:color="auto" w:fill="auto"/>
          </w:tcPr>
          <w:p w14:paraId="5752F1CB" w14:textId="77777777" w:rsidR="009E0344" w:rsidRDefault="009E0344" w:rsidP="009E0344">
            <w:pPr>
              <w:pStyle w:val="TableofFigures"/>
            </w:pPr>
            <w:r w:rsidRPr="00D459D8">
              <w:t>Planning applications deci</w:t>
            </w:r>
            <w:r>
              <w:t>ded within required timeframes.</w:t>
            </w:r>
          </w:p>
        </w:tc>
        <w:tc>
          <w:tcPr>
            <w:tcW w:w="4537" w:type="dxa"/>
            <w:shd w:val="clear" w:color="auto" w:fill="auto"/>
          </w:tcPr>
          <w:p w14:paraId="2412E731" w14:textId="77777777" w:rsidR="009E0344" w:rsidRDefault="009E0344" w:rsidP="009E0344">
            <w:pPr>
              <w:pStyle w:val="TableofFigures"/>
            </w:pPr>
            <w:r w:rsidRPr="00D459D8">
              <w:t>100%</w:t>
            </w:r>
          </w:p>
        </w:tc>
      </w:tr>
    </w:tbl>
    <w:p w14:paraId="0FA26295" w14:textId="77777777" w:rsidR="00482EF3" w:rsidRDefault="00784FF6" w:rsidP="00D8650A">
      <w:pPr>
        <w:pStyle w:val="Heading1"/>
        <w:spacing w:before="0"/>
      </w:pPr>
      <w:r>
        <w:br w:type="page"/>
      </w:r>
      <w:bookmarkStart w:id="11" w:name="_Toc193203090"/>
      <w:r w:rsidRPr="00784FF6">
        <w:t>Melbourne’s unique identity and place</w:t>
      </w:r>
      <w:bookmarkEnd w:id="11"/>
    </w:p>
    <w:p w14:paraId="63ACB04A" w14:textId="77777777" w:rsidR="00784FF6" w:rsidRDefault="00784FF6" w:rsidP="00784FF6">
      <w:r w:rsidRPr="00784FF6">
        <w:t>Over the next four years we will celebrate and protect the places, people and cultures that make Melbourne a unique, vibrant and creative city with world-leading liveability.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4A0" w:firstRow="1" w:lastRow="0" w:firstColumn="1" w:lastColumn="0" w:noHBand="0" w:noVBand="1"/>
      </w:tblPr>
      <w:tblGrid>
        <w:gridCol w:w="14062"/>
      </w:tblGrid>
      <w:tr w:rsidR="00784FF6" w14:paraId="5A7B61EB" w14:textId="77777777" w:rsidTr="007F02C9">
        <w:tc>
          <w:tcPr>
            <w:tcW w:w="14062" w:type="dxa"/>
            <w:shd w:val="clear" w:color="auto" w:fill="auto"/>
          </w:tcPr>
          <w:p w14:paraId="72F3EFA1" w14:textId="77777777" w:rsidR="009E6BAD" w:rsidRPr="00D367C9" w:rsidRDefault="009E6BAD" w:rsidP="009E6BAD">
            <w:pPr>
              <w:pStyle w:val="Heading2"/>
              <w:spacing w:before="0"/>
            </w:pPr>
            <w:bookmarkStart w:id="12" w:name="_Toc193203091"/>
            <w:r w:rsidRPr="00D367C9">
              <w:t>Highlights for quarter three (</w:t>
            </w:r>
            <w:r w:rsidR="004E7833">
              <w:t>April to June</w:t>
            </w:r>
            <w:r w:rsidRPr="00D367C9">
              <w:t xml:space="preserve"> 202</w:t>
            </w:r>
            <w:r w:rsidR="004E1C37">
              <w:t>4</w:t>
            </w:r>
            <w:r w:rsidRPr="00D367C9">
              <w:t>)</w:t>
            </w:r>
            <w:bookmarkEnd w:id="12"/>
          </w:p>
          <w:p w14:paraId="133CF125" w14:textId="77777777" w:rsidR="004E1C37" w:rsidRPr="004E1C37" w:rsidRDefault="004E1C37" w:rsidP="004E1C37">
            <w:pPr>
              <w:rPr>
                <w:rFonts w:cs="Arial"/>
                <w:szCs w:val="20"/>
              </w:rPr>
            </w:pPr>
            <w:r w:rsidRPr="004E1C37">
              <w:rPr>
                <w:rFonts w:cs="Arial"/>
                <w:szCs w:val="20"/>
              </w:rPr>
              <w:t>The Event Partnership Program supported multiple community based events, including the</w:t>
            </w:r>
            <w:r>
              <w:rPr>
                <w:rFonts w:cs="Arial"/>
                <w:szCs w:val="20"/>
              </w:rPr>
              <w:t xml:space="preserve"> </w:t>
            </w:r>
            <w:r w:rsidRPr="004E1C37">
              <w:rPr>
                <w:rFonts w:cs="Arial"/>
                <w:szCs w:val="20"/>
              </w:rPr>
              <w:t>ANZAC Day parade and Dawn Service, a new addition to the Event Partnership Program, which</w:t>
            </w:r>
            <w:r>
              <w:rPr>
                <w:rFonts w:cs="Arial"/>
                <w:szCs w:val="20"/>
              </w:rPr>
              <w:t xml:space="preserve"> </w:t>
            </w:r>
            <w:r w:rsidRPr="004E1C37">
              <w:rPr>
                <w:rFonts w:cs="Arial"/>
                <w:szCs w:val="20"/>
              </w:rPr>
              <w:t>saw almost 50,000 people gather for the dawn service and parade combined.</w:t>
            </w:r>
          </w:p>
          <w:p w14:paraId="23FBE372" w14:textId="77777777" w:rsidR="004E1C37" w:rsidRPr="004E1C37" w:rsidRDefault="004E1C37" w:rsidP="004E1C37">
            <w:pPr>
              <w:rPr>
                <w:rFonts w:cs="Arial"/>
                <w:szCs w:val="20"/>
              </w:rPr>
            </w:pPr>
            <w:r w:rsidRPr="004E1C37">
              <w:rPr>
                <w:rFonts w:cs="Arial"/>
                <w:szCs w:val="20"/>
              </w:rPr>
              <w:t>In a major program milestone at the Queen Victoria Market precinct, the removal of the</w:t>
            </w:r>
            <w:r>
              <w:rPr>
                <w:rFonts w:cs="Arial"/>
                <w:szCs w:val="20"/>
              </w:rPr>
              <w:t xml:space="preserve"> </w:t>
            </w:r>
            <w:r w:rsidRPr="004E1C37">
              <w:rPr>
                <w:rFonts w:cs="Arial"/>
                <w:szCs w:val="20"/>
              </w:rPr>
              <w:t>roundabout at the corner of Franklin and Queen Streets has delivered a newly realigned</w:t>
            </w:r>
            <w:r>
              <w:rPr>
                <w:rFonts w:cs="Arial"/>
                <w:szCs w:val="20"/>
              </w:rPr>
              <w:t xml:space="preserve"> </w:t>
            </w:r>
            <w:r w:rsidRPr="004E1C37">
              <w:rPr>
                <w:rFonts w:cs="Arial"/>
                <w:szCs w:val="20"/>
              </w:rPr>
              <w:t>intersection in time for the Southern Development Site handover.</w:t>
            </w:r>
          </w:p>
          <w:p w14:paraId="11515F70" w14:textId="77777777" w:rsidR="004E1C37" w:rsidRPr="004E1C37" w:rsidRDefault="004E1C37" w:rsidP="004E1C37">
            <w:pPr>
              <w:rPr>
                <w:rFonts w:cs="Arial"/>
                <w:szCs w:val="20"/>
              </w:rPr>
            </w:pPr>
            <w:r w:rsidRPr="004E1C37">
              <w:rPr>
                <w:rFonts w:cs="Arial"/>
                <w:szCs w:val="20"/>
              </w:rPr>
              <w:t>The Public Art Advisory Panel endorsed the proposal to create a new public artwork at the 8 Hour</w:t>
            </w:r>
            <w:r>
              <w:rPr>
                <w:rFonts w:cs="Arial"/>
                <w:szCs w:val="20"/>
              </w:rPr>
              <w:t xml:space="preserve"> </w:t>
            </w:r>
            <w:r w:rsidRPr="004E1C37">
              <w:rPr>
                <w:rFonts w:cs="Arial"/>
                <w:szCs w:val="20"/>
              </w:rPr>
              <w:t>Memorial Reserve to commemorate workers who have died at work. The commission is a</w:t>
            </w:r>
            <w:r>
              <w:rPr>
                <w:rFonts w:cs="Arial"/>
                <w:szCs w:val="20"/>
              </w:rPr>
              <w:t xml:space="preserve"> </w:t>
            </w:r>
            <w:r w:rsidRPr="004E1C37">
              <w:rPr>
                <w:rFonts w:cs="Arial"/>
                <w:szCs w:val="20"/>
              </w:rPr>
              <w:t>partnership between City of Melbourne, the Victorian Trades Hall and WorkSafe.</w:t>
            </w:r>
          </w:p>
          <w:p w14:paraId="79C7090D" w14:textId="77777777" w:rsidR="004E1C37" w:rsidRPr="004E1C37" w:rsidRDefault="004E1C37" w:rsidP="004E1C37">
            <w:pPr>
              <w:rPr>
                <w:rFonts w:cs="Arial"/>
                <w:szCs w:val="20"/>
              </w:rPr>
            </w:pPr>
            <w:r w:rsidRPr="004E1C37">
              <w:rPr>
                <w:rFonts w:cs="Arial"/>
                <w:szCs w:val="20"/>
              </w:rPr>
              <w:t>The first phases of community engagement for the Miles and Dodds Street Reserve and</w:t>
            </w:r>
            <w:r>
              <w:rPr>
                <w:rFonts w:cs="Arial"/>
                <w:szCs w:val="20"/>
              </w:rPr>
              <w:t xml:space="preserve"> </w:t>
            </w:r>
            <w:r w:rsidRPr="004E1C37">
              <w:rPr>
                <w:rFonts w:cs="Arial"/>
                <w:szCs w:val="20"/>
              </w:rPr>
              <w:t>Chapman Street Reserve expansion projects were completed, and the development of draft</w:t>
            </w:r>
            <w:r>
              <w:rPr>
                <w:rFonts w:cs="Arial"/>
                <w:szCs w:val="20"/>
              </w:rPr>
              <w:t xml:space="preserve"> </w:t>
            </w:r>
            <w:r w:rsidRPr="004E1C37">
              <w:rPr>
                <w:rFonts w:cs="Arial"/>
                <w:szCs w:val="20"/>
              </w:rPr>
              <w:t>concept plans has commenced.</w:t>
            </w:r>
          </w:p>
          <w:p w14:paraId="63B32EDB" w14:textId="77777777" w:rsidR="004E1C37" w:rsidRPr="004E1C37" w:rsidRDefault="004E1C37" w:rsidP="004E1C37">
            <w:pPr>
              <w:rPr>
                <w:rFonts w:cs="Arial"/>
                <w:szCs w:val="20"/>
              </w:rPr>
            </w:pPr>
            <w:r w:rsidRPr="004E1C37">
              <w:rPr>
                <w:rFonts w:cs="Arial"/>
                <w:szCs w:val="20"/>
              </w:rPr>
              <w:t>Three sold-out Melbourne Design Week events were delivered on the topics of inclusion, material</w:t>
            </w:r>
            <w:r>
              <w:rPr>
                <w:rFonts w:cs="Arial"/>
                <w:szCs w:val="20"/>
              </w:rPr>
              <w:t xml:space="preserve"> </w:t>
            </w:r>
            <w:r w:rsidRPr="004E1C37">
              <w:rPr>
                <w:rFonts w:cs="Arial"/>
                <w:szCs w:val="20"/>
              </w:rPr>
              <w:t>reuse and ecology in urban streetscapes.</w:t>
            </w:r>
          </w:p>
          <w:p w14:paraId="6C198091" w14:textId="77777777" w:rsidR="000606E8" w:rsidRPr="000606E8" w:rsidRDefault="004E1C37" w:rsidP="004E1C37">
            <w:r w:rsidRPr="004E1C37">
              <w:rPr>
                <w:rFonts w:cs="Arial"/>
                <w:szCs w:val="20"/>
              </w:rPr>
              <w:t>Progress on priority projects in the Moonee Ponds Creek corridor progressed, including the</w:t>
            </w:r>
            <w:r>
              <w:rPr>
                <w:rFonts w:cs="Arial"/>
                <w:szCs w:val="20"/>
              </w:rPr>
              <w:t xml:space="preserve"> </w:t>
            </w:r>
            <w:r w:rsidRPr="004E1C37">
              <w:rPr>
                <w:rFonts w:cs="Arial"/>
                <w:szCs w:val="20"/>
              </w:rPr>
              <w:t>prioritisation of two active transport crossings in Macaulay for further concept design and costings</w:t>
            </w:r>
            <w:r w:rsidR="000606E8" w:rsidRPr="000606E8">
              <w:t>.</w:t>
            </w:r>
          </w:p>
          <w:p w14:paraId="296621EE" w14:textId="77777777" w:rsidR="007F02C9" w:rsidRPr="00D367C9" w:rsidRDefault="007F02C9" w:rsidP="000606E8">
            <w:pPr>
              <w:pStyle w:val="Heading2"/>
            </w:pPr>
            <w:bookmarkStart w:id="13" w:name="_Toc193203092"/>
            <w:r w:rsidRPr="00D367C9">
              <w:t>Our progress</w:t>
            </w:r>
            <w:bookmarkEnd w:id="13"/>
          </w:p>
          <w:p w14:paraId="4E3066A0" w14:textId="77777777" w:rsidR="009E6BAD" w:rsidRPr="00D367C9" w:rsidRDefault="009E6BAD" w:rsidP="009E6BAD">
            <w:r w:rsidRPr="00D367C9">
              <w:t>Challenges facing the construction sector due to rising costs continue to impact delivery timelines for the Queen Victoria Market Precinct Renewal.</w:t>
            </w:r>
          </w:p>
          <w:p w14:paraId="31DDE6B0" w14:textId="77777777" w:rsidR="009E6BAD" w:rsidRPr="00D367C9" w:rsidRDefault="009E6BAD" w:rsidP="009E6BAD">
            <w:r w:rsidRPr="00D367C9">
              <w:t>There is a high-level of uncertainty regarding property availability in Southbank and urban renewal areas</w:t>
            </w:r>
          </w:p>
          <w:p w14:paraId="28E7AA42" w14:textId="77777777" w:rsidR="007F02C9" w:rsidRPr="00D367C9" w:rsidRDefault="009E6BAD" w:rsidP="009E6BAD">
            <w:r w:rsidRPr="00D367C9">
              <w:t>Delivery of our major initiatives within the Council Plan term is on track</w:t>
            </w:r>
          </w:p>
        </w:tc>
      </w:tr>
    </w:tbl>
    <w:p w14:paraId="4A685A33" w14:textId="77777777" w:rsidR="00EE6703" w:rsidRPr="00784FF6" w:rsidRDefault="002B3919" w:rsidP="00EE6703">
      <w:pPr>
        <w:pStyle w:val="Heading2"/>
      </w:pPr>
      <w:r>
        <w:rPr>
          <w:rFonts w:hint="eastAsia"/>
        </w:rPr>
        <w:br w:type="page"/>
      </w:r>
      <w:bookmarkStart w:id="14" w:name="_Toc193203093"/>
      <w:r w:rsidR="00EE6703" w:rsidRPr="00784FF6">
        <w:t xml:space="preserve">The major initiatives </w:t>
      </w:r>
      <w:proofErr w:type="gramStart"/>
      <w:r w:rsidR="00EE6703" w:rsidRPr="00784FF6">
        <w:t>we’re</w:t>
      </w:r>
      <w:proofErr w:type="gramEnd"/>
      <w:r w:rsidR="00EE6703" w:rsidRPr="00784FF6">
        <w:t xml:space="preserve"> delivering this year</w:t>
      </w:r>
      <w:bookmarkEnd w:id="14"/>
      <w:r w:rsidR="00EE6703" w:rsidRPr="00784FF6">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9412"/>
        <w:gridCol w:w="2268"/>
        <w:gridCol w:w="2268"/>
      </w:tblGrid>
      <w:tr w:rsidR="007F02C9" w:rsidRPr="00B30455" w14:paraId="6D3A7DD2" w14:textId="77777777" w:rsidTr="007F02C9">
        <w:trPr>
          <w:tblHeader/>
        </w:trPr>
        <w:tc>
          <w:tcPr>
            <w:tcW w:w="9412" w:type="dxa"/>
            <w:shd w:val="clear" w:color="auto" w:fill="auto"/>
          </w:tcPr>
          <w:p w14:paraId="20592A99" w14:textId="77777777" w:rsidR="007F02C9" w:rsidRPr="00B30455" w:rsidRDefault="007F02C9" w:rsidP="00B30455">
            <w:pPr>
              <w:pStyle w:val="TableofFigures"/>
              <w:rPr>
                <w:b/>
              </w:rPr>
            </w:pPr>
            <w:r w:rsidRPr="00B30455">
              <w:rPr>
                <w:b/>
              </w:rPr>
              <w:t>Initiative</w:t>
            </w:r>
          </w:p>
        </w:tc>
        <w:tc>
          <w:tcPr>
            <w:tcW w:w="2268" w:type="dxa"/>
            <w:shd w:val="clear" w:color="auto" w:fill="auto"/>
          </w:tcPr>
          <w:p w14:paraId="17C401C8" w14:textId="77777777" w:rsidR="007F02C9" w:rsidRPr="00B30455" w:rsidRDefault="007F02C9" w:rsidP="00B30455">
            <w:pPr>
              <w:pStyle w:val="TableofFigures"/>
              <w:rPr>
                <w:b/>
              </w:rPr>
            </w:pPr>
            <w:r w:rsidRPr="00B30455">
              <w:rPr>
                <w:b/>
              </w:rPr>
              <w:t>Council’s role</w:t>
            </w:r>
          </w:p>
        </w:tc>
        <w:tc>
          <w:tcPr>
            <w:tcW w:w="2268" w:type="dxa"/>
            <w:shd w:val="clear" w:color="auto" w:fill="auto"/>
          </w:tcPr>
          <w:p w14:paraId="55851319" w14:textId="77777777" w:rsidR="007F02C9" w:rsidRPr="00B30455" w:rsidRDefault="007F02C9" w:rsidP="00D8650A">
            <w:pPr>
              <w:pStyle w:val="TableofFigures"/>
              <w:rPr>
                <w:b/>
              </w:rPr>
            </w:pPr>
            <w:r w:rsidRPr="00B30455">
              <w:rPr>
                <w:b/>
              </w:rPr>
              <w:t>Our progress</w:t>
            </w:r>
          </w:p>
        </w:tc>
      </w:tr>
      <w:tr w:rsidR="007F02C9" w14:paraId="0D06D7B1" w14:textId="77777777" w:rsidTr="007F02C9">
        <w:tc>
          <w:tcPr>
            <w:tcW w:w="9412" w:type="dxa"/>
            <w:shd w:val="clear" w:color="auto" w:fill="auto"/>
          </w:tcPr>
          <w:p w14:paraId="77F9D606" w14:textId="77777777" w:rsidR="007F02C9" w:rsidRPr="00ED7D9E" w:rsidRDefault="007F02C9" w:rsidP="00B30455">
            <w:pPr>
              <w:pStyle w:val="TableofFigures"/>
              <w:rPr>
                <w:highlight w:val="yellow"/>
              </w:rPr>
            </w:pPr>
            <w:r w:rsidRPr="00ED7D9E">
              <w:t xml:space="preserve">Partner with the Victorian Government and other stakeholders to deliver specific components of </w:t>
            </w:r>
            <w:hyperlink r:id="rId12" w:history="1">
              <w:r w:rsidRPr="00ED7D9E">
                <w:rPr>
                  <w:rStyle w:val="Hyperlink"/>
                </w:rPr>
                <w:t>Greenline</w:t>
              </w:r>
            </w:hyperlink>
            <w:r w:rsidRPr="00ED7D9E">
              <w:rPr>
                <w:rStyle w:val="FootnoteReference"/>
              </w:rPr>
              <w:footnoteReference w:id="5"/>
            </w:r>
            <w:r w:rsidRPr="00ED7D9E">
              <w:t xml:space="preserve"> along the north bank of the Yarra River.</w:t>
            </w:r>
          </w:p>
        </w:tc>
        <w:tc>
          <w:tcPr>
            <w:tcW w:w="2268" w:type="dxa"/>
            <w:shd w:val="clear" w:color="auto" w:fill="auto"/>
          </w:tcPr>
          <w:p w14:paraId="4694A462" w14:textId="77777777" w:rsidR="007F02C9" w:rsidRPr="00ED7D9E" w:rsidRDefault="007F02C9" w:rsidP="00B30455">
            <w:pPr>
              <w:pStyle w:val="TableofFigures"/>
            </w:pPr>
            <w:r w:rsidRPr="00ED7D9E">
              <w:t>Deliver</w:t>
            </w:r>
            <w:r w:rsidRPr="00ED7D9E">
              <w:br/>
              <w:t>Partner</w:t>
            </w:r>
          </w:p>
        </w:tc>
        <w:tc>
          <w:tcPr>
            <w:tcW w:w="2268" w:type="dxa"/>
            <w:shd w:val="clear" w:color="auto" w:fill="auto"/>
          </w:tcPr>
          <w:p w14:paraId="4F731559" w14:textId="77777777" w:rsidR="007F02C9" w:rsidRPr="009E6BAD" w:rsidRDefault="00ED7D9E" w:rsidP="00B30455">
            <w:pPr>
              <w:pStyle w:val="TableofFigures"/>
            </w:pPr>
            <w:r w:rsidRPr="009E6BAD">
              <w:t>On track</w:t>
            </w:r>
          </w:p>
        </w:tc>
      </w:tr>
      <w:tr w:rsidR="00B272F4" w14:paraId="1D36F8CD" w14:textId="77777777" w:rsidTr="007C5296">
        <w:tc>
          <w:tcPr>
            <w:tcW w:w="9412" w:type="dxa"/>
            <w:shd w:val="clear" w:color="auto" w:fill="auto"/>
          </w:tcPr>
          <w:p w14:paraId="5A8D6B67" w14:textId="77777777" w:rsidR="00B272F4" w:rsidRPr="00D9253D" w:rsidRDefault="00B272F4" w:rsidP="007C5296">
            <w:pPr>
              <w:pStyle w:val="TableofFigures"/>
            </w:pPr>
            <w:r w:rsidRPr="00D9253D">
              <w:t xml:space="preserve">Protect </w:t>
            </w:r>
            <w:hyperlink r:id="rId13" w:history="1">
              <w:r w:rsidRPr="00D9253D">
                <w:rPr>
                  <w:rStyle w:val="Hyperlink"/>
                </w:rPr>
                <w:t>Queen Victoria Market</w:t>
              </w:r>
            </w:hyperlink>
            <w:bookmarkStart w:id="15" w:name="_Ref87020719"/>
            <w:r w:rsidRPr="00D9253D">
              <w:rPr>
                <w:rStyle w:val="FootnoteReference"/>
              </w:rPr>
              <w:footnoteReference w:id="6"/>
            </w:r>
            <w:bookmarkEnd w:id="15"/>
            <w:r w:rsidRPr="00D9253D">
              <w:t xml:space="preserve"> as a traditional open-air market.</w:t>
            </w:r>
          </w:p>
        </w:tc>
        <w:tc>
          <w:tcPr>
            <w:tcW w:w="2268" w:type="dxa"/>
            <w:shd w:val="clear" w:color="auto" w:fill="auto"/>
          </w:tcPr>
          <w:p w14:paraId="7E5E40E8" w14:textId="77777777" w:rsidR="00B272F4" w:rsidRPr="00784FF6" w:rsidRDefault="00B272F4" w:rsidP="007C5296">
            <w:pPr>
              <w:pStyle w:val="TableofFigures"/>
            </w:pPr>
            <w:r>
              <w:t>Deliver</w:t>
            </w:r>
          </w:p>
        </w:tc>
        <w:tc>
          <w:tcPr>
            <w:tcW w:w="2268" w:type="dxa"/>
            <w:shd w:val="clear" w:color="auto" w:fill="auto"/>
          </w:tcPr>
          <w:p w14:paraId="00ECF31B" w14:textId="77777777" w:rsidR="00B272F4" w:rsidRPr="009E6BAD" w:rsidRDefault="00B272F4" w:rsidP="007C5296">
            <w:pPr>
              <w:pStyle w:val="TableofFigures"/>
            </w:pPr>
            <w:r w:rsidRPr="009E6BAD">
              <w:t>Delayed</w:t>
            </w:r>
          </w:p>
        </w:tc>
      </w:tr>
      <w:tr w:rsidR="00B272F4" w14:paraId="2A06A380" w14:textId="77777777" w:rsidTr="007C5296">
        <w:tc>
          <w:tcPr>
            <w:tcW w:w="9412" w:type="dxa"/>
            <w:shd w:val="clear" w:color="auto" w:fill="auto"/>
          </w:tcPr>
          <w:p w14:paraId="60F38778" w14:textId="77777777" w:rsidR="00B272F4" w:rsidRPr="00D9253D" w:rsidRDefault="00B272F4" w:rsidP="007C5296">
            <w:pPr>
              <w:pStyle w:val="TableofFigures"/>
            </w:pPr>
            <w:r w:rsidRPr="00D9253D">
              <w:t xml:space="preserve">Deliver </w:t>
            </w:r>
            <w:hyperlink r:id="rId14" w:history="1">
              <w:r w:rsidRPr="00D9253D">
                <w:rPr>
                  <w:rStyle w:val="Hyperlink"/>
                </w:rPr>
                <w:t>Queen Victoria Market</w:t>
              </w:r>
            </w:hyperlink>
            <w:r w:rsidRPr="00D9253D">
              <w:rPr>
                <w:rStyle w:val="FootnoteReference"/>
              </w:rPr>
              <w:fldChar w:fldCharType="begin"/>
            </w:r>
            <w:r w:rsidRPr="00D9253D">
              <w:rPr>
                <w:rStyle w:val="FootnoteReference"/>
              </w:rPr>
              <w:instrText xml:space="preserve"> NOTEREF _Ref87020719 \h </w:instrText>
            </w:r>
            <w:r w:rsidRPr="00D9253D">
              <w:rPr>
                <w:rStyle w:val="FootnoteReference"/>
              </w:rPr>
            </w:r>
            <w:r w:rsidRPr="00D9253D">
              <w:rPr>
                <w:rStyle w:val="FootnoteReference"/>
              </w:rPr>
              <w:instrText xml:space="preserve"> \* MERGEFORMAT </w:instrText>
            </w:r>
            <w:r w:rsidRPr="00D9253D">
              <w:rPr>
                <w:rStyle w:val="FootnoteReference"/>
              </w:rPr>
              <w:fldChar w:fldCharType="separate"/>
            </w:r>
            <w:r w:rsidRPr="00D9253D">
              <w:rPr>
                <w:rStyle w:val="FootnoteReference"/>
              </w:rPr>
              <w:t>6</w:t>
            </w:r>
            <w:r w:rsidRPr="00D9253D">
              <w:rPr>
                <w:rStyle w:val="FootnoteReference"/>
              </w:rPr>
              <w:fldChar w:fldCharType="end"/>
            </w:r>
            <w:r w:rsidRPr="00D9253D">
              <w:t xml:space="preserve"> precinct improvements</w:t>
            </w:r>
            <w:r>
              <w:t xml:space="preserve"> </w:t>
            </w:r>
            <w:r w:rsidRPr="00B37735">
              <w:t>and Munro Community Hub.</w:t>
            </w:r>
          </w:p>
        </w:tc>
        <w:tc>
          <w:tcPr>
            <w:tcW w:w="2268" w:type="dxa"/>
            <w:shd w:val="clear" w:color="auto" w:fill="auto"/>
          </w:tcPr>
          <w:p w14:paraId="79A0F85F" w14:textId="77777777" w:rsidR="00B272F4" w:rsidRDefault="00B272F4" w:rsidP="007C5296">
            <w:pPr>
              <w:pStyle w:val="TableofFigures"/>
            </w:pPr>
            <w:r>
              <w:t>Deliver</w:t>
            </w:r>
          </w:p>
          <w:p w14:paraId="2F653AB7" w14:textId="77777777" w:rsidR="00B272F4" w:rsidRPr="00784FF6" w:rsidRDefault="00B272F4" w:rsidP="007C5296">
            <w:pPr>
              <w:pStyle w:val="TableofFigures"/>
            </w:pPr>
            <w:r>
              <w:t>Partner</w:t>
            </w:r>
          </w:p>
        </w:tc>
        <w:tc>
          <w:tcPr>
            <w:tcW w:w="2268" w:type="dxa"/>
            <w:shd w:val="clear" w:color="auto" w:fill="auto"/>
          </w:tcPr>
          <w:p w14:paraId="598A4F07" w14:textId="77777777" w:rsidR="00B272F4" w:rsidRPr="009E6BAD" w:rsidRDefault="004E1C37" w:rsidP="007C5296">
            <w:pPr>
              <w:pStyle w:val="TableofFigures"/>
            </w:pPr>
            <w:r>
              <w:t>Completed</w:t>
            </w:r>
          </w:p>
        </w:tc>
      </w:tr>
      <w:tr w:rsidR="00885607" w14:paraId="237F8886" w14:textId="77777777" w:rsidTr="007C5296">
        <w:tc>
          <w:tcPr>
            <w:tcW w:w="9412" w:type="dxa"/>
            <w:shd w:val="clear" w:color="auto" w:fill="auto"/>
          </w:tcPr>
          <w:p w14:paraId="5BBB24D0" w14:textId="77777777" w:rsidR="00885607" w:rsidRPr="00D9253D" w:rsidRDefault="00885607" w:rsidP="007C5296">
            <w:pPr>
              <w:pStyle w:val="TableofFigures"/>
            </w:pPr>
            <w:r w:rsidRPr="00D9253D">
              <w:t>Deliver public art projects that reflect Melbourne’s unique culture and heritage.</w:t>
            </w:r>
          </w:p>
        </w:tc>
        <w:tc>
          <w:tcPr>
            <w:tcW w:w="2268" w:type="dxa"/>
            <w:shd w:val="clear" w:color="auto" w:fill="auto"/>
          </w:tcPr>
          <w:p w14:paraId="35802C0F" w14:textId="77777777" w:rsidR="00885607" w:rsidRPr="00784FF6" w:rsidRDefault="00885607" w:rsidP="007C5296">
            <w:pPr>
              <w:pStyle w:val="TableofFigures"/>
            </w:pPr>
            <w:r>
              <w:t>Deliver</w:t>
            </w:r>
          </w:p>
        </w:tc>
        <w:tc>
          <w:tcPr>
            <w:tcW w:w="2268" w:type="dxa"/>
            <w:shd w:val="clear" w:color="auto" w:fill="auto"/>
          </w:tcPr>
          <w:p w14:paraId="112715E4" w14:textId="77777777" w:rsidR="00885607" w:rsidRPr="009E6BAD" w:rsidRDefault="00885607" w:rsidP="007C5296">
            <w:pPr>
              <w:pStyle w:val="TableofFigures"/>
            </w:pPr>
            <w:r w:rsidRPr="009E6BAD">
              <w:t>On track</w:t>
            </w:r>
          </w:p>
        </w:tc>
      </w:tr>
      <w:tr w:rsidR="004E1C37" w14:paraId="77AB19C3" w14:textId="77777777" w:rsidTr="007C5296">
        <w:tc>
          <w:tcPr>
            <w:tcW w:w="9412" w:type="dxa"/>
            <w:shd w:val="clear" w:color="auto" w:fill="auto"/>
          </w:tcPr>
          <w:p w14:paraId="6EA53519" w14:textId="77777777" w:rsidR="004E1C37" w:rsidRPr="00D9253D" w:rsidRDefault="004E1C37" w:rsidP="004E1C37">
            <w:pPr>
              <w:pStyle w:val="TableofFigures"/>
            </w:pPr>
            <w:r w:rsidRPr="00D9253D">
              <w:t>Increase the amount of public open space in the municipality with a focus on areas of greatest need.</w:t>
            </w:r>
          </w:p>
        </w:tc>
        <w:tc>
          <w:tcPr>
            <w:tcW w:w="2268" w:type="dxa"/>
            <w:shd w:val="clear" w:color="auto" w:fill="auto"/>
          </w:tcPr>
          <w:p w14:paraId="52F2F7AB" w14:textId="77777777" w:rsidR="004E1C37" w:rsidRPr="00784FF6" w:rsidRDefault="004E1C37" w:rsidP="004E1C37">
            <w:pPr>
              <w:pStyle w:val="TableofFigures"/>
            </w:pPr>
            <w:r>
              <w:t>Deliver</w:t>
            </w:r>
          </w:p>
        </w:tc>
        <w:tc>
          <w:tcPr>
            <w:tcW w:w="2268" w:type="dxa"/>
            <w:shd w:val="clear" w:color="auto" w:fill="auto"/>
          </w:tcPr>
          <w:p w14:paraId="4E143110" w14:textId="77777777" w:rsidR="004E1C37" w:rsidRPr="009E6BAD" w:rsidRDefault="004E1C37" w:rsidP="004E1C37">
            <w:pPr>
              <w:pStyle w:val="TableofFigures"/>
            </w:pPr>
            <w:r w:rsidRPr="00B201EE">
              <w:t>On track</w:t>
            </w:r>
          </w:p>
        </w:tc>
      </w:tr>
      <w:tr w:rsidR="004E1C37" w14:paraId="2BAD5760" w14:textId="77777777" w:rsidTr="007C5296">
        <w:tc>
          <w:tcPr>
            <w:tcW w:w="9412" w:type="dxa"/>
            <w:shd w:val="clear" w:color="auto" w:fill="auto"/>
          </w:tcPr>
          <w:p w14:paraId="7A083DB4" w14:textId="77777777" w:rsidR="004E1C37" w:rsidRPr="00D9253D" w:rsidRDefault="004E1C37" w:rsidP="004E1C37">
            <w:pPr>
              <w:pStyle w:val="TableofFigures"/>
            </w:pPr>
            <w:r w:rsidRPr="00D9253D">
              <w:t xml:space="preserve">Play a lead role in facilitating the delivery of high-quality and climate adapted urban renewal in </w:t>
            </w:r>
            <w:hyperlink r:id="rId15" w:history="1">
              <w:r w:rsidRPr="00D9253D">
                <w:rPr>
                  <w:rStyle w:val="Hyperlink"/>
                </w:rPr>
                <w:t>Arden</w:t>
              </w:r>
            </w:hyperlink>
            <w:r w:rsidRPr="00D9253D">
              <w:rPr>
                <w:rStyle w:val="FootnoteReference"/>
              </w:rPr>
              <w:footnoteReference w:id="7"/>
            </w:r>
            <w:r w:rsidRPr="00D9253D">
              <w:t xml:space="preserve"> and </w:t>
            </w:r>
            <w:hyperlink r:id="rId16" w:history="1">
              <w:r w:rsidRPr="00D9253D">
                <w:rPr>
                  <w:rStyle w:val="Hyperlink"/>
                </w:rPr>
                <w:t>Macaulay</w:t>
              </w:r>
            </w:hyperlink>
            <w:r w:rsidRPr="00D9253D">
              <w:rPr>
                <w:rStyle w:val="FootnoteReference"/>
              </w:rPr>
              <w:footnoteReference w:id="8"/>
            </w:r>
            <w:r w:rsidRPr="00D9253D">
              <w:t xml:space="preserve">, </w:t>
            </w:r>
            <w:hyperlink r:id="rId17" w:history="1">
              <w:r w:rsidRPr="00D9253D">
                <w:rPr>
                  <w:rStyle w:val="Hyperlink"/>
                </w:rPr>
                <w:t>Fishermans Bend</w:t>
              </w:r>
            </w:hyperlink>
            <w:r w:rsidRPr="00D9253D">
              <w:rPr>
                <w:rStyle w:val="FootnoteReference"/>
              </w:rPr>
              <w:footnoteReference w:id="9"/>
            </w:r>
            <w:r w:rsidRPr="00D9253D">
              <w:t>, and Docklands in partnership with the Victorian Government.</w:t>
            </w:r>
          </w:p>
        </w:tc>
        <w:tc>
          <w:tcPr>
            <w:tcW w:w="2268" w:type="dxa"/>
            <w:shd w:val="clear" w:color="auto" w:fill="auto"/>
          </w:tcPr>
          <w:p w14:paraId="293429F0" w14:textId="77777777" w:rsidR="004E1C37" w:rsidRPr="00784FF6" w:rsidRDefault="004E1C37" w:rsidP="004E1C37">
            <w:pPr>
              <w:pStyle w:val="TableofFigures"/>
            </w:pPr>
            <w:r w:rsidRPr="00B30455">
              <w:rPr>
                <w:lang w:val="en-AU"/>
              </w:rPr>
              <w:t xml:space="preserve">Partner </w:t>
            </w:r>
          </w:p>
        </w:tc>
        <w:tc>
          <w:tcPr>
            <w:tcW w:w="2268" w:type="dxa"/>
            <w:shd w:val="clear" w:color="auto" w:fill="auto"/>
          </w:tcPr>
          <w:p w14:paraId="5139A64A" w14:textId="77777777" w:rsidR="004E1C37" w:rsidRPr="009E6BAD" w:rsidRDefault="004E1C37" w:rsidP="004E1C37">
            <w:pPr>
              <w:pStyle w:val="TableofFigures"/>
            </w:pPr>
            <w:r w:rsidRPr="00B201EE">
              <w:t>On track</w:t>
            </w:r>
          </w:p>
        </w:tc>
      </w:tr>
      <w:tr w:rsidR="00885607" w14:paraId="0D55BB23" w14:textId="77777777" w:rsidTr="007C5296">
        <w:tc>
          <w:tcPr>
            <w:tcW w:w="9412" w:type="dxa"/>
            <w:shd w:val="clear" w:color="auto" w:fill="auto"/>
          </w:tcPr>
          <w:p w14:paraId="33FDC655" w14:textId="77777777" w:rsidR="00885607" w:rsidRPr="00D9253D" w:rsidRDefault="00885607" w:rsidP="007C5296">
            <w:pPr>
              <w:pStyle w:val="TableofFigures"/>
            </w:pPr>
            <w:r w:rsidRPr="00D9253D">
              <w:t>Facilitate increased investment in unique Melbourne events to further activate and celebrate the city.</w:t>
            </w:r>
          </w:p>
        </w:tc>
        <w:tc>
          <w:tcPr>
            <w:tcW w:w="2268" w:type="dxa"/>
            <w:shd w:val="clear" w:color="auto" w:fill="auto"/>
          </w:tcPr>
          <w:p w14:paraId="29AE7728" w14:textId="77777777" w:rsidR="00885607" w:rsidRPr="00784FF6" w:rsidRDefault="00885607" w:rsidP="007C5296">
            <w:pPr>
              <w:pStyle w:val="TableofFigures"/>
            </w:pPr>
            <w:r w:rsidRPr="00B30455">
              <w:t>Partner</w:t>
            </w:r>
          </w:p>
        </w:tc>
        <w:tc>
          <w:tcPr>
            <w:tcW w:w="2268" w:type="dxa"/>
            <w:shd w:val="clear" w:color="auto" w:fill="auto"/>
          </w:tcPr>
          <w:p w14:paraId="251E0FED" w14:textId="77777777" w:rsidR="00885607" w:rsidRPr="00784FF6" w:rsidRDefault="004E1C37" w:rsidP="007C5296">
            <w:pPr>
              <w:pStyle w:val="TableofFigures"/>
            </w:pPr>
            <w:r>
              <w:t>Completed</w:t>
            </w:r>
          </w:p>
        </w:tc>
      </w:tr>
      <w:tr w:rsidR="009E6BAD" w14:paraId="179FA243" w14:textId="77777777" w:rsidTr="007F02C9">
        <w:tc>
          <w:tcPr>
            <w:tcW w:w="9412" w:type="dxa"/>
            <w:shd w:val="clear" w:color="auto" w:fill="auto"/>
          </w:tcPr>
          <w:p w14:paraId="2CF8DE7F" w14:textId="77777777" w:rsidR="009E6BAD" w:rsidRPr="00D9253D" w:rsidRDefault="009E6BAD" w:rsidP="009E6BAD">
            <w:pPr>
              <w:pStyle w:val="TableofFigures"/>
            </w:pPr>
            <w:r w:rsidRPr="00D9253D">
              <w:t xml:space="preserve">Celebrate, partner and advocate for investment in the city’s three key waterways, the </w:t>
            </w:r>
            <w:hyperlink r:id="rId18" w:history="1">
              <w:r w:rsidRPr="00D9253D">
                <w:rPr>
                  <w:rStyle w:val="Hyperlink"/>
                </w:rPr>
                <w:t>Yarra River-Birrarung</w:t>
              </w:r>
            </w:hyperlink>
            <w:r w:rsidRPr="00D9253D">
              <w:rPr>
                <w:rStyle w:val="FootnoteReference"/>
              </w:rPr>
              <w:footnoteReference w:id="10"/>
            </w:r>
            <w:r w:rsidRPr="00D9253D">
              <w:t>, the Maribyrnong and Moonee Ponds Creek.</w:t>
            </w:r>
          </w:p>
        </w:tc>
        <w:tc>
          <w:tcPr>
            <w:tcW w:w="2268" w:type="dxa"/>
            <w:shd w:val="clear" w:color="auto" w:fill="auto"/>
          </w:tcPr>
          <w:p w14:paraId="627C6B20" w14:textId="77777777" w:rsidR="009E6BAD" w:rsidRPr="00784FF6" w:rsidRDefault="009E6BAD" w:rsidP="009E6BAD">
            <w:pPr>
              <w:pStyle w:val="TableofFigures"/>
            </w:pPr>
            <w:r>
              <w:t>Partner</w:t>
            </w:r>
            <w:r>
              <w:br/>
              <w:t>Advocate</w:t>
            </w:r>
          </w:p>
        </w:tc>
        <w:tc>
          <w:tcPr>
            <w:tcW w:w="2268" w:type="dxa"/>
            <w:shd w:val="clear" w:color="auto" w:fill="auto"/>
          </w:tcPr>
          <w:p w14:paraId="5A26A548" w14:textId="77777777" w:rsidR="009E6BAD" w:rsidRPr="009E6BAD" w:rsidRDefault="009E6BAD" w:rsidP="009E6BAD">
            <w:pPr>
              <w:pStyle w:val="TableofFigures"/>
            </w:pPr>
            <w:r w:rsidRPr="009E6BAD">
              <w:t>On track</w:t>
            </w:r>
          </w:p>
        </w:tc>
      </w:tr>
      <w:tr w:rsidR="009E6BAD" w14:paraId="3B247432" w14:textId="77777777" w:rsidTr="007F02C9">
        <w:tc>
          <w:tcPr>
            <w:tcW w:w="9412" w:type="dxa"/>
            <w:shd w:val="clear" w:color="auto" w:fill="auto"/>
          </w:tcPr>
          <w:p w14:paraId="6220956B" w14:textId="77777777" w:rsidR="009E6BAD" w:rsidRPr="00D9253D" w:rsidRDefault="009E6BAD" w:rsidP="009E6BAD">
            <w:pPr>
              <w:pStyle w:val="TableofFigures"/>
            </w:pPr>
            <w:r w:rsidRPr="00D9253D">
              <w:t>Adopt the Municipal Planning Strategy in 2022-23.</w:t>
            </w:r>
          </w:p>
        </w:tc>
        <w:tc>
          <w:tcPr>
            <w:tcW w:w="2268" w:type="dxa"/>
            <w:shd w:val="clear" w:color="auto" w:fill="auto"/>
          </w:tcPr>
          <w:p w14:paraId="171102BD" w14:textId="77777777" w:rsidR="009E6BAD" w:rsidRPr="00784FF6" w:rsidRDefault="009E6BAD" w:rsidP="009E6BAD">
            <w:pPr>
              <w:pStyle w:val="TableofFigures"/>
            </w:pPr>
            <w:r>
              <w:t>Partner</w:t>
            </w:r>
          </w:p>
        </w:tc>
        <w:tc>
          <w:tcPr>
            <w:tcW w:w="2268" w:type="dxa"/>
            <w:shd w:val="clear" w:color="auto" w:fill="auto"/>
          </w:tcPr>
          <w:p w14:paraId="02A2D079" w14:textId="77777777" w:rsidR="009E6BAD" w:rsidRPr="009E6BAD" w:rsidRDefault="004E1C37" w:rsidP="009E6BAD">
            <w:pPr>
              <w:pStyle w:val="TableofFigures"/>
            </w:pPr>
            <w:r w:rsidRPr="009E6BAD">
              <w:t>On track</w:t>
            </w:r>
          </w:p>
        </w:tc>
      </w:tr>
      <w:tr w:rsidR="009E6BAD" w14:paraId="33718AE9" w14:textId="77777777" w:rsidTr="007F02C9">
        <w:tc>
          <w:tcPr>
            <w:tcW w:w="9412" w:type="dxa"/>
            <w:tcBorders>
              <w:top w:val="single" w:sz="4" w:space="0" w:color="auto"/>
              <w:left w:val="single" w:sz="4" w:space="0" w:color="auto"/>
              <w:bottom w:val="single" w:sz="4" w:space="0" w:color="auto"/>
              <w:right w:val="single" w:sz="4" w:space="0" w:color="auto"/>
            </w:tcBorders>
            <w:shd w:val="clear" w:color="auto" w:fill="auto"/>
          </w:tcPr>
          <w:p w14:paraId="008A6B87" w14:textId="77777777" w:rsidR="009E6BAD" w:rsidRPr="00D9253D" w:rsidRDefault="009E6BAD" w:rsidP="009E6BAD">
            <w:pPr>
              <w:pStyle w:val="TableofFigures"/>
            </w:pPr>
            <w:r w:rsidRPr="00D9253D">
              <w:t>Complete heritage reviews and implement associated planning scheme amendments to protect and celebrate heritage in our municipality.</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94BB77D" w14:textId="77777777" w:rsidR="009E6BAD" w:rsidRDefault="009E6BAD" w:rsidP="009E6BAD">
            <w:pPr>
              <w:pStyle w:val="TableofFigures"/>
            </w:pPr>
            <w:r w:rsidRPr="00A7205E">
              <w:t>Deliver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8CB1F03" w14:textId="77777777" w:rsidR="009E6BAD" w:rsidRPr="009E6BAD" w:rsidRDefault="009E6BAD" w:rsidP="009E6BAD">
            <w:pPr>
              <w:pStyle w:val="TableofFigures"/>
            </w:pPr>
            <w:r w:rsidRPr="009E6BAD">
              <w:t>On track</w:t>
            </w:r>
          </w:p>
        </w:tc>
      </w:tr>
      <w:tr w:rsidR="009E6BAD" w14:paraId="599B3447" w14:textId="77777777" w:rsidTr="007F02C9">
        <w:tc>
          <w:tcPr>
            <w:tcW w:w="9412" w:type="dxa"/>
            <w:shd w:val="clear" w:color="auto" w:fill="auto"/>
          </w:tcPr>
          <w:p w14:paraId="25EAD7CD" w14:textId="77777777" w:rsidR="009E6BAD" w:rsidRPr="00D9253D" w:rsidRDefault="009E6BAD" w:rsidP="009E6BAD">
            <w:pPr>
              <w:pStyle w:val="TableofFigures"/>
            </w:pPr>
            <w:r w:rsidRPr="00D9253D">
              <w:t xml:space="preserve">Champion high quality development and public realm design through delivering the </w:t>
            </w:r>
            <w:r w:rsidRPr="00D9253D">
              <w:rPr>
                <w:rStyle w:val="Hyperlink"/>
              </w:rPr>
              <w:t>Design Excellence Program</w:t>
            </w:r>
            <w:r w:rsidRPr="00D9253D">
              <w:rPr>
                <w:rStyle w:val="FootnoteReference"/>
              </w:rPr>
              <w:footnoteReference w:id="11"/>
            </w:r>
            <w:r w:rsidRPr="00D9253D">
              <w:t>.</w:t>
            </w:r>
          </w:p>
        </w:tc>
        <w:tc>
          <w:tcPr>
            <w:tcW w:w="2268" w:type="dxa"/>
            <w:shd w:val="clear" w:color="auto" w:fill="auto"/>
          </w:tcPr>
          <w:p w14:paraId="3D658E11" w14:textId="77777777" w:rsidR="009E6BAD" w:rsidRDefault="009E6BAD" w:rsidP="009E6BAD">
            <w:pPr>
              <w:pStyle w:val="TableofFigures"/>
            </w:pPr>
            <w:r w:rsidRPr="00A7205E">
              <w:t>Deliver</w:t>
            </w:r>
          </w:p>
        </w:tc>
        <w:tc>
          <w:tcPr>
            <w:tcW w:w="2268" w:type="dxa"/>
            <w:shd w:val="clear" w:color="auto" w:fill="auto"/>
          </w:tcPr>
          <w:p w14:paraId="7C07FDA9" w14:textId="77777777" w:rsidR="009E6BAD" w:rsidRPr="00784FF6" w:rsidRDefault="009E6BAD" w:rsidP="009E6BAD">
            <w:pPr>
              <w:pStyle w:val="TableofFigures"/>
            </w:pPr>
            <w:r>
              <w:t>On track</w:t>
            </w:r>
          </w:p>
        </w:tc>
      </w:tr>
    </w:tbl>
    <w:p w14:paraId="3231799C" w14:textId="77777777" w:rsidR="002B3919" w:rsidRDefault="002B3919" w:rsidP="007F02C9">
      <w:pPr>
        <w:pStyle w:val="Heading2"/>
        <w:rPr>
          <w:rFonts w:hint="eastAsia"/>
        </w:rPr>
      </w:pPr>
    </w:p>
    <w:p w14:paraId="2F132C24" w14:textId="77777777" w:rsidR="007F02C9" w:rsidRPr="00CF27A2" w:rsidRDefault="002B3919" w:rsidP="007F02C9">
      <w:pPr>
        <w:pStyle w:val="Heading2"/>
      </w:pPr>
      <w:r>
        <w:rPr>
          <w:rFonts w:hint="eastAsia"/>
        </w:rPr>
        <w:br w:type="page"/>
      </w:r>
      <w:bookmarkStart w:id="16" w:name="_Toc193203094"/>
      <w:r w:rsidR="007F02C9">
        <w:t xml:space="preserve">How we’re measuring progress over four </w:t>
      </w:r>
      <w:proofErr w:type="gramStart"/>
      <w:r w:rsidR="007F02C9">
        <w:t>years</w:t>
      </w:r>
      <w:bookmarkEnd w:id="16"/>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9412"/>
        <w:gridCol w:w="4537"/>
      </w:tblGrid>
      <w:tr w:rsidR="007F02C9" w14:paraId="773A6808" w14:textId="77777777" w:rsidTr="0052081B">
        <w:trPr>
          <w:tblHeader/>
        </w:trPr>
        <w:tc>
          <w:tcPr>
            <w:tcW w:w="9412" w:type="dxa"/>
            <w:shd w:val="clear" w:color="auto" w:fill="auto"/>
          </w:tcPr>
          <w:p w14:paraId="0D912C16" w14:textId="77777777" w:rsidR="007F02C9" w:rsidRPr="00784FF6" w:rsidRDefault="007F02C9" w:rsidP="0052081B">
            <w:pPr>
              <w:pStyle w:val="TableofFigures"/>
              <w:rPr>
                <w:b/>
              </w:rPr>
            </w:pPr>
            <w:r>
              <w:rPr>
                <w:b/>
              </w:rPr>
              <w:t>Indicator</w:t>
            </w:r>
          </w:p>
        </w:tc>
        <w:tc>
          <w:tcPr>
            <w:tcW w:w="4537" w:type="dxa"/>
            <w:shd w:val="clear" w:color="auto" w:fill="auto"/>
          </w:tcPr>
          <w:p w14:paraId="1554F4A7" w14:textId="77777777" w:rsidR="007F02C9" w:rsidRPr="00784FF6" w:rsidRDefault="007F02C9" w:rsidP="0052081B">
            <w:pPr>
              <w:pStyle w:val="TableofFigures"/>
              <w:rPr>
                <w:b/>
              </w:rPr>
            </w:pPr>
            <w:r>
              <w:rPr>
                <w:b/>
              </w:rPr>
              <w:t>Target outcome</w:t>
            </w:r>
          </w:p>
        </w:tc>
      </w:tr>
      <w:tr w:rsidR="007F02C9" w14:paraId="4BBC14D4" w14:textId="77777777" w:rsidTr="0052081B">
        <w:tc>
          <w:tcPr>
            <w:tcW w:w="9412" w:type="dxa"/>
            <w:shd w:val="clear" w:color="auto" w:fill="auto"/>
          </w:tcPr>
          <w:p w14:paraId="16B5F20C" w14:textId="77777777" w:rsidR="007F02C9" w:rsidRPr="0053250D" w:rsidRDefault="007F02C9" w:rsidP="000571FF">
            <w:pPr>
              <w:pStyle w:val="TableofFigures"/>
            </w:pPr>
            <w:r w:rsidRPr="0053250D">
              <w:t>Proportion of residents within 300m of public open space.</w:t>
            </w:r>
          </w:p>
        </w:tc>
        <w:tc>
          <w:tcPr>
            <w:tcW w:w="4537" w:type="dxa"/>
            <w:shd w:val="clear" w:color="auto" w:fill="auto"/>
          </w:tcPr>
          <w:p w14:paraId="5D1362A4" w14:textId="77777777" w:rsidR="007F02C9" w:rsidRPr="0053250D" w:rsidRDefault="007F02C9" w:rsidP="000571FF">
            <w:pPr>
              <w:pStyle w:val="TableofFigures"/>
            </w:pPr>
            <w:r w:rsidRPr="0053250D">
              <w:t>Increase</w:t>
            </w:r>
          </w:p>
        </w:tc>
      </w:tr>
      <w:tr w:rsidR="007F02C9" w14:paraId="26320CFD" w14:textId="77777777" w:rsidTr="0052081B">
        <w:tc>
          <w:tcPr>
            <w:tcW w:w="9412" w:type="dxa"/>
            <w:shd w:val="clear" w:color="auto" w:fill="auto"/>
          </w:tcPr>
          <w:p w14:paraId="0977EE66" w14:textId="77777777" w:rsidR="007F02C9" w:rsidRPr="0053250D" w:rsidRDefault="007F02C9" w:rsidP="000571FF">
            <w:pPr>
              <w:pStyle w:val="TableofFigures"/>
            </w:pPr>
            <w:r w:rsidRPr="0053250D">
              <w:t>Proportion of people surveyed who visit a park in the municipality on a regular basis.</w:t>
            </w:r>
          </w:p>
        </w:tc>
        <w:tc>
          <w:tcPr>
            <w:tcW w:w="4537" w:type="dxa"/>
            <w:shd w:val="clear" w:color="auto" w:fill="auto"/>
          </w:tcPr>
          <w:p w14:paraId="59016950" w14:textId="77777777" w:rsidR="007F02C9" w:rsidRPr="0053250D" w:rsidRDefault="007F02C9" w:rsidP="000571FF">
            <w:pPr>
              <w:pStyle w:val="TableofFigures"/>
            </w:pPr>
            <w:r w:rsidRPr="0053250D">
              <w:t>Increase</w:t>
            </w:r>
          </w:p>
        </w:tc>
      </w:tr>
      <w:tr w:rsidR="007F02C9" w14:paraId="05500D59" w14:textId="77777777" w:rsidTr="0052081B">
        <w:tc>
          <w:tcPr>
            <w:tcW w:w="9412" w:type="dxa"/>
            <w:shd w:val="clear" w:color="auto" w:fill="auto"/>
          </w:tcPr>
          <w:p w14:paraId="6929011A" w14:textId="77777777" w:rsidR="007F02C9" w:rsidRPr="0053250D" w:rsidRDefault="007F02C9" w:rsidP="000571FF">
            <w:pPr>
              <w:pStyle w:val="TableofFigures"/>
            </w:pPr>
            <w:r w:rsidRPr="0053250D">
              <w:t>Area of new public open space in Southbank.</w:t>
            </w:r>
          </w:p>
        </w:tc>
        <w:tc>
          <w:tcPr>
            <w:tcW w:w="4537" w:type="dxa"/>
            <w:shd w:val="clear" w:color="auto" w:fill="auto"/>
          </w:tcPr>
          <w:p w14:paraId="651C2F50" w14:textId="77777777" w:rsidR="007F02C9" w:rsidRPr="0053250D" w:rsidRDefault="007F02C9" w:rsidP="000571FF">
            <w:pPr>
              <w:pStyle w:val="TableofFigures"/>
            </w:pPr>
            <w:r w:rsidRPr="0053250D">
              <w:t>1.1ha (by 2025)</w:t>
            </w:r>
          </w:p>
        </w:tc>
      </w:tr>
      <w:tr w:rsidR="007F02C9" w14:paraId="14DE752C" w14:textId="77777777" w:rsidTr="0052081B">
        <w:tc>
          <w:tcPr>
            <w:tcW w:w="9412" w:type="dxa"/>
            <w:shd w:val="clear" w:color="auto" w:fill="auto"/>
          </w:tcPr>
          <w:p w14:paraId="6B1CB76B" w14:textId="77777777" w:rsidR="007F02C9" w:rsidRPr="0053250D" w:rsidRDefault="007F02C9" w:rsidP="000571FF">
            <w:pPr>
              <w:pStyle w:val="TableofFigures"/>
            </w:pPr>
            <w:r w:rsidRPr="0053250D">
              <w:t>Neighbourhoods in the municipality with up-to-date local heritage studies and controls.</w:t>
            </w:r>
          </w:p>
        </w:tc>
        <w:tc>
          <w:tcPr>
            <w:tcW w:w="4537" w:type="dxa"/>
            <w:shd w:val="clear" w:color="auto" w:fill="auto"/>
          </w:tcPr>
          <w:p w14:paraId="47B56487" w14:textId="77777777" w:rsidR="007F02C9" w:rsidRPr="0053250D" w:rsidRDefault="006E1D3A" w:rsidP="000571FF">
            <w:pPr>
              <w:pStyle w:val="TableofFigures"/>
            </w:pPr>
            <w:r w:rsidRPr="0053250D">
              <w:t>100%</w:t>
            </w:r>
          </w:p>
        </w:tc>
      </w:tr>
      <w:tr w:rsidR="007F02C9" w14:paraId="279F3945" w14:textId="77777777" w:rsidTr="0052081B">
        <w:tc>
          <w:tcPr>
            <w:tcW w:w="9412" w:type="dxa"/>
            <w:shd w:val="clear" w:color="auto" w:fill="auto"/>
          </w:tcPr>
          <w:p w14:paraId="3541E291" w14:textId="77777777" w:rsidR="007F02C9" w:rsidRPr="0053250D" w:rsidRDefault="006E1D3A" w:rsidP="000571FF">
            <w:pPr>
              <w:pStyle w:val="TableofFigures"/>
            </w:pPr>
            <w:r w:rsidRPr="0053250D">
              <w:t xml:space="preserve">Proportion of people who support the city being made up of </w:t>
            </w:r>
            <w:proofErr w:type="gramStart"/>
            <w:r w:rsidRPr="0053250D">
              <w:t>different cultures</w:t>
            </w:r>
            <w:proofErr w:type="gramEnd"/>
            <w:r w:rsidRPr="0053250D">
              <w:t>.</w:t>
            </w:r>
          </w:p>
        </w:tc>
        <w:tc>
          <w:tcPr>
            <w:tcW w:w="4537" w:type="dxa"/>
            <w:shd w:val="clear" w:color="auto" w:fill="auto"/>
          </w:tcPr>
          <w:p w14:paraId="3B9D9663" w14:textId="77777777" w:rsidR="007F02C9" w:rsidRPr="0053250D" w:rsidRDefault="007F02C9" w:rsidP="000571FF">
            <w:pPr>
              <w:pStyle w:val="TableofFigures"/>
            </w:pPr>
            <w:r w:rsidRPr="0053250D">
              <w:t>100%</w:t>
            </w:r>
          </w:p>
        </w:tc>
      </w:tr>
      <w:tr w:rsidR="006E1D3A" w14:paraId="5977FFA5" w14:textId="77777777" w:rsidTr="0052081B">
        <w:tc>
          <w:tcPr>
            <w:tcW w:w="9412" w:type="dxa"/>
            <w:shd w:val="clear" w:color="auto" w:fill="auto"/>
          </w:tcPr>
          <w:p w14:paraId="2264D5B9" w14:textId="77777777" w:rsidR="006E1D3A" w:rsidRPr="00053192" w:rsidRDefault="006E1D3A" w:rsidP="000571FF">
            <w:pPr>
              <w:pStyle w:val="TableofFigures"/>
            </w:pPr>
            <w:r w:rsidRPr="00053192">
              <w:t>Value of the creative sector to the local economy.</w:t>
            </w:r>
          </w:p>
        </w:tc>
        <w:tc>
          <w:tcPr>
            <w:tcW w:w="4537" w:type="dxa"/>
            <w:shd w:val="clear" w:color="auto" w:fill="auto"/>
          </w:tcPr>
          <w:p w14:paraId="1167E2E4" w14:textId="77777777" w:rsidR="006E1D3A" w:rsidRPr="00053192" w:rsidRDefault="006E1D3A" w:rsidP="000571FF">
            <w:pPr>
              <w:pStyle w:val="TableofFigures"/>
            </w:pPr>
            <w:r w:rsidRPr="00053192">
              <w:t>Increase</w:t>
            </w:r>
          </w:p>
        </w:tc>
      </w:tr>
      <w:tr w:rsidR="006E1D3A" w14:paraId="6302B911" w14:textId="77777777" w:rsidTr="0052081B">
        <w:tc>
          <w:tcPr>
            <w:tcW w:w="9412" w:type="dxa"/>
            <w:shd w:val="clear" w:color="auto" w:fill="auto"/>
          </w:tcPr>
          <w:p w14:paraId="6B974D55" w14:textId="77777777" w:rsidR="006E1D3A" w:rsidRPr="00053192" w:rsidRDefault="006E1D3A" w:rsidP="000571FF">
            <w:pPr>
              <w:pStyle w:val="TableofFigures"/>
            </w:pPr>
            <w:r w:rsidRPr="00053192">
              <w:t>The number of creative spaces in the municipality.</w:t>
            </w:r>
          </w:p>
        </w:tc>
        <w:tc>
          <w:tcPr>
            <w:tcW w:w="4537" w:type="dxa"/>
            <w:shd w:val="clear" w:color="auto" w:fill="auto"/>
          </w:tcPr>
          <w:p w14:paraId="267EA167" w14:textId="77777777" w:rsidR="006E1D3A" w:rsidRPr="00053192" w:rsidRDefault="006E1D3A" w:rsidP="000571FF">
            <w:pPr>
              <w:pStyle w:val="TableofFigures"/>
            </w:pPr>
            <w:r w:rsidRPr="00053192">
              <w:t>Increase</w:t>
            </w:r>
          </w:p>
        </w:tc>
      </w:tr>
      <w:tr w:rsidR="006E1D3A" w14:paraId="2C0D8747" w14:textId="77777777" w:rsidTr="0052081B">
        <w:tc>
          <w:tcPr>
            <w:tcW w:w="9412" w:type="dxa"/>
            <w:shd w:val="clear" w:color="auto" w:fill="auto"/>
          </w:tcPr>
          <w:p w14:paraId="7A82BA68" w14:textId="77777777" w:rsidR="006E1D3A" w:rsidRPr="00053192" w:rsidRDefault="006E1D3A" w:rsidP="000571FF">
            <w:pPr>
              <w:pStyle w:val="TableofFigures"/>
            </w:pPr>
            <w:r w:rsidRPr="006E1D3A">
              <w:t xml:space="preserve">The number of artists supported by City of Melbourne through city planning, </w:t>
            </w:r>
            <w:proofErr w:type="gramStart"/>
            <w:r w:rsidRPr="006E1D3A">
              <w:t>design</w:t>
            </w:r>
            <w:proofErr w:type="gramEnd"/>
            <w:r w:rsidRPr="006E1D3A">
              <w:t xml:space="preserve"> and city operations.</w:t>
            </w:r>
          </w:p>
        </w:tc>
        <w:tc>
          <w:tcPr>
            <w:tcW w:w="4537" w:type="dxa"/>
            <w:shd w:val="clear" w:color="auto" w:fill="auto"/>
          </w:tcPr>
          <w:p w14:paraId="043623F1" w14:textId="77777777" w:rsidR="006E1D3A" w:rsidRPr="00053192" w:rsidRDefault="006E1D3A" w:rsidP="000571FF">
            <w:pPr>
              <w:pStyle w:val="TableofFigures"/>
            </w:pPr>
            <w:r w:rsidRPr="00053192">
              <w:t>Increase</w:t>
            </w:r>
          </w:p>
        </w:tc>
      </w:tr>
      <w:tr w:rsidR="006E1D3A" w14:paraId="158039B6" w14:textId="77777777" w:rsidTr="0052081B">
        <w:tc>
          <w:tcPr>
            <w:tcW w:w="9412" w:type="dxa"/>
            <w:shd w:val="clear" w:color="auto" w:fill="auto"/>
          </w:tcPr>
          <w:p w14:paraId="1E0B8783" w14:textId="77777777" w:rsidR="006E1D3A" w:rsidRPr="00053192" w:rsidRDefault="006E1D3A" w:rsidP="000571FF">
            <w:pPr>
              <w:pStyle w:val="TableofFigures"/>
            </w:pPr>
            <w:r w:rsidRPr="006E1D3A">
              <w:t>The number of design reviews of major projects.</w:t>
            </w:r>
          </w:p>
        </w:tc>
        <w:tc>
          <w:tcPr>
            <w:tcW w:w="4537" w:type="dxa"/>
            <w:shd w:val="clear" w:color="auto" w:fill="auto"/>
          </w:tcPr>
          <w:p w14:paraId="3B5A6277" w14:textId="77777777" w:rsidR="006E1D3A" w:rsidRPr="00053192" w:rsidRDefault="006E1D3A" w:rsidP="000571FF">
            <w:pPr>
              <w:pStyle w:val="TableofFigures"/>
            </w:pPr>
            <w:r w:rsidRPr="00053192">
              <w:t>Increase</w:t>
            </w:r>
          </w:p>
        </w:tc>
      </w:tr>
    </w:tbl>
    <w:p w14:paraId="7332C3B8" w14:textId="77777777" w:rsidR="005735E1" w:rsidRDefault="007F02C9" w:rsidP="00D8650A">
      <w:pPr>
        <w:pStyle w:val="Heading1"/>
        <w:spacing w:before="0"/>
      </w:pPr>
      <w:r>
        <w:br w:type="page"/>
      </w:r>
      <w:bookmarkStart w:id="17" w:name="_Toc193203095"/>
      <w:r w:rsidR="005735E1" w:rsidRPr="005735E1">
        <w:t>Aboriginal Melbourne</w:t>
      </w:r>
      <w:bookmarkEnd w:id="17"/>
    </w:p>
    <w:p w14:paraId="7D8B6A6B" w14:textId="77777777" w:rsidR="005735E1" w:rsidRDefault="0038645E" w:rsidP="005735E1">
      <w:r w:rsidRPr="0038645E">
        <w:t xml:space="preserve">For the Wurundjeri, Bunurong, </w:t>
      </w:r>
      <w:proofErr w:type="spellStart"/>
      <w:r w:rsidRPr="0038645E">
        <w:t>Taungurung</w:t>
      </w:r>
      <w:proofErr w:type="spellEnd"/>
      <w:r w:rsidRPr="0038645E">
        <w:t xml:space="preserve">, Dja </w:t>
      </w:r>
      <w:proofErr w:type="spellStart"/>
      <w:r w:rsidRPr="0038645E">
        <w:t>Dja</w:t>
      </w:r>
      <w:proofErr w:type="spellEnd"/>
      <w:r w:rsidRPr="0038645E">
        <w:t xml:space="preserve"> Wurrung and </w:t>
      </w:r>
      <w:proofErr w:type="spellStart"/>
      <w:r w:rsidRPr="0038645E">
        <w:t>Wadawurrung</w:t>
      </w:r>
      <w:proofErr w:type="spellEnd"/>
      <w:r w:rsidRPr="0038645E">
        <w:t xml:space="preserve"> peoples of the Eastern Kulin, the place now known as Melbourne has always been an important meeting place and location for events of political, cultural, social and educational significance. Over the next four years, we will ensure that First Peoples’ culture, lore, knowledge, and heritage enrich the city’s growth and development.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4A0" w:firstRow="1" w:lastRow="0" w:firstColumn="1" w:lastColumn="0" w:noHBand="0" w:noVBand="1"/>
      </w:tblPr>
      <w:tblGrid>
        <w:gridCol w:w="14062"/>
      </w:tblGrid>
      <w:tr w:rsidR="005735E1" w14:paraId="0406E7D7" w14:textId="77777777" w:rsidTr="00004EFF">
        <w:tc>
          <w:tcPr>
            <w:tcW w:w="14062" w:type="dxa"/>
            <w:shd w:val="clear" w:color="auto" w:fill="auto"/>
          </w:tcPr>
          <w:p w14:paraId="687E7F62" w14:textId="77777777" w:rsidR="009E6BAD" w:rsidRPr="00D367C9" w:rsidRDefault="009E6BAD" w:rsidP="009E6BAD">
            <w:pPr>
              <w:pStyle w:val="Heading2"/>
              <w:spacing w:before="0"/>
            </w:pPr>
            <w:bookmarkStart w:id="18" w:name="_Toc193203096"/>
            <w:r w:rsidRPr="00D367C9">
              <w:t>Highlights for quarter three (</w:t>
            </w:r>
            <w:r w:rsidR="004E7833">
              <w:t>April to June</w:t>
            </w:r>
            <w:r w:rsidRPr="00D367C9">
              <w:t xml:space="preserve"> 202</w:t>
            </w:r>
            <w:r w:rsidR="004E1C37">
              <w:t>4</w:t>
            </w:r>
            <w:r w:rsidRPr="00D367C9">
              <w:t>)</w:t>
            </w:r>
            <w:bookmarkEnd w:id="18"/>
          </w:p>
          <w:p w14:paraId="57E9BDD3" w14:textId="77777777" w:rsidR="004E1C37" w:rsidRPr="004E1C37" w:rsidRDefault="004E1C37" w:rsidP="004E1C37">
            <w:r w:rsidRPr="004E1C37">
              <w:t>Shortlisted artists for the Stolen Generation Marker are continuing to develop their concept design</w:t>
            </w:r>
            <w:r>
              <w:t xml:space="preserve"> </w:t>
            </w:r>
            <w:r w:rsidRPr="004E1C37">
              <w:t>for submission to the Working Group. The submission date was extended until mid-June with the</w:t>
            </w:r>
            <w:r>
              <w:t xml:space="preserve"> </w:t>
            </w:r>
            <w:r w:rsidRPr="004E1C37">
              <w:t xml:space="preserve">working group scheduled to </w:t>
            </w:r>
            <w:proofErr w:type="gramStart"/>
            <w:r w:rsidRPr="004E1C37">
              <w:t>make a decision</w:t>
            </w:r>
            <w:proofErr w:type="gramEnd"/>
            <w:r w:rsidRPr="004E1C37">
              <w:t xml:space="preserve"> by the end of June on the selected artist.</w:t>
            </w:r>
          </w:p>
          <w:p w14:paraId="3D241EB8" w14:textId="77777777" w:rsidR="004E1C37" w:rsidRPr="004E1C37" w:rsidRDefault="004E1C37" w:rsidP="004E1C37">
            <w:r w:rsidRPr="004E1C37">
              <w:t>Continued work on Aboriginal Mapping project, including background research on education</w:t>
            </w:r>
            <w:r>
              <w:t xml:space="preserve"> </w:t>
            </w:r>
            <w:r w:rsidRPr="004E1C37">
              <w:t>resources to inform Traditional Owner consultations. An options paper is being prepared on the</w:t>
            </w:r>
            <w:r>
              <w:t xml:space="preserve"> </w:t>
            </w:r>
            <w:r w:rsidRPr="004E1C37">
              <w:t>development of the app.</w:t>
            </w:r>
          </w:p>
          <w:p w14:paraId="2DBB553B" w14:textId="77777777" w:rsidR="004E1C37" w:rsidRPr="004E1C37" w:rsidRDefault="004E1C37" w:rsidP="004E1C37">
            <w:r w:rsidRPr="004E1C37">
              <w:t xml:space="preserve">‘Truth-telling talks’ - Two events were organised. Blak &amp; Bright about </w:t>
            </w:r>
            <w:proofErr w:type="gramStart"/>
            <w:r w:rsidRPr="004E1C37">
              <w:t>speakers</w:t>
            </w:r>
            <w:proofErr w:type="gramEnd"/>
            <w:r w:rsidRPr="004E1C37">
              <w:t xml:space="preserve"> corner and</w:t>
            </w:r>
            <w:r>
              <w:t xml:space="preserve"> </w:t>
            </w:r>
            <w:proofErr w:type="spellStart"/>
            <w:r w:rsidRPr="004E1C37">
              <w:t>Yalinguth</w:t>
            </w:r>
            <w:proofErr w:type="spellEnd"/>
            <w:r w:rsidRPr="004E1C37">
              <w:t xml:space="preserve"> truth telling walk along the Birrarung as part of Open House Melbourne.</w:t>
            </w:r>
          </w:p>
          <w:p w14:paraId="06C190DA" w14:textId="77777777" w:rsidR="00885607" w:rsidRDefault="004E1C37" w:rsidP="004E1C37">
            <w:r w:rsidRPr="004E1C37">
              <w:t>Council has approved the recommended members for the First Nations Committee. Planning has</w:t>
            </w:r>
            <w:r>
              <w:t xml:space="preserve"> </w:t>
            </w:r>
            <w:r w:rsidRPr="004E1C37">
              <w:t>started for the inaugural meeting.</w:t>
            </w:r>
          </w:p>
          <w:p w14:paraId="4ADEBB8F" w14:textId="77777777" w:rsidR="006E1D3A" w:rsidRPr="00D367C9" w:rsidRDefault="006E1D3A" w:rsidP="00BE5903">
            <w:pPr>
              <w:pStyle w:val="Heading2"/>
            </w:pPr>
            <w:bookmarkStart w:id="19" w:name="_Toc193203097"/>
            <w:r w:rsidRPr="00D367C9">
              <w:t>Our progress</w:t>
            </w:r>
            <w:bookmarkEnd w:id="19"/>
            <w:r w:rsidRPr="00D367C9">
              <w:t xml:space="preserve"> </w:t>
            </w:r>
          </w:p>
          <w:p w14:paraId="5DCE37E9" w14:textId="77777777" w:rsidR="004E1C37" w:rsidRDefault="004E1C37" w:rsidP="004E1C37">
            <w:pPr>
              <w:rPr>
                <w:rFonts w:eastAsia="Cambria"/>
                <w:bCs/>
              </w:rPr>
            </w:pPr>
            <w:r w:rsidRPr="004E1C37">
              <w:rPr>
                <w:rFonts w:eastAsia="Cambria"/>
                <w:bCs/>
              </w:rPr>
              <w:t xml:space="preserve">Senior management changes at the traditional owner </w:t>
            </w:r>
            <w:proofErr w:type="gramStart"/>
            <w:r w:rsidRPr="004E1C37">
              <w:rPr>
                <w:rFonts w:eastAsia="Cambria"/>
                <w:bCs/>
              </w:rPr>
              <w:t>Corporations</w:t>
            </w:r>
            <w:proofErr w:type="gramEnd"/>
            <w:r w:rsidRPr="004E1C37">
              <w:rPr>
                <w:rFonts w:eastAsia="Cambria"/>
                <w:bCs/>
              </w:rPr>
              <w:t xml:space="preserve"> have delayed the progress of </w:t>
            </w:r>
            <w:proofErr w:type="spellStart"/>
            <w:r w:rsidRPr="004E1C37">
              <w:rPr>
                <w:rFonts w:eastAsia="Cambria"/>
                <w:bCs/>
              </w:rPr>
              <w:t>anannual</w:t>
            </w:r>
            <w:proofErr w:type="spellEnd"/>
            <w:r w:rsidRPr="004E1C37">
              <w:rPr>
                <w:rFonts w:eastAsia="Cambria"/>
                <w:bCs/>
              </w:rPr>
              <w:t xml:space="preserve"> gathering of the Eastern Kulin</w:t>
            </w:r>
            <w:r w:rsidR="00BE5903" w:rsidRPr="00D367C9">
              <w:rPr>
                <w:rFonts w:eastAsia="Cambria"/>
                <w:bCs/>
              </w:rPr>
              <w:t xml:space="preserve">. </w:t>
            </w:r>
          </w:p>
          <w:p w14:paraId="4B43D31D" w14:textId="77777777" w:rsidR="005735E1" w:rsidRPr="00D367C9" w:rsidRDefault="00BE5903" w:rsidP="00505C05">
            <w:r w:rsidRPr="00D367C9">
              <w:rPr>
                <w:rFonts w:eastAsia="Cambria"/>
                <w:bCs/>
              </w:rPr>
              <w:t>Delivery of our major initiatives within the Council Plan term is on track.</w:t>
            </w:r>
          </w:p>
        </w:tc>
      </w:tr>
    </w:tbl>
    <w:p w14:paraId="17F8D097" w14:textId="77777777" w:rsidR="005735E1" w:rsidRPr="00784FF6" w:rsidRDefault="005735E1" w:rsidP="005735E1">
      <w:pPr>
        <w:pStyle w:val="Heading2"/>
      </w:pPr>
      <w:bookmarkStart w:id="20" w:name="_Toc193203098"/>
      <w:r w:rsidRPr="00784FF6">
        <w:t xml:space="preserve">The major initiatives we’re delivering this </w:t>
      </w:r>
      <w:proofErr w:type="gramStart"/>
      <w:r w:rsidRPr="00784FF6">
        <w:t>year</w:t>
      </w:r>
      <w:bookmarkEnd w:id="20"/>
      <w:proofErr w:type="gramEnd"/>
      <w:r w:rsidRPr="00784FF6">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9412"/>
        <w:gridCol w:w="2268"/>
        <w:gridCol w:w="2268"/>
      </w:tblGrid>
      <w:tr w:rsidR="00D9253D" w14:paraId="53AE23D2" w14:textId="77777777" w:rsidTr="004E1C37">
        <w:trPr>
          <w:cantSplit/>
          <w:tblHeader/>
        </w:trPr>
        <w:tc>
          <w:tcPr>
            <w:tcW w:w="9412" w:type="dxa"/>
            <w:shd w:val="clear" w:color="auto" w:fill="auto"/>
          </w:tcPr>
          <w:p w14:paraId="3F66EE26" w14:textId="77777777" w:rsidR="00D9253D" w:rsidRPr="0038645E" w:rsidRDefault="00D9253D" w:rsidP="0038645E">
            <w:pPr>
              <w:pStyle w:val="TableofFigures"/>
              <w:rPr>
                <w:b/>
              </w:rPr>
            </w:pPr>
            <w:r w:rsidRPr="0038645E">
              <w:rPr>
                <w:b/>
              </w:rPr>
              <w:t>Initiative</w:t>
            </w:r>
          </w:p>
        </w:tc>
        <w:tc>
          <w:tcPr>
            <w:tcW w:w="2268" w:type="dxa"/>
            <w:shd w:val="clear" w:color="auto" w:fill="auto"/>
          </w:tcPr>
          <w:p w14:paraId="6ACAF19B" w14:textId="77777777" w:rsidR="00D9253D" w:rsidRPr="0038645E" w:rsidRDefault="00D9253D" w:rsidP="0038645E">
            <w:pPr>
              <w:pStyle w:val="TableofFigures"/>
              <w:rPr>
                <w:b/>
              </w:rPr>
            </w:pPr>
            <w:r w:rsidRPr="0038645E">
              <w:rPr>
                <w:b/>
              </w:rPr>
              <w:t>Council’s role</w:t>
            </w:r>
          </w:p>
        </w:tc>
        <w:tc>
          <w:tcPr>
            <w:tcW w:w="2268" w:type="dxa"/>
            <w:shd w:val="clear" w:color="auto" w:fill="auto"/>
          </w:tcPr>
          <w:p w14:paraId="06A3C44B" w14:textId="77777777" w:rsidR="00D9253D" w:rsidRPr="0038645E" w:rsidRDefault="00D9253D" w:rsidP="00175895">
            <w:pPr>
              <w:pStyle w:val="TableofFigures"/>
              <w:rPr>
                <w:b/>
              </w:rPr>
            </w:pPr>
            <w:r w:rsidRPr="0038645E">
              <w:rPr>
                <w:b/>
              </w:rPr>
              <w:t>Our progress</w:t>
            </w:r>
          </w:p>
        </w:tc>
      </w:tr>
      <w:tr w:rsidR="000571FF" w14:paraId="7E5CA04D" w14:textId="77777777" w:rsidTr="004E1C37">
        <w:trPr>
          <w:cantSplit/>
        </w:trPr>
        <w:tc>
          <w:tcPr>
            <w:tcW w:w="9412" w:type="dxa"/>
            <w:shd w:val="clear" w:color="auto" w:fill="auto"/>
          </w:tcPr>
          <w:p w14:paraId="5AA1206E" w14:textId="77777777" w:rsidR="000571FF" w:rsidRPr="000571FF" w:rsidRDefault="000571FF" w:rsidP="000571FF">
            <w:pPr>
              <w:pStyle w:val="TableofFigures"/>
            </w:pPr>
            <w:r w:rsidRPr="000571FF">
              <w:t xml:space="preserve">Explore and deliver opportunities for ‘truth-telling’ to facilitate learning, healing, and change within Melbourne and beyond. This will be an opportunity to impart knowledge of thousands of years of rich history, </w:t>
            </w:r>
            <w:proofErr w:type="gramStart"/>
            <w:r w:rsidRPr="000571FF">
              <w:t>language</w:t>
            </w:r>
            <w:proofErr w:type="gramEnd"/>
            <w:r w:rsidRPr="000571FF">
              <w:t xml:space="preserve"> and stories, as well as provide a form of restorative justice by acknowledging Aboriginal peoples’ experiences of dispossession and inequity. </w:t>
            </w:r>
          </w:p>
        </w:tc>
        <w:tc>
          <w:tcPr>
            <w:tcW w:w="2268" w:type="dxa"/>
            <w:shd w:val="clear" w:color="auto" w:fill="auto"/>
          </w:tcPr>
          <w:p w14:paraId="72660070" w14:textId="77777777" w:rsidR="000571FF" w:rsidRPr="000571FF" w:rsidRDefault="000571FF" w:rsidP="000571FF">
            <w:pPr>
              <w:pStyle w:val="TableofFigures"/>
            </w:pPr>
            <w:r w:rsidRPr="000571FF">
              <w:t xml:space="preserve">Partner </w:t>
            </w:r>
          </w:p>
        </w:tc>
        <w:tc>
          <w:tcPr>
            <w:tcW w:w="2268" w:type="dxa"/>
            <w:shd w:val="clear" w:color="auto" w:fill="auto"/>
          </w:tcPr>
          <w:p w14:paraId="4E2BB8C8" w14:textId="77777777" w:rsidR="000571FF" w:rsidRPr="000571FF" w:rsidRDefault="000571FF" w:rsidP="000571FF">
            <w:pPr>
              <w:pStyle w:val="TableofFigures"/>
            </w:pPr>
            <w:r w:rsidRPr="000571FF">
              <w:t xml:space="preserve">On track </w:t>
            </w:r>
          </w:p>
        </w:tc>
      </w:tr>
      <w:tr w:rsidR="000571FF" w14:paraId="610F02FA" w14:textId="77777777" w:rsidTr="004E1C37">
        <w:trPr>
          <w:cantSplit/>
        </w:trPr>
        <w:tc>
          <w:tcPr>
            <w:tcW w:w="9412" w:type="dxa"/>
            <w:shd w:val="clear" w:color="auto" w:fill="auto"/>
          </w:tcPr>
          <w:p w14:paraId="427EAD66" w14:textId="77777777" w:rsidR="000571FF" w:rsidRPr="000571FF" w:rsidRDefault="000571FF" w:rsidP="000571FF">
            <w:pPr>
              <w:pStyle w:val="TableofFigures"/>
            </w:pPr>
            <w:r w:rsidRPr="000571FF">
              <w:t xml:space="preserve">Implement the Declaration of Recognition and Commitment in good faith which signals and elevates the City of Melbourne’s shared commitment for reconciliation across the whole of the organisation. </w:t>
            </w:r>
          </w:p>
        </w:tc>
        <w:tc>
          <w:tcPr>
            <w:tcW w:w="2268" w:type="dxa"/>
            <w:shd w:val="clear" w:color="auto" w:fill="auto"/>
          </w:tcPr>
          <w:p w14:paraId="10CEEC9D" w14:textId="77777777" w:rsidR="000571FF" w:rsidRPr="000571FF" w:rsidRDefault="000571FF" w:rsidP="000571FF">
            <w:pPr>
              <w:pStyle w:val="TableofFigures"/>
            </w:pPr>
            <w:r w:rsidRPr="000571FF">
              <w:t xml:space="preserve">Deliver </w:t>
            </w:r>
          </w:p>
        </w:tc>
        <w:tc>
          <w:tcPr>
            <w:tcW w:w="2268" w:type="dxa"/>
            <w:shd w:val="clear" w:color="auto" w:fill="auto"/>
          </w:tcPr>
          <w:p w14:paraId="6D57EC3E" w14:textId="77777777" w:rsidR="000571FF" w:rsidRPr="000571FF" w:rsidRDefault="000571FF" w:rsidP="000571FF">
            <w:pPr>
              <w:pStyle w:val="TableofFigures"/>
            </w:pPr>
            <w:r w:rsidRPr="000571FF">
              <w:t xml:space="preserve">Completed </w:t>
            </w:r>
          </w:p>
        </w:tc>
      </w:tr>
      <w:tr w:rsidR="000571FF" w14:paraId="456FE24D" w14:textId="77777777" w:rsidTr="004E1C37">
        <w:trPr>
          <w:cantSplit/>
        </w:trPr>
        <w:tc>
          <w:tcPr>
            <w:tcW w:w="9412" w:type="dxa"/>
            <w:shd w:val="clear" w:color="auto" w:fill="auto"/>
          </w:tcPr>
          <w:p w14:paraId="17F225C9" w14:textId="77777777" w:rsidR="000571FF" w:rsidRPr="00D367C9" w:rsidRDefault="000571FF" w:rsidP="000571FF">
            <w:pPr>
              <w:pStyle w:val="TableofFigures"/>
            </w:pPr>
            <w:r w:rsidRPr="00D367C9">
              <w:t xml:space="preserve">Govern with Sovereign First Nations to enable true self-determination, where deliberative engagement is </w:t>
            </w:r>
            <w:proofErr w:type="gramStart"/>
            <w:r w:rsidRPr="00D367C9">
              <w:t>proactive</w:t>
            </w:r>
            <w:proofErr w:type="gramEnd"/>
            <w:r w:rsidRPr="00D367C9">
              <w:t xml:space="preserve">, responsive and consistent. </w:t>
            </w:r>
          </w:p>
        </w:tc>
        <w:tc>
          <w:tcPr>
            <w:tcW w:w="2268" w:type="dxa"/>
            <w:shd w:val="clear" w:color="auto" w:fill="auto"/>
          </w:tcPr>
          <w:p w14:paraId="3FA05840" w14:textId="77777777" w:rsidR="000571FF" w:rsidRPr="00D367C9" w:rsidRDefault="000571FF" w:rsidP="000571FF">
            <w:pPr>
              <w:pStyle w:val="TableofFigures"/>
            </w:pPr>
            <w:r w:rsidRPr="00D367C9">
              <w:t xml:space="preserve">Deliver </w:t>
            </w:r>
          </w:p>
        </w:tc>
        <w:tc>
          <w:tcPr>
            <w:tcW w:w="2268" w:type="dxa"/>
            <w:shd w:val="clear" w:color="auto" w:fill="auto"/>
          </w:tcPr>
          <w:p w14:paraId="05666CFD" w14:textId="77777777" w:rsidR="000571FF" w:rsidRPr="00D367C9" w:rsidRDefault="004E1C37" w:rsidP="000571FF">
            <w:pPr>
              <w:pStyle w:val="TableofFigures"/>
            </w:pPr>
            <w:r w:rsidRPr="000571FF">
              <w:t>On track</w:t>
            </w:r>
          </w:p>
        </w:tc>
      </w:tr>
      <w:tr w:rsidR="000571FF" w14:paraId="0BBFBA70" w14:textId="77777777" w:rsidTr="004E1C37">
        <w:trPr>
          <w:cantSplit/>
        </w:trPr>
        <w:tc>
          <w:tcPr>
            <w:tcW w:w="9412" w:type="dxa"/>
            <w:shd w:val="clear" w:color="auto" w:fill="auto"/>
          </w:tcPr>
          <w:p w14:paraId="70498D3F" w14:textId="77777777" w:rsidR="000571FF" w:rsidRPr="00D367C9" w:rsidRDefault="000571FF" w:rsidP="000571FF">
            <w:pPr>
              <w:pStyle w:val="TableofFigures"/>
            </w:pPr>
            <w:r w:rsidRPr="00D367C9">
              <w:t xml:space="preserve">Commence planning for a co-designed First Nations Cultural Precinct with First Peoples – a place to retain, maintain and recreate in a culturally specific geography, where First Peoples can practice continuity of customs and traditions, through uninterrupted connection to lands and waters. </w:t>
            </w:r>
          </w:p>
        </w:tc>
        <w:tc>
          <w:tcPr>
            <w:tcW w:w="2268" w:type="dxa"/>
            <w:shd w:val="clear" w:color="auto" w:fill="auto"/>
          </w:tcPr>
          <w:p w14:paraId="50BC8B98" w14:textId="77777777" w:rsidR="000571FF" w:rsidRPr="00D367C9" w:rsidRDefault="000571FF" w:rsidP="000571FF">
            <w:pPr>
              <w:pStyle w:val="TableofFigures"/>
            </w:pPr>
            <w:r w:rsidRPr="00D367C9">
              <w:t xml:space="preserve">Partner </w:t>
            </w:r>
          </w:p>
        </w:tc>
        <w:tc>
          <w:tcPr>
            <w:tcW w:w="2268" w:type="dxa"/>
            <w:shd w:val="clear" w:color="auto" w:fill="auto"/>
          </w:tcPr>
          <w:p w14:paraId="6C441AA9" w14:textId="77777777" w:rsidR="000571FF" w:rsidRPr="00D367C9" w:rsidRDefault="00885607" w:rsidP="000571FF">
            <w:pPr>
              <w:pStyle w:val="TableofFigures"/>
            </w:pPr>
            <w:r>
              <w:t>Closed</w:t>
            </w:r>
          </w:p>
        </w:tc>
      </w:tr>
      <w:tr w:rsidR="000571FF" w14:paraId="63007608" w14:textId="77777777" w:rsidTr="004E1C37">
        <w:trPr>
          <w:cantSplit/>
        </w:trPr>
        <w:tc>
          <w:tcPr>
            <w:tcW w:w="9412" w:type="dxa"/>
            <w:shd w:val="clear" w:color="auto" w:fill="auto"/>
          </w:tcPr>
          <w:p w14:paraId="556003AC" w14:textId="77777777" w:rsidR="000571FF" w:rsidRPr="000571FF" w:rsidRDefault="000571FF" w:rsidP="000571FF">
            <w:pPr>
              <w:pStyle w:val="TableofFigures"/>
            </w:pPr>
            <w:r w:rsidRPr="000571FF">
              <w:t xml:space="preserve">Support a partnership forum – an annual gathering of the Eastern Kulin (noting the history of </w:t>
            </w:r>
            <w:proofErr w:type="spellStart"/>
            <w:r w:rsidRPr="000571FF">
              <w:t>Tanderrum</w:t>
            </w:r>
            <w:proofErr w:type="spellEnd"/>
            <w:r w:rsidRPr="000571FF">
              <w:t xml:space="preserve">). </w:t>
            </w:r>
          </w:p>
        </w:tc>
        <w:tc>
          <w:tcPr>
            <w:tcW w:w="2268" w:type="dxa"/>
            <w:shd w:val="clear" w:color="auto" w:fill="auto"/>
          </w:tcPr>
          <w:p w14:paraId="5F79C509" w14:textId="77777777" w:rsidR="000571FF" w:rsidRPr="000571FF" w:rsidRDefault="000571FF" w:rsidP="000571FF">
            <w:pPr>
              <w:pStyle w:val="TableofFigures"/>
            </w:pPr>
            <w:r w:rsidRPr="000571FF">
              <w:t xml:space="preserve">Partner </w:t>
            </w:r>
          </w:p>
        </w:tc>
        <w:tc>
          <w:tcPr>
            <w:tcW w:w="2268" w:type="dxa"/>
            <w:shd w:val="clear" w:color="auto" w:fill="auto"/>
          </w:tcPr>
          <w:p w14:paraId="5D88C528" w14:textId="77777777" w:rsidR="000571FF" w:rsidRPr="000571FF" w:rsidRDefault="004E1C37" w:rsidP="000571FF">
            <w:pPr>
              <w:pStyle w:val="TableofFigures"/>
            </w:pPr>
            <w:r>
              <w:t>Closed</w:t>
            </w:r>
          </w:p>
        </w:tc>
      </w:tr>
    </w:tbl>
    <w:p w14:paraId="23BCFD54" w14:textId="77777777" w:rsidR="005735E1" w:rsidRPr="00784FF6" w:rsidRDefault="005735E1" w:rsidP="005735E1">
      <w:pPr>
        <w:rPr>
          <w:lang w:val="en-US"/>
        </w:rPr>
      </w:pPr>
    </w:p>
    <w:p w14:paraId="244F52FD" w14:textId="77777777" w:rsidR="00D9253D" w:rsidRPr="00CF27A2" w:rsidRDefault="00D9253D" w:rsidP="00D9253D">
      <w:pPr>
        <w:pStyle w:val="Heading2"/>
      </w:pPr>
      <w:bookmarkStart w:id="21" w:name="_Toc193203099"/>
      <w:r>
        <w:t xml:space="preserve">How we’re measuring progress over four </w:t>
      </w:r>
      <w:proofErr w:type="gramStart"/>
      <w:r>
        <w:t>years</w:t>
      </w:r>
      <w:bookmarkEnd w:id="21"/>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9412"/>
        <w:gridCol w:w="4537"/>
      </w:tblGrid>
      <w:tr w:rsidR="00D9253D" w14:paraId="5B337124" w14:textId="77777777" w:rsidTr="0052081B">
        <w:trPr>
          <w:tblHeader/>
        </w:trPr>
        <w:tc>
          <w:tcPr>
            <w:tcW w:w="9412" w:type="dxa"/>
            <w:shd w:val="clear" w:color="auto" w:fill="auto"/>
          </w:tcPr>
          <w:p w14:paraId="122F74BA" w14:textId="77777777" w:rsidR="00D9253D" w:rsidRPr="00784FF6" w:rsidRDefault="00D9253D" w:rsidP="0052081B">
            <w:pPr>
              <w:pStyle w:val="TableofFigures"/>
              <w:rPr>
                <w:b/>
              </w:rPr>
            </w:pPr>
            <w:r>
              <w:rPr>
                <w:b/>
              </w:rPr>
              <w:t>Indicator</w:t>
            </w:r>
          </w:p>
        </w:tc>
        <w:tc>
          <w:tcPr>
            <w:tcW w:w="4537" w:type="dxa"/>
            <w:shd w:val="clear" w:color="auto" w:fill="auto"/>
          </w:tcPr>
          <w:p w14:paraId="419DBB9E" w14:textId="77777777" w:rsidR="00D9253D" w:rsidRPr="00784FF6" w:rsidRDefault="00D9253D" w:rsidP="0052081B">
            <w:pPr>
              <w:pStyle w:val="TableofFigures"/>
              <w:rPr>
                <w:b/>
              </w:rPr>
            </w:pPr>
            <w:r>
              <w:rPr>
                <w:b/>
              </w:rPr>
              <w:t>Target outcome</w:t>
            </w:r>
          </w:p>
        </w:tc>
      </w:tr>
      <w:tr w:rsidR="000571FF" w14:paraId="428FE501" w14:textId="77777777" w:rsidTr="0052081B">
        <w:tc>
          <w:tcPr>
            <w:tcW w:w="9412" w:type="dxa"/>
          </w:tcPr>
          <w:p w14:paraId="5F885CA0" w14:textId="77777777" w:rsidR="000571FF" w:rsidRPr="000571FF" w:rsidRDefault="000571FF" w:rsidP="000571FF">
            <w:pPr>
              <w:pStyle w:val="TableofFigures"/>
            </w:pPr>
            <w:r w:rsidRPr="000571FF">
              <w:t xml:space="preserve">Proportion of people surveyed who demonstrate an understanding of Melbourne’s Aboriginal heritage and culture. </w:t>
            </w:r>
          </w:p>
        </w:tc>
        <w:tc>
          <w:tcPr>
            <w:tcW w:w="4537" w:type="dxa"/>
          </w:tcPr>
          <w:p w14:paraId="0D564B35" w14:textId="77777777" w:rsidR="000571FF" w:rsidRPr="000571FF" w:rsidRDefault="000571FF" w:rsidP="000571FF">
            <w:pPr>
              <w:pStyle w:val="TableofFigures"/>
            </w:pPr>
            <w:r w:rsidRPr="000571FF">
              <w:t xml:space="preserve">100% </w:t>
            </w:r>
          </w:p>
        </w:tc>
      </w:tr>
      <w:tr w:rsidR="000571FF" w14:paraId="3C1919B3" w14:textId="77777777" w:rsidTr="0052081B">
        <w:tc>
          <w:tcPr>
            <w:tcW w:w="9412" w:type="dxa"/>
          </w:tcPr>
          <w:p w14:paraId="25512C69" w14:textId="77777777" w:rsidR="000571FF" w:rsidRPr="000571FF" w:rsidRDefault="000571FF" w:rsidP="000571FF">
            <w:pPr>
              <w:pStyle w:val="TableofFigures"/>
            </w:pPr>
            <w:r w:rsidRPr="000571FF">
              <w:t xml:space="preserve">Proportion of people surveyed who believe the relationship with Aboriginal people is important. </w:t>
            </w:r>
          </w:p>
        </w:tc>
        <w:tc>
          <w:tcPr>
            <w:tcW w:w="4537" w:type="dxa"/>
          </w:tcPr>
          <w:p w14:paraId="362171D7" w14:textId="77777777" w:rsidR="000571FF" w:rsidRPr="000571FF" w:rsidRDefault="000571FF" w:rsidP="000571FF">
            <w:pPr>
              <w:pStyle w:val="TableofFigures"/>
            </w:pPr>
            <w:r w:rsidRPr="000571FF">
              <w:t xml:space="preserve">100% </w:t>
            </w:r>
          </w:p>
        </w:tc>
      </w:tr>
      <w:tr w:rsidR="000571FF" w14:paraId="156FF823" w14:textId="77777777" w:rsidTr="0052081B">
        <w:tc>
          <w:tcPr>
            <w:tcW w:w="9412" w:type="dxa"/>
          </w:tcPr>
          <w:p w14:paraId="29FBC4A4" w14:textId="77777777" w:rsidR="000571FF" w:rsidRPr="000571FF" w:rsidRDefault="000571FF" w:rsidP="000571FF">
            <w:pPr>
              <w:pStyle w:val="TableofFigures"/>
            </w:pPr>
            <w:r w:rsidRPr="000571FF">
              <w:t xml:space="preserve">Delivery of the City of Melbourne’s Reconciliation Action Plan. </w:t>
            </w:r>
          </w:p>
        </w:tc>
        <w:tc>
          <w:tcPr>
            <w:tcW w:w="4537" w:type="dxa"/>
          </w:tcPr>
          <w:p w14:paraId="3AB38E89" w14:textId="77777777" w:rsidR="000571FF" w:rsidRPr="000571FF" w:rsidRDefault="000571FF" w:rsidP="000571FF">
            <w:pPr>
              <w:pStyle w:val="TableofFigures"/>
            </w:pPr>
            <w:r w:rsidRPr="000571FF">
              <w:t xml:space="preserve">100% </w:t>
            </w:r>
          </w:p>
        </w:tc>
      </w:tr>
      <w:tr w:rsidR="000571FF" w14:paraId="37792311" w14:textId="77777777" w:rsidTr="0052081B">
        <w:tc>
          <w:tcPr>
            <w:tcW w:w="9412" w:type="dxa"/>
          </w:tcPr>
          <w:p w14:paraId="038F0C71" w14:textId="77777777" w:rsidR="000571FF" w:rsidRPr="000571FF" w:rsidRDefault="000571FF" w:rsidP="000571FF">
            <w:pPr>
              <w:pStyle w:val="TableofFigures"/>
            </w:pPr>
            <w:r w:rsidRPr="000571FF">
              <w:t xml:space="preserve">Level of involvement of Traditional Custodians in city governance. </w:t>
            </w:r>
          </w:p>
        </w:tc>
        <w:tc>
          <w:tcPr>
            <w:tcW w:w="4537" w:type="dxa"/>
          </w:tcPr>
          <w:p w14:paraId="21DD0798" w14:textId="77777777" w:rsidR="000571FF" w:rsidRPr="000571FF" w:rsidRDefault="000571FF" w:rsidP="000571FF">
            <w:pPr>
              <w:pStyle w:val="TableofFigures"/>
            </w:pPr>
            <w:r w:rsidRPr="000571FF">
              <w:t xml:space="preserve">Increase </w:t>
            </w:r>
          </w:p>
        </w:tc>
      </w:tr>
    </w:tbl>
    <w:p w14:paraId="3D431CA4" w14:textId="77777777" w:rsidR="005735E1" w:rsidRDefault="0038645E" w:rsidP="00004EFF">
      <w:pPr>
        <w:pStyle w:val="Heading1"/>
      </w:pPr>
      <w:r>
        <w:rPr>
          <w:rFonts w:hint="eastAsia"/>
        </w:rPr>
        <w:br w:type="page"/>
      </w:r>
      <w:bookmarkStart w:id="22" w:name="_Toc193203100"/>
      <w:r w:rsidR="005735E1" w:rsidRPr="005735E1">
        <w:t>Climate and biodiversity emergency</w:t>
      </w:r>
      <w:bookmarkEnd w:id="22"/>
    </w:p>
    <w:p w14:paraId="52AE94C5" w14:textId="77777777" w:rsidR="0038645E" w:rsidRPr="0038645E" w:rsidRDefault="0038645E" w:rsidP="0038645E">
      <w:r w:rsidRPr="0038645E">
        <w:t xml:space="preserve">Over the next four years, we will prioritise our environment and take urgent action to reduce emissions and waste </w:t>
      </w:r>
      <w:proofErr w:type="gramStart"/>
      <w:r w:rsidRPr="0038645E">
        <w:t>in order to</w:t>
      </w:r>
      <w:proofErr w:type="gramEnd"/>
      <w:r w:rsidRPr="0038645E">
        <w:t xml:space="preserve"> protect public health, strengthen the economy and create a city that mitigates and adapts to climate change. The City of Melbourne declared a climate and biodiversity emergency in 2019.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4A0" w:firstRow="1" w:lastRow="0" w:firstColumn="1" w:lastColumn="0" w:noHBand="0" w:noVBand="1"/>
      </w:tblPr>
      <w:tblGrid>
        <w:gridCol w:w="14062"/>
      </w:tblGrid>
      <w:tr w:rsidR="005735E1" w14:paraId="646296F8" w14:textId="77777777" w:rsidTr="00004EFF">
        <w:tc>
          <w:tcPr>
            <w:tcW w:w="14062" w:type="dxa"/>
            <w:shd w:val="clear" w:color="auto" w:fill="auto"/>
          </w:tcPr>
          <w:p w14:paraId="0E8E3791" w14:textId="77777777" w:rsidR="009E6BAD" w:rsidRPr="00D367C9" w:rsidRDefault="009E6BAD" w:rsidP="009E6BAD">
            <w:pPr>
              <w:pStyle w:val="Heading2"/>
              <w:spacing w:before="0"/>
            </w:pPr>
            <w:bookmarkStart w:id="23" w:name="_Toc193203101"/>
            <w:r w:rsidRPr="00D367C9">
              <w:t>Highlights for quarter three (</w:t>
            </w:r>
            <w:r w:rsidR="004E7833">
              <w:t>April to June</w:t>
            </w:r>
            <w:r w:rsidRPr="00D367C9">
              <w:t xml:space="preserve"> 202</w:t>
            </w:r>
            <w:r w:rsidR="004E1C37">
              <w:t>4</w:t>
            </w:r>
            <w:r w:rsidRPr="00D367C9">
              <w:t>)</w:t>
            </w:r>
            <w:bookmarkEnd w:id="23"/>
          </w:p>
          <w:p w14:paraId="00F65BAB" w14:textId="77777777" w:rsidR="004E1C37" w:rsidRPr="004E1C37" w:rsidRDefault="004E1C37" w:rsidP="004E1C37">
            <w:r w:rsidRPr="004E1C37">
              <w:t>The Council of Capital Cities Lord Mayor's Climate Action Working Group met in person to develop</w:t>
            </w:r>
            <w:r>
              <w:t xml:space="preserve"> </w:t>
            </w:r>
            <w:r w:rsidRPr="004E1C37">
              <w:t>a new plan for 2024-2025. Focuses for the year ahead will be advocacy to the federal government</w:t>
            </w:r>
            <w:r>
              <w:t xml:space="preserve"> </w:t>
            </w:r>
            <w:r w:rsidRPr="004E1C37">
              <w:t>on electrifying buildings, funding urban resilience projects and electric buses.</w:t>
            </w:r>
          </w:p>
          <w:p w14:paraId="0627661F" w14:textId="77777777" w:rsidR="004E1C37" w:rsidRPr="004E1C37" w:rsidRDefault="004E1C37" w:rsidP="004E1C37">
            <w:r w:rsidRPr="004E1C37">
              <w:t>Preparations continued with the Urban Land Institute in bringing together an international panel of</w:t>
            </w:r>
            <w:r>
              <w:t xml:space="preserve"> </w:t>
            </w:r>
            <w:r w:rsidRPr="004E1C37">
              <w:t>experts on sustainable precinct uplift. The experts gathered in Melbourne in June to propose a</w:t>
            </w:r>
            <w:r>
              <w:t xml:space="preserve"> </w:t>
            </w:r>
            <w:r w:rsidRPr="004E1C37">
              <w:t>path forward for Retrofit Melbourne's Precinct initiative.</w:t>
            </w:r>
          </w:p>
          <w:p w14:paraId="3085732E" w14:textId="77777777" w:rsidR="004E1C37" w:rsidRPr="004E1C37" w:rsidRDefault="004E1C37" w:rsidP="004E1C37">
            <w:r w:rsidRPr="004E1C37">
              <w:t>Melbourne has been selected to pilot a new C40 Cities Climate Transition Framework, which will</w:t>
            </w:r>
            <w:r>
              <w:t xml:space="preserve"> </w:t>
            </w:r>
            <w:r w:rsidRPr="004E1C37">
              <w:t>be adopted globally in 2025. Our participation in the pilot will ensure that we are well prepared to</w:t>
            </w:r>
            <w:r>
              <w:t xml:space="preserve"> </w:t>
            </w:r>
            <w:r w:rsidRPr="004E1C37">
              <w:t>continue our leadership on climate.</w:t>
            </w:r>
          </w:p>
          <w:p w14:paraId="0AA0685D" w14:textId="77777777" w:rsidR="004E1C37" w:rsidRPr="004E1C37" w:rsidRDefault="004E1C37" w:rsidP="004E1C37">
            <w:r w:rsidRPr="004E1C37">
              <w:t>The renewal of the urban forest precinct plans to deliver our urban forest strategy goals over the</w:t>
            </w:r>
            <w:r>
              <w:t xml:space="preserve"> </w:t>
            </w:r>
            <w:r w:rsidRPr="004E1C37">
              <w:t>next ten years is on track. Community engagement is complete for East Melbourne, South Yarra,</w:t>
            </w:r>
            <w:r>
              <w:t xml:space="preserve"> </w:t>
            </w:r>
            <w:r w:rsidRPr="004E1C37">
              <w:t>Central City, Kensington, North and West Melbourne and Docklands.</w:t>
            </w:r>
          </w:p>
          <w:p w14:paraId="46D07843" w14:textId="77777777" w:rsidR="004E1C37" w:rsidRPr="004E1C37" w:rsidRDefault="004E1C37" w:rsidP="004E1C37">
            <w:r w:rsidRPr="004E1C37">
              <w:t>Research into best practice behaviour change for waste education has commenced. This will</w:t>
            </w:r>
            <w:r>
              <w:t xml:space="preserve"> </w:t>
            </w:r>
            <w:r w:rsidRPr="004E1C37">
              <w:t>inform a food and organic waste education campaign in 2024-25.</w:t>
            </w:r>
          </w:p>
          <w:p w14:paraId="46A27493" w14:textId="77777777" w:rsidR="004E1C37" w:rsidRDefault="004E1C37" w:rsidP="004E1C37">
            <w:pPr>
              <w:rPr>
                <w:bCs/>
              </w:rPr>
            </w:pPr>
            <w:r w:rsidRPr="004E1C37">
              <w:t>The Power Melbourne project delivered the Council House battery, with batteries at The Boyd</w:t>
            </w:r>
            <w:r>
              <w:t xml:space="preserve"> </w:t>
            </w:r>
            <w:r w:rsidRPr="004E1C37">
              <w:t xml:space="preserve">Community Hub and Library at the Dock batteries being on track. </w:t>
            </w:r>
          </w:p>
          <w:p w14:paraId="615EFF78" w14:textId="77777777" w:rsidR="001F471F" w:rsidRPr="00D367C9" w:rsidRDefault="001F471F" w:rsidP="004E1C37">
            <w:pPr>
              <w:pStyle w:val="Heading2"/>
            </w:pPr>
            <w:bookmarkStart w:id="24" w:name="_Toc193203102"/>
            <w:r w:rsidRPr="00D367C9">
              <w:t>Our progress</w:t>
            </w:r>
            <w:bookmarkEnd w:id="24"/>
            <w:r w:rsidRPr="00D367C9">
              <w:t xml:space="preserve"> </w:t>
            </w:r>
          </w:p>
          <w:p w14:paraId="147B9728" w14:textId="77777777" w:rsidR="005735E1" w:rsidRPr="00D367C9" w:rsidRDefault="00BE5903" w:rsidP="001F471F">
            <w:pPr>
              <w:spacing w:after="0"/>
            </w:pPr>
            <w:r w:rsidRPr="00D367C9">
              <w:rPr>
                <w:rFonts w:eastAsia="Cambria"/>
                <w:bCs/>
              </w:rPr>
              <w:t>Delivery of our major initiatives within the Council Plan term is on track</w:t>
            </w:r>
            <w:r w:rsidR="00FA20BF" w:rsidRPr="00D367C9">
              <w:rPr>
                <w:rFonts w:eastAsia="Cambria"/>
                <w:bCs/>
              </w:rPr>
              <w:t>.</w:t>
            </w:r>
          </w:p>
        </w:tc>
      </w:tr>
    </w:tbl>
    <w:p w14:paraId="3546A633" w14:textId="77777777" w:rsidR="004E1C37" w:rsidRDefault="004E1C37" w:rsidP="005735E1">
      <w:pPr>
        <w:pStyle w:val="Heading2"/>
      </w:pPr>
    </w:p>
    <w:p w14:paraId="7262C0E6" w14:textId="77777777" w:rsidR="004E1C37" w:rsidRDefault="004E1C37" w:rsidP="005735E1">
      <w:pPr>
        <w:pStyle w:val="Heading2"/>
      </w:pPr>
    </w:p>
    <w:p w14:paraId="518F379B" w14:textId="77777777" w:rsidR="005735E1" w:rsidRPr="00784FF6" w:rsidRDefault="005735E1" w:rsidP="005735E1">
      <w:pPr>
        <w:pStyle w:val="Heading2"/>
      </w:pPr>
      <w:bookmarkStart w:id="25" w:name="_Toc193203103"/>
      <w:r w:rsidRPr="00784FF6">
        <w:t xml:space="preserve">The major initiatives we’re delivering this </w:t>
      </w:r>
      <w:proofErr w:type="gramStart"/>
      <w:r w:rsidRPr="00784FF6">
        <w:t>year</w:t>
      </w:r>
      <w:bookmarkEnd w:id="25"/>
      <w:proofErr w:type="gramEnd"/>
      <w:r w:rsidRPr="00784FF6">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9412"/>
        <w:gridCol w:w="2268"/>
        <w:gridCol w:w="2268"/>
      </w:tblGrid>
      <w:tr w:rsidR="001F471F" w14:paraId="54FA838B" w14:textId="77777777" w:rsidTr="0052081B">
        <w:trPr>
          <w:tblHeader/>
        </w:trPr>
        <w:tc>
          <w:tcPr>
            <w:tcW w:w="9412" w:type="dxa"/>
            <w:shd w:val="clear" w:color="auto" w:fill="auto"/>
          </w:tcPr>
          <w:p w14:paraId="7E551F7A" w14:textId="77777777" w:rsidR="001F471F" w:rsidRPr="0038645E" w:rsidRDefault="001F471F" w:rsidP="001F471F">
            <w:pPr>
              <w:pStyle w:val="TableofFigures"/>
              <w:rPr>
                <w:b/>
              </w:rPr>
            </w:pPr>
            <w:r w:rsidRPr="0038645E">
              <w:rPr>
                <w:b/>
              </w:rPr>
              <w:t>Initiative</w:t>
            </w:r>
          </w:p>
        </w:tc>
        <w:tc>
          <w:tcPr>
            <w:tcW w:w="2268" w:type="dxa"/>
            <w:shd w:val="clear" w:color="auto" w:fill="auto"/>
          </w:tcPr>
          <w:p w14:paraId="22A59A49" w14:textId="77777777" w:rsidR="001F471F" w:rsidRPr="0038645E" w:rsidRDefault="001F471F" w:rsidP="001F471F">
            <w:pPr>
              <w:pStyle w:val="TableofFigures"/>
              <w:rPr>
                <w:b/>
              </w:rPr>
            </w:pPr>
            <w:r w:rsidRPr="0038645E">
              <w:rPr>
                <w:b/>
              </w:rPr>
              <w:t>Council’s role</w:t>
            </w:r>
          </w:p>
        </w:tc>
        <w:tc>
          <w:tcPr>
            <w:tcW w:w="2268" w:type="dxa"/>
            <w:shd w:val="clear" w:color="auto" w:fill="auto"/>
          </w:tcPr>
          <w:p w14:paraId="461CABE0" w14:textId="77777777" w:rsidR="001F471F" w:rsidRPr="0038645E" w:rsidRDefault="001F471F" w:rsidP="001F471F">
            <w:pPr>
              <w:pStyle w:val="TableofFigures"/>
              <w:rPr>
                <w:b/>
              </w:rPr>
            </w:pPr>
            <w:r w:rsidRPr="0038645E">
              <w:rPr>
                <w:b/>
              </w:rPr>
              <w:t>Our progress</w:t>
            </w:r>
          </w:p>
        </w:tc>
      </w:tr>
      <w:tr w:rsidR="001F471F" w14:paraId="0AF066C3" w14:textId="77777777" w:rsidTr="0052081B">
        <w:tc>
          <w:tcPr>
            <w:tcW w:w="9412" w:type="dxa"/>
            <w:shd w:val="clear" w:color="auto" w:fill="auto"/>
          </w:tcPr>
          <w:p w14:paraId="29955D2A" w14:textId="77777777" w:rsidR="001F471F" w:rsidRPr="001F471F" w:rsidRDefault="001F471F" w:rsidP="001F471F">
            <w:pPr>
              <w:pStyle w:val="Default"/>
              <w:spacing w:line="276" w:lineRule="auto"/>
              <w:rPr>
                <w:sz w:val="20"/>
                <w:szCs w:val="20"/>
              </w:rPr>
            </w:pPr>
            <w:r w:rsidRPr="001F471F">
              <w:rPr>
                <w:color w:val="252525"/>
                <w:sz w:val="20"/>
                <w:szCs w:val="20"/>
              </w:rPr>
              <w:t xml:space="preserve">To enhance Melbourne’s position as a global leader on climate action, we will undertake bold advocacy on behalf of our community. </w:t>
            </w:r>
          </w:p>
        </w:tc>
        <w:tc>
          <w:tcPr>
            <w:tcW w:w="2268" w:type="dxa"/>
            <w:shd w:val="clear" w:color="auto" w:fill="auto"/>
          </w:tcPr>
          <w:p w14:paraId="6223DCC9" w14:textId="77777777" w:rsidR="001F471F" w:rsidRPr="001F471F" w:rsidRDefault="001F471F" w:rsidP="001F471F">
            <w:pPr>
              <w:pStyle w:val="Default"/>
              <w:spacing w:line="276" w:lineRule="auto"/>
              <w:rPr>
                <w:sz w:val="20"/>
                <w:szCs w:val="20"/>
              </w:rPr>
            </w:pPr>
            <w:r w:rsidRPr="001F471F">
              <w:rPr>
                <w:color w:val="252525"/>
                <w:sz w:val="20"/>
                <w:szCs w:val="20"/>
              </w:rPr>
              <w:t xml:space="preserve">Deliver </w:t>
            </w:r>
          </w:p>
        </w:tc>
        <w:tc>
          <w:tcPr>
            <w:tcW w:w="2268" w:type="dxa"/>
            <w:shd w:val="clear" w:color="auto" w:fill="auto"/>
          </w:tcPr>
          <w:p w14:paraId="14DA04A2" w14:textId="77777777" w:rsidR="001F471F" w:rsidRPr="001F471F" w:rsidRDefault="001F471F" w:rsidP="001F471F">
            <w:pPr>
              <w:pStyle w:val="Default"/>
              <w:spacing w:line="276" w:lineRule="auto"/>
              <w:rPr>
                <w:color w:val="auto"/>
                <w:sz w:val="20"/>
                <w:szCs w:val="20"/>
              </w:rPr>
            </w:pPr>
            <w:r w:rsidRPr="001F471F">
              <w:rPr>
                <w:color w:val="auto"/>
                <w:sz w:val="20"/>
                <w:szCs w:val="20"/>
              </w:rPr>
              <w:t>On tr</w:t>
            </w:r>
            <w:r>
              <w:rPr>
                <w:color w:val="auto"/>
                <w:sz w:val="20"/>
                <w:szCs w:val="20"/>
              </w:rPr>
              <w:t>ack</w:t>
            </w:r>
          </w:p>
        </w:tc>
      </w:tr>
      <w:tr w:rsidR="004E1C37" w14:paraId="020D3503" w14:textId="77777777" w:rsidTr="0052081B">
        <w:tc>
          <w:tcPr>
            <w:tcW w:w="9412" w:type="dxa"/>
            <w:shd w:val="clear" w:color="auto" w:fill="auto"/>
          </w:tcPr>
          <w:p w14:paraId="43A30B40" w14:textId="77777777" w:rsidR="004E1C37" w:rsidRPr="001F471F" w:rsidRDefault="004E1C37" w:rsidP="004E1C37">
            <w:pPr>
              <w:pStyle w:val="Default"/>
              <w:spacing w:line="276" w:lineRule="auto"/>
              <w:rPr>
                <w:sz w:val="20"/>
                <w:szCs w:val="20"/>
              </w:rPr>
            </w:pPr>
            <w:r w:rsidRPr="001F471F">
              <w:rPr>
                <w:color w:val="252525"/>
                <w:sz w:val="20"/>
                <w:szCs w:val="20"/>
              </w:rPr>
              <w:t xml:space="preserve">Create an enabling environment for Melbourne businesses and universities to become the employment centre of a resilient zero-carbon economy. </w:t>
            </w:r>
          </w:p>
        </w:tc>
        <w:tc>
          <w:tcPr>
            <w:tcW w:w="2268" w:type="dxa"/>
            <w:shd w:val="clear" w:color="auto" w:fill="auto"/>
          </w:tcPr>
          <w:p w14:paraId="60F369DE" w14:textId="77777777" w:rsidR="004E1C37" w:rsidRPr="001F471F" w:rsidRDefault="004E1C37" w:rsidP="004E1C37">
            <w:pPr>
              <w:pStyle w:val="Default"/>
              <w:spacing w:line="276" w:lineRule="auto"/>
              <w:rPr>
                <w:sz w:val="20"/>
                <w:szCs w:val="20"/>
              </w:rPr>
            </w:pPr>
            <w:r w:rsidRPr="001F471F">
              <w:rPr>
                <w:color w:val="252525"/>
                <w:sz w:val="20"/>
                <w:szCs w:val="20"/>
              </w:rPr>
              <w:t xml:space="preserve">Deliver </w:t>
            </w:r>
          </w:p>
        </w:tc>
        <w:tc>
          <w:tcPr>
            <w:tcW w:w="2268" w:type="dxa"/>
            <w:shd w:val="clear" w:color="auto" w:fill="auto"/>
          </w:tcPr>
          <w:p w14:paraId="75315EC2" w14:textId="77777777" w:rsidR="004E1C37" w:rsidRPr="001F471F" w:rsidRDefault="004E1C37" w:rsidP="004E1C37">
            <w:pPr>
              <w:pStyle w:val="Default"/>
              <w:spacing w:line="276" w:lineRule="auto"/>
              <w:rPr>
                <w:color w:val="auto"/>
                <w:sz w:val="20"/>
                <w:szCs w:val="20"/>
              </w:rPr>
            </w:pPr>
            <w:r w:rsidRPr="00B6318B">
              <w:rPr>
                <w:color w:val="auto"/>
                <w:sz w:val="20"/>
                <w:szCs w:val="20"/>
              </w:rPr>
              <w:t>On track</w:t>
            </w:r>
          </w:p>
        </w:tc>
      </w:tr>
      <w:tr w:rsidR="004E1C37" w14:paraId="1D9D12D9" w14:textId="77777777" w:rsidTr="0052081B">
        <w:tc>
          <w:tcPr>
            <w:tcW w:w="9412" w:type="dxa"/>
            <w:shd w:val="clear" w:color="auto" w:fill="auto"/>
          </w:tcPr>
          <w:p w14:paraId="4FB7635E" w14:textId="77777777" w:rsidR="004E1C37" w:rsidRPr="000571FF" w:rsidRDefault="004E1C37" w:rsidP="004E1C37">
            <w:pPr>
              <w:pStyle w:val="TableofFigures"/>
            </w:pPr>
            <w:r w:rsidRPr="001F471F">
              <w:t xml:space="preserve">Progress a planning scheme amendment to improve the environmental performance of buildings </w:t>
            </w:r>
            <w:proofErr w:type="gramStart"/>
            <w:r w:rsidRPr="001F471F">
              <w:t>in order to</w:t>
            </w:r>
            <w:proofErr w:type="gramEnd"/>
            <w:r w:rsidRPr="001F471F">
              <w:t xml:space="preserve"> reduce emissions to zero by 2040.</w:t>
            </w:r>
          </w:p>
        </w:tc>
        <w:tc>
          <w:tcPr>
            <w:tcW w:w="2268" w:type="dxa"/>
            <w:shd w:val="clear" w:color="auto" w:fill="auto"/>
          </w:tcPr>
          <w:p w14:paraId="496BFE98" w14:textId="77777777" w:rsidR="004E1C37" w:rsidRDefault="004E1C37" w:rsidP="004E1C37">
            <w:pPr>
              <w:pStyle w:val="TableofFigures"/>
            </w:pPr>
            <w:r>
              <w:t>Deliver</w:t>
            </w:r>
          </w:p>
          <w:p w14:paraId="4F12D7D9" w14:textId="77777777" w:rsidR="004E1C37" w:rsidRPr="000571FF" w:rsidRDefault="004E1C37" w:rsidP="004E1C37">
            <w:pPr>
              <w:pStyle w:val="TableofFigures"/>
            </w:pPr>
            <w:r>
              <w:t>Partner</w:t>
            </w:r>
          </w:p>
        </w:tc>
        <w:tc>
          <w:tcPr>
            <w:tcW w:w="2268" w:type="dxa"/>
            <w:shd w:val="clear" w:color="auto" w:fill="auto"/>
          </w:tcPr>
          <w:p w14:paraId="20EF7660" w14:textId="77777777" w:rsidR="004E1C37" w:rsidRPr="001F471F" w:rsidRDefault="004E1C37" w:rsidP="004E1C37">
            <w:pPr>
              <w:pStyle w:val="TableofFigures"/>
            </w:pPr>
            <w:r w:rsidRPr="00B6318B">
              <w:rPr>
                <w:szCs w:val="20"/>
              </w:rPr>
              <w:t>On track</w:t>
            </w:r>
          </w:p>
        </w:tc>
      </w:tr>
      <w:tr w:rsidR="004E1C37" w14:paraId="25BE695C" w14:textId="77777777" w:rsidTr="0052081B">
        <w:tc>
          <w:tcPr>
            <w:tcW w:w="9412" w:type="dxa"/>
            <w:shd w:val="clear" w:color="auto" w:fill="auto"/>
          </w:tcPr>
          <w:p w14:paraId="2DE8DDBC" w14:textId="77777777" w:rsidR="004E1C37" w:rsidRPr="000571FF" w:rsidRDefault="004E1C37" w:rsidP="004E1C37">
            <w:pPr>
              <w:pStyle w:val="TableofFigures"/>
            </w:pPr>
            <w:r w:rsidRPr="001F471F">
              <w:t xml:space="preserve">Deliver on our </w:t>
            </w:r>
            <w:r w:rsidRPr="001F471F">
              <w:rPr>
                <w:rFonts w:cs="Arial"/>
                <w:color w:val="0000FF"/>
                <w:szCs w:val="20"/>
                <w:lang w:val="en-AU" w:eastAsia="en-AU"/>
              </w:rPr>
              <w:t>Urban Forest Strategy</w:t>
            </w:r>
            <w:r>
              <w:rPr>
                <w:rStyle w:val="FootnoteReference"/>
              </w:rPr>
              <w:footnoteReference w:id="12"/>
            </w:r>
            <w:r w:rsidRPr="001F471F">
              <w:t xml:space="preserve"> including tree canopy, private greening </w:t>
            </w:r>
            <w:proofErr w:type="gramStart"/>
            <w:r w:rsidRPr="001F471F">
              <w:t>incentives</w:t>
            </w:r>
            <w:proofErr w:type="gramEnd"/>
            <w:r w:rsidRPr="001F471F">
              <w:t xml:space="preserve"> and city greening.</w:t>
            </w:r>
          </w:p>
        </w:tc>
        <w:tc>
          <w:tcPr>
            <w:tcW w:w="2268" w:type="dxa"/>
            <w:shd w:val="clear" w:color="auto" w:fill="auto"/>
          </w:tcPr>
          <w:p w14:paraId="598F3309" w14:textId="77777777" w:rsidR="004E1C37" w:rsidRPr="000571FF" w:rsidRDefault="004E1C37" w:rsidP="004E1C37">
            <w:pPr>
              <w:pStyle w:val="TableofFigures"/>
            </w:pPr>
            <w:r>
              <w:t>Partner</w:t>
            </w:r>
          </w:p>
        </w:tc>
        <w:tc>
          <w:tcPr>
            <w:tcW w:w="2268" w:type="dxa"/>
            <w:shd w:val="clear" w:color="auto" w:fill="auto"/>
          </w:tcPr>
          <w:p w14:paraId="65A5D3E2" w14:textId="77777777" w:rsidR="004E1C37" w:rsidRPr="001F471F" w:rsidRDefault="004E1C37" w:rsidP="004E1C37">
            <w:pPr>
              <w:pStyle w:val="TableofFigures"/>
            </w:pPr>
            <w:r w:rsidRPr="00B6318B">
              <w:rPr>
                <w:szCs w:val="20"/>
              </w:rPr>
              <w:t>On track</w:t>
            </w:r>
          </w:p>
        </w:tc>
      </w:tr>
      <w:tr w:rsidR="004E1C37" w14:paraId="24AA09FC" w14:textId="77777777" w:rsidTr="0052081B">
        <w:tc>
          <w:tcPr>
            <w:tcW w:w="9412" w:type="dxa"/>
          </w:tcPr>
          <w:p w14:paraId="14DCA340" w14:textId="77777777" w:rsidR="004E1C37" w:rsidRPr="001F471F" w:rsidRDefault="004E1C37" w:rsidP="004E1C37">
            <w:pPr>
              <w:pStyle w:val="Default"/>
              <w:spacing w:line="276" w:lineRule="auto"/>
              <w:rPr>
                <w:sz w:val="20"/>
                <w:szCs w:val="20"/>
              </w:rPr>
            </w:pPr>
            <w:r w:rsidRPr="001F471F">
              <w:rPr>
                <w:color w:val="252525"/>
                <w:sz w:val="20"/>
                <w:szCs w:val="20"/>
              </w:rPr>
              <w:t xml:space="preserve">Lead the reduction of food waste and diversion of waste from landfill, by continuing the Food Organics, Green Organics rollout through high-rise apartment innovation and by addressing food-waste reduction. </w:t>
            </w:r>
          </w:p>
        </w:tc>
        <w:tc>
          <w:tcPr>
            <w:tcW w:w="2268" w:type="dxa"/>
          </w:tcPr>
          <w:p w14:paraId="6F6F83E5" w14:textId="77777777" w:rsidR="004E1C37" w:rsidRPr="001F471F" w:rsidRDefault="004E1C37" w:rsidP="004E1C37">
            <w:pPr>
              <w:pStyle w:val="Default"/>
              <w:spacing w:line="276" w:lineRule="auto"/>
              <w:rPr>
                <w:sz w:val="20"/>
                <w:szCs w:val="20"/>
              </w:rPr>
            </w:pPr>
            <w:r w:rsidRPr="001F471F">
              <w:rPr>
                <w:color w:val="252525"/>
                <w:sz w:val="20"/>
                <w:szCs w:val="20"/>
              </w:rPr>
              <w:t xml:space="preserve">Deliver </w:t>
            </w:r>
          </w:p>
          <w:p w14:paraId="2423EA7E" w14:textId="77777777" w:rsidR="004E1C37" w:rsidRPr="001F471F" w:rsidRDefault="004E1C37" w:rsidP="004E1C37">
            <w:pPr>
              <w:pStyle w:val="Default"/>
              <w:spacing w:line="276" w:lineRule="auto"/>
              <w:rPr>
                <w:color w:val="252525"/>
                <w:sz w:val="20"/>
                <w:szCs w:val="20"/>
              </w:rPr>
            </w:pPr>
            <w:r w:rsidRPr="001F471F">
              <w:rPr>
                <w:color w:val="252525"/>
                <w:sz w:val="20"/>
                <w:szCs w:val="20"/>
              </w:rPr>
              <w:t xml:space="preserve">Partner </w:t>
            </w:r>
          </w:p>
        </w:tc>
        <w:tc>
          <w:tcPr>
            <w:tcW w:w="2268" w:type="dxa"/>
          </w:tcPr>
          <w:p w14:paraId="10E7B8D2" w14:textId="77777777" w:rsidR="004E1C37" w:rsidRPr="001F471F" w:rsidRDefault="004E1C37" w:rsidP="004E1C37">
            <w:pPr>
              <w:pStyle w:val="Default"/>
              <w:spacing w:line="276" w:lineRule="auto"/>
              <w:rPr>
                <w:color w:val="auto"/>
                <w:sz w:val="20"/>
                <w:szCs w:val="20"/>
              </w:rPr>
            </w:pPr>
            <w:r w:rsidRPr="00B6318B">
              <w:rPr>
                <w:color w:val="auto"/>
                <w:sz w:val="20"/>
                <w:szCs w:val="20"/>
              </w:rPr>
              <w:t>On track</w:t>
            </w:r>
          </w:p>
        </w:tc>
      </w:tr>
      <w:tr w:rsidR="004E1C37" w14:paraId="574B1157" w14:textId="77777777" w:rsidTr="0052081B">
        <w:tc>
          <w:tcPr>
            <w:tcW w:w="9412" w:type="dxa"/>
          </w:tcPr>
          <w:p w14:paraId="2A4DDD24" w14:textId="77777777" w:rsidR="004E1C37" w:rsidRPr="001F471F" w:rsidRDefault="004E1C37" w:rsidP="004E1C37">
            <w:pPr>
              <w:pStyle w:val="Default"/>
              <w:spacing w:line="276" w:lineRule="auto"/>
              <w:rPr>
                <w:sz w:val="20"/>
                <w:szCs w:val="20"/>
              </w:rPr>
            </w:pPr>
            <w:r w:rsidRPr="001F471F">
              <w:rPr>
                <w:color w:val="252525"/>
                <w:sz w:val="20"/>
                <w:szCs w:val="20"/>
              </w:rPr>
              <w:t xml:space="preserve">Support the development of a circular economy through bold leadership and community neighbourhood projects, including the container deposit scheme, alternative waste technologies, circular economy guidelines and partnered or aggregated demand to stimulate end markets. </w:t>
            </w:r>
          </w:p>
        </w:tc>
        <w:tc>
          <w:tcPr>
            <w:tcW w:w="2268" w:type="dxa"/>
          </w:tcPr>
          <w:p w14:paraId="08298AB1" w14:textId="77777777" w:rsidR="004E1C37" w:rsidRPr="001F471F" w:rsidRDefault="004E1C37" w:rsidP="004E1C37">
            <w:pPr>
              <w:pStyle w:val="Default"/>
              <w:spacing w:line="276" w:lineRule="auto"/>
              <w:rPr>
                <w:sz w:val="20"/>
                <w:szCs w:val="20"/>
              </w:rPr>
            </w:pPr>
            <w:r w:rsidRPr="001F471F">
              <w:rPr>
                <w:color w:val="252525"/>
                <w:sz w:val="20"/>
                <w:szCs w:val="20"/>
              </w:rPr>
              <w:t xml:space="preserve">Deliver </w:t>
            </w:r>
          </w:p>
        </w:tc>
        <w:tc>
          <w:tcPr>
            <w:tcW w:w="2268" w:type="dxa"/>
          </w:tcPr>
          <w:p w14:paraId="3CBA6F42" w14:textId="77777777" w:rsidR="004E1C37" w:rsidRPr="001F471F" w:rsidRDefault="004E1C37" w:rsidP="004E1C37">
            <w:pPr>
              <w:pStyle w:val="Default"/>
              <w:spacing w:line="276" w:lineRule="auto"/>
              <w:rPr>
                <w:color w:val="auto"/>
                <w:sz w:val="20"/>
                <w:szCs w:val="20"/>
              </w:rPr>
            </w:pPr>
            <w:r w:rsidRPr="00B6318B">
              <w:rPr>
                <w:color w:val="auto"/>
                <w:sz w:val="20"/>
                <w:szCs w:val="20"/>
              </w:rPr>
              <w:t>On track</w:t>
            </w:r>
          </w:p>
        </w:tc>
      </w:tr>
      <w:tr w:rsidR="004E1C37" w14:paraId="4810B6C9" w14:textId="77777777" w:rsidTr="0052081B">
        <w:tc>
          <w:tcPr>
            <w:tcW w:w="9412" w:type="dxa"/>
          </w:tcPr>
          <w:p w14:paraId="75E512B0" w14:textId="77777777" w:rsidR="004E1C37" w:rsidRPr="001F471F" w:rsidRDefault="004E1C37" w:rsidP="004E1C37">
            <w:pPr>
              <w:pStyle w:val="Default"/>
              <w:spacing w:line="276" w:lineRule="auto"/>
              <w:rPr>
                <w:sz w:val="20"/>
                <w:szCs w:val="20"/>
              </w:rPr>
            </w:pPr>
            <w:r w:rsidRPr="001F471F">
              <w:rPr>
                <w:color w:val="252525"/>
                <w:sz w:val="20"/>
                <w:szCs w:val="20"/>
              </w:rPr>
              <w:t xml:space="preserve">Support the development of battery storage and renewable energy in the municipality through the Power Melbourne initiative. </w:t>
            </w:r>
          </w:p>
        </w:tc>
        <w:tc>
          <w:tcPr>
            <w:tcW w:w="2268" w:type="dxa"/>
          </w:tcPr>
          <w:p w14:paraId="700AF334" w14:textId="77777777" w:rsidR="004E1C37" w:rsidRPr="001F471F" w:rsidRDefault="004E1C37" w:rsidP="004E1C37">
            <w:pPr>
              <w:pStyle w:val="Default"/>
              <w:spacing w:line="276" w:lineRule="auto"/>
              <w:rPr>
                <w:sz w:val="20"/>
                <w:szCs w:val="20"/>
              </w:rPr>
            </w:pPr>
            <w:r w:rsidRPr="001F471F">
              <w:rPr>
                <w:color w:val="252525"/>
                <w:sz w:val="20"/>
                <w:szCs w:val="20"/>
              </w:rPr>
              <w:t xml:space="preserve">Partner </w:t>
            </w:r>
          </w:p>
          <w:p w14:paraId="6F210919" w14:textId="77777777" w:rsidR="004E1C37" w:rsidRPr="001F471F" w:rsidRDefault="004E1C37" w:rsidP="004E1C37">
            <w:pPr>
              <w:pStyle w:val="Default"/>
              <w:spacing w:line="276" w:lineRule="auto"/>
              <w:rPr>
                <w:color w:val="252525"/>
                <w:sz w:val="20"/>
                <w:szCs w:val="20"/>
              </w:rPr>
            </w:pPr>
            <w:r w:rsidRPr="001F471F">
              <w:rPr>
                <w:color w:val="252525"/>
                <w:sz w:val="20"/>
                <w:szCs w:val="20"/>
              </w:rPr>
              <w:t xml:space="preserve">Advocate </w:t>
            </w:r>
          </w:p>
        </w:tc>
        <w:tc>
          <w:tcPr>
            <w:tcW w:w="2268" w:type="dxa"/>
          </w:tcPr>
          <w:p w14:paraId="616703FC" w14:textId="77777777" w:rsidR="004E1C37" w:rsidRPr="001F471F" w:rsidRDefault="004E1C37" w:rsidP="004E1C37">
            <w:pPr>
              <w:pStyle w:val="Default"/>
              <w:spacing w:line="276" w:lineRule="auto"/>
              <w:rPr>
                <w:color w:val="auto"/>
                <w:sz w:val="20"/>
                <w:szCs w:val="20"/>
              </w:rPr>
            </w:pPr>
            <w:r w:rsidRPr="00B6318B">
              <w:rPr>
                <w:color w:val="auto"/>
                <w:sz w:val="20"/>
                <w:szCs w:val="20"/>
              </w:rPr>
              <w:t>On track</w:t>
            </w:r>
          </w:p>
        </w:tc>
      </w:tr>
      <w:tr w:rsidR="004E1C37" w14:paraId="08865455" w14:textId="77777777" w:rsidTr="0052081B">
        <w:tc>
          <w:tcPr>
            <w:tcW w:w="9412" w:type="dxa"/>
          </w:tcPr>
          <w:p w14:paraId="44410780" w14:textId="77777777" w:rsidR="004E1C37" w:rsidRPr="001F471F" w:rsidRDefault="004E1C37" w:rsidP="004E1C37">
            <w:pPr>
              <w:pStyle w:val="Default"/>
              <w:spacing w:line="276" w:lineRule="auto"/>
              <w:rPr>
                <w:color w:val="252525"/>
                <w:sz w:val="20"/>
                <w:szCs w:val="20"/>
              </w:rPr>
            </w:pPr>
            <w:r w:rsidRPr="001F471F">
              <w:rPr>
                <w:color w:val="252525"/>
                <w:sz w:val="20"/>
                <w:szCs w:val="20"/>
              </w:rPr>
              <w:t xml:space="preserve">Implement the </w:t>
            </w:r>
            <w:r w:rsidRPr="001F471F">
              <w:rPr>
                <w:color w:val="0000FF"/>
                <w:sz w:val="20"/>
                <w:szCs w:val="20"/>
              </w:rPr>
              <w:t>Climate and Biodiversity Emergency action plan</w:t>
            </w:r>
            <w:r>
              <w:rPr>
                <w:rStyle w:val="FootnoteReference"/>
                <w:color w:val="252525"/>
                <w:sz w:val="20"/>
                <w:szCs w:val="20"/>
              </w:rPr>
              <w:footnoteReference w:id="13"/>
            </w:r>
            <w:r w:rsidRPr="001F471F">
              <w:rPr>
                <w:color w:val="252525"/>
                <w:sz w:val="20"/>
                <w:szCs w:val="20"/>
              </w:rPr>
              <w:t xml:space="preserve">. </w:t>
            </w:r>
          </w:p>
        </w:tc>
        <w:tc>
          <w:tcPr>
            <w:tcW w:w="2268" w:type="dxa"/>
          </w:tcPr>
          <w:p w14:paraId="0DC9821C" w14:textId="77777777" w:rsidR="004E1C37" w:rsidRPr="001F471F" w:rsidRDefault="004E1C37" w:rsidP="004E1C37">
            <w:pPr>
              <w:pStyle w:val="Default"/>
              <w:spacing w:line="276" w:lineRule="auto"/>
              <w:rPr>
                <w:sz w:val="20"/>
                <w:szCs w:val="20"/>
              </w:rPr>
            </w:pPr>
            <w:r w:rsidRPr="001F471F">
              <w:rPr>
                <w:color w:val="252525"/>
                <w:sz w:val="20"/>
                <w:szCs w:val="20"/>
              </w:rPr>
              <w:t xml:space="preserve">Deliver </w:t>
            </w:r>
          </w:p>
        </w:tc>
        <w:tc>
          <w:tcPr>
            <w:tcW w:w="2268" w:type="dxa"/>
          </w:tcPr>
          <w:p w14:paraId="06912007" w14:textId="77777777" w:rsidR="004E1C37" w:rsidRPr="001F471F" w:rsidRDefault="004E1C37" w:rsidP="004E1C37">
            <w:pPr>
              <w:pStyle w:val="Default"/>
              <w:spacing w:line="276" w:lineRule="auto"/>
              <w:rPr>
                <w:color w:val="auto"/>
                <w:sz w:val="20"/>
                <w:szCs w:val="20"/>
              </w:rPr>
            </w:pPr>
            <w:r w:rsidRPr="00B6318B">
              <w:rPr>
                <w:color w:val="auto"/>
                <w:sz w:val="20"/>
                <w:szCs w:val="20"/>
              </w:rPr>
              <w:t>On track</w:t>
            </w:r>
          </w:p>
        </w:tc>
      </w:tr>
    </w:tbl>
    <w:p w14:paraId="245E05AA" w14:textId="77777777" w:rsidR="001F471F" w:rsidRPr="00CF27A2" w:rsidRDefault="001F471F" w:rsidP="001F471F">
      <w:pPr>
        <w:pStyle w:val="Heading2"/>
      </w:pPr>
      <w:bookmarkStart w:id="26" w:name="_Toc193203104"/>
      <w:r>
        <w:t xml:space="preserve">How we’re measuring progress over four </w:t>
      </w:r>
      <w:proofErr w:type="gramStart"/>
      <w:r>
        <w:t>years</w:t>
      </w:r>
      <w:bookmarkEnd w:id="26"/>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9412"/>
        <w:gridCol w:w="4537"/>
      </w:tblGrid>
      <w:tr w:rsidR="001F471F" w14:paraId="17C77838" w14:textId="77777777" w:rsidTr="0052081B">
        <w:trPr>
          <w:tblHeader/>
        </w:trPr>
        <w:tc>
          <w:tcPr>
            <w:tcW w:w="9412" w:type="dxa"/>
            <w:shd w:val="clear" w:color="auto" w:fill="auto"/>
          </w:tcPr>
          <w:p w14:paraId="460C1ADB" w14:textId="77777777" w:rsidR="001F471F" w:rsidRPr="00784FF6" w:rsidRDefault="001F471F" w:rsidP="0052081B">
            <w:pPr>
              <w:pStyle w:val="TableofFigures"/>
              <w:rPr>
                <w:b/>
              </w:rPr>
            </w:pPr>
            <w:r>
              <w:rPr>
                <w:b/>
              </w:rPr>
              <w:t>Indicator</w:t>
            </w:r>
          </w:p>
        </w:tc>
        <w:tc>
          <w:tcPr>
            <w:tcW w:w="4537" w:type="dxa"/>
            <w:shd w:val="clear" w:color="auto" w:fill="auto"/>
          </w:tcPr>
          <w:p w14:paraId="596F2411" w14:textId="77777777" w:rsidR="001F471F" w:rsidRPr="00784FF6" w:rsidRDefault="001F471F" w:rsidP="0052081B">
            <w:pPr>
              <w:pStyle w:val="TableofFigures"/>
              <w:rPr>
                <w:b/>
              </w:rPr>
            </w:pPr>
            <w:r>
              <w:rPr>
                <w:b/>
              </w:rPr>
              <w:t>Target outcome</w:t>
            </w:r>
          </w:p>
        </w:tc>
      </w:tr>
      <w:tr w:rsidR="001F471F" w14:paraId="168A38D1" w14:textId="77777777" w:rsidTr="0052081B">
        <w:tc>
          <w:tcPr>
            <w:tcW w:w="9412" w:type="dxa"/>
          </w:tcPr>
          <w:p w14:paraId="5A5BC03A" w14:textId="77777777" w:rsidR="001F471F" w:rsidRPr="001F471F" w:rsidRDefault="001F471F" w:rsidP="001F471F">
            <w:pPr>
              <w:pStyle w:val="Default"/>
              <w:spacing w:line="276" w:lineRule="auto"/>
              <w:rPr>
                <w:sz w:val="20"/>
                <w:szCs w:val="18"/>
              </w:rPr>
            </w:pPr>
            <w:r w:rsidRPr="001F471F">
              <w:rPr>
                <w:sz w:val="20"/>
                <w:szCs w:val="18"/>
              </w:rPr>
              <w:t xml:space="preserve">Municipal greenhouse gas emissions. </w:t>
            </w:r>
          </w:p>
        </w:tc>
        <w:tc>
          <w:tcPr>
            <w:tcW w:w="4537" w:type="dxa"/>
          </w:tcPr>
          <w:p w14:paraId="0CEA60A4" w14:textId="77777777" w:rsidR="001F471F" w:rsidRPr="001F471F" w:rsidRDefault="001F471F" w:rsidP="001F471F">
            <w:pPr>
              <w:pStyle w:val="Default"/>
              <w:spacing w:line="276" w:lineRule="auto"/>
              <w:rPr>
                <w:sz w:val="20"/>
                <w:szCs w:val="18"/>
              </w:rPr>
            </w:pPr>
            <w:r w:rsidRPr="001F471F">
              <w:rPr>
                <w:sz w:val="20"/>
                <w:szCs w:val="18"/>
              </w:rPr>
              <w:t xml:space="preserve">33% reduction (from 2015 baseline by 2025) </w:t>
            </w:r>
          </w:p>
        </w:tc>
      </w:tr>
      <w:tr w:rsidR="001F471F" w14:paraId="1B932EEF" w14:textId="77777777" w:rsidTr="0052081B">
        <w:tc>
          <w:tcPr>
            <w:tcW w:w="9412" w:type="dxa"/>
          </w:tcPr>
          <w:p w14:paraId="4FB2571B" w14:textId="77777777" w:rsidR="001F471F" w:rsidRPr="001F471F" w:rsidRDefault="001F471F" w:rsidP="001F471F">
            <w:pPr>
              <w:pStyle w:val="Default"/>
              <w:spacing w:line="276" w:lineRule="auto"/>
              <w:rPr>
                <w:sz w:val="20"/>
                <w:szCs w:val="18"/>
              </w:rPr>
            </w:pPr>
            <w:r w:rsidRPr="001F471F">
              <w:rPr>
                <w:sz w:val="20"/>
                <w:szCs w:val="18"/>
              </w:rPr>
              <w:t xml:space="preserve">On-road transport emissions. </w:t>
            </w:r>
          </w:p>
        </w:tc>
        <w:tc>
          <w:tcPr>
            <w:tcW w:w="4537" w:type="dxa"/>
          </w:tcPr>
          <w:p w14:paraId="07C494F5" w14:textId="77777777" w:rsidR="001F471F" w:rsidRPr="001F471F" w:rsidRDefault="001F471F" w:rsidP="001F471F">
            <w:pPr>
              <w:pStyle w:val="Default"/>
              <w:spacing w:line="276" w:lineRule="auto"/>
              <w:rPr>
                <w:sz w:val="20"/>
                <w:szCs w:val="18"/>
              </w:rPr>
            </w:pPr>
            <w:r w:rsidRPr="001F471F">
              <w:rPr>
                <w:sz w:val="20"/>
                <w:szCs w:val="18"/>
              </w:rPr>
              <w:t xml:space="preserve">Decrease </w:t>
            </w:r>
          </w:p>
        </w:tc>
      </w:tr>
      <w:tr w:rsidR="001F471F" w14:paraId="03881D4C" w14:textId="77777777" w:rsidTr="0052081B">
        <w:tc>
          <w:tcPr>
            <w:tcW w:w="9412" w:type="dxa"/>
          </w:tcPr>
          <w:p w14:paraId="787C3594" w14:textId="77777777" w:rsidR="001F471F" w:rsidRPr="001F471F" w:rsidRDefault="001F471F" w:rsidP="001F471F">
            <w:pPr>
              <w:pStyle w:val="Default"/>
              <w:spacing w:line="276" w:lineRule="auto"/>
              <w:rPr>
                <w:sz w:val="20"/>
                <w:szCs w:val="18"/>
              </w:rPr>
            </w:pPr>
            <w:r w:rsidRPr="001F471F">
              <w:rPr>
                <w:sz w:val="20"/>
                <w:szCs w:val="18"/>
              </w:rPr>
              <w:t xml:space="preserve">Installed battery storage capacity in the municipality. </w:t>
            </w:r>
          </w:p>
        </w:tc>
        <w:tc>
          <w:tcPr>
            <w:tcW w:w="4537" w:type="dxa"/>
          </w:tcPr>
          <w:p w14:paraId="502055CB" w14:textId="77777777" w:rsidR="001F471F" w:rsidRPr="001F471F" w:rsidRDefault="001F471F" w:rsidP="001F471F">
            <w:pPr>
              <w:pStyle w:val="Default"/>
              <w:spacing w:line="276" w:lineRule="auto"/>
              <w:rPr>
                <w:sz w:val="20"/>
                <w:szCs w:val="18"/>
              </w:rPr>
            </w:pPr>
            <w:r w:rsidRPr="001F471F">
              <w:rPr>
                <w:sz w:val="20"/>
                <w:szCs w:val="18"/>
              </w:rPr>
              <w:t xml:space="preserve">Increase </w:t>
            </w:r>
          </w:p>
        </w:tc>
      </w:tr>
      <w:tr w:rsidR="001F471F" w14:paraId="02A65364" w14:textId="77777777" w:rsidTr="0052081B">
        <w:tc>
          <w:tcPr>
            <w:tcW w:w="9412" w:type="dxa"/>
          </w:tcPr>
          <w:p w14:paraId="17D8AA34" w14:textId="77777777" w:rsidR="001F471F" w:rsidRPr="001F471F" w:rsidRDefault="001F471F" w:rsidP="001F471F">
            <w:pPr>
              <w:pStyle w:val="Default"/>
              <w:spacing w:line="276" w:lineRule="auto"/>
              <w:rPr>
                <w:sz w:val="20"/>
                <w:szCs w:val="18"/>
              </w:rPr>
            </w:pPr>
            <w:r w:rsidRPr="001F471F">
              <w:rPr>
                <w:sz w:val="20"/>
                <w:szCs w:val="18"/>
              </w:rPr>
              <w:t xml:space="preserve">Household waste produced. </w:t>
            </w:r>
          </w:p>
        </w:tc>
        <w:tc>
          <w:tcPr>
            <w:tcW w:w="4537" w:type="dxa"/>
          </w:tcPr>
          <w:p w14:paraId="6E064C34" w14:textId="77777777" w:rsidR="001F471F" w:rsidRPr="001F471F" w:rsidRDefault="001F471F" w:rsidP="001F471F">
            <w:pPr>
              <w:pStyle w:val="Default"/>
              <w:spacing w:line="276" w:lineRule="auto"/>
              <w:rPr>
                <w:sz w:val="20"/>
                <w:szCs w:val="18"/>
              </w:rPr>
            </w:pPr>
            <w:r w:rsidRPr="001F471F">
              <w:rPr>
                <w:sz w:val="20"/>
                <w:szCs w:val="18"/>
              </w:rPr>
              <w:t xml:space="preserve">10% reduction (by 2025) </w:t>
            </w:r>
          </w:p>
        </w:tc>
      </w:tr>
      <w:tr w:rsidR="001F471F" w14:paraId="1959B0BF" w14:textId="77777777" w:rsidTr="0052081B">
        <w:tc>
          <w:tcPr>
            <w:tcW w:w="9412" w:type="dxa"/>
          </w:tcPr>
          <w:p w14:paraId="41D9D767" w14:textId="77777777" w:rsidR="001F471F" w:rsidRPr="001F471F" w:rsidRDefault="001F471F" w:rsidP="001F471F">
            <w:pPr>
              <w:pStyle w:val="Default"/>
              <w:spacing w:line="276" w:lineRule="auto"/>
              <w:rPr>
                <w:sz w:val="20"/>
                <w:szCs w:val="18"/>
              </w:rPr>
            </w:pPr>
            <w:r w:rsidRPr="001F471F">
              <w:rPr>
                <w:sz w:val="20"/>
                <w:szCs w:val="18"/>
              </w:rPr>
              <w:t xml:space="preserve">Municipal waste diverted from landfill. </w:t>
            </w:r>
          </w:p>
        </w:tc>
        <w:tc>
          <w:tcPr>
            <w:tcW w:w="4537" w:type="dxa"/>
          </w:tcPr>
          <w:p w14:paraId="5D296D79" w14:textId="77777777" w:rsidR="001F471F" w:rsidRPr="001F471F" w:rsidRDefault="001F471F" w:rsidP="001F471F">
            <w:pPr>
              <w:pStyle w:val="Default"/>
              <w:spacing w:line="276" w:lineRule="auto"/>
              <w:rPr>
                <w:sz w:val="20"/>
                <w:szCs w:val="18"/>
              </w:rPr>
            </w:pPr>
            <w:r w:rsidRPr="001F471F">
              <w:rPr>
                <w:sz w:val="20"/>
                <w:szCs w:val="18"/>
              </w:rPr>
              <w:t xml:space="preserve">50% increase (by 2025) </w:t>
            </w:r>
          </w:p>
        </w:tc>
      </w:tr>
      <w:tr w:rsidR="001F471F" w14:paraId="53815F37" w14:textId="77777777" w:rsidTr="0052081B">
        <w:tc>
          <w:tcPr>
            <w:tcW w:w="9412" w:type="dxa"/>
          </w:tcPr>
          <w:p w14:paraId="20DE578B" w14:textId="77777777" w:rsidR="001F471F" w:rsidRPr="001F471F" w:rsidRDefault="001F471F" w:rsidP="001F471F">
            <w:pPr>
              <w:pStyle w:val="Default"/>
              <w:spacing w:line="276" w:lineRule="auto"/>
              <w:rPr>
                <w:sz w:val="20"/>
                <w:szCs w:val="18"/>
              </w:rPr>
            </w:pPr>
            <w:r w:rsidRPr="001F471F">
              <w:rPr>
                <w:sz w:val="20"/>
                <w:szCs w:val="18"/>
              </w:rPr>
              <w:t xml:space="preserve">Alternative water use. </w:t>
            </w:r>
          </w:p>
        </w:tc>
        <w:tc>
          <w:tcPr>
            <w:tcW w:w="4537" w:type="dxa"/>
          </w:tcPr>
          <w:p w14:paraId="0CD14644" w14:textId="77777777" w:rsidR="001F471F" w:rsidRPr="001F471F" w:rsidRDefault="001F471F" w:rsidP="001F471F">
            <w:pPr>
              <w:pStyle w:val="Default"/>
              <w:spacing w:line="276" w:lineRule="auto"/>
              <w:rPr>
                <w:sz w:val="20"/>
                <w:szCs w:val="18"/>
              </w:rPr>
            </w:pPr>
            <w:r w:rsidRPr="001F471F">
              <w:rPr>
                <w:sz w:val="20"/>
                <w:szCs w:val="18"/>
              </w:rPr>
              <w:t xml:space="preserve">Increase </w:t>
            </w:r>
          </w:p>
        </w:tc>
      </w:tr>
      <w:tr w:rsidR="001F471F" w14:paraId="21B049C8" w14:textId="77777777" w:rsidTr="0052081B">
        <w:tc>
          <w:tcPr>
            <w:tcW w:w="9412" w:type="dxa"/>
          </w:tcPr>
          <w:p w14:paraId="252EA9E2" w14:textId="77777777" w:rsidR="001F471F" w:rsidRPr="001F471F" w:rsidRDefault="001F471F" w:rsidP="001F471F">
            <w:pPr>
              <w:pStyle w:val="Default"/>
              <w:spacing w:line="276" w:lineRule="auto"/>
              <w:rPr>
                <w:sz w:val="20"/>
                <w:szCs w:val="18"/>
              </w:rPr>
            </w:pPr>
            <w:r w:rsidRPr="001F471F">
              <w:rPr>
                <w:sz w:val="20"/>
                <w:szCs w:val="18"/>
              </w:rPr>
              <w:t xml:space="preserve">Stormwater quality. </w:t>
            </w:r>
          </w:p>
        </w:tc>
        <w:tc>
          <w:tcPr>
            <w:tcW w:w="4537" w:type="dxa"/>
          </w:tcPr>
          <w:p w14:paraId="0A3801F8" w14:textId="77777777" w:rsidR="001F471F" w:rsidRPr="001F471F" w:rsidRDefault="001F471F" w:rsidP="001F471F">
            <w:pPr>
              <w:pStyle w:val="Default"/>
              <w:spacing w:line="276" w:lineRule="auto"/>
              <w:rPr>
                <w:sz w:val="20"/>
                <w:szCs w:val="18"/>
              </w:rPr>
            </w:pPr>
            <w:r w:rsidRPr="001F471F">
              <w:rPr>
                <w:sz w:val="20"/>
                <w:szCs w:val="18"/>
              </w:rPr>
              <w:t xml:space="preserve">Increase </w:t>
            </w:r>
          </w:p>
        </w:tc>
      </w:tr>
      <w:tr w:rsidR="001F471F" w14:paraId="683A099D" w14:textId="77777777" w:rsidTr="0052081B">
        <w:tc>
          <w:tcPr>
            <w:tcW w:w="9412" w:type="dxa"/>
          </w:tcPr>
          <w:p w14:paraId="030B4A76" w14:textId="77777777" w:rsidR="001F471F" w:rsidRPr="001F471F" w:rsidRDefault="001F471F" w:rsidP="001F471F">
            <w:pPr>
              <w:pStyle w:val="Default"/>
              <w:spacing w:line="276" w:lineRule="auto"/>
              <w:rPr>
                <w:sz w:val="20"/>
                <w:szCs w:val="18"/>
              </w:rPr>
            </w:pPr>
            <w:r w:rsidRPr="001F471F">
              <w:rPr>
                <w:sz w:val="20"/>
                <w:szCs w:val="18"/>
              </w:rPr>
              <w:t xml:space="preserve">Hospital admissions in relation to extreme weather events. </w:t>
            </w:r>
          </w:p>
        </w:tc>
        <w:tc>
          <w:tcPr>
            <w:tcW w:w="4537" w:type="dxa"/>
          </w:tcPr>
          <w:p w14:paraId="63344B4F" w14:textId="77777777" w:rsidR="001F471F" w:rsidRPr="001F471F" w:rsidRDefault="001F471F" w:rsidP="001F471F">
            <w:pPr>
              <w:pStyle w:val="Default"/>
              <w:spacing w:line="276" w:lineRule="auto"/>
              <w:rPr>
                <w:sz w:val="20"/>
                <w:szCs w:val="18"/>
              </w:rPr>
            </w:pPr>
            <w:r w:rsidRPr="001F471F">
              <w:rPr>
                <w:sz w:val="20"/>
                <w:szCs w:val="18"/>
              </w:rPr>
              <w:t xml:space="preserve">Decrease </w:t>
            </w:r>
          </w:p>
        </w:tc>
      </w:tr>
      <w:tr w:rsidR="001F471F" w14:paraId="435EBC4B" w14:textId="77777777" w:rsidTr="0052081B">
        <w:tc>
          <w:tcPr>
            <w:tcW w:w="9412" w:type="dxa"/>
          </w:tcPr>
          <w:p w14:paraId="158FBCCE" w14:textId="77777777" w:rsidR="001F471F" w:rsidRPr="001F471F" w:rsidRDefault="001F471F" w:rsidP="001F471F">
            <w:pPr>
              <w:pStyle w:val="Default"/>
              <w:spacing w:line="276" w:lineRule="auto"/>
              <w:rPr>
                <w:sz w:val="20"/>
                <w:szCs w:val="18"/>
              </w:rPr>
            </w:pPr>
            <w:r w:rsidRPr="001F471F">
              <w:rPr>
                <w:sz w:val="20"/>
                <w:szCs w:val="18"/>
              </w:rPr>
              <w:t xml:space="preserve">Percentage of tree canopy cover in the public realm. </w:t>
            </w:r>
          </w:p>
        </w:tc>
        <w:tc>
          <w:tcPr>
            <w:tcW w:w="4537" w:type="dxa"/>
          </w:tcPr>
          <w:p w14:paraId="464AEC79" w14:textId="77777777" w:rsidR="001F471F" w:rsidRPr="001F471F" w:rsidRDefault="001F471F" w:rsidP="001F471F">
            <w:pPr>
              <w:pStyle w:val="Default"/>
              <w:spacing w:line="276" w:lineRule="auto"/>
              <w:rPr>
                <w:sz w:val="20"/>
                <w:szCs w:val="18"/>
              </w:rPr>
            </w:pPr>
            <w:r w:rsidRPr="001F471F">
              <w:rPr>
                <w:sz w:val="20"/>
                <w:szCs w:val="18"/>
              </w:rPr>
              <w:t xml:space="preserve">27% (by 2025) </w:t>
            </w:r>
          </w:p>
        </w:tc>
      </w:tr>
      <w:tr w:rsidR="001F471F" w14:paraId="79A4FEBF" w14:textId="77777777" w:rsidTr="0052081B">
        <w:tc>
          <w:tcPr>
            <w:tcW w:w="9412" w:type="dxa"/>
          </w:tcPr>
          <w:p w14:paraId="246A5706" w14:textId="77777777" w:rsidR="001F471F" w:rsidRPr="001F471F" w:rsidRDefault="001F471F" w:rsidP="001F471F">
            <w:pPr>
              <w:pStyle w:val="Default"/>
              <w:spacing w:line="276" w:lineRule="auto"/>
              <w:rPr>
                <w:sz w:val="20"/>
                <w:szCs w:val="18"/>
              </w:rPr>
            </w:pPr>
            <w:r w:rsidRPr="001F471F">
              <w:rPr>
                <w:sz w:val="20"/>
                <w:szCs w:val="18"/>
              </w:rPr>
              <w:t xml:space="preserve">Number of trees planted in the municipality. </w:t>
            </w:r>
          </w:p>
        </w:tc>
        <w:tc>
          <w:tcPr>
            <w:tcW w:w="4537" w:type="dxa"/>
          </w:tcPr>
          <w:p w14:paraId="1E99497D" w14:textId="77777777" w:rsidR="001F471F" w:rsidRPr="001F471F" w:rsidRDefault="001F471F" w:rsidP="001F471F">
            <w:pPr>
              <w:pStyle w:val="Default"/>
              <w:spacing w:line="276" w:lineRule="auto"/>
              <w:rPr>
                <w:sz w:val="20"/>
                <w:szCs w:val="18"/>
              </w:rPr>
            </w:pPr>
            <w:r w:rsidRPr="001F471F">
              <w:rPr>
                <w:sz w:val="20"/>
                <w:szCs w:val="18"/>
              </w:rPr>
              <w:t xml:space="preserve">2400 plus number of trees removed in previous year, or 3000, whichever is more. </w:t>
            </w:r>
          </w:p>
        </w:tc>
      </w:tr>
      <w:tr w:rsidR="001F471F" w14:paraId="1B44A44F" w14:textId="77777777" w:rsidTr="0052081B">
        <w:tc>
          <w:tcPr>
            <w:tcW w:w="9412" w:type="dxa"/>
          </w:tcPr>
          <w:p w14:paraId="49CDEA62" w14:textId="77777777" w:rsidR="001F471F" w:rsidRPr="001F471F" w:rsidRDefault="001F471F" w:rsidP="001F471F">
            <w:pPr>
              <w:pStyle w:val="Default"/>
              <w:spacing w:line="276" w:lineRule="auto"/>
              <w:rPr>
                <w:sz w:val="20"/>
                <w:szCs w:val="18"/>
              </w:rPr>
            </w:pPr>
            <w:r w:rsidRPr="001F471F">
              <w:rPr>
                <w:sz w:val="20"/>
                <w:szCs w:val="18"/>
              </w:rPr>
              <w:t xml:space="preserve">Area of native understorey habitat in the public realm. </w:t>
            </w:r>
          </w:p>
        </w:tc>
        <w:tc>
          <w:tcPr>
            <w:tcW w:w="4537" w:type="dxa"/>
          </w:tcPr>
          <w:p w14:paraId="7BA59B52" w14:textId="77777777" w:rsidR="001F471F" w:rsidRPr="001F471F" w:rsidRDefault="001F471F" w:rsidP="001F471F">
            <w:pPr>
              <w:pStyle w:val="Default"/>
              <w:spacing w:line="276" w:lineRule="auto"/>
              <w:rPr>
                <w:sz w:val="20"/>
                <w:szCs w:val="18"/>
              </w:rPr>
            </w:pPr>
            <w:r w:rsidRPr="001F471F">
              <w:rPr>
                <w:sz w:val="20"/>
                <w:szCs w:val="18"/>
              </w:rPr>
              <w:t xml:space="preserve">Increase </w:t>
            </w:r>
          </w:p>
        </w:tc>
      </w:tr>
    </w:tbl>
    <w:p w14:paraId="33602691" w14:textId="77777777" w:rsidR="0038645E" w:rsidRDefault="0038645E" w:rsidP="005735E1">
      <w:pPr>
        <w:pStyle w:val="Heading1"/>
        <w:rPr>
          <w:rFonts w:hint="eastAsia"/>
        </w:rPr>
      </w:pPr>
    </w:p>
    <w:p w14:paraId="0AB4678A" w14:textId="77777777" w:rsidR="005735E1" w:rsidRDefault="0038645E" w:rsidP="005735E1">
      <w:pPr>
        <w:pStyle w:val="Heading1"/>
      </w:pPr>
      <w:r>
        <w:rPr>
          <w:rFonts w:hint="eastAsia"/>
        </w:rPr>
        <w:br w:type="page"/>
      </w:r>
      <w:bookmarkStart w:id="27" w:name="_Toc193203105"/>
      <w:r w:rsidR="00B30455" w:rsidRPr="00B30455">
        <w:t>Access and affordability</w:t>
      </w:r>
      <w:bookmarkEnd w:id="27"/>
    </w:p>
    <w:p w14:paraId="45F4CAF6" w14:textId="77777777" w:rsidR="005735E1" w:rsidRDefault="00B30455" w:rsidP="005735E1">
      <w:r w:rsidRPr="00B30455">
        <w:t>Over the next four years, we will reduce economic and social inequality by ensuring universal access to housing</w:t>
      </w:r>
      <w:r>
        <w:t>, core services and information</w:t>
      </w:r>
      <w:r w:rsidR="005735E1" w:rsidRPr="00784FF6">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4A0" w:firstRow="1" w:lastRow="0" w:firstColumn="1" w:lastColumn="0" w:noHBand="0" w:noVBand="1"/>
      </w:tblPr>
      <w:tblGrid>
        <w:gridCol w:w="13920"/>
      </w:tblGrid>
      <w:tr w:rsidR="005735E1" w14:paraId="608EC736" w14:textId="77777777" w:rsidTr="00004EFF">
        <w:tc>
          <w:tcPr>
            <w:tcW w:w="13920" w:type="dxa"/>
            <w:shd w:val="clear" w:color="auto" w:fill="auto"/>
          </w:tcPr>
          <w:p w14:paraId="5B1B1130" w14:textId="77777777" w:rsidR="009E6BAD" w:rsidRPr="00D367C9" w:rsidRDefault="009E6BAD" w:rsidP="009E6BAD">
            <w:pPr>
              <w:pStyle w:val="Heading2"/>
              <w:spacing w:before="0"/>
            </w:pPr>
            <w:bookmarkStart w:id="28" w:name="_Toc193203106"/>
            <w:r w:rsidRPr="00D367C9">
              <w:t>Highlights for quarter three (</w:t>
            </w:r>
            <w:r w:rsidR="004E7833">
              <w:t>April to June</w:t>
            </w:r>
            <w:r w:rsidRPr="00D367C9">
              <w:t xml:space="preserve"> 202</w:t>
            </w:r>
            <w:r w:rsidR="004E1C37">
              <w:t>4</w:t>
            </w:r>
            <w:r w:rsidRPr="00D367C9">
              <w:t>)</w:t>
            </w:r>
            <w:bookmarkEnd w:id="28"/>
          </w:p>
          <w:p w14:paraId="386F45C4" w14:textId="77777777" w:rsidR="004E1C37" w:rsidRPr="004E1C37" w:rsidRDefault="004E1C37" w:rsidP="004E1C37">
            <w:pPr>
              <w:pStyle w:val="ListParagraph"/>
              <w:numPr>
                <w:ilvl w:val="0"/>
                <w:numId w:val="0"/>
              </w:numPr>
              <w:spacing w:after="200"/>
              <w:contextualSpacing/>
              <w:rPr>
                <w:color w:val="262626"/>
                <w:lang w:val="en-AU"/>
              </w:rPr>
            </w:pPr>
            <w:r w:rsidRPr="004E1C37">
              <w:rPr>
                <w:color w:val="262626"/>
                <w:lang w:val="en-AU"/>
              </w:rPr>
              <w:t>Community consultation on the draft Recreation Facilities Provision Framework commenced, this</w:t>
            </w:r>
            <w:r>
              <w:rPr>
                <w:color w:val="262626"/>
                <w:lang w:val="en-AU"/>
              </w:rPr>
              <w:t xml:space="preserve"> </w:t>
            </w:r>
            <w:r w:rsidRPr="004E1C37">
              <w:rPr>
                <w:color w:val="262626"/>
                <w:lang w:val="en-AU"/>
              </w:rPr>
              <w:t>incorporates a prioritisation framework to guide strategic planning for facility provision including</w:t>
            </w:r>
            <w:r>
              <w:rPr>
                <w:color w:val="262626"/>
                <w:lang w:val="en-AU"/>
              </w:rPr>
              <w:t xml:space="preserve"> </w:t>
            </w:r>
            <w:r w:rsidRPr="004E1C37">
              <w:rPr>
                <w:color w:val="262626"/>
                <w:lang w:val="en-AU"/>
              </w:rPr>
              <w:t>increasing capacity, redevelopment of existing, and provision of new facilities.</w:t>
            </w:r>
          </w:p>
          <w:p w14:paraId="1FD43630" w14:textId="77777777" w:rsidR="004E1C37" w:rsidRPr="004E1C37" w:rsidRDefault="004E1C37" w:rsidP="004E1C37">
            <w:pPr>
              <w:pStyle w:val="ListParagraph"/>
              <w:numPr>
                <w:ilvl w:val="0"/>
                <w:numId w:val="0"/>
              </w:numPr>
              <w:spacing w:after="200"/>
              <w:contextualSpacing/>
              <w:rPr>
                <w:color w:val="262626"/>
                <w:lang w:val="en-AU"/>
              </w:rPr>
            </w:pPr>
            <w:r w:rsidRPr="004E1C37">
              <w:rPr>
                <w:color w:val="262626"/>
                <w:lang w:val="en-AU"/>
              </w:rPr>
              <w:t>Demolition of the old Ryder Pavilion occurred with construction of the new Ryder Pavilion</w:t>
            </w:r>
            <w:r>
              <w:rPr>
                <w:color w:val="262626"/>
                <w:lang w:val="en-AU"/>
              </w:rPr>
              <w:t xml:space="preserve"> </w:t>
            </w:r>
            <w:r w:rsidRPr="004E1C37">
              <w:rPr>
                <w:color w:val="262626"/>
                <w:lang w:val="en-AU"/>
              </w:rPr>
              <w:t>commencing in May, the turning of the sod was marked by a site visit from the Lord Mayor and</w:t>
            </w:r>
            <w:r>
              <w:rPr>
                <w:color w:val="262626"/>
                <w:lang w:val="en-AU"/>
              </w:rPr>
              <w:t xml:space="preserve"> </w:t>
            </w:r>
            <w:r w:rsidRPr="004E1C37">
              <w:rPr>
                <w:color w:val="262626"/>
                <w:lang w:val="en-AU"/>
              </w:rPr>
              <w:t>Councillor Griffiths.</w:t>
            </w:r>
          </w:p>
          <w:p w14:paraId="2B2F9BF1" w14:textId="77777777" w:rsidR="004E1C37" w:rsidRPr="004E1C37" w:rsidRDefault="004E1C37" w:rsidP="004E1C37">
            <w:pPr>
              <w:pStyle w:val="ListParagraph"/>
              <w:numPr>
                <w:ilvl w:val="0"/>
                <w:numId w:val="0"/>
              </w:numPr>
              <w:spacing w:after="200"/>
              <w:contextualSpacing/>
              <w:rPr>
                <w:color w:val="262626"/>
                <w:lang w:val="en-AU"/>
              </w:rPr>
            </w:pPr>
            <w:r w:rsidRPr="004E1C37">
              <w:rPr>
                <w:color w:val="262626"/>
                <w:lang w:val="en-AU"/>
              </w:rPr>
              <w:t>An event was held at Make Room to celebrate the completion of the first apartment and to announce</w:t>
            </w:r>
            <w:r>
              <w:rPr>
                <w:color w:val="262626"/>
                <w:lang w:val="en-AU"/>
              </w:rPr>
              <w:t xml:space="preserve"> </w:t>
            </w:r>
            <w:proofErr w:type="spellStart"/>
            <w:r w:rsidRPr="004E1C37">
              <w:rPr>
                <w:color w:val="262626"/>
                <w:lang w:val="en-AU"/>
              </w:rPr>
              <w:t>cohealth</w:t>
            </w:r>
            <w:proofErr w:type="spellEnd"/>
            <w:r w:rsidRPr="004E1C37">
              <w:rPr>
                <w:color w:val="262626"/>
                <w:lang w:val="en-AU"/>
              </w:rPr>
              <w:t xml:space="preserve"> as the onsite service support partner. Donors and key project partners had the opportunity</w:t>
            </w:r>
            <w:r>
              <w:rPr>
                <w:color w:val="262626"/>
                <w:lang w:val="en-AU"/>
              </w:rPr>
              <w:t xml:space="preserve"> </w:t>
            </w:r>
            <w:r w:rsidRPr="004E1C37">
              <w:rPr>
                <w:color w:val="262626"/>
                <w:lang w:val="en-AU"/>
              </w:rPr>
              <w:t>to view the progress and learn more about the service support model.</w:t>
            </w:r>
          </w:p>
          <w:p w14:paraId="5C7E317C" w14:textId="77777777" w:rsidR="004E1C37" w:rsidRPr="004E1C37" w:rsidRDefault="004E1C37" w:rsidP="004E1C37">
            <w:pPr>
              <w:pStyle w:val="ListParagraph"/>
              <w:numPr>
                <w:ilvl w:val="0"/>
                <w:numId w:val="0"/>
              </w:numPr>
              <w:spacing w:after="200"/>
              <w:contextualSpacing/>
              <w:rPr>
                <w:color w:val="262626"/>
                <w:lang w:val="en-AU"/>
              </w:rPr>
            </w:pPr>
            <w:r w:rsidRPr="004E1C37">
              <w:rPr>
                <w:color w:val="262626"/>
                <w:lang w:val="en-AU"/>
              </w:rPr>
              <w:t>Companion services were provided by Travellers Aid at the Comedy Festival, Walk in the Park,</w:t>
            </w:r>
            <w:r>
              <w:rPr>
                <w:color w:val="262626"/>
                <w:lang w:val="en-AU"/>
              </w:rPr>
              <w:t xml:space="preserve"> </w:t>
            </w:r>
            <w:r w:rsidRPr="004E1C37">
              <w:rPr>
                <w:color w:val="262626"/>
                <w:lang w:val="en-AU"/>
              </w:rPr>
              <w:t>Anzac Day, the Australian Network on Disability Impact Conference and The Long Walk.</w:t>
            </w:r>
          </w:p>
          <w:p w14:paraId="703D4014" w14:textId="77777777" w:rsidR="004E1C37" w:rsidRPr="004E1C37" w:rsidRDefault="004E1C37" w:rsidP="004E1C37">
            <w:pPr>
              <w:pStyle w:val="ListParagraph"/>
              <w:numPr>
                <w:ilvl w:val="0"/>
                <w:numId w:val="0"/>
              </w:numPr>
              <w:spacing w:after="200"/>
              <w:contextualSpacing/>
              <w:rPr>
                <w:color w:val="262626"/>
                <w:lang w:val="en-AU"/>
              </w:rPr>
            </w:pPr>
            <w:r w:rsidRPr="004E1C37">
              <w:rPr>
                <w:color w:val="262626"/>
                <w:lang w:val="en-AU"/>
              </w:rPr>
              <w:t>Five members of the Disability Advisory Committee participated in a Greenline Precinct Plan</w:t>
            </w:r>
            <w:r>
              <w:rPr>
                <w:color w:val="262626"/>
                <w:lang w:val="en-AU"/>
              </w:rPr>
              <w:t xml:space="preserve"> </w:t>
            </w:r>
            <w:r w:rsidRPr="004E1C37">
              <w:rPr>
                <w:color w:val="262626"/>
                <w:lang w:val="en-AU"/>
              </w:rPr>
              <w:t>workshop to explore and provide advice on specific design elements such as signage, wayfinding,</w:t>
            </w:r>
            <w:r>
              <w:rPr>
                <w:color w:val="262626"/>
                <w:lang w:val="en-AU"/>
              </w:rPr>
              <w:t xml:space="preserve"> </w:t>
            </w:r>
            <w:r w:rsidRPr="004E1C37">
              <w:rPr>
                <w:color w:val="262626"/>
                <w:lang w:val="en-AU"/>
              </w:rPr>
              <w:t>surfaces, materials, amenities, lighting and safety along the river’s edge.</w:t>
            </w:r>
          </w:p>
          <w:p w14:paraId="78D03DE4" w14:textId="77777777" w:rsidR="004E1C37" w:rsidRPr="004E1C37" w:rsidRDefault="004E1C37" w:rsidP="004E1C37">
            <w:pPr>
              <w:pStyle w:val="ListParagraph"/>
              <w:numPr>
                <w:ilvl w:val="0"/>
                <w:numId w:val="0"/>
              </w:numPr>
              <w:spacing w:after="200"/>
              <w:contextualSpacing/>
              <w:rPr>
                <w:color w:val="262626"/>
                <w:lang w:val="en-AU"/>
              </w:rPr>
            </w:pPr>
            <w:r w:rsidRPr="004E1C37">
              <w:rPr>
                <w:color w:val="262626"/>
                <w:lang w:val="en-AU"/>
              </w:rPr>
              <w:t>Discussions on the furniture layout, artwork and wayfinding for City Library are progressing. Work on</w:t>
            </w:r>
            <w:r>
              <w:rPr>
                <w:color w:val="262626"/>
                <w:lang w:val="en-AU"/>
              </w:rPr>
              <w:t xml:space="preserve"> </w:t>
            </w:r>
            <w:r w:rsidRPr="004E1C37">
              <w:rPr>
                <w:color w:val="262626"/>
                <w:lang w:val="en-AU"/>
              </w:rPr>
              <w:t>the curated collection for the library branch is complete, with repurposed items redistributed</w:t>
            </w:r>
            <w:r>
              <w:rPr>
                <w:color w:val="262626"/>
                <w:lang w:val="en-AU"/>
              </w:rPr>
              <w:t xml:space="preserve"> </w:t>
            </w:r>
            <w:r w:rsidRPr="004E1C37">
              <w:rPr>
                <w:color w:val="262626"/>
                <w:lang w:val="en-AU"/>
              </w:rPr>
              <w:t>throughout the library network and donations made to various community organisation</w:t>
            </w:r>
          </w:p>
          <w:p w14:paraId="67E35321" w14:textId="77777777" w:rsidR="004A3010" w:rsidRDefault="004E1C37" w:rsidP="004E1C37">
            <w:pPr>
              <w:pStyle w:val="ListParagraph"/>
              <w:numPr>
                <w:ilvl w:val="0"/>
                <w:numId w:val="0"/>
              </w:numPr>
              <w:spacing w:after="200"/>
              <w:contextualSpacing/>
              <w:rPr>
                <w:rFonts w:cs="Arial"/>
                <w:color w:val="262626"/>
              </w:rPr>
            </w:pPr>
            <w:r w:rsidRPr="004E1C37">
              <w:rPr>
                <w:color w:val="262626"/>
                <w:lang w:val="en-AU"/>
              </w:rPr>
              <w:t>Up to May 2024, three Foodbank Farms to Families food truck events were held, which were</w:t>
            </w:r>
            <w:r>
              <w:rPr>
                <w:color w:val="262626"/>
                <w:lang w:val="en-AU"/>
              </w:rPr>
              <w:t xml:space="preserve"> </w:t>
            </w:r>
            <w:r w:rsidRPr="004E1C37">
              <w:rPr>
                <w:color w:val="262626"/>
                <w:lang w:val="en-AU"/>
              </w:rPr>
              <w:t>attended by a total of 930 community members. During these events, 5,650 kilos of fresh fruit and</w:t>
            </w:r>
            <w:r>
              <w:rPr>
                <w:color w:val="262626"/>
                <w:lang w:val="en-AU"/>
              </w:rPr>
              <w:t xml:space="preserve"> </w:t>
            </w:r>
            <w:r w:rsidRPr="004E1C37">
              <w:rPr>
                <w:color w:val="262626"/>
                <w:lang w:val="en-AU"/>
              </w:rPr>
              <w:t>vegetables were distributed. About 75% of the attendees were residents of the municipality, with 235</w:t>
            </w:r>
            <w:r>
              <w:rPr>
                <w:color w:val="262626"/>
                <w:lang w:val="en-AU"/>
              </w:rPr>
              <w:t xml:space="preserve"> </w:t>
            </w:r>
            <w:r w:rsidRPr="004E1C37">
              <w:rPr>
                <w:color w:val="262626"/>
                <w:lang w:val="en-AU"/>
              </w:rPr>
              <w:t>residents coming from a CBD address. Additionally, 362 people, representing over half of the total</w:t>
            </w:r>
            <w:r>
              <w:rPr>
                <w:color w:val="262626"/>
                <w:lang w:val="en-AU"/>
              </w:rPr>
              <w:t xml:space="preserve"> </w:t>
            </w:r>
            <w:r w:rsidRPr="004E1C37">
              <w:rPr>
                <w:color w:val="262626"/>
                <w:lang w:val="en-AU"/>
              </w:rPr>
              <w:t>respondents, reported being referred from City of Melbourne services such as family services,</w:t>
            </w:r>
            <w:r>
              <w:rPr>
                <w:color w:val="262626"/>
                <w:lang w:val="en-AU"/>
              </w:rPr>
              <w:t xml:space="preserve"> </w:t>
            </w:r>
            <w:r w:rsidRPr="004E1C37">
              <w:rPr>
                <w:color w:val="262626"/>
                <w:lang w:val="en-AU"/>
              </w:rPr>
              <w:t>neighbourhood partners, the Couch, or libraries.</w:t>
            </w:r>
          </w:p>
          <w:p w14:paraId="16F90A35" w14:textId="77777777" w:rsidR="003D6D4A" w:rsidRPr="00D367C9" w:rsidRDefault="003D6D4A" w:rsidP="003D6D4A">
            <w:pPr>
              <w:pStyle w:val="Heading2"/>
            </w:pPr>
            <w:bookmarkStart w:id="29" w:name="_Toc193203107"/>
            <w:r w:rsidRPr="00D367C9">
              <w:t>Our progress</w:t>
            </w:r>
            <w:bookmarkEnd w:id="29"/>
            <w:r w:rsidRPr="00D367C9">
              <w:t xml:space="preserve"> </w:t>
            </w:r>
          </w:p>
          <w:p w14:paraId="6B095856" w14:textId="77777777" w:rsidR="005735E1" w:rsidRPr="00D367C9" w:rsidRDefault="00BE5903" w:rsidP="00BE5903">
            <w:pPr>
              <w:spacing w:after="0"/>
            </w:pPr>
            <w:r w:rsidRPr="00D367C9">
              <w:rPr>
                <w:rFonts w:eastAsia="Cambria"/>
                <w:bCs/>
              </w:rPr>
              <w:t>Delivery of our major initiatives within the Council Plan term is on track.</w:t>
            </w:r>
          </w:p>
        </w:tc>
      </w:tr>
    </w:tbl>
    <w:p w14:paraId="607D5914" w14:textId="77777777" w:rsidR="004E1C37" w:rsidRDefault="004E1C37" w:rsidP="005735E1">
      <w:pPr>
        <w:pStyle w:val="Heading2"/>
      </w:pPr>
    </w:p>
    <w:p w14:paraId="43CF34C6" w14:textId="77777777" w:rsidR="005735E1" w:rsidRPr="00784FF6" w:rsidRDefault="005735E1" w:rsidP="005735E1">
      <w:pPr>
        <w:pStyle w:val="Heading2"/>
      </w:pPr>
      <w:bookmarkStart w:id="30" w:name="_Toc193203108"/>
      <w:r w:rsidRPr="00784FF6">
        <w:t xml:space="preserve">The major initiatives we’re delivering this </w:t>
      </w:r>
      <w:proofErr w:type="gramStart"/>
      <w:r w:rsidRPr="00784FF6">
        <w:t>year</w:t>
      </w:r>
      <w:bookmarkEnd w:id="30"/>
      <w:proofErr w:type="gramEnd"/>
      <w:r w:rsidRPr="00784FF6">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9412"/>
        <w:gridCol w:w="2268"/>
        <w:gridCol w:w="2268"/>
      </w:tblGrid>
      <w:tr w:rsidR="003D6D4A" w14:paraId="7ED66F52" w14:textId="77777777" w:rsidTr="0052081B">
        <w:trPr>
          <w:tblHeader/>
        </w:trPr>
        <w:tc>
          <w:tcPr>
            <w:tcW w:w="9412" w:type="dxa"/>
            <w:shd w:val="clear" w:color="auto" w:fill="auto"/>
          </w:tcPr>
          <w:p w14:paraId="7F2867F8" w14:textId="77777777" w:rsidR="003D6D4A" w:rsidRPr="0038645E" w:rsidRDefault="003D6D4A" w:rsidP="0052081B">
            <w:pPr>
              <w:pStyle w:val="TableofFigures"/>
              <w:rPr>
                <w:b/>
              </w:rPr>
            </w:pPr>
            <w:r w:rsidRPr="0038645E">
              <w:rPr>
                <w:b/>
              </w:rPr>
              <w:t>Initiative</w:t>
            </w:r>
          </w:p>
        </w:tc>
        <w:tc>
          <w:tcPr>
            <w:tcW w:w="2268" w:type="dxa"/>
            <w:shd w:val="clear" w:color="auto" w:fill="auto"/>
          </w:tcPr>
          <w:p w14:paraId="4C297F57" w14:textId="77777777" w:rsidR="003D6D4A" w:rsidRPr="0038645E" w:rsidRDefault="003D6D4A" w:rsidP="0052081B">
            <w:pPr>
              <w:pStyle w:val="TableofFigures"/>
              <w:rPr>
                <w:b/>
              </w:rPr>
            </w:pPr>
            <w:r w:rsidRPr="0038645E">
              <w:rPr>
                <w:b/>
              </w:rPr>
              <w:t>Council’s role</w:t>
            </w:r>
          </w:p>
        </w:tc>
        <w:tc>
          <w:tcPr>
            <w:tcW w:w="2268" w:type="dxa"/>
            <w:shd w:val="clear" w:color="auto" w:fill="auto"/>
          </w:tcPr>
          <w:p w14:paraId="6F071C52" w14:textId="77777777" w:rsidR="003D6D4A" w:rsidRPr="00D367C9" w:rsidRDefault="003D6D4A" w:rsidP="0052081B">
            <w:pPr>
              <w:pStyle w:val="TableofFigures"/>
              <w:rPr>
                <w:b/>
              </w:rPr>
            </w:pPr>
            <w:r w:rsidRPr="00D367C9">
              <w:rPr>
                <w:b/>
              </w:rPr>
              <w:t>Our progress</w:t>
            </w:r>
          </w:p>
        </w:tc>
      </w:tr>
      <w:tr w:rsidR="006E5EC2" w14:paraId="2C97FF86" w14:textId="77777777" w:rsidTr="0052081B">
        <w:tc>
          <w:tcPr>
            <w:tcW w:w="9412" w:type="dxa"/>
            <w:shd w:val="clear" w:color="auto" w:fill="auto"/>
          </w:tcPr>
          <w:p w14:paraId="03798E9C" w14:textId="77777777" w:rsidR="006E5EC2" w:rsidRPr="003D6D4A" w:rsidRDefault="006E5EC2" w:rsidP="006E5EC2">
            <w:pPr>
              <w:pStyle w:val="Default"/>
              <w:spacing w:line="276" w:lineRule="auto"/>
              <w:rPr>
                <w:sz w:val="20"/>
                <w:szCs w:val="20"/>
              </w:rPr>
            </w:pPr>
            <w:r w:rsidRPr="003D6D4A">
              <w:rPr>
                <w:color w:val="252525"/>
                <w:sz w:val="20"/>
                <w:szCs w:val="20"/>
              </w:rPr>
              <w:t xml:space="preserve">Increase and upgrade accessible, inclusive spaces for women in City of Melbourne sports facilities </w:t>
            </w:r>
          </w:p>
        </w:tc>
        <w:tc>
          <w:tcPr>
            <w:tcW w:w="2268" w:type="dxa"/>
            <w:shd w:val="clear" w:color="auto" w:fill="auto"/>
          </w:tcPr>
          <w:p w14:paraId="6960A6D9" w14:textId="77777777" w:rsidR="006E5EC2" w:rsidRPr="003D6D4A" w:rsidRDefault="006E5EC2" w:rsidP="006E5EC2">
            <w:pPr>
              <w:pStyle w:val="Default"/>
              <w:spacing w:line="276" w:lineRule="auto"/>
              <w:rPr>
                <w:sz w:val="20"/>
                <w:szCs w:val="20"/>
              </w:rPr>
            </w:pPr>
            <w:r w:rsidRPr="003D6D4A">
              <w:rPr>
                <w:color w:val="252525"/>
                <w:sz w:val="20"/>
                <w:szCs w:val="20"/>
              </w:rPr>
              <w:t xml:space="preserve">Deliver </w:t>
            </w:r>
          </w:p>
        </w:tc>
        <w:tc>
          <w:tcPr>
            <w:tcW w:w="2268" w:type="dxa"/>
            <w:shd w:val="clear" w:color="auto" w:fill="auto"/>
          </w:tcPr>
          <w:p w14:paraId="3BEDCB2B" w14:textId="77777777" w:rsidR="006E5EC2" w:rsidRPr="00D367C9" w:rsidRDefault="006E5EC2" w:rsidP="006E5EC2">
            <w:pPr>
              <w:pStyle w:val="Default"/>
              <w:spacing w:line="276" w:lineRule="auto"/>
              <w:rPr>
                <w:color w:val="auto"/>
                <w:sz w:val="20"/>
                <w:szCs w:val="20"/>
              </w:rPr>
            </w:pPr>
            <w:r w:rsidRPr="00D367C9">
              <w:rPr>
                <w:color w:val="auto"/>
                <w:sz w:val="20"/>
                <w:szCs w:val="20"/>
              </w:rPr>
              <w:t xml:space="preserve">On track </w:t>
            </w:r>
          </w:p>
        </w:tc>
      </w:tr>
      <w:tr w:rsidR="006E5EC2" w14:paraId="06AF7F2A" w14:textId="77777777" w:rsidTr="0052081B">
        <w:tc>
          <w:tcPr>
            <w:tcW w:w="9412" w:type="dxa"/>
            <w:shd w:val="clear" w:color="auto" w:fill="auto"/>
          </w:tcPr>
          <w:p w14:paraId="5E32756B" w14:textId="77777777" w:rsidR="006E5EC2" w:rsidRPr="003D6D4A" w:rsidRDefault="006E5EC2" w:rsidP="006E5EC2">
            <w:pPr>
              <w:pStyle w:val="Default"/>
              <w:spacing w:line="276" w:lineRule="auto"/>
              <w:rPr>
                <w:sz w:val="20"/>
                <w:szCs w:val="20"/>
              </w:rPr>
            </w:pPr>
            <w:r w:rsidRPr="003D6D4A">
              <w:rPr>
                <w:color w:val="252525"/>
                <w:sz w:val="20"/>
                <w:szCs w:val="20"/>
              </w:rPr>
              <w:t xml:space="preserve">Implement a neighbourhood model by working with communities to develop neighbourhood plans and neighbourhood service centres that respond to the local community’s existing and projected needs. </w:t>
            </w:r>
          </w:p>
        </w:tc>
        <w:tc>
          <w:tcPr>
            <w:tcW w:w="2268" w:type="dxa"/>
            <w:shd w:val="clear" w:color="auto" w:fill="auto"/>
          </w:tcPr>
          <w:p w14:paraId="50CF7D7C" w14:textId="77777777" w:rsidR="006E5EC2" w:rsidRPr="003D6D4A" w:rsidRDefault="006E5EC2" w:rsidP="006E5EC2">
            <w:pPr>
              <w:pStyle w:val="Default"/>
              <w:spacing w:line="276" w:lineRule="auto"/>
              <w:rPr>
                <w:sz w:val="20"/>
                <w:szCs w:val="20"/>
              </w:rPr>
            </w:pPr>
            <w:r w:rsidRPr="003D6D4A">
              <w:rPr>
                <w:color w:val="252525"/>
                <w:sz w:val="20"/>
                <w:szCs w:val="20"/>
              </w:rPr>
              <w:t xml:space="preserve">Deliver </w:t>
            </w:r>
          </w:p>
        </w:tc>
        <w:tc>
          <w:tcPr>
            <w:tcW w:w="2268" w:type="dxa"/>
            <w:shd w:val="clear" w:color="auto" w:fill="auto"/>
          </w:tcPr>
          <w:p w14:paraId="430DE24D" w14:textId="77777777" w:rsidR="006E5EC2" w:rsidRPr="00D367C9" w:rsidRDefault="006E5EC2" w:rsidP="006E5EC2">
            <w:pPr>
              <w:pStyle w:val="Default"/>
              <w:spacing w:line="276" w:lineRule="auto"/>
              <w:rPr>
                <w:color w:val="auto"/>
                <w:sz w:val="20"/>
                <w:szCs w:val="20"/>
              </w:rPr>
            </w:pPr>
            <w:r w:rsidRPr="00D367C9">
              <w:rPr>
                <w:color w:val="auto"/>
                <w:sz w:val="20"/>
                <w:szCs w:val="20"/>
              </w:rPr>
              <w:t xml:space="preserve">On track </w:t>
            </w:r>
          </w:p>
        </w:tc>
      </w:tr>
      <w:tr w:rsidR="006E5EC2" w14:paraId="4A87DA27" w14:textId="77777777" w:rsidTr="0052081B">
        <w:tc>
          <w:tcPr>
            <w:tcW w:w="9412" w:type="dxa"/>
            <w:shd w:val="clear" w:color="auto" w:fill="auto"/>
          </w:tcPr>
          <w:p w14:paraId="15AE23E9" w14:textId="77777777" w:rsidR="006E5EC2" w:rsidRPr="003D6D4A" w:rsidRDefault="006E5EC2" w:rsidP="006E5EC2">
            <w:pPr>
              <w:pStyle w:val="Default"/>
              <w:spacing w:line="276" w:lineRule="auto"/>
              <w:rPr>
                <w:sz w:val="20"/>
                <w:szCs w:val="20"/>
              </w:rPr>
            </w:pPr>
            <w:r w:rsidRPr="003D6D4A">
              <w:rPr>
                <w:color w:val="252525"/>
                <w:sz w:val="20"/>
                <w:szCs w:val="20"/>
              </w:rPr>
              <w:t xml:space="preserve">Deliver a revitalised library network, including pop-up libraries, to increase access for our diverse community and to help revitalise the city. </w:t>
            </w:r>
          </w:p>
        </w:tc>
        <w:tc>
          <w:tcPr>
            <w:tcW w:w="2268" w:type="dxa"/>
            <w:shd w:val="clear" w:color="auto" w:fill="auto"/>
          </w:tcPr>
          <w:p w14:paraId="54A45738" w14:textId="77777777" w:rsidR="006E5EC2" w:rsidRPr="003D6D4A" w:rsidRDefault="006E5EC2" w:rsidP="006E5EC2">
            <w:pPr>
              <w:pStyle w:val="Default"/>
              <w:spacing w:line="276" w:lineRule="auto"/>
              <w:rPr>
                <w:sz w:val="20"/>
                <w:szCs w:val="20"/>
              </w:rPr>
            </w:pPr>
            <w:r w:rsidRPr="003D6D4A">
              <w:rPr>
                <w:color w:val="252525"/>
                <w:sz w:val="20"/>
                <w:szCs w:val="20"/>
              </w:rPr>
              <w:t xml:space="preserve">Deliver </w:t>
            </w:r>
          </w:p>
        </w:tc>
        <w:tc>
          <w:tcPr>
            <w:tcW w:w="2268" w:type="dxa"/>
            <w:shd w:val="clear" w:color="auto" w:fill="auto"/>
          </w:tcPr>
          <w:p w14:paraId="3FB2D450" w14:textId="77777777" w:rsidR="006E5EC2" w:rsidRPr="00D367C9" w:rsidRDefault="006E5EC2" w:rsidP="006E5EC2">
            <w:pPr>
              <w:pStyle w:val="Default"/>
              <w:spacing w:line="276" w:lineRule="auto"/>
              <w:rPr>
                <w:color w:val="auto"/>
                <w:sz w:val="20"/>
                <w:szCs w:val="20"/>
              </w:rPr>
            </w:pPr>
            <w:r w:rsidRPr="00D367C9">
              <w:rPr>
                <w:color w:val="auto"/>
                <w:sz w:val="20"/>
                <w:szCs w:val="20"/>
              </w:rPr>
              <w:t xml:space="preserve">On track </w:t>
            </w:r>
          </w:p>
        </w:tc>
      </w:tr>
      <w:tr w:rsidR="006E5EC2" w14:paraId="3DE6A3CC" w14:textId="77777777" w:rsidTr="0052081B">
        <w:tc>
          <w:tcPr>
            <w:tcW w:w="9412" w:type="dxa"/>
            <w:shd w:val="clear" w:color="auto" w:fill="auto"/>
          </w:tcPr>
          <w:p w14:paraId="58C8E2E2" w14:textId="77777777" w:rsidR="006E5EC2" w:rsidRPr="003D6D4A" w:rsidRDefault="006E5EC2" w:rsidP="006E5EC2">
            <w:pPr>
              <w:pStyle w:val="Default"/>
              <w:spacing w:line="276" w:lineRule="auto"/>
              <w:rPr>
                <w:sz w:val="20"/>
                <w:szCs w:val="20"/>
              </w:rPr>
            </w:pPr>
            <w:r w:rsidRPr="003D6D4A">
              <w:rPr>
                <w:color w:val="252525"/>
                <w:sz w:val="20"/>
                <w:szCs w:val="20"/>
              </w:rPr>
              <w:t xml:space="preserve">Deliver the </w:t>
            </w:r>
            <w:r w:rsidRPr="003D6D4A">
              <w:rPr>
                <w:color w:val="0000FF"/>
                <w:sz w:val="20"/>
                <w:szCs w:val="20"/>
              </w:rPr>
              <w:t>Disability Access Plan 2020–2024</w:t>
            </w:r>
            <w:r>
              <w:rPr>
                <w:rStyle w:val="FootnoteReference"/>
                <w:color w:val="0000FF"/>
                <w:sz w:val="20"/>
                <w:szCs w:val="20"/>
              </w:rPr>
              <w:footnoteReference w:id="14"/>
            </w:r>
            <w:r w:rsidRPr="003D6D4A">
              <w:rPr>
                <w:color w:val="0000FF"/>
                <w:sz w:val="20"/>
                <w:szCs w:val="20"/>
              </w:rPr>
              <w:t xml:space="preserve"> </w:t>
            </w:r>
            <w:r w:rsidRPr="003D6D4A">
              <w:rPr>
                <w:color w:val="252525"/>
                <w:sz w:val="20"/>
                <w:szCs w:val="20"/>
              </w:rPr>
              <w:t xml:space="preserve">including ensuring our services and events are more accessible, increasing the number of accessible adult change facilities, and partnering with community and transport groups to make transport more accessible. </w:t>
            </w:r>
          </w:p>
        </w:tc>
        <w:tc>
          <w:tcPr>
            <w:tcW w:w="2268" w:type="dxa"/>
            <w:shd w:val="clear" w:color="auto" w:fill="auto"/>
          </w:tcPr>
          <w:p w14:paraId="2DB4D457" w14:textId="77777777" w:rsidR="006E5EC2" w:rsidRPr="003D6D4A" w:rsidRDefault="006E5EC2" w:rsidP="006E5EC2">
            <w:pPr>
              <w:pStyle w:val="Default"/>
              <w:spacing w:line="276" w:lineRule="auto"/>
              <w:rPr>
                <w:sz w:val="20"/>
                <w:szCs w:val="20"/>
              </w:rPr>
            </w:pPr>
            <w:r w:rsidRPr="003D6D4A">
              <w:rPr>
                <w:color w:val="252525"/>
                <w:sz w:val="20"/>
                <w:szCs w:val="20"/>
              </w:rPr>
              <w:t xml:space="preserve">Deliver </w:t>
            </w:r>
          </w:p>
          <w:p w14:paraId="0D42D816" w14:textId="77777777" w:rsidR="006E5EC2" w:rsidRPr="003D6D4A" w:rsidRDefault="006E5EC2" w:rsidP="006E5EC2">
            <w:pPr>
              <w:pStyle w:val="Default"/>
              <w:spacing w:line="276" w:lineRule="auto"/>
              <w:rPr>
                <w:color w:val="252525"/>
                <w:sz w:val="20"/>
                <w:szCs w:val="20"/>
              </w:rPr>
            </w:pPr>
            <w:r w:rsidRPr="003D6D4A">
              <w:rPr>
                <w:color w:val="252525"/>
                <w:sz w:val="20"/>
                <w:szCs w:val="20"/>
              </w:rPr>
              <w:t xml:space="preserve">Partner </w:t>
            </w:r>
          </w:p>
        </w:tc>
        <w:tc>
          <w:tcPr>
            <w:tcW w:w="2268" w:type="dxa"/>
            <w:shd w:val="clear" w:color="auto" w:fill="auto"/>
          </w:tcPr>
          <w:p w14:paraId="58688C99" w14:textId="77777777" w:rsidR="006E5EC2" w:rsidRPr="00D367C9" w:rsidRDefault="006E5EC2" w:rsidP="006E5EC2">
            <w:pPr>
              <w:pStyle w:val="Default"/>
              <w:spacing w:line="276" w:lineRule="auto"/>
              <w:rPr>
                <w:color w:val="auto"/>
                <w:sz w:val="20"/>
                <w:szCs w:val="20"/>
              </w:rPr>
            </w:pPr>
            <w:r>
              <w:rPr>
                <w:color w:val="auto"/>
                <w:sz w:val="20"/>
                <w:szCs w:val="20"/>
              </w:rPr>
              <w:t>Completed</w:t>
            </w:r>
          </w:p>
        </w:tc>
      </w:tr>
      <w:tr w:rsidR="006E5EC2" w14:paraId="7AA47E90" w14:textId="77777777" w:rsidTr="0052081B">
        <w:tc>
          <w:tcPr>
            <w:tcW w:w="9412" w:type="dxa"/>
          </w:tcPr>
          <w:p w14:paraId="54269742" w14:textId="77777777" w:rsidR="006E5EC2" w:rsidRPr="003D6D4A" w:rsidRDefault="006E5EC2" w:rsidP="006E5EC2">
            <w:pPr>
              <w:pStyle w:val="Default"/>
              <w:spacing w:line="276" w:lineRule="auto"/>
              <w:rPr>
                <w:sz w:val="20"/>
                <w:szCs w:val="20"/>
              </w:rPr>
            </w:pPr>
            <w:r w:rsidRPr="003D6D4A">
              <w:rPr>
                <w:color w:val="252525"/>
                <w:sz w:val="20"/>
                <w:szCs w:val="20"/>
              </w:rPr>
              <w:t xml:space="preserve">Develop and deliver initiatives and programs that will provide food relief to vulnerable members of our community and improve local food production by supporting communities to grow their own food. </w:t>
            </w:r>
          </w:p>
        </w:tc>
        <w:tc>
          <w:tcPr>
            <w:tcW w:w="2268" w:type="dxa"/>
          </w:tcPr>
          <w:p w14:paraId="6785AA1F" w14:textId="77777777" w:rsidR="006E5EC2" w:rsidRPr="003D6D4A" w:rsidRDefault="006E5EC2" w:rsidP="006E5EC2">
            <w:pPr>
              <w:pStyle w:val="Default"/>
              <w:spacing w:line="276" w:lineRule="auto"/>
              <w:rPr>
                <w:sz w:val="20"/>
                <w:szCs w:val="20"/>
              </w:rPr>
            </w:pPr>
            <w:r w:rsidRPr="003D6D4A">
              <w:rPr>
                <w:color w:val="252525"/>
                <w:sz w:val="20"/>
                <w:szCs w:val="20"/>
              </w:rPr>
              <w:t xml:space="preserve">Deliver </w:t>
            </w:r>
          </w:p>
          <w:p w14:paraId="0DDC5DBA" w14:textId="77777777" w:rsidR="006E5EC2" w:rsidRPr="003D6D4A" w:rsidRDefault="006E5EC2" w:rsidP="006E5EC2">
            <w:pPr>
              <w:pStyle w:val="Default"/>
              <w:spacing w:line="276" w:lineRule="auto"/>
              <w:rPr>
                <w:color w:val="252525"/>
                <w:sz w:val="20"/>
                <w:szCs w:val="20"/>
              </w:rPr>
            </w:pPr>
            <w:r w:rsidRPr="003D6D4A">
              <w:rPr>
                <w:color w:val="252525"/>
                <w:sz w:val="20"/>
                <w:szCs w:val="20"/>
              </w:rPr>
              <w:t xml:space="preserve">Partner </w:t>
            </w:r>
          </w:p>
          <w:p w14:paraId="5A0462B7" w14:textId="77777777" w:rsidR="006E5EC2" w:rsidRPr="003D6D4A" w:rsidRDefault="006E5EC2" w:rsidP="006E5EC2">
            <w:pPr>
              <w:pStyle w:val="Default"/>
              <w:spacing w:line="276" w:lineRule="auto"/>
              <w:rPr>
                <w:color w:val="252525"/>
                <w:sz w:val="20"/>
                <w:szCs w:val="20"/>
              </w:rPr>
            </w:pPr>
            <w:r w:rsidRPr="003D6D4A">
              <w:rPr>
                <w:color w:val="252525"/>
                <w:sz w:val="20"/>
                <w:szCs w:val="20"/>
              </w:rPr>
              <w:t xml:space="preserve">Advocate </w:t>
            </w:r>
          </w:p>
        </w:tc>
        <w:tc>
          <w:tcPr>
            <w:tcW w:w="2268" w:type="dxa"/>
          </w:tcPr>
          <w:p w14:paraId="754BDE85" w14:textId="77777777" w:rsidR="006E5EC2" w:rsidRPr="00D367C9" w:rsidRDefault="006E5EC2" w:rsidP="006E5EC2">
            <w:pPr>
              <w:pStyle w:val="Default"/>
              <w:spacing w:line="276" w:lineRule="auto"/>
              <w:rPr>
                <w:color w:val="auto"/>
                <w:sz w:val="20"/>
                <w:szCs w:val="20"/>
              </w:rPr>
            </w:pPr>
            <w:r w:rsidRPr="00D367C9">
              <w:rPr>
                <w:color w:val="auto"/>
                <w:sz w:val="20"/>
                <w:szCs w:val="20"/>
              </w:rPr>
              <w:t xml:space="preserve">On track </w:t>
            </w:r>
          </w:p>
        </w:tc>
      </w:tr>
      <w:tr w:rsidR="006E5EC2" w14:paraId="225B9D76" w14:textId="77777777" w:rsidTr="0052081B">
        <w:tc>
          <w:tcPr>
            <w:tcW w:w="9412" w:type="dxa"/>
          </w:tcPr>
          <w:p w14:paraId="13984A09" w14:textId="77777777" w:rsidR="006E5EC2" w:rsidRPr="00235DD6" w:rsidRDefault="006E5EC2" w:rsidP="006E5EC2">
            <w:pPr>
              <w:pStyle w:val="Default"/>
              <w:spacing w:line="276" w:lineRule="auto"/>
              <w:rPr>
                <w:sz w:val="20"/>
                <w:szCs w:val="20"/>
              </w:rPr>
            </w:pPr>
            <w:r w:rsidRPr="00235DD6">
              <w:rPr>
                <w:color w:val="252525"/>
                <w:sz w:val="20"/>
                <w:szCs w:val="20"/>
              </w:rPr>
              <w:t xml:space="preserve">As part of a new corporate strategy for the City of Melbourne, ensure our core services remain accessible and affordable. </w:t>
            </w:r>
          </w:p>
        </w:tc>
        <w:tc>
          <w:tcPr>
            <w:tcW w:w="2268" w:type="dxa"/>
          </w:tcPr>
          <w:p w14:paraId="545CE827" w14:textId="77777777" w:rsidR="006E5EC2" w:rsidRPr="00235DD6" w:rsidRDefault="006E5EC2" w:rsidP="006E5EC2">
            <w:pPr>
              <w:pStyle w:val="Default"/>
              <w:spacing w:line="276" w:lineRule="auto"/>
              <w:rPr>
                <w:sz w:val="20"/>
                <w:szCs w:val="20"/>
              </w:rPr>
            </w:pPr>
            <w:r w:rsidRPr="00235DD6">
              <w:rPr>
                <w:color w:val="252525"/>
                <w:sz w:val="20"/>
                <w:szCs w:val="20"/>
              </w:rPr>
              <w:t xml:space="preserve">Deliver </w:t>
            </w:r>
          </w:p>
        </w:tc>
        <w:tc>
          <w:tcPr>
            <w:tcW w:w="2268" w:type="dxa"/>
          </w:tcPr>
          <w:p w14:paraId="0B42F271" w14:textId="77777777" w:rsidR="006E5EC2" w:rsidRPr="00D367C9" w:rsidRDefault="006E5EC2" w:rsidP="006E5EC2">
            <w:pPr>
              <w:pStyle w:val="Default"/>
              <w:spacing w:line="276" w:lineRule="auto"/>
              <w:rPr>
                <w:color w:val="auto"/>
                <w:sz w:val="20"/>
                <w:szCs w:val="20"/>
              </w:rPr>
            </w:pPr>
            <w:r w:rsidRPr="00D367C9">
              <w:rPr>
                <w:color w:val="auto"/>
                <w:sz w:val="20"/>
                <w:szCs w:val="20"/>
              </w:rPr>
              <w:t xml:space="preserve">On track </w:t>
            </w:r>
          </w:p>
        </w:tc>
      </w:tr>
      <w:tr w:rsidR="006E5EC2" w14:paraId="1C5942D8" w14:textId="77777777" w:rsidTr="0052081B">
        <w:tc>
          <w:tcPr>
            <w:tcW w:w="9412" w:type="dxa"/>
          </w:tcPr>
          <w:p w14:paraId="2FB48B7D" w14:textId="77777777" w:rsidR="006E5EC2" w:rsidRPr="003D6D4A" w:rsidRDefault="006E5EC2" w:rsidP="006E5EC2">
            <w:pPr>
              <w:pStyle w:val="Default"/>
              <w:spacing w:line="276" w:lineRule="auto"/>
              <w:rPr>
                <w:sz w:val="20"/>
                <w:szCs w:val="20"/>
              </w:rPr>
            </w:pPr>
            <w:r w:rsidRPr="003D6D4A">
              <w:rPr>
                <w:color w:val="252525"/>
                <w:sz w:val="20"/>
                <w:szCs w:val="20"/>
              </w:rPr>
              <w:t xml:space="preserve">In partnership with the Victorian Government commence construction on a replacement North Melbourne Community Centre precinct for the Melrose St community and growing Macaulay population. </w:t>
            </w:r>
          </w:p>
        </w:tc>
        <w:tc>
          <w:tcPr>
            <w:tcW w:w="2268" w:type="dxa"/>
          </w:tcPr>
          <w:p w14:paraId="3C580929" w14:textId="77777777" w:rsidR="006E5EC2" w:rsidRPr="003D6D4A" w:rsidRDefault="006E5EC2" w:rsidP="006E5EC2">
            <w:pPr>
              <w:pStyle w:val="Default"/>
              <w:spacing w:line="276" w:lineRule="auto"/>
              <w:rPr>
                <w:sz w:val="20"/>
                <w:szCs w:val="20"/>
              </w:rPr>
            </w:pPr>
            <w:r w:rsidRPr="003D6D4A">
              <w:rPr>
                <w:color w:val="252525"/>
                <w:sz w:val="20"/>
                <w:szCs w:val="20"/>
              </w:rPr>
              <w:t xml:space="preserve">Deliver </w:t>
            </w:r>
          </w:p>
          <w:p w14:paraId="18644011" w14:textId="77777777" w:rsidR="006E5EC2" w:rsidRPr="003D6D4A" w:rsidRDefault="006E5EC2" w:rsidP="006E5EC2">
            <w:pPr>
              <w:pStyle w:val="Default"/>
              <w:spacing w:line="276" w:lineRule="auto"/>
              <w:rPr>
                <w:color w:val="252525"/>
                <w:sz w:val="20"/>
                <w:szCs w:val="20"/>
              </w:rPr>
            </w:pPr>
            <w:r w:rsidRPr="003D6D4A">
              <w:rPr>
                <w:color w:val="252525"/>
                <w:sz w:val="20"/>
                <w:szCs w:val="20"/>
              </w:rPr>
              <w:t xml:space="preserve">Partner </w:t>
            </w:r>
          </w:p>
        </w:tc>
        <w:tc>
          <w:tcPr>
            <w:tcW w:w="2268" w:type="dxa"/>
          </w:tcPr>
          <w:p w14:paraId="58FA7B4E" w14:textId="77777777" w:rsidR="006E5EC2" w:rsidRPr="00D367C9" w:rsidRDefault="006E5EC2" w:rsidP="006E5EC2">
            <w:pPr>
              <w:pStyle w:val="Default"/>
              <w:spacing w:line="276" w:lineRule="auto"/>
              <w:rPr>
                <w:color w:val="auto"/>
                <w:sz w:val="20"/>
                <w:szCs w:val="20"/>
              </w:rPr>
            </w:pPr>
            <w:r w:rsidRPr="00D367C9">
              <w:rPr>
                <w:color w:val="auto"/>
                <w:sz w:val="20"/>
                <w:szCs w:val="20"/>
              </w:rPr>
              <w:t xml:space="preserve">On track </w:t>
            </w:r>
          </w:p>
        </w:tc>
      </w:tr>
      <w:tr w:rsidR="006E5EC2" w14:paraId="76599E09" w14:textId="77777777" w:rsidTr="0052081B">
        <w:tc>
          <w:tcPr>
            <w:tcW w:w="9412" w:type="dxa"/>
          </w:tcPr>
          <w:p w14:paraId="27661457" w14:textId="77777777" w:rsidR="006E5EC2" w:rsidRPr="003D6D4A" w:rsidRDefault="006E5EC2" w:rsidP="006E5EC2">
            <w:pPr>
              <w:pStyle w:val="Default"/>
              <w:spacing w:line="276" w:lineRule="auto"/>
              <w:rPr>
                <w:sz w:val="20"/>
                <w:szCs w:val="20"/>
              </w:rPr>
            </w:pPr>
            <w:r w:rsidRPr="003D6D4A">
              <w:rPr>
                <w:color w:val="252525"/>
                <w:sz w:val="20"/>
                <w:szCs w:val="20"/>
              </w:rPr>
              <w:t xml:space="preserve">Deliver programs that will build digital literacy skills and capabilities, improve access to free Wi-Fi from our community facilities and advocate for appropriate digital infrastructure, to improve digital inclusion for all, particularly for vulnerable groups. </w:t>
            </w:r>
          </w:p>
        </w:tc>
        <w:tc>
          <w:tcPr>
            <w:tcW w:w="2268" w:type="dxa"/>
          </w:tcPr>
          <w:p w14:paraId="1227061B" w14:textId="77777777" w:rsidR="006E5EC2" w:rsidRPr="003D6D4A" w:rsidRDefault="006E5EC2" w:rsidP="006E5EC2">
            <w:pPr>
              <w:pStyle w:val="Default"/>
              <w:spacing w:line="276" w:lineRule="auto"/>
              <w:rPr>
                <w:sz w:val="20"/>
                <w:szCs w:val="20"/>
              </w:rPr>
            </w:pPr>
            <w:r w:rsidRPr="003D6D4A">
              <w:rPr>
                <w:color w:val="252525"/>
                <w:sz w:val="20"/>
                <w:szCs w:val="20"/>
              </w:rPr>
              <w:t xml:space="preserve">Deliver </w:t>
            </w:r>
          </w:p>
        </w:tc>
        <w:tc>
          <w:tcPr>
            <w:tcW w:w="2268" w:type="dxa"/>
          </w:tcPr>
          <w:p w14:paraId="7E21EBA2" w14:textId="77777777" w:rsidR="006E5EC2" w:rsidRPr="003D6D4A" w:rsidRDefault="006E5EC2" w:rsidP="006E5EC2">
            <w:pPr>
              <w:pStyle w:val="Default"/>
              <w:spacing w:line="276" w:lineRule="auto"/>
              <w:rPr>
                <w:color w:val="auto"/>
                <w:sz w:val="20"/>
                <w:szCs w:val="20"/>
              </w:rPr>
            </w:pPr>
            <w:r w:rsidRPr="00D367C9">
              <w:rPr>
                <w:color w:val="auto"/>
                <w:sz w:val="20"/>
                <w:szCs w:val="20"/>
              </w:rPr>
              <w:t xml:space="preserve">On track </w:t>
            </w:r>
          </w:p>
        </w:tc>
      </w:tr>
      <w:tr w:rsidR="006E5EC2" w14:paraId="1320E78A" w14:textId="77777777" w:rsidTr="0052081B">
        <w:tc>
          <w:tcPr>
            <w:tcW w:w="9412" w:type="dxa"/>
          </w:tcPr>
          <w:p w14:paraId="6710A698" w14:textId="77777777" w:rsidR="006E5EC2" w:rsidRPr="003D6D4A" w:rsidRDefault="006E5EC2" w:rsidP="006E5EC2">
            <w:pPr>
              <w:pStyle w:val="Default"/>
              <w:spacing w:line="276" w:lineRule="auto"/>
              <w:rPr>
                <w:color w:val="252525"/>
                <w:sz w:val="20"/>
                <w:szCs w:val="20"/>
              </w:rPr>
            </w:pPr>
            <w:r w:rsidRPr="003D6D4A">
              <w:rPr>
                <w:color w:val="252525"/>
                <w:sz w:val="20"/>
                <w:szCs w:val="20"/>
              </w:rPr>
              <w:t xml:space="preserve">Create a new entity ‘Homes Melbourne’, to coordinate and facilitate more affordable housing for key workers and people on low-incomes and progress a demonstration project on Council-owned land, support the Make Room accommodation project and new homeless support hubs for vulnerable citizens to access essential support. </w:t>
            </w:r>
          </w:p>
        </w:tc>
        <w:tc>
          <w:tcPr>
            <w:tcW w:w="2268" w:type="dxa"/>
          </w:tcPr>
          <w:p w14:paraId="04D401A5" w14:textId="77777777" w:rsidR="006E5EC2" w:rsidRPr="003D6D4A" w:rsidRDefault="006E5EC2" w:rsidP="006E5EC2">
            <w:pPr>
              <w:pStyle w:val="Default"/>
              <w:spacing w:line="276" w:lineRule="auto"/>
              <w:rPr>
                <w:sz w:val="20"/>
                <w:szCs w:val="20"/>
              </w:rPr>
            </w:pPr>
            <w:r w:rsidRPr="003D6D4A">
              <w:rPr>
                <w:color w:val="252525"/>
                <w:sz w:val="20"/>
                <w:szCs w:val="20"/>
              </w:rPr>
              <w:t xml:space="preserve">Partner </w:t>
            </w:r>
          </w:p>
        </w:tc>
        <w:tc>
          <w:tcPr>
            <w:tcW w:w="2268" w:type="dxa"/>
          </w:tcPr>
          <w:p w14:paraId="544FC40C" w14:textId="77777777" w:rsidR="006E5EC2" w:rsidRPr="003D6D4A" w:rsidRDefault="006E5EC2" w:rsidP="006E5EC2">
            <w:pPr>
              <w:pStyle w:val="Default"/>
              <w:spacing w:line="276" w:lineRule="auto"/>
              <w:rPr>
                <w:color w:val="auto"/>
                <w:sz w:val="20"/>
                <w:szCs w:val="20"/>
              </w:rPr>
            </w:pPr>
            <w:r>
              <w:rPr>
                <w:color w:val="auto"/>
                <w:sz w:val="20"/>
                <w:szCs w:val="20"/>
              </w:rPr>
              <w:t>On track</w:t>
            </w:r>
          </w:p>
        </w:tc>
      </w:tr>
    </w:tbl>
    <w:p w14:paraId="705F512D" w14:textId="77777777" w:rsidR="006E5EC2" w:rsidRDefault="006E5EC2" w:rsidP="003D6D4A">
      <w:pPr>
        <w:pStyle w:val="Heading2"/>
      </w:pPr>
    </w:p>
    <w:p w14:paraId="13BA2675" w14:textId="77777777" w:rsidR="006E5EC2" w:rsidRDefault="006E5EC2" w:rsidP="003D6D4A">
      <w:pPr>
        <w:pStyle w:val="Heading2"/>
      </w:pPr>
    </w:p>
    <w:p w14:paraId="67621AC3" w14:textId="77777777" w:rsidR="003D6D4A" w:rsidRPr="00CF27A2" w:rsidRDefault="003D6D4A" w:rsidP="003D6D4A">
      <w:pPr>
        <w:pStyle w:val="Heading2"/>
      </w:pPr>
      <w:bookmarkStart w:id="31" w:name="_Toc193203109"/>
      <w:r>
        <w:t xml:space="preserve">How we’re measuring progress over four </w:t>
      </w:r>
      <w:proofErr w:type="gramStart"/>
      <w:r>
        <w:t>years</w:t>
      </w:r>
      <w:bookmarkEnd w:id="31"/>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9412"/>
        <w:gridCol w:w="4537"/>
      </w:tblGrid>
      <w:tr w:rsidR="003D6D4A" w14:paraId="538AB2EC" w14:textId="77777777" w:rsidTr="0052081B">
        <w:trPr>
          <w:tblHeader/>
        </w:trPr>
        <w:tc>
          <w:tcPr>
            <w:tcW w:w="9412" w:type="dxa"/>
            <w:shd w:val="clear" w:color="auto" w:fill="auto"/>
          </w:tcPr>
          <w:p w14:paraId="39A996E3" w14:textId="77777777" w:rsidR="003D6D4A" w:rsidRPr="00784FF6" w:rsidRDefault="003D6D4A" w:rsidP="0052081B">
            <w:pPr>
              <w:pStyle w:val="TableofFigures"/>
              <w:rPr>
                <w:b/>
              </w:rPr>
            </w:pPr>
            <w:r>
              <w:rPr>
                <w:b/>
              </w:rPr>
              <w:t>Indicator</w:t>
            </w:r>
          </w:p>
        </w:tc>
        <w:tc>
          <w:tcPr>
            <w:tcW w:w="4537" w:type="dxa"/>
            <w:shd w:val="clear" w:color="auto" w:fill="auto"/>
          </w:tcPr>
          <w:p w14:paraId="3A0E5975" w14:textId="77777777" w:rsidR="003D6D4A" w:rsidRPr="00784FF6" w:rsidRDefault="003D6D4A" w:rsidP="0052081B">
            <w:pPr>
              <w:pStyle w:val="TableofFigures"/>
              <w:rPr>
                <w:b/>
              </w:rPr>
            </w:pPr>
            <w:r>
              <w:rPr>
                <w:b/>
              </w:rPr>
              <w:t>Target outcome</w:t>
            </w:r>
          </w:p>
        </w:tc>
      </w:tr>
      <w:tr w:rsidR="003D6D4A" w14:paraId="5211145B" w14:textId="77777777" w:rsidTr="0052081B">
        <w:tc>
          <w:tcPr>
            <w:tcW w:w="9412" w:type="dxa"/>
          </w:tcPr>
          <w:p w14:paraId="0AFEE446" w14:textId="77777777" w:rsidR="003D6D4A" w:rsidRPr="003D6D4A" w:rsidRDefault="003D6D4A" w:rsidP="003D6D4A">
            <w:pPr>
              <w:pStyle w:val="Default"/>
              <w:spacing w:line="276" w:lineRule="auto"/>
              <w:rPr>
                <w:sz w:val="20"/>
                <w:szCs w:val="18"/>
              </w:rPr>
            </w:pPr>
            <w:r w:rsidRPr="003D6D4A">
              <w:rPr>
                <w:sz w:val="20"/>
                <w:szCs w:val="18"/>
              </w:rPr>
              <w:t xml:space="preserve">Number of people sleeping rough who have not been offered accommodation. </w:t>
            </w:r>
          </w:p>
        </w:tc>
        <w:tc>
          <w:tcPr>
            <w:tcW w:w="4537" w:type="dxa"/>
          </w:tcPr>
          <w:p w14:paraId="6F88116A" w14:textId="77777777" w:rsidR="003D6D4A" w:rsidRPr="003D6D4A" w:rsidRDefault="003D6D4A" w:rsidP="003D6D4A">
            <w:pPr>
              <w:pStyle w:val="Default"/>
              <w:spacing w:line="276" w:lineRule="auto"/>
              <w:rPr>
                <w:sz w:val="20"/>
                <w:szCs w:val="18"/>
              </w:rPr>
            </w:pPr>
            <w:r w:rsidRPr="003D6D4A">
              <w:rPr>
                <w:sz w:val="20"/>
                <w:szCs w:val="18"/>
              </w:rPr>
              <w:t xml:space="preserve">Zero </w:t>
            </w:r>
          </w:p>
        </w:tc>
      </w:tr>
      <w:tr w:rsidR="003D6D4A" w14:paraId="7A8C909D" w14:textId="77777777" w:rsidTr="0052081B">
        <w:tc>
          <w:tcPr>
            <w:tcW w:w="9412" w:type="dxa"/>
          </w:tcPr>
          <w:p w14:paraId="7446C2D8" w14:textId="77777777" w:rsidR="003D6D4A" w:rsidRPr="003D6D4A" w:rsidRDefault="003D6D4A" w:rsidP="003D6D4A">
            <w:pPr>
              <w:pStyle w:val="Default"/>
              <w:spacing w:line="276" w:lineRule="auto"/>
              <w:rPr>
                <w:sz w:val="20"/>
                <w:szCs w:val="18"/>
              </w:rPr>
            </w:pPr>
            <w:r w:rsidRPr="003D6D4A">
              <w:rPr>
                <w:sz w:val="20"/>
                <w:szCs w:val="18"/>
              </w:rPr>
              <w:t xml:space="preserve">Number of people supported through a range of accommodation including long-term supportive housing and affordable housing. </w:t>
            </w:r>
          </w:p>
        </w:tc>
        <w:tc>
          <w:tcPr>
            <w:tcW w:w="4537" w:type="dxa"/>
          </w:tcPr>
          <w:p w14:paraId="59ADC5DD" w14:textId="77777777" w:rsidR="003D6D4A" w:rsidRPr="003D6D4A" w:rsidRDefault="003D6D4A" w:rsidP="003D6D4A">
            <w:pPr>
              <w:pStyle w:val="Default"/>
              <w:spacing w:line="276" w:lineRule="auto"/>
              <w:rPr>
                <w:sz w:val="20"/>
                <w:szCs w:val="18"/>
              </w:rPr>
            </w:pPr>
            <w:r w:rsidRPr="003D6D4A">
              <w:rPr>
                <w:sz w:val="20"/>
                <w:szCs w:val="18"/>
              </w:rPr>
              <w:t xml:space="preserve">500 (by 2025) </w:t>
            </w:r>
          </w:p>
        </w:tc>
      </w:tr>
      <w:tr w:rsidR="003D6D4A" w14:paraId="5541FD51" w14:textId="77777777" w:rsidTr="0052081B">
        <w:tc>
          <w:tcPr>
            <w:tcW w:w="9412" w:type="dxa"/>
          </w:tcPr>
          <w:p w14:paraId="7D94D55C" w14:textId="77777777" w:rsidR="003D6D4A" w:rsidRPr="003D6D4A" w:rsidRDefault="003D6D4A" w:rsidP="003D6D4A">
            <w:pPr>
              <w:pStyle w:val="Default"/>
              <w:spacing w:line="276" w:lineRule="auto"/>
              <w:rPr>
                <w:sz w:val="20"/>
                <w:szCs w:val="18"/>
              </w:rPr>
            </w:pPr>
            <w:r w:rsidRPr="003D6D4A">
              <w:rPr>
                <w:sz w:val="20"/>
                <w:szCs w:val="18"/>
              </w:rPr>
              <w:t xml:space="preserve">Number of new demonstration social and affordable housing units facilitated on City of Melbourne land. </w:t>
            </w:r>
          </w:p>
        </w:tc>
        <w:tc>
          <w:tcPr>
            <w:tcW w:w="4537" w:type="dxa"/>
          </w:tcPr>
          <w:p w14:paraId="51CA3437" w14:textId="77777777" w:rsidR="003D6D4A" w:rsidRPr="003D6D4A" w:rsidRDefault="003D6D4A" w:rsidP="003D6D4A">
            <w:pPr>
              <w:pStyle w:val="Default"/>
              <w:spacing w:line="276" w:lineRule="auto"/>
              <w:rPr>
                <w:sz w:val="20"/>
                <w:szCs w:val="18"/>
              </w:rPr>
            </w:pPr>
            <w:r w:rsidRPr="003D6D4A">
              <w:rPr>
                <w:sz w:val="20"/>
                <w:szCs w:val="18"/>
              </w:rPr>
              <w:t xml:space="preserve">100 (by 2025) </w:t>
            </w:r>
          </w:p>
        </w:tc>
      </w:tr>
      <w:tr w:rsidR="003D6D4A" w14:paraId="5F553685" w14:textId="77777777" w:rsidTr="0052081B">
        <w:tc>
          <w:tcPr>
            <w:tcW w:w="9412" w:type="dxa"/>
          </w:tcPr>
          <w:p w14:paraId="5F9FF65F" w14:textId="77777777" w:rsidR="003D6D4A" w:rsidRPr="003D6D4A" w:rsidRDefault="003D6D4A" w:rsidP="003D6D4A">
            <w:pPr>
              <w:pStyle w:val="Default"/>
              <w:spacing w:line="276" w:lineRule="auto"/>
              <w:rPr>
                <w:sz w:val="20"/>
                <w:szCs w:val="18"/>
              </w:rPr>
            </w:pPr>
            <w:r w:rsidRPr="003D6D4A">
              <w:rPr>
                <w:sz w:val="20"/>
                <w:szCs w:val="18"/>
              </w:rPr>
              <w:t xml:space="preserve">Proportion of people reporting food insecurity. </w:t>
            </w:r>
          </w:p>
        </w:tc>
        <w:tc>
          <w:tcPr>
            <w:tcW w:w="4537" w:type="dxa"/>
          </w:tcPr>
          <w:p w14:paraId="16BB9493" w14:textId="77777777" w:rsidR="003D6D4A" w:rsidRPr="003D6D4A" w:rsidRDefault="003D6D4A" w:rsidP="003D6D4A">
            <w:pPr>
              <w:pStyle w:val="Default"/>
              <w:spacing w:line="276" w:lineRule="auto"/>
              <w:rPr>
                <w:sz w:val="20"/>
                <w:szCs w:val="18"/>
              </w:rPr>
            </w:pPr>
            <w:r w:rsidRPr="003D6D4A">
              <w:rPr>
                <w:sz w:val="20"/>
                <w:szCs w:val="18"/>
              </w:rPr>
              <w:t xml:space="preserve">25% reduction </w:t>
            </w:r>
          </w:p>
          <w:p w14:paraId="353F7AC2" w14:textId="77777777" w:rsidR="003D6D4A" w:rsidRPr="003D6D4A" w:rsidRDefault="003D6D4A" w:rsidP="003D6D4A">
            <w:pPr>
              <w:pStyle w:val="Default"/>
              <w:spacing w:line="276" w:lineRule="auto"/>
              <w:rPr>
                <w:sz w:val="20"/>
                <w:szCs w:val="18"/>
              </w:rPr>
            </w:pPr>
            <w:r w:rsidRPr="003D6D4A">
              <w:rPr>
                <w:sz w:val="20"/>
                <w:szCs w:val="18"/>
              </w:rPr>
              <w:t xml:space="preserve">(by 2025) </w:t>
            </w:r>
          </w:p>
        </w:tc>
      </w:tr>
      <w:tr w:rsidR="003D6D4A" w14:paraId="1D492619" w14:textId="77777777" w:rsidTr="0052081B">
        <w:tc>
          <w:tcPr>
            <w:tcW w:w="9412" w:type="dxa"/>
          </w:tcPr>
          <w:p w14:paraId="6319888C" w14:textId="77777777" w:rsidR="003D6D4A" w:rsidRPr="003D6D4A" w:rsidRDefault="003D6D4A" w:rsidP="003D6D4A">
            <w:pPr>
              <w:pStyle w:val="Default"/>
              <w:spacing w:line="276" w:lineRule="auto"/>
              <w:rPr>
                <w:sz w:val="20"/>
                <w:szCs w:val="18"/>
              </w:rPr>
            </w:pPr>
            <w:r w:rsidRPr="003D6D4A">
              <w:rPr>
                <w:sz w:val="20"/>
                <w:szCs w:val="18"/>
              </w:rPr>
              <w:t xml:space="preserve">Proportion of people surveyed who participate in lifelong learning in the municipality. </w:t>
            </w:r>
          </w:p>
        </w:tc>
        <w:tc>
          <w:tcPr>
            <w:tcW w:w="4537" w:type="dxa"/>
          </w:tcPr>
          <w:p w14:paraId="659842D7" w14:textId="77777777" w:rsidR="003D6D4A" w:rsidRPr="003D6D4A" w:rsidRDefault="003D6D4A" w:rsidP="003D6D4A">
            <w:pPr>
              <w:pStyle w:val="Default"/>
              <w:spacing w:line="276" w:lineRule="auto"/>
              <w:rPr>
                <w:sz w:val="20"/>
                <w:szCs w:val="18"/>
              </w:rPr>
            </w:pPr>
            <w:r w:rsidRPr="003D6D4A">
              <w:rPr>
                <w:sz w:val="20"/>
                <w:szCs w:val="18"/>
              </w:rPr>
              <w:t xml:space="preserve">Increase </w:t>
            </w:r>
          </w:p>
        </w:tc>
      </w:tr>
      <w:tr w:rsidR="003D6D4A" w14:paraId="296EDE18" w14:textId="77777777" w:rsidTr="0052081B">
        <w:tc>
          <w:tcPr>
            <w:tcW w:w="9412" w:type="dxa"/>
          </w:tcPr>
          <w:p w14:paraId="1A474774" w14:textId="77777777" w:rsidR="003D6D4A" w:rsidRPr="003D6D4A" w:rsidRDefault="003D6D4A" w:rsidP="003D6D4A">
            <w:pPr>
              <w:pStyle w:val="Default"/>
              <w:spacing w:line="276" w:lineRule="auto"/>
              <w:rPr>
                <w:sz w:val="20"/>
                <w:szCs w:val="18"/>
              </w:rPr>
            </w:pPr>
            <w:r w:rsidRPr="003D6D4A">
              <w:rPr>
                <w:sz w:val="20"/>
                <w:szCs w:val="18"/>
              </w:rPr>
              <w:t xml:space="preserve">Proportion of people surveyed who participate in arts and cultural activities in the municipality. </w:t>
            </w:r>
          </w:p>
        </w:tc>
        <w:tc>
          <w:tcPr>
            <w:tcW w:w="4537" w:type="dxa"/>
          </w:tcPr>
          <w:p w14:paraId="3B8CF3B9" w14:textId="77777777" w:rsidR="003D6D4A" w:rsidRPr="003D6D4A" w:rsidRDefault="003D6D4A" w:rsidP="003D6D4A">
            <w:pPr>
              <w:pStyle w:val="Default"/>
              <w:spacing w:line="276" w:lineRule="auto"/>
              <w:rPr>
                <w:sz w:val="20"/>
                <w:szCs w:val="18"/>
              </w:rPr>
            </w:pPr>
            <w:r w:rsidRPr="003D6D4A">
              <w:rPr>
                <w:sz w:val="20"/>
                <w:szCs w:val="18"/>
              </w:rPr>
              <w:t xml:space="preserve">Increase </w:t>
            </w:r>
          </w:p>
        </w:tc>
      </w:tr>
    </w:tbl>
    <w:p w14:paraId="1D4B090D" w14:textId="77777777" w:rsidR="005735E1" w:rsidRDefault="00175895" w:rsidP="005735E1">
      <w:pPr>
        <w:pStyle w:val="Heading1"/>
      </w:pPr>
      <w:r>
        <w:rPr>
          <w:rFonts w:hint="eastAsia"/>
        </w:rPr>
        <w:br w:type="page"/>
      </w:r>
      <w:bookmarkStart w:id="32" w:name="_Toc193203110"/>
      <w:r w:rsidR="00B30455" w:rsidRPr="00B30455">
        <w:t>Safety and wellbeing</w:t>
      </w:r>
      <w:bookmarkEnd w:id="32"/>
    </w:p>
    <w:p w14:paraId="62A6F264" w14:textId="77777777" w:rsidR="005735E1" w:rsidRDefault="00B30455" w:rsidP="005735E1">
      <w:r w:rsidRPr="00B30455">
        <w:t>Over the next four years, we will plan and design for the safety and wellbeing of those who live, visit, work and do business in Melbourne,</w:t>
      </w:r>
      <w:r>
        <w:t xml:space="preserve"> regardless of their background</w:t>
      </w:r>
      <w:r w:rsidR="005735E1" w:rsidRPr="00784FF6">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4A0" w:firstRow="1" w:lastRow="0" w:firstColumn="1" w:lastColumn="0" w:noHBand="0" w:noVBand="1"/>
      </w:tblPr>
      <w:tblGrid>
        <w:gridCol w:w="13920"/>
      </w:tblGrid>
      <w:tr w:rsidR="005735E1" w14:paraId="4D687C6E" w14:textId="77777777" w:rsidTr="00004EFF">
        <w:tc>
          <w:tcPr>
            <w:tcW w:w="13920" w:type="dxa"/>
            <w:shd w:val="clear" w:color="auto" w:fill="auto"/>
          </w:tcPr>
          <w:p w14:paraId="39ADC8C9" w14:textId="77777777" w:rsidR="009E6BAD" w:rsidRPr="00D367C9" w:rsidRDefault="009E6BAD" w:rsidP="009E6BAD">
            <w:pPr>
              <w:pStyle w:val="Heading2"/>
              <w:spacing w:before="0"/>
            </w:pPr>
            <w:bookmarkStart w:id="33" w:name="_Toc193203111"/>
            <w:r w:rsidRPr="00D367C9">
              <w:t>Highlights for quarter three (</w:t>
            </w:r>
            <w:r w:rsidR="004E7833">
              <w:t>April to June</w:t>
            </w:r>
            <w:r w:rsidRPr="00D367C9">
              <w:t xml:space="preserve"> 202</w:t>
            </w:r>
            <w:r w:rsidR="006E5EC2">
              <w:t>4</w:t>
            </w:r>
            <w:r w:rsidRPr="00D367C9">
              <w:t>)</w:t>
            </w:r>
            <w:bookmarkEnd w:id="33"/>
          </w:p>
          <w:p w14:paraId="5AFC946B" w14:textId="77777777" w:rsidR="006E5EC2" w:rsidRPr="00C67A7D" w:rsidRDefault="006E5EC2" w:rsidP="006E5EC2">
            <w:pPr>
              <w:pStyle w:val="ListParagraph"/>
              <w:numPr>
                <w:ilvl w:val="0"/>
                <w:numId w:val="0"/>
              </w:numPr>
              <w:spacing w:before="120" w:after="200"/>
              <w:contextualSpacing/>
              <w:rPr>
                <w:rFonts w:eastAsia="Arial"/>
              </w:rPr>
            </w:pPr>
            <w:r w:rsidRPr="00C67A7D">
              <w:rPr>
                <w:rFonts w:eastAsia="Arial"/>
              </w:rPr>
              <w:t xml:space="preserve">In partnership with Melbourne Water, three Flood Education Sessions </w:t>
            </w:r>
            <w:proofErr w:type="gramStart"/>
            <w:r w:rsidRPr="00C67A7D">
              <w:rPr>
                <w:rFonts w:eastAsia="Arial"/>
              </w:rPr>
              <w:t>were delivered</w:t>
            </w:r>
            <w:proofErr w:type="gramEnd"/>
            <w:r w:rsidRPr="00C67A7D">
              <w:rPr>
                <w:rFonts w:eastAsia="Arial"/>
              </w:rPr>
              <w:t xml:space="preserve"> in Kensington and West Melbourne.</w:t>
            </w:r>
          </w:p>
          <w:p w14:paraId="26D6BF10" w14:textId="77777777" w:rsidR="006E5EC2" w:rsidRPr="00C67A7D" w:rsidRDefault="006E5EC2" w:rsidP="006E5EC2">
            <w:pPr>
              <w:pStyle w:val="ListParagraph"/>
              <w:numPr>
                <w:ilvl w:val="0"/>
                <w:numId w:val="0"/>
              </w:numPr>
              <w:spacing w:before="120" w:after="200"/>
              <w:contextualSpacing/>
              <w:rPr>
                <w:rFonts w:eastAsia="Arial"/>
              </w:rPr>
            </w:pPr>
            <w:r w:rsidRPr="00C67A7D">
              <w:rPr>
                <w:rFonts w:eastAsia="Arial"/>
              </w:rPr>
              <w:t xml:space="preserve">The High Life Expo was held on 1 June with approximately </w:t>
            </w:r>
            <w:proofErr w:type="gramStart"/>
            <w:r w:rsidRPr="00C67A7D">
              <w:rPr>
                <w:rFonts w:eastAsia="Arial"/>
              </w:rPr>
              <w:t>700</w:t>
            </w:r>
            <w:proofErr w:type="gramEnd"/>
            <w:r w:rsidRPr="00C67A7D">
              <w:rPr>
                <w:rFonts w:eastAsia="Arial"/>
              </w:rPr>
              <w:t xml:space="preserve"> people attending to learn about making apartment living more sustainable and resilient.</w:t>
            </w:r>
          </w:p>
          <w:p w14:paraId="176C9BC3" w14:textId="77777777" w:rsidR="006E5EC2" w:rsidRPr="00C67A7D" w:rsidRDefault="006E5EC2" w:rsidP="006E5EC2">
            <w:pPr>
              <w:pStyle w:val="ListParagraph"/>
              <w:numPr>
                <w:ilvl w:val="0"/>
                <w:numId w:val="0"/>
              </w:numPr>
              <w:spacing w:before="120" w:after="200"/>
              <w:contextualSpacing/>
              <w:rPr>
                <w:rFonts w:eastAsia="Arial"/>
              </w:rPr>
            </w:pPr>
            <w:r w:rsidRPr="00C67A7D">
              <w:rPr>
                <w:rFonts w:eastAsia="Arial"/>
              </w:rPr>
              <w:t xml:space="preserve">The Sandridge Bridge was repainted, </w:t>
            </w:r>
            <w:proofErr w:type="spellStart"/>
            <w:r w:rsidRPr="00C67A7D">
              <w:rPr>
                <w:rFonts w:eastAsia="Arial"/>
              </w:rPr>
              <w:t>colour</w:t>
            </w:r>
            <w:proofErr w:type="spellEnd"/>
            <w:r w:rsidRPr="00C67A7D">
              <w:rPr>
                <w:rFonts w:eastAsia="Arial"/>
              </w:rPr>
              <w:t xml:space="preserve"> matched and all graffiti removed, vastly improving the amenity along Southbank Promenade</w:t>
            </w:r>
            <w:proofErr w:type="gramStart"/>
            <w:r w:rsidRPr="00C67A7D">
              <w:rPr>
                <w:rFonts w:eastAsia="Arial"/>
              </w:rPr>
              <w:t xml:space="preserve">.  </w:t>
            </w:r>
            <w:proofErr w:type="gramEnd"/>
          </w:p>
          <w:p w14:paraId="3CA03E3D" w14:textId="77777777" w:rsidR="006E5EC2" w:rsidRPr="00C67A7D" w:rsidRDefault="006E5EC2" w:rsidP="006E5EC2">
            <w:pPr>
              <w:pStyle w:val="ListParagraph"/>
              <w:numPr>
                <w:ilvl w:val="0"/>
                <w:numId w:val="0"/>
              </w:numPr>
              <w:spacing w:before="120" w:after="200"/>
              <w:contextualSpacing/>
              <w:rPr>
                <w:rFonts w:eastAsia="Arial"/>
              </w:rPr>
            </w:pPr>
            <w:r w:rsidRPr="00C67A7D">
              <w:rPr>
                <w:rFonts w:eastAsia="Arial"/>
              </w:rPr>
              <w:t xml:space="preserve">City of Melbourne and Yarra Trams </w:t>
            </w:r>
            <w:r>
              <w:rPr>
                <w:rFonts w:eastAsia="Arial"/>
              </w:rPr>
              <w:t>have installed</w:t>
            </w:r>
            <w:r w:rsidRPr="00C67A7D">
              <w:rPr>
                <w:rFonts w:eastAsia="Arial"/>
              </w:rPr>
              <w:t xml:space="preserve"> anti-graffiti film on every tram glass panel in the Central City. The film </w:t>
            </w:r>
            <w:proofErr w:type="gramStart"/>
            <w:r w:rsidRPr="00C67A7D">
              <w:rPr>
                <w:rFonts w:eastAsia="Arial"/>
              </w:rPr>
              <w:t>was installed</w:t>
            </w:r>
            <w:proofErr w:type="gramEnd"/>
            <w:r w:rsidRPr="00C67A7D">
              <w:rPr>
                <w:rFonts w:eastAsia="Arial"/>
              </w:rPr>
              <w:t xml:space="preserve"> on all eight ‘super stops’ owned by CoM to create uniform improvement across the entire City. The film is resistant to stealth marker corrosive ink and any graffiti can </w:t>
            </w:r>
            <w:proofErr w:type="gramStart"/>
            <w:r w:rsidRPr="00C67A7D">
              <w:rPr>
                <w:rFonts w:eastAsia="Arial"/>
              </w:rPr>
              <w:t>be wiped</w:t>
            </w:r>
            <w:proofErr w:type="gramEnd"/>
            <w:r w:rsidRPr="00C67A7D">
              <w:rPr>
                <w:rFonts w:eastAsia="Arial"/>
              </w:rPr>
              <w:t xml:space="preserve"> from the surface instantly.</w:t>
            </w:r>
          </w:p>
          <w:p w14:paraId="6A807F0D" w14:textId="77777777" w:rsidR="006E5EC2" w:rsidRPr="00C67A7D" w:rsidRDefault="006E5EC2" w:rsidP="006E5EC2">
            <w:pPr>
              <w:pStyle w:val="ListParagraph"/>
              <w:numPr>
                <w:ilvl w:val="0"/>
                <w:numId w:val="0"/>
              </w:numPr>
              <w:spacing w:before="120" w:after="200"/>
              <w:contextualSpacing/>
              <w:rPr>
                <w:rFonts w:eastAsia="Arial"/>
              </w:rPr>
            </w:pPr>
            <w:r w:rsidRPr="00C67A7D">
              <w:rPr>
                <w:rFonts w:eastAsia="Arial"/>
              </w:rPr>
              <w:t xml:space="preserve">Work has been underway to establish a partnership with an Aboriginal Controlled Community Organisation to provide the first family violence support outpost and safe space specifically for Aboriginal women and their children within the City of Melbourne. In May, Carlton Baths Family Services </w:t>
            </w:r>
            <w:proofErr w:type="gramStart"/>
            <w:r w:rsidRPr="00C67A7D">
              <w:rPr>
                <w:rFonts w:eastAsia="Arial"/>
              </w:rPr>
              <w:t>was identified</w:t>
            </w:r>
            <w:proofErr w:type="gramEnd"/>
            <w:r w:rsidRPr="00C67A7D">
              <w:rPr>
                <w:rFonts w:eastAsia="Arial"/>
              </w:rPr>
              <w:t xml:space="preserve"> as the preferred site to pilot the outpost for a 6-month period commencing July 2024.</w:t>
            </w:r>
          </w:p>
          <w:p w14:paraId="5E970E35" w14:textId="77777777" w:rsidR="006E5EC2" w:rsidRPr="00C67A7D" w:rsidRDefault="006E5EC2" w:rsidP="006E5EC2">
            <w:pPr>
              <w:pStyle w:val="ListParagraph"/>
              <w:numPr>
                <w:ilvl w:val="0"/>
                <w:numId w:val="0"/>
              </w:numPr>
              <w:spacing w:before="120" w:after="200"/>
              <w:contextualSpacing/>
              <w:rPr>
                <w:rFonts w:eastAsia="Arial"/>
              </w:rPr>
            </w:pPr>
            <w:r w:rsidRPr="00C67A7D">
              <w:rPr>
                <w:rFonts w:eastAsia="Arial"/>
              </w:rPr>
              <w:t xml:space="preserve">VicRoads bike counters show </w:t>
            </w:r>
            <w:proofErr w:type="gramStart"/>
            <w:r w:rsidRPr="00C67A7D">
              <w:rPr>
                <w:rFonts w:eastAsia="Arial"/>
              </w:rPr>
              <w:t>strong growth</w:t>
            </w:r>
            <w:proofErr w:type="gramEnd"/>
            <w:r w:rsidRPr="00C67A7D">
              <w:rPr>
                <w:rFonts w:eastAsia="Arial"/>
              </w:rPr>
              <w:t xml:space="preserve"> in volumes. 349,304 bikes </w:t>
            </w:r>
            <w:proofErr w:type="gramStart"/>
            <w:r w:rsidRPr="00C67A7D">
              <w:rPr>
                <w:rFonts w:eastAsia="Arial"/>
              </w:rPr>
              <w:t>were recorded</w:t>
            </w:r>
            <w:proofErr w:type="gramEnd"/>
            <w:r w:rsidRPr="00C67A7D">
              <w:rPr>
                <w:rFonts w:eastAsia="Arial"/>
              </w:rPr>
              <w:t xml:space="preserve"> in April 2024 compared to 253,433 in April 2022 – an increase of 38%. The St Kilda Rd site recorded the most bikes with 58,065 counted in April.</w:t>
            </w:r>
          </w:p>
          <w:p w14:paraId="6408E417" w14:textId="77777777" w:rsidR="006E5EC2" w:rsidRPr="00C67A7D" w:rsidRDefault="006E5EC2" w:rsidP="006E5EC2">
            <w:pPr>
              <w:pStyle w:val="ListParagraph"/>
              <w:numPr>
                <w:ilvl w:val="0"/>
                <w:numId w:val="0"/>
              </w:numPr>
              <w:spacing w:before="120" w:after="200"/>
              <w:contextualSpacing/>
              <w:rPr>
                <w:rFonts w:eastAsia="Arial"/>
              </w:rPr>
            </w:pPr>
            <w:r w:rsidRPr="00C67A7D">
              <w:rPr>
                <w:rFonts w:eastAsia="Arial"/>
              </w:rPr>
              <w:t xml:space="preserve">Projects continued as part of the implementation of Transport Strategy 2030 included: </w:t>
            </w:r>
          </w:p>
          <w:p w14:paraId="44232238" w14:textId="77777777" w:rsidR="006E5EC2" w:rsidRPr="00C67A7D" w:rsidRDefault="006E5EC2" w:rsidP="00627B00">
            <w:pPr>
              <w:pStyle w:val="ListParagraph"/>
              <w:numPr>
                <w:ilvl w:val="0"/>
                <w:numId w:val="38"/>
              </w:numPr>
              <w:spacing w:before="120" w:after="200"/>
              <w:contextualSpacing/>
              <w:rPr>
                <w:rFonts w:eastAsia="Arial"/>
              </w:rPr>
            </w:pPr>
            <w:r w:rsidRPr="00C67A7D">
              <w:rPr>
                <w:rFonts w:eastAsia="Arial"/>
              </w:rPr>
              <w:t>Grattan Street bike lanes complete</w:t>
            </w:r>
            <w:r>
              <w:rPr>
                <w:rFonts w:eastAsia="Arial"/>
              </w:rPr>
              <w:t>d</w:t>
            </w:r>
            <w:r w:rsidRPr="00C67A7D">
              <w:rPr>
                <w:rFonts w:eastAsia="Arial"/>
              </w:rPr>
              <w:t xml:space="preserve"> between Bouverie and Drummond Streets</w:t>
            </w:r>
            <w:proofErr w:type="gramStart"/>
            <w:r w:rsidRPr="00C67A7D">
              <w:rPr>
                <w:rFonts w:eastAsia="Arial"/>
              </w:rPr>
              <w:t xml:space="preserve">.  </w:t>
            </w:r>
            <w:proofErr w:type="gramEnd"/>
          </w:p>
          <w:p w14:paraId="12E48C59" w14:textId="77777777" w:rsidR="006E5EC2" w:rsidRPr="00C67A7D" w:rsidRDefault="006E5EC2" w:rsidP="00627B00">
            <w:pPr>
              <w:pStyle w:val="ListParagraph"/>
              <w:numPr>
                <w:ilvl w:val="0"/>
                <w:numId w:val="38"/>
              </w:numPr>
              <w:spacing w:before="120" w:after="200"/>
              <w:contextualSpacing/>
              <w:rPr>
                <w:rFonts w:eastAsia="Arial"/>
              </w:rPr>
            </w:pPr>
            <w:r w:rsidRPr="00C67A7D">
              <w:rPr>
                <w:rFonts w:eastAsia="Arial"/>
              </w:rPr>
              <w:t xml:space="preserve">Streetscape upgrades on Exhibition Street continue. A plaza area is </w:t>
            </w:r>
            <w:proofErr w:type="gramStart"/>
            <w:r w:rsidRPr="00C67A7D">
              <w:rPr>
                <w:rFonts w:eastAsia="Arial"/>
              </w:rPr>
              <w:t>being constructed</w:t>
            </w:r>
            <w:proofErr w:type="gramEnd"/>
            <w:r w:rsidRPr="00C67A7D">
              <w:rPr>
                <w:rFonts w:eastAsia="Arial"/>
              </w:rPr>
              <w:t xml:space="preserve"> outside Her Majesty’s Theatre, along with separated bike lanes and a drop-off/pick-up area. </w:t>
            </w:r>
          </w:p>
          <w:p w14:paraId="64E8E92D" w14:textId="77777777" w:rsidR="006E5EC2" w:rsidRPr="00C67A7D" w:rsidRDefault="006E5EC2" w:rsidP="00627B00">
            <w:pPr>
              <w:pStyle w:val="ListParagraph"/>
              <w:numPr>
                <w:ilvl w:val="0"/>
                <w:numId w:val="38"/>
              </w:numPr>
              <w:spacing w:before="120" w:after="200"/>
              <w:contextualSpacing/>
              <w:rPr>
                <w:rFonts w:eastAsia="Arial"/>
              </w:rPr>
            </w:pPr>
            <w:r w:rsidRPr="00C67A7D">
              <w:rPr>
                <w:rFonts w:eastAsia="Arial"/>
              </w:rPr>
              <w:t xml:space="preserve">Speed Limit changes delivered on the CBD Little Streets as a trial during covid are being </w:t>
            </w:r>
            <w:proofErr w:type="spellStart"/>
            <w:r w:rsidRPr="00C67A7D">
              <w:rPr>
                <w:rFonts w:eastAsia="Arial"/>
              </w:rPr>
              <w:t>formalised</w:t>
            </w:r>
            <w:proofErr w:type="spellEnd"/>
            <w:r w:rsidRPr="00C67A7D">
              <w:rPr>
                <w:rFonts w:eastAsia="Arial"/>
              </w:rPr>
              <w:t xml:space="preserve">. “20Km/h Shared Zone” signage is </w:t>
            </w:r>
            <w:proofErr w:type="gramStart"/>
            <w:r w:rsidRPr="00C67A7D">
              <w:rPr>
                <w:rFonts w:eastAsia="Arial"/>
              </w:rPr>
              <w:t>being replaced</w:t>
            </w:r>
            <w:proofErr w:type="gramEnd"/>
            <w:r w:rsidRPr="00C67A7D">
              <w:rPr>
                <w:rFonts w:eastAsia="Arial"/>
              </w:rPr>
              <w:t xml:space="preserve"> with “20km/h” speed limit signage. Other permanent upgrades of temporary infrastructure will follow</w:t>
            </w:r>
            <w:proofErr w:type="gramStart"/>
            <w:r w:rsidRPr="00C67A7D">
              <w:rPr>
                <w:rFonts w:eastAsia="Arial"/>
              </w:rPr>
              <w:t xml:space="preserve">.  </w:t>
            </w:r>
            <w:proofErr w:type="gramEnd"/>
          </w:p>
          <w:p w14:paraId="5646620D" w14:textId="77777777" w:rsidR="004A3010" w:rsidRDefault="006E5EC2" w:rsidP="00627B00">
            <w:pPr>
              <w:numPr>
                <w:ilvl w:val="0"/>
                <w:numId w:val="38"/>
              </w:numPr>
            </w:pPr>
            <w:r w:rsidRPr="00C67A7D">
              <w:rPr>
                <w:rFonts w:eastAsia="Arial"/>
              </w:rPr>
              <w:t>Safety improvements adjacent to Docklands Primary school are complete, involving upgraded paths that provide separation between people walking and riding bikes.</w:t>
            </w:r>
          </w:p>
          <w:p w14:paraId="652C6C7B" w14:textId="77777777" w:rsidR="00A95083" w:rsidRPr="00D367C9" w:rsidRDefault="00A95083" w:rsidP="00BE5903">
            <w:pPr>
              <w:pStyle w:val="Heading2"/>
            </w:pPr>
            <w:bookmarkStart w:id="34" w:name="_Toc193203112"/>
            <w:r w:rsidRPr="00D367C9">
              <w:t>Our progress</w:t>
            </w:r>
            <w:bookmarkEnd w:id="34"/>
          </w:p>
          <w:p w14:paraId="744A89C4" w14:textId="77777777" w:rsidR="006E5EC2" w:rsidRPr="006E5EC2" w:rsidRDefault="006E5EC2" w:rsidP="006E5EC2">
            <w:pPr>
              <w:spacing w:before="120" w:after="120" w:line="240" w:lineRule="auto"/>
              <w:ind w:right="140"/>
              <w:textAlignment w:val="baseline"/>
              <w:rPr>
                <w:rFonts w:ascii="Times New Roman" w:hAnsi="Times New Roman"/>
                <w:color w:val="404040"/>
                <w:sz w:val="24"/>
              </w:rPr>
            </w:pPr>
            <w:r w:rsidRPr="006E5EC2">
              <w:rPr>
                <w:rFonts w:cs="Arial"/>
                <w:color w:val="404040"/>
              </w:rPr>
              <w:t>Limited access to sites and development of alternative design options have resulted in delays to some pedestrian and bicycle infrastructure projects.</w:t>
            </w:r>
          </w:p>
          <w:p w14:paraId="6A94114C" w14:textId="77777777" w:rsidR="00002693" w:rsidRPr="00FC0EFA" w:rsidRDefault="00BE5903" w:rsidP="00BE5903">
            <w:r w:rsidRPr="00D367C9">
              <w:t>Delivery of our major initiatives within the Council Plan term is on track.</w:t>
            </w:r>
          </w:p>
        </w:tc>
      </w:tr>
    </w:tbl>
    <w:p w14:paraId="3C7A7069" w14:textId="77777777" w:rsidR="005735E1" w:rsidRPr="00784FF6" w:rsidRDefault="005735E1" w:rsidP="005735E1">
      <w:pPr>
        <w:pStyle w:val="Heading2"/>
      </w:pPr>
      <w:bookmarkStart w:id="35" w:name="_Toc193203113"/>
      <w:r w:rsidRPr="00784FF6">
        <w:t xml:space="preserve">The major initiatives we’re delivering this </w:t>
      </w:r>
      <w:proofErr w:type="gramStart"/>
      <w:r w:rsidRPr="00784FF6">
        <w:t>year</w:t>
      </w:r>
      <w:bookmarkEnd w:id="35"/>
      <w:proofErr w:type="gramEnd"/>
      <w:r w:rsidRPr="00784FF6">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9412"/>
        <w:gridCol w:w="2268"/>
        <w:gridCol w:w="2268"/>
      </w:tblGrid>
      <w:tr w:rsidR="00A95083" w:rsidRPr="00235DD6" w14:paraId="223BAF04" w14:textId="77777777" w:rsidTr="0052081B">
        <w:trPr>
          <w:tblHeader/>
        </w:trPr>
        <w:tc>
          <w:tcPr>
            <w:tcW w:w="9412" w:type="dxa"/>
            <w:shd w:val="clear" w:color="auto" w:fill="auto"/>
          </w:tcPr>
          <w:p w14:paraId="40374DED" w14:textId="77777777" w:rsidR="00A95083" w:rsidRPr="0038645E" w:rsidRDefault="00A95083" w:rsidP="0052081B">
            <w:pPr>
              <w:pStyle w:val="TableofFigures"/>
              <w:rPr>
                <w:b/>
              </w:rPr>
            </w:pPr>
            <w:r w:rsidRPr="0038645E">
              <w:rPr>
                <w:b/>
              </w:rPr>
              <w:t>Initiative</w:t>
            </w:r>
          </w:p>
        </w:tc>
        <w:tc>
          <w:tcPr>
            <w:tcW w:w="2268" w:type="dxa"/>
            <w:shd w:val="clear" w:color="auto" w:fill="auto"/>
          </w:tcPr>
          <w:p w14:paraId="24B55883" w14:textId="77777777" w:rsidR="00A95083" w:rsidRPr="0038645E" w:rsidRDefault="00A95083" w:rsidP="0052081B">
            <w:pPr>
              <w:pStyle w:val="TableofFigures"/>
              <w:rPr>
                <w:b/>
              </w:rPr>
            </w:pPr>
            <w:r w:rsidRPr="0038645E">
              <w:rPr>
                <w:b/>
              </w:rPr>
              <w:t>Council’s role</w:t>
            </w:r>
          </w:p>
        </w:tc>
        <w:tc>
          <w:tcPr>
            <w:tcW w:w="2268" w:type="dxa"/>
            <w:shd w:val="clear" w:color="auto" w:fill="auto"/>
          </w:tcPr>
          <w:p w14:paraId="5C116424" w14:textId="77777777" w:rsidR="00A95083" w:rsidRPr="00235DD6" w:rsidRDefault="00A95083" w:rsidP="0052081B">
            <w:pPr>
              <w:pStyle w:val="TableofFigures"/>
              <w:rPr>
                <w:b/>
              </w:rPr>
            </w:pPr>
            <w:r w:rsidRPr="00235DD6">
              <w:rPr>
                <w:b/>
              </w:rPr>
              <w:t>Our progress</w:t>
            </w:r>
          </w:p>
        </w:tc>
      </w:tr>
      <w:tr w:rsidR="00CB006D" w:rsidRPr="00235DD6" w14:paraId="3CC914E1" w14:textId="77777777" w:rsidTr="0052081B">
        <w:tc>
          <w:tcPr>
            <w:tcW w:w="9412" w:type="dxa"/>
            <w:shd w:val="clear" w:color="auto" w:fill="auto"/>
          </w:tcPr>
          <w:p w14:paraId="66B6028B" w14:textId="77777777" w:rsidR="00CB006D" w:rsidRPr="00CB006D" w:rsidRDefault="00CB006D" w:rsidP="00CB006D">
            <w:pPr>
              <w:pStyle w:val="Default"/>
              <w:spacing w:line="276" w:lineRule="auto"/>
              <w:rPr>
                <w:color w:val="252525"/>
                <w:sz w:val="20"/>
                <w:szCs w:val="20"/>
              </w:rPr>
            </w:pPr>
            <w:r w:rsidRPr="00CB006D">
              <w:rPr>
                <w:color w:val="252525"/>
                <w:sz w:val="20"/>
                <w:szCs w:val="20"/>
              </w:rPr>
              <w:t xml:space="preserve">Continue to implement the </w:t>
            </w:r>
            <w:r w:rsidRPr="00CB006D">
              <w:rPr>
                <w:color w:val="0000FF"/>
                <w:sz w:val="20"/>
                <w:szCs w:val="20"/>
              </w:rPr>
              <w:t>Transport Strategy 2030</w:t>
            </w:r>
            <w:r>
              <w:rPr>
                <w:rStyle w:val="FootnoteReference"/>
                <w:color w:val="252525"/>
                <w:sz w:val="20"/>
                <w:szCs w:val="20"/>
              </w:rPr>
              <w:footnoteReference w:id="15"/>
            </w:r>
            <w:r w:rsidRPr="00CB006D">
              <w:rPr>
                <w:color w:val="252525"/>
                <w:sz w:val="20"/>
                <w:szCs w:val="20"/>
              </w:rPr>
              <w:t xml:space="preserve">, including delivery of a protected bike lane network, station precincts, streets for people, safer speed limits, etcetera. </w:t>
            </w:r>
          </w:p>
        </w:tc>
        <w:tc>
          <w:tcPr>
            <w:tcW w:w="2268" w:type="dxa"/>
            <w:shd w:val="clear" w:color="auto" w:fill="auto"/>
          </w:tcPr>
          <w:p w14:paraId="6F8C8362" w14:textId="77777777" w:rsidR="00CB006D" w:rsidRPr="00CB006D" w:rsidRDefault="00CB006D" w:rsidP="00CB006D">
            <w:pPr>
              <w:pStyle w:val="Default"/>
              <w:spacing w:line="276" w:lineRule="auto"/>
              <w:rPr>
                <w:sz w:val="20"/>
                <w:szCs w:val="20"/>
              </w:rPr>
            </w:pPr>
            <w:r w:rsidRPr="00CB006D">
              <w:rPr>
                <w:color w:val="252525"/>
                <w:sz w:val="20"/>
                <w:szCs w:val="20"/>
              </w:rPr>
              <w:t xml:space="preserve">Advocate </w:t>
            </w:r>
          </w:p>
          <w:p w14:paraId="7C992E39" w14:textId="77777777" w:rsidR="00CB006D" w:rsidRPr="00CB006D" w:rsidRDefault="00CB006D" w:rsidP="00CB006D">
            <w:pPr>
              <w:pStyle w:val="Default"/>
              <w:spacing w:line="276" w:lineRule="auto"/>
              <w:rPr>
                <w:color w:val="252525"/>
                <w:sz w:val="20"/>
                <w:szCs w:val="20"/>
              </w:rPr>
            </w:pPr>
            <w:r w:rsidRPr="00CB006D">
              <w:rPr>
                <w:color w:val="252525"/>
                <w:sz w:val="20"/>
                <w:szCs w:val="20"/>
              </w:rPr>
              <w:t xml:space="preserve">Partner </w:t>
            </w:r>
          </w:p>
          <w:p w14:paraId="1B8F4901" w14:textId="77777777" w:rsidR="00CB006D" w:rsidRPr="00CB006D" w:rsidRDefault="00CB006D" w:rsidP="00CB006D">
            <w:pPr>
              <w:pStyle w:val="Default"/>
              <w:spacing w:line="276" w:lineRule="auto"/>
              <w:rPr>
                <w:sz w:val="20"/>
                <w:szCs w:val="20"/>
              </w:rPr>
            </w:pPr>
            <w:r w:rsidRPr="00CB006D">
              <w:rPr>
                <w:color w:val="252525"/>
                <w:sz w:val="20"/>
                <w:szCs w:val="20"/>
              </w:rPr>
              <w:t xml:space="preserve">Deliver </w:t>
            </w:r>
          </w:p>
        </w:tc>
        <w:tc>
          <w:tcPr>
            <w:tcW w:w="2268" w:type="dxa"/>
            <w:shd w:val="clear" w:color="auto" w:fill="auto"/>
          </w:tcPr>
          <w:p w14:paraId="62F06E6C" w14:textId="77777777" w:rsidR="00CB006D" w:rsidRPr="00235DD6" w:rsidRDefault="00D458D4" w:rsidP="00CB006D">
            <w:pPr>
              <w:pStyle w:val="Default"/>
              <w:spacing w:line="276" w:lineRule="auto"/>
              <w:rPr>
                <w:color w:val="auto"/>
                <w:sz w:val="20"/>
                <w:szCs w:val="20"/>
              </w:rPr>
            </w:pPr>
            <w:r w:rsidRPr="00235DD6">
              <w:rPr>
                <w:color w:val="auto"/>
                <w:sz w:val="20"/>
                <w:szCs w:val="20"/>
              </w:rPr>
              <w:t>On track</w:t>
            </w:r>
          </w:p>
        </w:tc>
      </w:tr>
      <w:tr w:rsidR="00CB006D" w14:paraId="3CECFB51" w14:textId="77777777" w:rsidTr="0052081B">
        <w:tc>
          <w:tcPr>
            <w:tcW w:w="9412" w:type="dxa"/>
            <w:shd w:val="clear" w:color="auto" w:fill="auto"/>
          </w:tcPr>
          <w:p w14:paraId="0932C7F2" w14:textId="77777777" w:rsidR="00CB006D" w:rsidRPr="00CB006D" w:rsidRDefault="00CB006D" w:rsidP="00CB006D">
            <w:pPr>
              <w:pStyle w:val="Default"/>
              <w:spacing w:line="276" w:lineRule="auto"/>
              <w:rPr>
                <w:sz w:val="20"/>
                <w:szCs w:val="20"/>
              </w:rPr>
            </w:pPr>
            <w:r w:rsidRPr="00CB006D">
              <w:rPr>
                <w:color w:val="252525"/>
                <w:sz w:val="20"/>
                <w:szCs w:val="20"/>
              </w:rPr>
              <w:t xml:space="preserve">Deliver the North and West Melbourne and Docklands Transport and Amenity Program in partnership with the Victorian Government. </w:t>
            </w:r>
          </w:p>
        </w:tc>
        <w:tc>
          <w:tcPr>
            <w:tcW w:w="2268" w:type="dxa"/>
            <w:shd w:val="clear" w:color="auto" w:fill="auto"/>
          </w:tcPr>
          <w:p w14:paraId="7C2D37F9" w14:textId="77777777" w:rsidR="00CB006D" w:rsidRPr="00CB006D" w:rsidRDefault="00CB006D" w:rsidP="00CB006D">
            <w:pPr>
              <w:pStyle w:val="Default"/>
              <w:spacing w:line="276" w:lineRule="auto"/>
              <w:rPr>
                <w:sz w:val="20"/>
                <w:szCs w:val="20"/>
              </w:rPr>
            </w:pPr>
            <w:r w:rsidRPr="00CB006D">
              <w:rPr>
                <w:color w:val="252525"/>
                <w:sz w:val="20"/>
                <w:szCs w:val="20"/>
              </w:rPr>
              <w:t xml:space="preserve">Deliver </w:t>
            </w:r>
          </w:p>
          <w:p w14:paraId="6DC939F9" w14:textId="77777777" w:rsidR="00CB006D" w:rsidRPr="00CB006D" w:rsidRDefault="00CB006D" w:rsidP="00CB006D">
            <w:pPr>
              <w:pStyle w:val="Default"/>
              <w:spacing w:line="276" w:lineRule="auto"/>
              <w:rPr>
                <w:color w:val="252525"/>
                <w:sz w:val="20"/>
                <w:szCs w:val="20"/>
              </w:rPr>
            </w:pPr>
            <w:r w:rsidRPr="00CB006D">
              <w:rPr>
                <w:color w:val="252525"/>
                <w:sz w:val="20"/>
                <w:szCs w:val="20"/>
              </w:rPr>
              <w:t xml:space="preserve">Partner </w:t>
            </w:r>
          </w:p>
        </w:tc>
        <w:tc>
          <w:tcPr>
            <w:tcW w:w="2268" w:type="dxa"/>
            <w:shd w:val="clear" w:color="auto" w:fill="auto"/>
          </w:tcPr>
          <w:p w14:paraId="5BC202A9" w14:textId="77777777" w:rsidR="00CB006D" w:rsidRPr="00CB006D" w:rsidRDefault="00211A97" w:rsidP="00211A97">
            <w:pPr>
              <w:pStyle w:val="Default"/>
              <w:spacing w:line="276" w:lineRule="auto"/>
              <w:rPr>
                <w:color w:val="auto"/>
                <w:sz w:val="20"/>
                <w:szCs w:val="20"/>
              </w:rPr>
            </w:pPr>
            <w:r>
              <w:rPr>
                <w:color w:val="auto"/>
                <w:sz w:val="20"/>
                <w:szCs w:val="20"/>
              </w:rPr>
              <w:t>Delayed</w:t>
            </w:r>
            <w:r w:rsidR="00CB006D" w:rsidRPr="00CB006D">
              <w:rPr>
                <w:color w:val="auto"/>
                <w:sz w:val="20"/>
                <w:szCs w:val="20"/>
              </w:rPr>
              <w:t xml:space="preserve"> </w:t>
            </w:r>
          </w:p>
        </w:tc>
      </w:tr>
      <w:tr w:rsidR="00CB006D" w14:paraId="7054228D" w14:textId="77777777" w:rsidTr="0052081B">
        <w:tc>
          <w:tcPr>
            <w:tcW w:w="9412" w:type="dxa"/>
            <w:shd w:val="clear" w:color="auto" w:fill="auto"/>
          </w:tcPr>
          <w:p w14:paraId="6A7217CF" w14:textId="77777777" w:rsidR="00CB006D" w:rsidRPr="00CB006D" w:rsidRDefault="00CB006D" w:rsidP="00CB006D">
            <w:pPr>
              <w:pStyle w:val="Default"/>
              <w:spacing w:line="276" w:lineRule="auto"/>
              <w:rPr>
                <w:sz w:val="20"/>
                <w:szCs w:val="20"/>
              </w:rPr>
            </w:pPr>
            <w:r w:rsidRPr="00CB006D">
              <w:rPr>
                <w:color w:val="252525"/>
                <w:sz w:val="20"/>
                <w:szCs w:val="20"/>
              </w:rPr>
              <w:t xml:space="preserve">City of Melbourne will design and deliver the upgrades to the City Road northern </w:t>
            </w:r>
            <w:proofErr w:type="spellStart"/>
            <w:r w:rsidRPr="00CB006D">
              <w:rPr>
                <w:color w:val="252525"/>
                <w:sz w:val="20"/>
                <w:szCs w:val="20"/>
              </w:rPr>
              <w:t>undercroft</w:t>
            </w:r>
            <w:proofErr w:type="spellEnd"/>
            <w:r w:rsidRPr="00CB006D">
              <w:rPr>
                <w:color w:val="252525"/>
                <w:sz w:val="20"/>
                <w:szCs w:val="20"/>
              </w:rPr>
              <w:t xml:space="preserve"> by end of 2023-2024 and advocate for the full delivery of upgrades to the City Road East and West. </w:t>
            </w:r>
          </w:p>
        </w:tc>
        <w:tc>
          <w:tcPr>
            <w:tcW w:w="2268" w:type="dxa"/>
            <w:shd w:val="clear" w:color="auto" w:fill="auto"/>
          </w:tcPr>
          <w:p w14:paraId="360841AF" w14:textId="77777777" w:rsidR="00CB006D" w:rsidRPr="00CB006D" w:rsidRDefault="00CB006D" w:rsidP="00CB006D">
            <w:pPr>
              <w:pStyle w:val="Default"/>
              <w:spacing w:line="276" w:lineRule="auto"/>
              <w:rPr>
                <w:sz w:val="20"/>
                <w:szCs w:val="20"/>
              </w:rPr>
            </w:pPr>
            <w:r w:rsidRPr="00CB006D">
              <w:rPr>
                <w:color w:val="252525"/>
                <w:sz w:val="20"/>
                <w:szCs w:val="20"/>
              </w:rPr>
              <w:t xml:space="preserve">Deliver </w:t>
            </w:r>
          </w:p>
          <w:p w14:paraId="75CC961C" w14:textId="77777777" w:rsidR="00CB006D" w:rsidRPr="00CB006D" w:rsidRDefault="00CB006D" w:rsidP="00CB006D">
            <w:pPr>
              <w:pStyle w:val="Default"/>
              <w:spacing w:line="276" w:lineRule="auto"/>
              <w:rPr>
                <w:color w:val="252525"/>
                <w:sz w:val="20"/>
                <w:szCs w:val="20"/>
              </w:rPr>
            </w:pPr>
            <w:r w:rsidRPr="00CB006D">
              <w:rPr>
                <w:color w:val="252525"/>
                <w:sz w:val="20"/>
                <w:szCs w:val="20"/>
              </w:rPr>
              <w:t xml:space="preserve">Advocate </w:t>
            </w:r>
          </w:p>
        </w:tc>
        <w:tc>
          <w:tcPr>
            <w:tcW w:w="2268" w:type="dxa"/>
            <w:shd w:val="clear" w:color="auto" w:fill="auto"/>
          </w:tcPr>
          <w:p w14:paraId="44A7B193" w14:textId="77777777" w:rsidR="00CB006D" w:rsidRPr="00CB006D" w:rsidRDefault="00E43FA0" w:rsidP="00CB006D">
            <w:pPr>
              <w:pStyle w:val="Default"/>
              <w:spacing w:line="276" w:lineRule="auto"/>
              <w:rPr>
                <w:color w:val="auto"/>
                <w:sz w:val="20"/>
                <w:szCs w:val="20"/>
              </w:rPr>
            </w:pPr>
            <w:r>
              <w:rPr>
                <w:color w:val="auto"/>
                <w:sz w:val="20"/>
                <w:szCs w:val="20"/>
              </w:rPr>
              <w:t>Delayed</w:t>
            </w:r>
            <w:r w:rsidR="00CB006D" w:rsidRPr="00CB006D">
              <w:rPr>
                <w:color w:val="auto"/>
                <w:sz w:val="20"/>
                <w:szCs w:val="20"/>
              </w:rPr>
              <w:t xml:space="preserve"> </w:t>
            </w:r>
          </w:p>
        </w:tc>
      </w:tr>
      <w:tr w:rsidR="00CB006D" w14:paraId="3CF29789" w14:textId="77777777" w:rsidTr="0052081B">
        <w:tc>
          <w:tcPr>
            <w:tcW w:w="9412" w:type="dxa"/>
            <w:shd w:val="clear" w:color="auto" w:fill="auto"/>
          </w:tcPr>
          <w:p w14:paraId="66BE665E" w14:textId="77777777" w:rsidR="00CB006D" w:rsidRPr="00CB006D" w:rsidRDefault="00CB006D" w:rsidP="00CB006D">
            <w:pPr>
              <w:pStyle w:val="Default"/>
              <w:spacing w:line="276" w:lineRule="auto"/>
              <w:rPr>
                <w:sz w:val="20"/>
                <w:szCs w:val="20"/>
              </w:rPr>
            </w:pPr>
            <w:r w:rsidRPr="00CB006D">
              <w:rPr>
                <w:color w:val="252525"/>
                <w:sz w:val="20"/>
                <w:szCs w:val="20"/>
              </w:rPr>
              <w:t xml:space="preserve">Adopt in 2021-22 and then implement an </w:t>
            </w:r>
            <w:r w:rsidRPr="00CB006D">
              <w:rPr>
                <w:color w:val="0000FF"/>
                <w:sz w:val="20"/>
                <w:szCs w:val="20"/>
              </w:rPr>
              <w:t>Inclusive Melbourne Strategy</w:t>
            </w:r>
            <w:r>
              <w:rPr>
                <w:rStyle w:val="FootnoteReference"/>
                <w:color w:val="0000FF"/>
                <w:sz w:val="20"/>
                <w:szCs w:val="20"/>
              </w:rPr>
              <w:footnoteReference w:id="16"/>
            </w:r>
            <w:r w:rsidRPr="00CB006D">
              <w:rPr>
                <w:color w:val="0000FF"/>
                <w:sz w:val="20"/>
                <w:szCs w:val="20"/>
              </w:rPr>
              <w:t xml:space="preserve"> </w:t>
            </w:r>
            <w:r w:rsidRPr="00CB006D">
              <w:rPr>
                <w:color w:val="252525"/>
                <w:sz w:val="20"/>
                <w:szCs w:val="20"/>
              </w:rPr>
              <w:t xml:space="preserve">that will increase access to opportunities for all people who live, work, study in and visit the city. </w:t>
            </w:r>
          </w:p>
        </w:tc>
        <w:tc>
          <w:tcPr>
            <w:tcW w:w="2268" w:type="dxa"/>
            <w:shd w:val="clear" w:color="auto" w:fill="auto"/>
          </w:tcPr>
          <w:p w14:paraId="316A1AC3" w14:textId="77777777" w:rsidR="00CB006D" w:rsidRPr="00CB006D" w:rsidRDefault="00CB006D" w:rsidP="00CB006D">
            <w:pPr>
              <w:pStyle w:val="Default"/>
              <w:spacing w:line="276" w:lineRule="auto"/>
              <w:rPr>
                <w:sz w:val="20"/>
                <w:szCs w:val="20"/>
              </w:rPr>
            </w:pPr>
            <w:r w:rsidRPr="00CB006D">
              <w:rPr>
                <w:color w:val="252525"/>
                <w:sz w:val="20"/>
                <w:szCs w:val="20"/>
              </w:rPr>
              <w:t xml:space="preserve">Deliver </w:t>
            </w:r>
          </w:p>
        </w:tc>
        <w:tc>
          <w:tcPr>
            <w:tcW w:w="2268" w:type="dxa"/>
            <w:shd w:val="clear" w:color="auto" w:fill="auto"/>
          </w:tcPr>
          <w:p w14:paraId="4E9172EC" w14:textId="77777777" w:rsidR="00CB006D" w:rsidRPr="00CB006D" w:rsidRDefault="00CB006D" w:rsidP="00CB006D">
            <w:pPr>
              <w:pStyle w:val="Default"/>
              <w:spacing w:line="276" w:lineRule="auto"/>
              <w:rPr>
                <w:color w:val="auto"/>
                <w:sz w:val="20"/>
                <w:szCs w:val="20"/>
              </w:rPr>
            </w:pPr>
            <w:r w:rsidRPr="00CB006D">
              <w:rPr>
                <w:color w:val="auto"/>
                <w:sz w:val="20"/>
                <w:szCs w:val="20"/>
              </w:rPr>
              <w:t xml:space="preserve">On track </w:t>
            </w:r>
          </w:p>
        </w:tc>
      </w:tr>
      <w:tr w:rsidR="00CB006D" w14:paraId="4D1BA143" w14:textId="77777777" w:rsidTr="0052081B">
        <w:tc>
          <w:tcPr>
            <w:tcW w:w="9412" w:type="dxa"/>
          </w:tcPr>
          <w:p w14:paraId="41AC2767" w14:textId="77777777" w:rsidR="00CB006D" w:rsidRPr="00CB006D" w:rsidRDefault="00CB006D" w:rsidP="00CB006D">
            <w:pPr>
              <w:pStyle w:val="Default"/>
              <w:spacing w:line="276" w:lineRule="auto"/>
              <w:rPr>
                <w:sz w:val="20"/>
                <w:szCs w:val="20"/>
              </w:rPr>
            </w:pPr>
            <w:r w:rsidRPr="00CB006D">
              <w:rPr>
                <w:color w:val="252525"/>
                <w:sz w:val="20"/>
                <w:szCs w:val="20"/>
              </w:rPr>
              <w:t xml:space="preserve">We will be a leading organisation on equality and inclusion and deliver programs in communities that will reduce physical and psychological harm to all people. </w:t>
            </w:r>
          </w:p>
        </w:tc>
        <w:tc>
          <w:tcPr>
            <w:tcW w:w="2268" w:type="dxa"/>
          </w:tcPr>
          <w:p w14:paraId="047082F2" w14:textId="77777777" w:rsidR="00CB006D" w:rsidRPr="00CB006D" w:rsidRDefault="00CB006D" w:rsidP="00CB006D">
            <w:pPr>
              <w:pStyle w:val="Default"/>
              <w:spacing w:line="276" w:lineRule="auto"/>
              <w:rPr>
                <w:sz w:val="20"/>
                <w:szCs w:val="20"/>
              </w:rPr>
            </w:pPr>
            <w:r w:rsidRPr="00CB006D">
              <w:rPr>
                <w:color w:val="252525"/>
                <w:sz w:val="20"/>
                <w:szCs w:val="20"/>
              </w:rPr>
              <w:t xml:space="preserve">Deliver </w:t>
            </w:r>
          </w:p>
        </w:tc>
        <w:tc>
          <w:tcPr>
            <w:tcW w:w="2268" w:type="dxa"/>
          </w:tcPr>
          <w:p w14:paraId="6B5C404C" w14:textId="77777777" w:rsidR="00CB006D" w:rsidRPr="00CB006D" w:rsidRDefault="006E5EC2" w:rsidP="00CB006D">
            <w:pPr>
              <w:pStyle w:val="Default"/>
              <w:spacing w:line="276" w:lineRule="auto"/>
              <w:rPr>
                <w:color w:val="auto"/>
                <w:sz w:val="20"/>
                <w:szCs w:val="20"/>
              </w:rPr>
            </w:pPr>
            <w:r>
              <w:rPr>
                <w:color w:val="auto"/>
                <w:sz w:val="20"/>
                <w:szCs w:val="20"/>
              </w:rPr>
              <w:t>Completed</w:t>
            </w:r>
          </w:p>
        </w:tc>
      </w:tr>
      <w:tr w:rsidR="00CB006D" w14:paraId="1CAE30FE" w14:textId="77777777" w:rsidTr="0052081B">
        <w:tc>
          <w:tcPr>
            <w:tcW w:w="9412" w:type="dxa"/>
          </w:tcPr>
          <w:p w14:paraId="380678B5" w14:textId="77777777" w:rsidR="00CB006D" w:rsidRPr="00CB006D" w:rsidRDefault="00CB006D" w:rsidP="00CB006D">
            <w:pPr>
              <w:pStyle w:val="Default"/>
              <w:spacing w:line="276" w:lineRule="auto"/>
              <w:rPr>
                <w:sz w:val="20"/>
                <w:szCs w:val="20"/>
              </w:rPr>
            </w:pPr>
            <w:r w:rsidRPr="00CB006D">
              <w:rPr>
                <w:color w:val="252525"/>
                <w:sz w:val="20"/>
                <w:szCs w:val="20"/>
              </w:rPr>
              <w:t xml:space="preserve">We will continue to work with Victoria Police and other agencies to deliver a range of initiatives that improve safety on the streets of Melbourne and within our communities. </w:t>
            </w:r>
          </w:p>
        </w:tc>
        <w:tc>
          <w:tcPr>
            <w:tcW w:w="2268" w:type="dxa"/>
          </w:tcPr>
          <w:p w14:paraId="6B518AC6" w14:textId="77777777" w:rsidR="00CB006D" w:rsidRPr="00CB006D" w:rsidRDefault="00CB006D" w:rsidP="00CB006D">
            <w:pPr>
              <w:pStyle w:val="Default"/>
              <w:spacing w:line="276" w:lineRule="auto"/>
              <w:rPr>
                <w:sz w:val="20"/>
                <w:szCs w:val="20"/>
              </w:rPr>
            </w:pPr>
            <w:r w:rsidRPr="00CB006D">
              <w:rPr>
                <w:color w:val="252525"/>
                <w:sz w:val="20"/>
                <w:szCs w:val="20"/>
              </w:rPr>
              <w:t xml:space="preserve">Partner </w:t>
            </w:r>
          </w:p>
          <w:p w14:paraId="3245B1A9" w14:textId="77777777" w:rsidR="00CB006D" w:rsidRPr="00CB006D" w:rsidRDefault="00CB006D" w:rsidP="00CB006D">
            <w:pPr>
              <w:pStyle w:val="Default"/>
              <w:spacing w:line="276" w:lineRule="auto"/>
              <w:rPr>
                <w:color w:val="252525"/>
                <w:sz w:val="20"/>
                <w:szCs w:val="20"/>
              </w:rPr>
            </w:pPr>
            <w:r w:rsidRPr="00CB006D">
              <w:rPr>
                <w:color w:val="252525"/>
                <w:sz w:val="20"/>
                <w:szCs w:val="20"/>
              </w:rPr>
              <w:t xml:space="preserve">Deliver </w:t>
            </w:r>
          </w:p>
        </w:tc>
        <w:tc>
          <w:tcPr>
            <w:tcW w:w="2268" w:type="dxa"/>
          </w:tcPr>
          <w:p w14:paraId="36BD713E" w14:textId="77777777" w:rsidR="00CB006D" w:rsidRPr="00CB006D" w:rsidRDefault="00CB006D" w:rsidP="00CB006D">
            <w:pPr>
              <w:pStyle w:val="Default"/>
              <w:spacing w:line="276" w:lineRule="auto"/>
              <w:rPr>
                <w:color w:val="auto"/>
                <w:sz w:val="20"/>
                <w:szCs w:val="20"/>
              </w:rPr>
            </w:pPr>
            <w:r w:rsidRPr="00CB006D">
              <w:rPr>
                <w:color w:val="auto"/>
                <w:sz w:val="20"/>
                <w:szCs w:val="20"/>
              </w:rPr>
              <w:t xml:space="preserve">On track </w:t>
            </w:r>
          </w:p>
        </w:tc>
      </w:tr>
      <w:tr w:rsidR="00CB006D" w14:paraId="1162D1DB" w14:textId="77777777" w:rsidTr="0052081B">
        <w:tc>
          <w:tcPr>
            <w:tcW w:w="9412" w:type="dxa"/>
          </w:tcPr>
          <w:p w14:paraId="619A2F1A" w14:textId="77777777" w:rsidR="00CB006D" w:rsidRPr="00CB006D" w:rsidRDefault="00CB006D" w:rsidP="00CB006D">
            <w:pPr>
              <w:pStyle w:val="Default"/>
              <w:spacing w:line="276" w:lineRule="auto"/>
              <w:rPr>
                <w:sz w:val="20"/>
                <w:szCs w:val="20"/>
              </w:rPr>
            </w:pPr>
            <w:r w:rsidRPr="00CB006D">
              <w:rPr>
                <w:color w:val="252525"/>
                <w:sz w:val="20"/>
                <w:szCs w:val="20"/>
              </w:rPr>
              <w:t xml:space="preserve">Deliver and maintain a clean city through the Rapid Response Clean Team initiative. </w:t>
            </w:r>
          </w:p>
        </w:tc>
        <w:tc>
          <w:tcPr>
            <w:tcW w:w="2268" w:type="dxa"/>
          </w:tcPr>
          <w:p w14:paraId="730DE670" w14:textId="77777777" w:rsidR="00CB006D" w:rsidRPr="00CB006D" w:rsidRDefault="00CB006D" w:rsidP="00CB006D">
            <w:pPr>
              <w:pStyle w:val="Default"/>
              <w:spacing w:line="276" w:lineRule="auto"/>
              <w:rPr>
                <w:sz w:val="20"/>
                <w:szCs w:val="20"/>
              </w:rPr>
            </w:pPr>
            <w:r w:rsidRPr="00CB006D">
              <w:rPr>
                <w:color w:val="252525"/>
                <w:sz w:val="20"/>
                <w:szCs w:val="20"/>
              </w:rPr>
              <w:t xml:space="preserve">Deliver </w:t>
            </w:r>
          </w:p>
        </w:tc>
        <w:tc>
          <w:tcPr>
            <w:tcW w:w="2268" w:type="dxa"/>
          </w:tcPr>
          <w:p w14:paraId="774E4966" w14:textId="77777777" w:rsidR="00CB006D" w:rsidRPr="00CB006D" w:rsidRDefault="00CB006D" w:rsidP="00CB006D">
            <w:pPr>
              <w:pStyle w:val="Default"/>
              <w:spacing w:line="276" w:lineRule="auto"/>
              <w:rPr>
                <w:color w:val="auto"/>
                <w:sz w:val="20"/>
                <w:szCs w:val="20"/>
              </w:rPr>
            </w:pPr>
            <w:r w:rsidRPr="00CB006D">
              <w:rPr>
                <w:color w:val="auto"/>
                <w:sz w:val="20"/>
                <w:szCs w:val="20"/>
              </w:rPr>
              <w:t xml:space="preserve">On track </w:t>
            </w:r>
          </w:p>
        </w:tc>
      </w:tr>
      <w:tr w:rsidR="00CB006D" w14:paraId="6DAFF27E" w14:textId="77777777" w:rsidTr="0052081B">
        <w:tc>
          <w:tcPr>
            <w:tcW w:w="9412" w:type="dxa"/>
          </w:tcPr>
          <w:p w14:paraId="17198585" w14:textId="77777777" w:rsidR="00CB006D" w:rsidRPr="00CB006D" w:rsidRDefault="00CB006D" w:rsidP="00CB006D">
            <w:pPr>
              <w:pStyle w:val="Default"/>
              <w:spacing w:line="276" w:lineRule="auto"/>
              <w:rPr>
                <w:color w:val="252525"/>
                <w:sz w:val="20"/>
                <w:szCs w:val="20"/>
              </w:rPr>
            </w:pPr>
            <w:r w:rsidRPr="00CB006D">
              <w:rPr>
                <w:color w:val="252525"/>
                <w:sz w:val="20"/>
                <w:szCs w:val="20"/>
              </w:rPr>
              <w:t xml:space="preserve">Engage and prepare residents and communities to enhance their resilience to hazards, disasters and the health impacts of climate change. </w:t>
            </w:r>
          </w:p>
        </w:tc>
        <w:tc>
          <w:tcPr>
            <w:tcW w:w="2268" w:type="dxa"/>
          </w:tcPr>
          <w:p w14:paraId="4923F351" w14:textId="77777777" w:rsidR="00CB006D" w:rsidRPr="00CB006D" w:rsidRDefault="00CB006D" w:rsidP="00CB006D">
            <w:pPr>
              <w:pStyle w:val="Default"/>
              <w:spacing w:line="276" w:lineRule="auto"/>
              <w:rPr>
                <w:sz w:val="20"/>
                <w:szCs w:val="20"/>
              </w:rPr>
            </w:pPr>
            <w:r w:rsidRPr="00CB006D">
              <w:rPr>
                <w:color w:val="252525"/>
                <w:sz w:val="20"/>
                <w:szCs w:val="20"/>
              </w:rPr>
              <w:t xml:space="preserve">Deliver </w:t>
            </w:r>
          </w:p>
        </w:tc>
        <w:tc>
          <w:tcPr>
            <w:tcW w:w="2268" w:type="dxa"/>
          </w:tcPr>
          <w:p w14:paraId="033A4684" w14:textId="77777777" w:rsidR="00CB006D" w:rsidRPr="00CB006D" w:rsidRDefault="00262A0F" w:rsidP="00CB006D">
            <w:pPr>
              <w:pStyle w:val="Default"/>
              <w:spacing w:line="276" w:lineRule="auto"/>
              <w:rPr>
                <w:color w:val="auto"/>
                <w:sz w:val="20"/>
                <w:szCs w:val="20"/>
              </w:rPr>
            </w:pPr>
            <w:r w:rsidRPr="00CB006D">
              <w:rPr>
                <w:color w:val="auto"/>
                <w:sz w:val="20"/>
                <w:szCs w:val="20"/>
              </w:rPr>
              <w:t>On track</w:t>
            </w:r>
            <w:r w:rsidR="00CB006D" w:rsidRPr="00CB006D">
              <w:rPr>
                <w:color w:val="auto"/>
                <w:sz w:val="20"/>
                <w:szCs w:val="20"/>
              </w:rPr>
              <w:t xml:space="preserve"> </w:t>
            </w:r>
          </w:p>
        </w:tc>
      </w:tr>
    </w:tbl>
    <w:p w14:paraId="11F6C2FD" w14:textId="77777777" w:rsidR="00CB006D" w:rsidRPr="00CF27A2" w:rsidRDefault="00CB006D" w:rsidP="00CB006D">
      <w:pPr>
        <w:pStyle w:val="Heading2"/>
      </w:pPr>
      <w:bookmarkStart w:id="36" w:name="_Toc193203114"/>
      <w:r>
        <w:t xml:space="preserve">How we’re measuring progress over four </w:t>
      </w:r>
      <w:proofErr w:type="gramStart"/>
      <w:r>
        <w:t>years</w:t>
      </w:r>
      <w:bookmarkEnd w:id="36"/>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9412"/>
        <w:gridCol w:w="4537"/>
      </w:tblGrid>
      <w:tr w:rsidR="00CB006D" w14:paraId="0913EB97" w14:textId="77777777" w:rsidTr="0052081B">
        <w:trPr>
          <w:tblHeader/>
        </w:trPr>
        <w:tc>
          <w:tcPr>
            <w:tcW w:w="9412" w:type="dxa"/>
            <w:shd w:val="clear" w:color="auto" w:fill="auto"/>
          </w:tcPr>
          <w:p w14:paraId="42A32E04" w14:textId="77777777" w:rsidR="00CB006D" w:rsidRPr="00784FF6" w:rsidRDefault="00CB006D" w:rsidP="0052081B">
            <w:pPr>
              <w:pStyle w:val="TableofFigures"/>
              <w:rPr>
                <w:b/>
              </w:rPr>
            </w:pPr>
            <w:r>
              <w:rPr>
                <w:b/>
              </w:rPr>
              <w:t>Indicator</w:t>
            </w:r>
          </w:p>
        </w:tc>
        <w:tc>
          <w:tcPr>
            <w:tcW w:w="4537" w:type="dxa"/>
            <w:shd w:val="clear" w:color="auto" w:fill="auto"/>
          </w:tcPr>
          <w:p w14:paraId="09291B95" w14:textId="77777777" w:rsidR="00CB006D" w:rsidRPr="00784FF6" w:rsidRDefault="00CB006D" w:rsidP="0052081B">
            <w:pPr>
              <w:pStyle w:val="TableofFigures"/>
              <w:rPr>
                <w:b/>
              </w:rPr>
            </w:pPr>
            <w:r>
              <w:rPr>
                <w:b/>
              </w:rPr>
              <w:t>Target outcome</w:t>
            </w:r>
          </w:p>
        </w:tc>
      </w:tr>
      <w:tr w:rsidR="00CB006D" w14:paraId="6DAA6F8F" w14:textId="77777777" w:rsidTr="0052081B">
        <w:tc>
          <w:tcPr>
            <w:tcW w:w="9412" w:type="dxa"/>
          </w:tcPr>
          <w:p w14:paraId="5C41A5C5" w14:textId="77777777" w:rsidR="00CB006D" w:rsidRPr="00CB006D" w:rsidRDefault="00CB006D" w:rsidP="00CB006D">
            <w:pPr>
              <w:pStyle w:val="Default"/>
              <w:spacing w:line="276" w:lineRule="auto"/>
              <w:rPr>
                <w:sz w:val="20"/>
                <w:szCs w:val="18"/>
              </w:rPr>
            </w:pPr>
            <w:r w:rsidRPr="00CB006D">
              <w:rPr>
                <w:sz w:val="20"/>
                <w:szCs w:val="18"/>
              </w:rPr>
              <w:t xml:space="preserve">Proportion of people who report feeling safe in the city. </w:t>
            </w:r>
          </w:p>
        </w:tc>
        <w:tc>
          <w:tcPr>
            <w:tcW w:w="4537" w:type="dxa"/>
          </w:tcPr>
          <w:p w14:paraId="5D814CF5" w14:textId="77777777" w:rsidR="00CB006D" w:rsidRPr="00CB006D" w:rsidRDefault="00CB006D" w:rsidP="00CB006D">
            <w:pPr>
              <w:pStyle w:val="Default"/>
              <w:spacing w:line="276" w:lineRule="auto"/>
              <w:rPr>
                <w:sz w:val="20"/>
                <w:szCs w:val="18"/>
              </w:rPr>
            </w:pPr>
            <w:r w:rsidRPr="00CB006D">
              <w:rPr>
                <w:sz w:val="20"/>
                <w:szCs w:val="18"/>
              </w:rPr>
              <w:t xml:space="preserve">90% by day, </w:t>
            </w:r>
          </w:p>
          <w:p w14:paraId="44723D67" w14:textId="77777777" w:rsidR="00CB006D" w:rsidRPr="00CB006D" w:rsidRDefault="00CB006D" w:rsidP="00CB006D">
            <w:pPr>
              <w:pStyle w:val="Default"/>
              <w:spacing w:line="276" w:lineRule="auto"/>
              <w:rPr>
                <w:sz w:val="20"/>
                <w:szCs w:val="18"/>
              </w:rPr>
            </w:pPr>
            <w:r w:rsidRPr="00CB006D">
              <w:rPr>
                <w:sz w:val="20"/>
                <w:szCs w:val="18"/>
              </w:rPr>
              <w:t xml:space="preserve">65% by night </w:t>
            </w:r>
          </w:p>
        </w:tc>
      </w:tr>
      <w:tr w:rsidR="00CB006D" w14:paraId="71757F54" w14:textId="77777777" w:rsidTr="0052081B">
        <w:tc>
          <w:tcPr>
            <w:tcW w:w="9412" w:type="dxa"/>
          </w:tcPr>
          <w:p w14:paraId="3E86A44E" w14:textId="77777777" w:rsidR="00CB006D" w:rsidRPr="00CB006D" w:rsidRDefault="00CB006D" w:rsidP="00CB006D">
            <w:pPr>
              <w:pStyle w:val="Default"/>
              <w:spacing w:line="276" w:lineRule="auto"/>
              <w:rPr>
                <w:sz w:val="20"/>
                <w:szCs w:val="18"/>
              </w:rPr>
            </w:pPr>
            <w:r w:rsidRPr="00CB006D">
              <w:rPr>
                <w:sz w:val="20"/>
                <w:szCs w:val="18"/>
              </w:rPr>
              <w:t xml:space="preserve">Melburnians’ self-reported sense of belonging to community. </w:t>
            </w:r>
          </w:p>
        </w:tc>
        <w:tc>
          <w:tcPr>
            <w:tcW w:w="4537" w:type="dxa"/>
          </w:tcPr>
          <w:p w14:paraId="4E5A18C8" w14:textId="77777777" w:rsidR="00CB006D" w:rsidRPr="00CB006D" w:rsidRDefault="00CB006D" w:rsidP="00CB006D">
            <w:pPr>
              <w:pStyle w:val="Default"/>
              <w:spacing w:line="276" w:lineRule="auto"/>
              <w:rPr>
                <w:sz w:val="20"/>
                <w:szCs w:val="18"/>
              </w:rPr>
            </w:pPr>
            <w:r w:rsidRPr="00CB006D">
              <w:rPr>
                <w:sz w:val="20"/>
                <w:szCs w:val="18"/>
              </w:rPr>
              <w:t xml:space="preserve">At least 70 /100 </w:t>
            </w:r>
          </w:p>
        </w:tc>
      </w:tr>
      <w:tr w:rsidR="00CB006D" w14:paraId="10F159BE" w14:textId="77777777" w:rsidTr="0052081B">
        <w:tc>
          <w:tcPr>
            <w:tcW w:w="9412" w:type="dxa"/>
          </w:tcPr>
          <w:p w14:paraId="43A2AF14" w14:textId="77777777" w:rsidR="00CB006D" w:rsidRPr="00CB006D" w:rsidRDefault="00CB006D" w:rsidP="00CB006D">
            <w:pPr>
              <w:pStyle w:val="Default"/>
              <w:spacing w:line="276" w:lineRule="auto"/>
              <w:rPr>
                <w:sz w:val="20"/>
                <w:szCs w:val="18"/>
              </w:rPr>
            </w:pPr>
            <w:r w:rsidRPr="00CB006D">
              <w:rPr>
                <w:sz w:val="20"/>
                <w:szCs w:val="18"/>
              </w:rPr>
              <w:t xml:space="preserve">Rate of recorded family violence incidents. </w:t>
            </w:r>
          </w:p>
        </w:tc>
        <w:tc>
          <w:tcPr>
            <w:tcW w:w="4537" w:type="dxa"/>
          </w:tcPr>
          <w:p w14:paraId="53236BF4" w14:textId="77777777" w:rsidR="00CB006D" w:rsidRPr="00CB006D" w:rsidRDefault="00CB006D" w:rsidP="00CB006D">
            <w:pPr>
              <w:pStyle w:val="Default"/>
              <w:spacing w:line="276" w:lineRule="auto"/>
              <w:rPr>
                <w:sz w:val="20"/>
                <w:szCs w:val="18"/>
              </w:rPr>
            </w:pPr>
            <w:r w:rsidRPr="00CB006D">
              <w:rPr>
                <w:sz w:val="20"/>
                <w:szCs w:val="18"/>
              </w:rPr>
              <w:t xml:space="preserve">Decrease </w:t>
            </w:r>
          </w:p>
        </w:tc>
      </w:tr>
      <w:tr w:rsidR="00CB006D" w14:paraId="4C5CBF01" w14:textId="77777777" w:rsidTr="0052081B">
        <w:tc>
          <w:tcPr>
            <w:tcW w:w="9412" w:type="dxa"/>
          </w:tcPr>
          <w:p w14:paraId="160C894B" w14:textId="77777777" w:rsidR="00CB006D" w:rsidRPr="00CB006D" w:rsidRDefault="00CB006D" w:rsidP="00CB006D">
            <w:pPr>
              <w:pStyle w:val="Default"/>
              <w:spacing w:line="276" w:lineRule="auto"/>
              <w:rPr>
                <w:sz w:val="20"/>
                <w:szCs w:val="18"/>
              </w:rPr>
            </w:pPr>
            <w:r w:rsidRPr="00CB006D">
              <w:rPr>
                <w:sz w:val="20"/>
                <w:szCs w:val="18"/>
              </w:rPr>
              <w:t xml:space="preserve">Complaints of discrimination based on sexual orientation, sexuality, disability, sex, gender, race, religious or political beliefs or other grounds for unlawful discrimination. </w:t>
            </w:r>
          </w:p>
        </w:tc>
        <w:tc>
          <w:tcPr>
            <w:tcW w:w="4537" w:type="dxa"/>
          </w:tcPr>
          <w:p w14:paraId="79FBCFB8" w14:textId="77777777" w:rsidR="00CB006D" w:rsidRPr="00CB006D" w:rsidRDefault="00CB006D" w:rsidP="00CB006D">
            <w:pPr>
              <w:pStyle w:val="Default"/>
              <w:spacing w:line="276" w:lineRule="auto"/>
              <w:rPr>
                <w:sz w:val="20"/>
                <w:szCs w:val="18"/>
              </w:rPr>
            </w:pPr>
            <w:r w:rsidRPr="00CB006D">
              <w:rPr>
                <w:sz w:val="20"/>
                <w:szCs w:val="18"/>
              </w:rPr>
              <w:t xml:space="preserve">Decrease </w:t>
            </w:r>
          </w:p>
        </w:tc>
      </w:tr>
      <w:tr w:rsidR="00CB006D" w14:paraId="52DB70AA" w14:textId="77777777" w:rsidTr="0052081B">
        <w:tc>
          <w:tcPr>
            <w:tcW w:w="9412" w:type="dxa"/>
          </w:tcPr>
          <w:p w14:paraId="1D185844" w14:textId="77777777" w:rsidR="00CB006D" w:rsidRPr="00CB006D" w:rsidRDefault="00CB006D" w:rsidP="00CB006D">
            <w:pPr>
              <w:pStyle w:val="Default"/>
              <w:spacing w:line="276" w:lineRule="auto"/>
              <w:rPr>
                <w:sz w:val="20"/>
                <w:szCs w:val="18"/>
              </w:rPr>
            </w:pPr>
            <w:r w:rsidRPr="00CB006D">
              <w:rPr>
                <w:sz w:val="20"/>
                <w:szCs w:val="18"/>
              </w:rPr>
              <w:t xml:space="preserve">Proportion of adults who get adequate physical exercise. </w:t>
            </w:r>
          </w:p>
        </w:tc>
        <w:tc>
          <w:tcPr>
            <w:tcW w:w="4537" w:type="dxa"/>
          </w:tcPr>
          <w:p w14:paraId="49FEE672" w14:textId="77777777" w:rsidR="00CB006D" w:rsidRPr="00CB006D" w:rsidRDefault="00CB006D" w:rsidP="00CB006D">
            <w:pPr>
              <w:pStyle w:val="Default"/>
              <w:spacing w:line="276" w:lineRule="auto"/>
              <w:rPr>
                <w:sz w:val="20"/>
                <w:szCs w:val="18"/>
              </w:rPr>
            </w:pPr>
            <w:r w:rsidRPr="00CB006D">
              <w:rPr>
                <w:sz w:val="20"/>
                <w:szCs w:val="18"/>
              </w:rPr>
              <w:t xml:space="preserve">Increase </w:t>
            </w:r>
          </w:p>
        </w:tc>
      </w:tr>
      <w:tr w:rsidR="00CB006D" w14:paraId="0CCFD3CF" w14:textId="77777777" w:rsidTr="0052081B">
        <w:tc>
          <w:tcPr>
            <w:tcW w:w="9412" w:type="dxa"/>
          </w:tcPr>
          <w:p w14:paraId="477E0E03" w14:textId="77777777" w:rsidR="00CB006D" w:rsidRPr="00CB006D" w:rsidRDefault="00CB006D" w:rsidP="00CB006D">
            <w:pPr>
              <w:pStyle w:val="Default"/>
              <w:spacing w:line="276" w:lineRule="auto"/>
              <w:rPr>
                <w:sz w:val="20"/>
                <w:szCs w:val="18"/>
              </w:rPr>
            </w:pPr>
            <w:r w:rsidRPr="00CB006D">
              <w:rPr>
                <w:sz w:val="20"/>
                <w:szCs w:val="18"/>
              </w:rPr>
              <w:t xml:space="preserve">Rate of ambulance attendance for alcohol and drug misuse in the municipality. </w:t>
            </w:r>
          </w:p>
        </w:tc>
        <w:tc>
          <w:tcPr>
            <w:tcW w:w="4537" w:type="dxa"/>
          </w:tcPr>
          <w:p w14:paraId="49EC6447" w14:textId="77777777" w:rsidR="00CB006D" w:rsidRPr="00CB006D" w:rsidRDefault="00CB006D" w:rsidP="00CB006D">
            <w:pPr>
              <w:pStyle w:val="Default"/>
              <w:spacing w:line="276" w:lineRule="auto"/>
              <w:rPr>
                <w:sz w:val="20"/>
                <w:szCs w:val="18"/>
              </w:rPr>
            </w:pPr>
            <w:r w:rsidRPr="00CB006D">
              <w:rPr>
                <w:sz w:val="20"/>
                <w:szCs w:val="18"/>
              </w:rPr>
              <w:t xml:space="preserve">Decrease </w:t>
            </w:r>
          </w:p>
        </w:tc>
      </w:tr>
      <w:tr w:rsidR="00CB006D" w14:paraId="322DF9A5" w14:textId="77777777" w:rsidTr="0052081B">
        <w:tc>
          <w:tcPr>
            <w:tcW w:w="9412" w:type="dxa"/>
          </w:tcPr>
          <w:p w14:paraId="1BFD61C7" w14:textId="77777777" w:rsidR="00CB006D" w:rsidRPr="00CB006D" w:rsidRDefault="00CB006D" w:rsidP="00CB006D">
            <w:pPr>
              <w:pStyle w:val="Default"/>
              <w:spacing w:line="276" w:lineRule="auto"/>
              <w:rPr>
                <w:sz w:val="20"/>
                <w:szCs w:val="18"/>
              </w:rPr>
            </w:pPr>
            <w:r w:rsidRPr="00CB006D">
              <w:rPr>
                <w:sz w:val="20"/>
                <w:szCs w:val="18"/>
              </w:rPr>
              <w:t xml:space="preserve">Number of transport related injuries and fatalities. </w:t>
            </w:r>
          </w:p>
        </w:tc>
        <w:tc>
          <w:tcPr>
            <w:tcW w:w="4537" w:type="dxa"/>
          </w:tcPr>
          <w:p w14:paraId="629CBDE6" w14:textId="77777777" w:rsidR="00CB006D" w:rsidRPr="00CB006D" w:rsidRDefault="00CB006D" w:rsidP="00CB006D">
            <w:pPr>
              <w:pStyle w:val="Default"/>
              <w:spacing w:line="276" w:lineRule="auto"/>
              <w:rPr>
                <w:sz w:val="20"/>
                <w:szCs w:val="18"/>
              </w:rPr>
            </w:pPr>
            <w:r w:rsidRPr="00CB006D">
              <w:rPr>
                <w:sz w:val="20"/>
                <w:szCs w:val="18"/>
              </w:rPr>
              <w:t xml:space="preserve">Decrease </w:t>
            </w:r>
          </w:p>
        </w:tc>
      </w:tr>
      <w:tr w:rsidR="00CB006D" w14:paraId="38F5E58C" w14:textId="77777777" w:rsidTr="0052081B">
        <w:tc>
          <w:tcPr>
            <w:tcW w:w="9412" w:type="dxa"/>
          </w:tcPr>
          <w:p w14:paraId="28CF07A9" w14:textId="77777777" w:rsidR="00CB006D" w:rsidRPr="00CB006D" w:rsidRDefault="00CB006D" w:rsidP="00CB006D">
            <w:pPr>
              <w:pStyle w:val="Default"/>
              <w:spacing w:line="276" w:lineRule="auto"/>
              <w:rPr>
                <w:sz w:val="20"/>
                <w:szCs w:val="18"/>
              </w:rPr>
            </w:pPr>
            <w:r w:rsidRPr="00CB006D">
              <w:rPr>
                <w:sz w:val="20"/>
                <w:szCs w:val="18"/>
              </w:rPr>
              <w:t xml:space="preserve">Proportion of trips made by public transport, bicycle or on foot. </w:t>
            </w:r>
          </w:p>
        </w:tc>
        <w:tc>
          <w:tcPr>
            <w:tcW w:w="4537" w:type="dxa"/>
          </w:tcPr>
          <w:p w14:paraId="29659445" w14:textId="77777777" w:rsidR="00CB006D" w:rsidRPr="00CB006D" w:rsidRDefault="00CB006D" w:rsidP="00CB006D">
            <w:pPr>
              <w:pStyle w:val="Default"/>
              <w:spacing w:line="276" w:lineRule="auto"/>
              <w:rPr>
                <w:sz w:val="20"/>
                <w:szCs w:val="18"/>
              </w:rPr>
            </w:pPr>
            <w:r w:rsidRPr="00CB006D">
              <w:rPr>
                <w:sz w:val="20"/>
                <w:szCs w:val="18"/>
              </w:rPr>
              <w:t xml:space="preserve">Increase </w:t>
            </w:r>
          </w:p>
        </w:tc>
      </w:tr>
    </w:tbl>
    <w:p w14:paraId="4C73F477" w14:textId="77777777" w:rsidR="00784FF6" w:rsidRDefault="00784FF6" w:rsidP="00784FF6">
      <w:pPr>
        <w:rPr>
          <w:lang w:val="en-US"/>
        </w:rPr>
      </w:pPr>
    </w:p>
    <w:p w14:paraId="17765372" w14:textId="77777777" w:rsidR="005735E1" w:rsidRPr="00784FF6" w:rsidRDefault="005735E1" w:rsidP="00784FF6">
      <w:pPr>
        <w:rPr>
          <w:lang w:val="en-US"/>
        </w:rPr>
      </w:pPr>
    </w:p>
    <w:sectPr w:rsidR="005735E1" w:rsidRPr="00784FF6" w:rsidSect="007F02C9">
      <w:endnotePr>
        <w:numFmt w:val="decimal"/>
      </w:endnotePr>
      <w:pgSz w:w="16840" w:h="11900" w:orient="landscape"/>
      <w:pgMar w:top="1134" w:right="1418" w:bottom="98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46F7B" w14:textId="77777777" w:rsidR="00EC05B9" w:rsidRDefault="00EC05B9" w:rsidP="00BC719D">
      <w:pPr>
        <w:spacing w:after="0"/>
      </w:pPr>
      <w:r>
        <w:separator/>
      </w:r>
    </w:p>
  </w:endnote>
  <w:endnote w:type="continuationSeparator" w:id="0">
    <w:p w14:paraId="4A080CCE" w14:textId="77777777" w:rsidR="00EC05B9" w:rsidRDefault="00EC05B9" w:rsidP="00EA2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E933E" w14:textId="77777777" w:rsidR="00EC05B9" w:rsidRDefault="00EC05B9" w:rsidP="00577A39">
      <w:pPr>
        <w:spacing w:after="40" w:line="240" w:lineRule="auto"/>
      </w:pPr>
      <w:r>
        <w:separator/>
      </w:r>
    </w:p>
  </w:footnote>
  <w:footnote w:type="continuationSeparator" w:id="0">
    <w:p w14:paraId="01A185C8" w14:textId="77777777" w:rsidR="00EC05B9" w:rsidRDefault="00EC05B9" w:rsidP="00EA2130">
      <w:r>
        <w:continuationSeparator/>
      </w:r>
    </w:p>
  </w:footnote>
  <w:footnote w:id="1">
    <w:p w14:paraId="0DB71725" w14:textId="77777777" w:rsidR="00CF27A2" w:rsidRDefault="00CF27A2">
      <w:pPr>
        <w:pStyle w:val="FootnoteText"/>
      </w:pPr>
      <w:r>
        <w:rPr>
          <w:rStyle w:val="FootnoteReference"/>
        </w:rPr>
        <w:footnoteRef/>
      </w:r>
      <w:r>
        <w:t xml:space="preserve"> </w:t>
      </w:r>
      <w:r w:rsidRPr="00784FF6">
        <w:t>https://</w:t>
      </w:r>
      <w:r>
        <w:t>www</w:t>
      </w:r>
      <w:r w:rsidRPr="00784FF6">
        <w:t>.melbourne.vic.gov.au/business/Pages/business-concierge-service.aspx</w:t>
      </w:r>
    </w:p>
  </w:footnote>
  <w:footnote w:id="2">
    <w:p w14:paraId="43FFA382" w14:textId="77777777" w:rsidR="00CF27A2" w:rsidRDefault="00CF27A2">
      <w:pPr>
        <w:pStyle w:val="FootnoteText"/>
      </w:pPr>
      <w:r>
        <w:rPr>
          <w:rStyle w:val="FootnoteReference"/>
        </w:rPr>
        <w:footnoteRef/>
      </w:r>
      <w:r>
        <w:t xml:space="preserve"> </w:t>
      </w:r>
      <w:r w:rsidRPr="00784FF6">
        <w:t>https://www.melbourne.vic.gov.au/about-council/vision-goals/Pages/economic-development-strategy-2031.aspx</w:t>
      </w:r>
    </w:p>
  </w:footnote>
  <w:footnote w:id="3">
    <w:p w14:paraId="41308D7D" w14:textId="77777777" w:rsidR="00CF27A2" w:rsidRDefault="00CF27A2">
      <w:pPr>
        <w:pStyle w:val="FootnoteText"/>
      </w:pPr>
      <w:r>
        <w:rPr>
          <w:rStyle w:val="FootnoteReference"/>
        </w:rPr>
        <w:footnoteRef/>
      </w:r>
      <w:r>
        <w:t xml:space="preserve"> </w:t>
      </w:r>
      <w:r w:rsidRPr="00784FF6">
        <w:t>https://www.melbourne.vic.gov.au/arts-and-culture/strategies-support/funding/Pages/event-partnership-program.aspx</w:t>
      </w:r>
    </w:p>
  </w:footnote>
  <w:footnote w:id="4">
    <w:p w14:paraId="7EB0D763" w14:textId="77777777" w:rsidR="00CF27A2" w:rsidRDefault="00CF27A2">
      <w:pPr>
        <w:pStyle w:val="FootnoteText"/>
      </w:pPr>
      <w:r>
        <w:rPr>
          <w:rStyle w:val="FootnoteReference"/>
        </w:rPr>
        <w:footnoteRef/>
      </w:r>
      <w:r>
        <w:t xml:space="preserve"> </w:t>
      </w:r>
      <w:r w:rsidRPr="00784FF6">
        <w:t>https://www.melbourne.vic.gov.au/about-council/vision-goals/Pages/united-nations-sustainable-development-goals.aspx</w:t>
      </w:r>
    </w:p>
  </w:footnote>
  <w:footnote w:id="5">
    <w:p w14:paraId="6143EF24" w14:textId="77777777" w:rsidR="007F02C9" w:rsidRDefault="007F02C9">
      <w:pPr>
        <w:pStyle w:val="FootnoteText"/>
      </w:pPr>
      <w:r>
        <w:rPr>
          <w:rStyle w:val="FootnoteReference"/>
        </w:rPr>
        <w:footnoteRef/>
      </w:r>
      <w:r>
        <w:t xml:space="preserve"> </w:t>
      </w:r>
      <w:r w:rsidRPr="00B30455">
        <w:t>https://participate.melbourne.vic.gov.au/greenline/implementation-plan-overview</w:t>
      </w:r>
    </w:p>
  </w:footnote>
  <w:footnote w:id="6">
    <w:p w14:paraId="063A33CA" w14:textId="77777777" w:rsidR="00B272F4" w:rsidRDefault="00B272F4" w:rsidP="00B272F4">
      <w:pPr>
        <w:pStyle w:val="FootnoteText"/>
      </w:pPr>
      <w:r>
        <w:rPr>
          <w:rStyle w:val="FootnoteReference"/>
        </w:rPr>
        <w:footnoteRef/>
      </w:r>
      <w:r>
        <w:t xml:space="preserve"> </w:t>
      </w:r>
      <w:r w:rsidRPr="00B30455">
        <w:t>https://www.melbourne.vic.gov.au/qvmrenewal</w:t>
      </w:r>
    </w:p>
  </w:footnote>
  <w:footnote w:id="7">
    <w:p w14:paraId="01E17B97" w14:textId="77777777" w:rsidR="004E1C37" w:rsidRDefault="004E1C37" w:rsidP="004E1C37">
      <w:pPr>
        <w:pStyle w:val="FootnoteText"/>
      </w:pPr>
      <w:r>
        <w:rPr>
          <w:rStyle w:val="FootnoteReference"/>
        </w:rPr>
        <w:footnoteRef/>
      </w:r>
      <w:r>
        <w:t xml:space="preserve"> </w:t>
      </w:r>
      <w:r w:rsidRPr="00B30455">
        <w:t>https://participate.melbourne.vic.gov.au/arden/plan</w:t>
      </w:r>
    </w:p>
  </w:footnote>
  <w:footnote w:id="8">
    <w:p w14:paraId="424F13F7" w14:textId="77777777" w:rsidR="004E1C37" w:rsidRDefault="004E1C37" w:rsidP="004E1C37">
      <w:pPr>
        <w:pStyle w:val="FootnoteText"/>
      </w:pPr>
      <w:r>
        <w:rPr>
          <w:rStyle w:val="FootnoteReference"/>
        </w:rPr>
        <w:footnoteRef/>
      </w:r>
      <w:r>
        <w:t xml:space="preserve"> </w:t>
      </w:r>
      <w:r w:rsidRPr="00B30455">
        <w:t>https://participate.melbourne.vic.gov.au/macaulay-refresh</w:t>
      </w:r>
    </w:p>
  </w:footnote>
  <w:footnote w:id="9">
    <w:p w14:paraId="6EBDC8D7" w14:textId="77777777" w:rsidR="004E1C37" w:rsidRDefault="004E1C37" w:rsidP="004E1C37">
      <w:pPr>
        <w:pStyle w:val="FootnoteText"/>
      </w:pPr>
      <w:r>
        <w:rPr>
          <w:rStyle w:val="FootnoteReference"/>
        </w:rPr>
        <w:footnoteRef/>
      </w:r>
      <w:r>
        <w:t xml:space="preserve"> </w:t>
      </w:r>
      <w:r w:rsidRPr="00B30455">
        <w:t>https://www.fishermansbend</w:t>
      </w:r>
      <w:r>
        <w:t>.vic.gov.au</w:t>
      </w:r>
    </w:p>
  </w:footnote>
  <w:footnote w:id="10">
    <w:p w14:paraId="01CED659" w14:textId="77777777" w:rsidR="009E6BAD" w:rsidRDefault="009E6BAD">
      <w:pPr>
        <w:pStyle w:val="FootnoteText"/>
      </w:pPr>
      <w:r>
        <w:rPr>
          <w:rStyle w:val="FootnoteReference"/>
        </w:rPr>
        <w:footnoteRef/>
      </w:r>
      <w:r>
        <w:t xml:space="preserve"> </w:t>
      </w:r>
      <w:r w:rsidRPr="0038645E">
        <w:t>https://participate.melbourne.vic.gov.au/city-river-strategy</w:t>
      </w:r>
    </w:p>
  </w:footnote>
  <w:footnote w:id="11">
    <w:p w14:paraId="7701B9B8" w14:textId="77777777" w:rsidR="009E6BAD" w:rsidRDefault="009E6BAD">
      <w:pPr>
        <w:pStyle w:val="FootnoteText"/>
      </w:pPr>
      <w:r>
        <w:rPr>
          <w:rStyle w:val="FootnoteReference"/>
        </w:rPr>
        <w:footnoteRef/>
      </w:r>
      <w:r>
        <w:t xml:space="preserve"> </w:t>
      </w:r>
      <w:r w:rsidRPr="0038645E">
        <w:t>https://participate.melbourne.vic.gov.au/design-excellence-program</w:t>
      </w:r>
    </w:p>
  </w:footnote>
  <w:footnote w:id="12">
    <w:p w14:paraId="183EBA30" w14:textId="77777777" w:rsidR="004E1C37" w:rsidRDefault="004E1C37" w:rsidP="004E1C37">
      <w:pPr>
        <w:pStyle w:val="FootnoteText"/>
      </w:pPr>
      <w:r>
        <w:rPr>
          <w:rStyle w:val="FootnoteReference"/>
        </w:rPr>
        <w:footnoteRef/>
      </w:r>
      <w:r>
        <w:t xml:space="preserve"> </w:t>
      </w:r>
      <w:r w:rsidRPr="001F471F">
        <w:t>https://www.melbourne.vic.gov.au/community/greening-the-city/urban-forest/pages/urban-forest-strategy.aspx</w:t>
      </w:r>
    </w:p>
  </w:footnote>
  <w:footnote w:id="13">
    <w:p w14:paraId="39799509" w14:textId="77777777" w:rsidR="004E1C37" w:rsidRDefault="004E1C37" w:rsidP="004E1C37">
      <w:pPr>
        <w:pStyle w:val="FootnoteText"/>
      </w:pPr>
      <w:r>
        <w:rPr>
          <w:rStyle w:val="FootnoteReference"/>
        </w:rPr>
        <w:footnoteRef/>
      </w:r>
      <w:r>
        <w:t xml:space="preserve"> </w:t>
      </w:r>
      <w:r w:rsidRPr="001F471F">
        <w:t>https://www.melbourne.vic.gov.au/about-council/vision-goals/eco-city/climate-change/Pages/taking-action-climate-change.aspx?k=climate+and+biodiversity+emergency&amp;type=web</w:t>
      </w:r>
    </w:p>
  </w:footnote>
  <w:footnote w:id="14">
    <w:p w14:paraId="08574CB2" w14:textId="77777777" w:rsidR="006E5EC2" w:rsidRDefault="006E5EC2">
      <w:pPr>
        <w:pStyle w:val="FootnoteText"/>
      </w:pPr>
      <w:r>
        <w:rPr>
          <w:rStyle w:val="FootnoteReference"/>
        </w:rPr>
        <w:footnoteRef/>
      </w:r>
      <w:r>
        <w:t xml:space="preserve"> </w:t>
      </w:r>
      <w:r w:rsidRPr="00A95083">
        <w:t>https://participate.melbourne.vic.gov.au/disability-access-plan</w:t>
      </w:r>
    </w:p>
  </w:footnote>
  <w:footnote w:id="15">
    <w:p w14:paraId="1825F4A6" w14:textId="77777777" w:rsidR="00CB006D" w:rsidRDefault="00CB006D">
      <w:pPr>
        <w:pStyle w:val="FootnoteText"/>
      </w:pPr>
      <w:r>
        <w:rPr>
          <w:rStyle w:val="FootnoteReference"/>
        </w:rPr>
        <w:footnoteRef/>
      </w:r>
      <w:r>
        <w:t xml:space="preserve"> </w:t>
      </w:r>
      <w:r w:rsidRPr="00CB006D">
        <w:t>https://www.melbourne.vic.gov.au/parking-and-transport/transport-planning-projects/Pages/transport-strategy.aspx</w:t>
      </w:r>
    </w:p>
  </w:footnote>
  <w:footnote w:id="16">
    <w:p w14:paraId="03274FB0" w14:textId="77777777" w:rsidR="00CB006D" w:rsidRDefault="00CB006D">
      <w:pPr>
        <w:pStyle w:val="FootnoteText"/>
      </w:pPr>
      <w:r>
        <w:rPr>
          <w:rStyle w:val="FootnoteReference"/>
        </w:rPr>
        <w:footnoteRef/>
      </w:r>
      <w:r>
        <w:t xml:space="preserve"> </w:t>
      </w:r>
      <w:r w:rsidRPr="00CB006D">
        <w:t>https://participate.melbourne.vic.gov.au/inclusive-melbourne-strategy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D7047D6"/>
    <w:lvl w:ilvl="0">
      <w:start w:val="1"/>
      <w:numFmt w:val="decimal"/>
      <w:lvlText w:val="%1."/>
      <w:lvlJc w:val="left"/>
      <w:pPr>
        <w:tabs>
          <w:tab w:val="num" w:pos="1492"/>
        </w:tabs>
        <w:ind w:left="1492" w:hanging="360"/>
      </w:pPr>
    </w:lvl>
  </w:abstractNum>
  <w:abstractNum w:abstractNumId="1" w15:restartNumberingAfterBreak="0">
    <w:nsid w:val="FFFFFF7E"/>
    <w:multiLevelType w:val="singleLevel"/>
    <w:tmpl w:val="E16EBECC"/>
    <w:lvl w:ilvl="0">
      <w:start w:val="1"/>
      <w:numFmt w:val="decimal"/>
      <w:lvlText w:val="%1."/>
      <w:lvlJc w:val="left"/>
      <w:pPr>
        <w:tabs>
          <w:tab w:val="num" w:pos="926"/>
        </w:tabs>
        <w:ind w:left="926" w:hanging="360"/>
      </w:pPr>
    </w:lvl>
  </w:abstractNum>
  <w:abstractNum w:abstractNumId="2" w15:restartNumberingAfterBreak="0">
    <w:nsid w:val="02B036AB"/>
    <w:multiLevelType w:val="hybridMultilevel"/>
    <w:tmpl w:val="6C96502C"/>
    <w:lvl w:ilvl="0" w:tplc="8EE8C2C4">
      <w:start w:val="1"/>
      <w:numFmt w:val="bullet"/>
      <w:pStyle w:val="ListParagraph"/>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8572BBB"/>
    <w:multiLevelType w:val="hybridMultilevel"/>
    <w:tmpl w:val="DD78CE72"/>
    <w:lvl w:ilvl="0" w:tplc="6F30F28C">
      <w:numFmt w:val="bullet"/>
      <w:lvlText w:val="•"/>
      <w:lvlJc w:val="left"/>
      <w:pPr>
        <w:ind w:left="1080" w:hanging="72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5D51CC"/>
    <w:multiLevelType w:val="multilevel"/>
    <w:tmpl w:val="41269988"/>
    <w:styleLink w:val="ListBullets"/>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tabs>
          <w:tab w:val="num" w:pos="717"/>
        </w:tabs>
        <w:ind w:left="714" w:hanging="357"/>
      </w:pPr>
      <w:rPr>
        <w:rFonts w:ascii="Courier New" w:hAnsi="Courier New" w:hint="default"/>
      </w:rPr>
    </w:lvl>
    <w:lvl w:ilvl="2">
      <w:start w:val="1"/>
      <w:numFmt w:val="bullet"/>
      <w:pStyle w:val="ListBullet3"/>
      <w:lvlText w:val=""/>
      <w:lvlJc w:val="left"/>
      <w:pPr>
        <w:tabs>
          <w:tab w:val="num" w:pos="1074"/>
        </w:tabs>
        <w:ind w:left="1071" w:hanging="357"/>
      </w:pPr>
      <w:rPr>
        <w:rFonts w:ascii="Symbol" w:hAnsi="Symbol" w:hint="default"/>
      </w:rPr>
    </w:lvl>
    <w:lvl w:ilvl="3">
      <w:start w:val="1"/>
      <w:numFmt w:val="bullet"/>
      <w:pStyle w:val="ListBullet4"/>
      <w:lvlText w:val="o"/>
      <w:lvlJc w:val="left"/>
      <w:pPr>
        <w:tabs>
          <w:tab w:val="num" w:pos="1431"/>
        </w:tabs>
        <w:ind w:left="1428" w:hanging="357"/>
      </w:pPr>
      <w:rPr>
        <w:rFonts w:ascii="Courier New" w:hAnsi="Courier New" w:hint="default"/>
      </w:rPr>
    </w:lvl>
    <w:lvl w:ilvl="4">
      <w:start w:val="1"/>
      <w:numFmt w:val="bullet"/>
      <w:pStyle w:val="ListBullet5"/>
      <w:lvlText w:val=""/>
      <w:lvlJc w:val="left"/>
      <w:pPr>
        <w:tabs>
          <w:tab w:val="num" w:pos="1788"/>
        </w:tabs>
        <w:ind w:left="1785" w:hanging="357"/>
      </w:pPr>
      <w:rPr>
        <w:rFonts w:ascii="Symbol" w:hAnsi="Symbol" w:hint="default"/>
      </w:rPr>
    </w:lvl>
    <w:lvl w:ilvl="5">
      <w:start w:val="1"/>
      <w:numFmt w:val="none"/>
      <w:lvlText w:val=""/>
      <w:lvlJc w:val="left"/>
      <w:pPr>
        <w:tabs>
          <w:tab w:val="num" w:pos="2145"/>
        </w:tabs>
        <w:ind w:left="2142" w:hanging="357"/>
      </w:pPr>
      <w:rPr>
        <w:rFonts w:hint="default"/>
      </w:rPr>
    </w:lvl>
    <w:lvl w:ilvl="6">
      <w:start w:val="1"/>
      <w:numFmt w:val="none"/>
      <w:lvlText w:val=""/>
      <w:lvlJc w:val="left"/>
      <w:pPr>
        <w:tabs>
          <w:tab w:val="num" w:pos="2502"/>
        </w:tabs>
        <w:ind w:left="2499" w:hanging="357"/>
      </w:pPr>
      <w:rPr>
        <w:rFonts w:hint="default"/>
      </w:rPr>
    </w:lvl>
    <w:lvl w:ilvl="7">
      <w:start w:val="1"/>
      <w:numFmt w:val="none"/>
      <w:lvlText w:val=""/>
      <w:lvlJc w:val="left"/>
      <w:pPr>
        <w:tabs>
          <w:tab w:val="num" w:pos="2859"/>
        </w:tabs>
        <w:ind w:left="2856" w:hanging="357"/>
      </w:pPr>
      <w:rPr>
        <w:rFonts w:hint="default"/>
      </w:rPr>
    </w:lvl>
    <w:lvl w:ilvl="8">
      <w:start w:val="1"/>
      <w:numFmt w:val="none"/>
      <w:lvlText w:val=""/>
      <w:lvlJc w:val="left"/>
      <w:pPr>
        <w:tabs>
          <w:tab w:val="num" w:pos="3216"/>
        </w:tabs>
        <w:ind w:left="3213" w:hanging="357"/>
      </w:pPr>
      <w:rPr>
        <w:rFonts w:hint="default"/>
      </w:rPr>
    </w:lvl>
  </w:abstractNum>
  <w:abstractNum w:abstractNumId="5" w15:restartNumberingAfterBreak="0">
    <w:nsid w:val="15E1130C"/>
    <w:multiLevelType w:val="hybridMultilevel"/>
    <w:tmpl w:val="B12A39D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8146E45"/>
    <w:multiLevelType w:val="hybridMultilevel"/>
    <w:tmpl w:val="1B7A5C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E991C66"/>
    <w:multiLevelType w:val="hybridMultilevel"/>
    <w:tmpl w:val="54603DD4"/>
    <w:lvl w:ilvl="0" w:tplc="6F30F28C">
      <w:numFmt w:val="bullet"/>
      <w:lvlText w:val="•"/>
      <w:lvlJc w:val="left"/>
      <w:pPr>
        <w:ind w:left="1080" w:hanging="72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F67E64"/>
    <w:multiLevelType w:val="hybridMultilevel"/>
    <w:tmpl w:val="0BD408BC"/>
    <w:lvl w:ilvl="0" w:tplc="A01CC4E4">
      <w:numFmt w:val="bullet"/>
      <w:lvlText w:val="•"/>
      <w:lvlJc w:val="left"/>
      <w:pPr>
        <w:ind w:left="1080" w:hanging="72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4632B1F"/>
    <w:multiLevelType w:val="hybridMultilevel"/>
    <w:tmpl w:val="22569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5AA25E9"/>
    <w:multiLevelType w:val="multilevel"/>
    <w:tmpl w:val="16506B6C"/>
    <w:styleLink w:val="ListNumbers"/>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964"/>
        </w:tabs>
        <w:ind w:left="964" w:hanging="607"/>
      </w:pPr>
      <w:rPr>
        <w:rFonts w:hint="default"/>
      </w:rPr>
    </w:lvl>
    <w:lvl w:ilvl="2">
      <w:start w:val="1"/>
      <w:numFmt w:val="decimal"/>
      <w:lvlText w:val="%1.%2.%3"/>
      <w:lvlJc w:val="left"/>
      <w:pPr>
        <w:tabs>
          <w:tab w:val="num" w:pos="1731"/>
        </w:tabs>
        <w:ind w:left="1731" w:hanging="767"/>
      </w:pPr>
      <w:rPr>
        <w:rFonts w:hint="default"/>
      </w:rPr>
    </w:lvl>
    <w:lvl w:ilvl="3">
      <w:start w:val="1"/>
      <w:numFmt w:val="decimal"/>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abstractNum w:abstractNumId="11" w15:restartNumberingAfterBreak="0">
    <w:nsid w:val="286A2CB3"/>
    <w:multiLevelType w:val="hybridMultilevel"/>
    <w:tmpl w:val="1908AB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A2B5D1C"/>
    <w:multiLevelType w:val="multilevel"/>
    <w:tmpl w:val="16506B6C"/>
    <w:numStyleLink w:val="ListNumbers"/>
  </w:abstractNum>
  <w:abstractNum w:abstractNumId="13" w15:restartNumberingAfterBreak="0">
    <w:nsid w:val="2A5DE4F3"/>
    <w:multiLevelType w:val="hybridMultilevel"/>
    <w:tmpl w:val="7BE09F84"/>
    <w:lvl w:ilvl="0" w:tplc="05C0D970">
      <w:start w:val="1"/>
      <w:numFmt w:val="bullet"/>
      <w:lvlText w:val=""/>
      <w:lvlJc w:val="left"/>
      <w:pPr>
        <w:ind w:left="720" w:hanging="360"/>
      </w:pPr>
      <w:rPr>
        <w:rFonts w:ascii="Symbol" w:hAnsi="Symbol" w:hint="default"/>
      </w:rPr>
    </w:lvl>
    <w:lvl w:ilvl="1" w:tplc="22A45E06">
      <w:start w:val="1"/>
      <w:numFmt w:val="bullet"/>
      <w:lvlText w:val="o"/>
      <w:lvlJc w:val="left"/>
      <w:pPr>
        <w:ind w:left="1440" w:hanging="360"/>
      </w:pPr>
      <w:rPr>
        <w:rFonts w:ascii="Courier New" w:hAnsi="Courier New" w:hint="default"/>
      </w:rPr>
    </w:lvl>
    <w:lvl w:ilvl="2" w:tplc="926EFB7C">
      <w:start w:val="1"/>
      <w:numFmt w:val="bullet"/>
      <w:lvlText w:val=""/>
      <w:lvlJc w:val="left"/>
      <w:pPr>
        <w:ind w:left="2160" w:hanging="360"/>
      </w:pPr>
      <w:rPr>
        <w:rFonts w:ascii="Wingdings" w:hAnsi="Wingdings" w:hint="default"/>
      </w:rPr>
    </w:lvl>
    <w:lvl w:ilvl="3" w:tplc="72FC9E4C">
      <w:start w:val="1"/>
      <w:numFmt w:val="bullet"/>
      <w:lvlText w:val=""/>
      <w:lvlJc w:val="left"/>
      <w:pPr>
        <w:ind w:left="2880" w:hanging="360"/>
      </w:pPr>
      <w:rPr>
        <w:rFonts w:ascii="Symbol" w:hAnsi="Symbol" w:hint="default"/>
      </w:rPr>
    </w:lvl>
    <w:lvl w:ilvl="4" w:tplc="6EE8420E">
      <w:start w:val="1"/>
      <w:numFmt w:val="bullet"/>
      <w:lvlText w:val="o"/>
      <w:lvlJc w:val="left"/>
      <w:pPr>
        <w:ind w:left="3600" w:hanging="360"/>
      </w:pPr>
      <w:rPr>
        <w:rFonts w:ascii="Courier New" w:hAnsi="Courier New" w:hint="default"/>
      </w:rPr>
    </w:lvl>
    <w:lvl w:ilvl="5" w:tplc="60E83C22">
      <w:start w:val="1"/>
      <w:numFmt w:val="bullet"/>
      <w:lvlText w:val=""/>
      <w:lvlJc w:val="left"/>
      <w:pPr>
        <w:ind w:left="4320" w:hanging="360"/>
      </w:pPr>
      <w:rPr>
        <w:rFonts w:ascii="Wingdings" w:hAnsi="Wingdings" w:hint="default"/>
      </w:rPr>
    </w:lvl>
    <w:lvl w:ilvl="6" w:tplc="4DA28D96">
      <w:start w:val="1"/>
      <w:numFmt w:val="bullet"/>
      <w:lvlText w:val=""/>
      <w:lvlJc w:val="left"/>
      <w:pPr>
        <w:ind w:left="5040" w:hanging="360"/>
      </w:pPr>
      <w:rPr>
        <w:rFonts w:ascii="Symbol" w:hAnsi="Symbol" w:hint="default"/>
      </w:rPr>
    </w:lvl>
    <w:lvl w:ilvl="7" w:tplc="467C6A0A">
      <w:start w:val="1"/>
      <w:numFmt w:val="bullet"/>
      <w:lvlText w:val="o"/>
      <w:lvlJc w:val="left"/>
      <w:pPr>
        <w:ind w:left="5760" w:hanging="360"/>
      </w:pPr>
      <w:rPr>
        <w:rFonts w:ascii="Courier New" w:hAnsi="Courier New" w:hint="default"/>
      </w:rPr>
    </w:lvl>
    <w:lvl w:ilvl="8" w:tplc="9BBE5150">
      <w:start w:val="1"/>
      <w:numFmt w:val="bullet"/>
      <w:lvlText w:val=""/>
      <w:lvlJc w:val="left"/>
      <w:pPr>
        <w:ind w:left="6480" w:hanging="360"/>
      </w:pPr>
      <w:rPr>
        <w:rFonts w:ascii="Wingdings" w:hAnsi="Wingdings" w:hint="default"/>
      </w:rPr>
    </w:lvl>
  </w:abstractNum>
  <w:abstractNum w:abstractNumId="14" w15:restartNumberingAfterBreak="0">
    <w:nsid w:val="2B4F9C02"/>
    <w:multiLevelType w:val="hybridMultilevel"/>
    <w:tmpl w:val="E53CD122"/>
    <w:lvl w:ilvl="0" w:tplc="8A58F36A">
      <w:start w:val="1"/>
      <w:numFmt w:val="bullet"/>
      <w:lvlText w:val=""/>
      <w:lvlJc w:val="left"/>
      <w:pPr>
        <w:ind w:left="720" w:hanging="360"/>
      </w:pPr>
      <w:rPr>
        <w:rFonts w:ascii="Symbol" w:hAnsi="Symbol" w:hint="default"/>
      </w:rPr>
    </w:lvl>
    <w:lvl w:ilvl="1" w:tplc="B3CADC1E">
      <w:start w:val="1"/>
      <w:numFmt w:val="bullet"/>
      <w:lvlText w:val="o"/>
      <w:lvlJc w:val="left"/>
      <w:pPr>
        <w:ind w:left="1440" w:hanging="360"/>
      </w:pPr>
      <w:rPr>
        <w:rFonts w:ascii="Courier New" w:hAnsi="Courier New" w:hint="default"/>
      </w:rPr>
    </w:lvl>
    <w:lvl w:ilvl="2" w:tplc="270A0758">
      <w:start w:val="1"/>
      <w:numFmt w:val="bullet"/>
      <w:lvlText w:val=""/>
      <w:lvlJc w:val="left"/>
      <w:pPr>
        <w:ind w:left="2160" w:hanging="360"/>
      </w:pPr>
      <w:rPr>
        <w:rFonts w:ascii="Wingdings" w:hAnsi="Wingdings" w:hint="default"/>
      </w:rPr>
    </w:lvl>
    <w:lvl w:ilvl="3" w:tplc="2820B080">
      <w:start w:val="1"/>
      <w:numFmt w:val="bullet"/>
      <w:lvlText w:val=""/>
      <w:lvlJc w:val="left"/>
      <w:pPr>
        <w:ind w:left="2880" w:hanging="360"/>
      </w:pPr>
      <w:rPr>
        <w:rFonts w:ascii="Symbol" w:hAnsi="Symbol" w:hint="default"/>
      </w:rPr>
    </w:lvl>
    <w:lvl w:ilvl="4" w:tplc="B68805AE">
      <w:start w:val="1"/>
      <w:numFmt w:val="bullet"/>
      <w:lvlText w:val="o"/>
      <w:lvlJc w:val="left"/>
      <w:pPr>
        <w:ind w:left="3600" w:hanging="360"/>
      </w:pPr>
      <w:rPr>
        <w:rFonts w:ascii="Courier New" w:hAnsi="Courier New" w:hint="default"/>
      </w:rPr>
    </w:lvl>
    <w:lvl w:ilvl="5" w:tplc="5A3873AA">
      <w:start w:val="1"/>
      <w:numFmt w:val="bullet"/>
      <w:lvlText w:val=""/>
      <w:lvlJc w:val="left"/>
      <w:pPr>
        <w:ind w:left="4320" w:hanging="360"/>
      </w:pPr>
      <w:rPr>
        <w:rFonts w:ascii="Wingdings" w:hAnsi="Wingdings" w:hint="default"/>
      </w:rPr>
    </w:lvl>
    <w:lvl w:ilvl="6" w:tplc="D3FABC5C">
      <w:start w:val="1"/>
      <w:numFmt w:val="bullet"/>
      <w:lvlText w:val=""/>
      <w:lvlJc w:val="left"/>
      <w:pPr>
        <w:ind w:left="5040" w:hanging="360"/>
      </w:pPr>
      <w:rPr>
        <w:rFonts w:ascii="Symbol" w:hAnsi="Symbol" w:hint="default"/>
      </w:rPr>
    </w:lvl>
    <w:lvl w:ilvl="7" w:tplc="C834E87C">
      <w:start w:val="1"/>
      <w:numFmt w:val="bullet"/>
      <w:lvlText w:val="o"/>
      <w:lvlJc w:val="left"/>
      <w:pPr>
        <w:ind w:left="5760" w:hanging="360"/>
      </w:pPr>
      <w:rPr>
        <w:rFonts w:ascii="Courier New" w:hAnsi="Courier New" w:hint="default"/>
      </w:rPr>
    </w:lvl>
    <w:lvl w:ilvl="8" w:tplc="74FA2716">
      <w:start w:val="1"/>
      <w:numFmt w:val="bullet"/>
      <w:lvlText w:val=""/>
      <w:lvlJc w:val="left"/>
      <w:pPr>
        <w:ind w:left="6480" w:hanging="360"/>
      </w:pPr>
      <w:rPr>
        <w:rFonts w:ascii="Wingdings" w:hAnsi="Wingdings" w:hint="default"/>
      </w:rPr>
    </w:lvl>
  </w:abstractNum>
  <w:abstractNum w:abstractNumId="15" w15:restartNumberingAfterBreak="0">
    <w:nsid w:val="2C8C295D"/>
    <w:multiLevelType w:val="hybridMultilevel"/>
    <w:tmpl w:val="3E2EDEDC"/>
    <w:lvl w:ilvl="0" w:tplc="56880AFE">
      <w:start w:val="1"/>
      <w:numFmt w:val="bullet"/>
      <w:lvlText w:val=""/>
      <w:lvlJc w:val="left"/>
      <w:pPr>
        <w:ind w:left="720" w:hanging="360"/>
      </w:pPr>
      <w:rPr>
        <w:rFonts w:ascii="Symbol" w:hAnsi="Symbol" w:hint="default"/>
      </w:rPr>
    </w:lvl>
    <w:lvl w:ilvl="1" w:tplc="1ADE2B20">
      <w:start w:val="1"/>
      <w:numFmt w:val="bullet"/>
      <w:lvlText w:val="o"/>
      <w:lvlJc w:val="left"/>
      <w:pPr>
        <w:ind w:left="1440" w:hanging="360"/>
      </w:pPr>
      <w:rPr>
        <w:rFonts w:ascii="Courier New" w:hAnsi="Courier New" w:hint="default"/>
      </w:rPr>
    </w:lvl>
    <w:lvl w:ilvl="2" w:tplc="B2224EBA">
      <w:start w:val="1"/>
      <w:numFmt w:val="bullet"/>
      <w:lvlText w:val=""/>
      <w:lvlJc w:val="left"/>
      <w:pPr>
        <w:ind w:left="2160" w:hanging="360"/>
      </w:pPr>
      <w:rPr>
        <w:rFonts w:ascii="Wingdings" w:hAnsi="Wingdings" w:hint="default"/>
      </w:rPr>
    </w:lvl>
    <w:lvl w:ilvl="3" w:tplc="BAA4DBCC">
      <w:start w:val="1"/>
      <w:numFmt w:val="bullet"/>
      <w:lvlText w:val=""/>
      <w:lvlJc w:val="left"/>
      <w:pPr>
        <w:ind w:left="2880" w:hanging="360"/>
      </w:pPr>
      <w:rPr>
        <w:rFonts w:ascii="Symbol" w:hAnsi="Symbol" w:hint="default"/>
      </w:rPr>
    </w:lvl>
    <w:lvl w:ilvl="4" w:tplc="A38CB862">
      <w:start w:val="1"/>
      <w:numFmt w:val="bullet"/>
      <w:lvlText w:val="o"/>
      <w:lvlJc w:val="left"/>
      <w:pPr>
        <w:ind w:left="3600" w:hanging="360"/>
      </w:pPr>
      <w:rPr>
        <w:rFonts w:ascii="Courier New" w:hAnsi="Courier New" w:hint="default"/>
      </w:rPr>
    </w:lvl>
    <w:lvl w:ilvl="5" w:tplc="2F1E216E">
      <w:start w:val="1"/>
      <w:numFmt w:val="bullet"/>
      <w:lvlText w:val=""/>
      <w:lvlJc w:val="left"/>
      <w:pPr>
        <w:ind w:left="4320" w:hanging="360"/>
      </w:pPr>
      <w:rPr>
        <w:rFonts w:ascii="Wingdings" w:hAnsi="Wingdings" w:hint="default"/>
      </w:rPr>
    </w:lvl>
    <w:lvl w:ilvl="6" w:tplc="D1BCCB3E">
      <w:start w:val="1"/>
      <w:numFmt w:val="bullet"/>
      <w:lvlText w:val=""/>
      <w:lvlJc w:val="left"/>
      <w:pPr>
        <w:ind w:left="5040" w:hanging="360"/>
      </w:pPr>
      <w:rPr>
        <w:rFonts w:ascii="Symbol" w:hAnsi="Symbol" w:hint="default"/>
      </w:rPr>
    </w:lvl>
    <w:lvl w:ilvl="7" w:tplc="C4B26E56">
      <w:start w:val="1"/>
      <w:numFmt w:val="bullet"/>
      <w:lvlText w:val="o"/>
      <w:lvlJc w:val="left"/>
      <w:pPr>
        <w:ind w:left="5760" w:hanging="360"/>
      </w:pPr>
      <w:rPr>
        <w:rFonts w:ascii="Courier New" w:hAnsi="Courier New" w:hint="default"/>
      </w:rPr>
    </w:lvl>
    <w:lvl w:ilvl="8" w:tplc="79F2D174">
      <w:start w:val="1"/>
      <w:numFmt w:val="bullet"/>
      <w:lvlText w:val=""/>
      <w:lvlJc w:val="left"/>
      <w:pPr>
        <w:ind w:left="6480" w:hanging="360"/>
      </w:pPr>
      <w:rPr>
        <w:rFonts w:ascii="Wingdings" w:hAnsi="Wingdings" w:hint="default"/>
      </w:rPr>
    </w:lvl>
  </w:abstractNum>
  <w:abstractNum w:abstractNumId="16" w15:restartNumberingAfterBreak="0">
    <w:nsid w:val="2F214A6F"/>
    <w:multiLevelType w:val="hybridMultilevel"/>
    <w:tmpl w:val="9F4A46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FE770C8"/>
    <w:multiLevelType w:val="hybridMultilevel"/>
    <w:tmpl w:val="D878EE5A"/>
    <w:lvl w:ilvl="0" w:tplc="6F30F28C">
      <w:numFmt w:val="bullet"/>
      <w:lvlText w:val="•"/>
      <w:lvlJc w:val="left"/>
      <w:pPr>
        <w:ind w:left="1080" w:hanging="72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5D56F47"/>
    <w:multiLevelType w:val="hybridMultilevel"/>
    <w:tmpl w:val="9126D0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7C36E1A"/>
    <w:multiLevelType w:val="hybridMultilevel"/>
    <w:tmpl w:val="7C74EBB4"/>
    <w:lvl w:ilvl="0" w:tplc="6F30F28C">
      <w:numFmt w:val="bullet"/>
      <w:lvlText w:val="•"/>
      <w:lvlJc w:val="left"/>
      <w:pPr>
        <w:ind w:left="1080" w:hanging="72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8C10957"/>
    <w:multiLevelType w:val="multilevel"/>
    <w:tmpl w:val="16506B6C"/>
    <w:numStyleLink w:val="ListNumbers"/>
  </w:abstractNum>
  <w:abstractNum w:abstractNumId="21" w15:restartNumberingAfterBreak="0">
    <w:nsid w:val="3E2E18D8"/>
    <w:multiLevelType w:val="hybridMultilevel"/>
    <w:tmpl w:val="B4A846D6"/>
    <w:lvl w:ilvl="0" w:tplc="6F30F28C">
      <w:numFmt w:val="bullet"/>
      <w:lvlText w:val="•"/>
      <w:lvlJc w:val="left"/>
      <w:pPr>
        <w:ind w:left="1080" w:hanging="72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61559E1"/>
    <w:multiLevelType w:val="hybridMultilevel"/>
    <w:tmpl w:val="AE708700"/>
    <w:lvl w:ilvl="0" w:tplc="A01CC4E4">
      <w:numFmt w:val="bullet"/>
      <w:lvlText w:val="•"/>
      <w:lvlJc w:val="left"/>
      <w:pPr>
        <w:ind w:left="1080" w:hanging="72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2DA2D9C"/>
    <w:multiLevelType w:val="hybridMultilevel"/>
    <w:tmpl w:val="DC80A966"/>
    <w:lvl w:ilvl="0" w:tplc="A01CC4E4">
      <w:numFmt w:val="bullet"/>
      <w:lvlText w:val="•"/>
      <w:lvlJc w:val="left"/>
      <w:pPr>
        <w:ind w:left="1080" w:hanging="72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D4C7572"/>
    <w:multiLevelType w:val="hybridMultilevel"/>
    <w:tmpl w:val="142C52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14B3C27"/>
    <w:multiLevelType w:val="hybridMultilevel"/>
    <w:tmpl w:val="CD6E9D04"/>
    <w:lvl w:ilvl="0" w:tplc="A01CC4E4">
      <w:numFmt w:val="bullet"/>
      <w:lvlText w:val="•"/>
      <w:lvlJc w:val="left"/>
      <w:pPr>
        <w:ind w:left="1080" w:hanging="72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18D1D39"/>
    <w:multiLevelType w:val="hybridMultilevel"/>
    <w:tmpl w:val="B3B47214"/>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38359D6"/>
    <w:multiLevelType w:val="hybridMultilevel"/>
    <w:tmpl w:val="61D8FE76"/>
    <w:lvl w:ilvl="0" w:tplc="A01CC4E4">
      <w:numFmt w:val="bullet"/>
      <w:lvlText w:val="•"/>
      <w:lvlJc w:val="left"/>
      <w:pPr>
        <w:ind w:left="1080" w:hanging="72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9EC4DC8"/>
    <w:multiLevelType w:val="hybridMultilevel"/>
    <w:tmpl w:val="6BF4D61A"/>
    <w:lvl w:ilvl="0" w:tplc="6F30F28C">
      <w:numFmt w:val="bullet"/>
      <w:lvlText w:val="•"/>
      <w:lvlJc w:val="left"/>
      <w:pPr>
        <w:ind w:left="1080" w:hanging="72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E1209CA"/>
    <w:multiLevelType w:val="multilevel"/>
    <w:tmpl w:val="16506B6C"/>
    <w:numStyleLink w:val="ListNumbers"/>
  </w:abstractNum>
  <w:abstractNum w:abstractNumId="30" w15:restartNumberingAfterBreak="0">
    <w:nsid w:val="78576E52"/>
    <w:multiLevelType w:val="hybridMultilevel"/>
    <w:tmpl w:val="41F01A3A"/>
    <w:lvl w:ilvl="0" w:tplc="6F30F28C">
      <w:numFmt w:val="bullet"/>
      <w:lvlText w:val="•"/>
      <w:lvlJc w:val="left"/>
      <w:pPr>
        <w:ind w:left="1080" w:hanging="72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9534343"/>
    <w:multiLevelType w:val="hybridMultilevel"/>
    <w:tmpl w:val="FD78A9F0"/>
    <w:lvl w:ilvl="0" w:tplc="EC5072A4">
      <w:start w:val="1"/>
      <w:numFmt w:val="bullet"/>
      <w:lvlText w:val=""/>
      <w:lvlJc w:val="left"/>
      <w:pPr>
        <w:ind w:left="720" w:hanging="360"/>
      </w:pPr>
      <w:rPr>
        <w:rFonts w:ascii="Symbol" w:hAnsi="Symbol" w:hint="default"/>
      </w:rPr>
    </w:lvl>
    <w:lvl w:ilvl="1" w:tplc="6E12239E">
      <w:start w:val="1"/>
      <w:numFmt w:val="bullet"/>
      <w:lvlText w:val="o"/>
      <w:lvlJc w:val="left"/>
      <w:pPr>
        <w:ind w:left="1440" w:hanging="360"/>
      </w:pPr>
      <w:rPr>
        <w:rFonts w:ascii="Courier New" w:hAnsi="Courier New" w:hint="default"/>
      </w:rPr>
    </w:lvl>
    <w:lvl w:ilvl="2" w:tplc="BEB82422">
      <w:start w:val="1"/>
      <w:numFmt w:val="bullet"/>
      <w:lvlText w:val=""/>
      <w:lvlJc w:val="left"/>
      <w:pPr>
        <w:ind w:left="2160" w:hanging="360"/>
      </w:pPr>
      <w:rPr>
        <w:rFonts w:ascii="Wingdings" w:hAnsi="Wingdings" w:hint="default"/>
      </w:rPr>
    </w:lvl>
    <w:lvl w:ilvl="3" w:tplc="7444CACC">
      <w:start w:val="1"/>
      <w:numFmt w:val="bullet"/>
      <w:lvlText w:val=""/>
      <w:lvlJc w:val="left"/>
      <w:pPr>
        <w:ind w:left="2880" w:hanging="360"/>
      </w:pPr>
      <w:rPr>
        <w:rFonts w:ascii="Symbol" w:hAnsi="Symbol" w:hint="default"/>
      </w:rPr>
    </w:lvl>
    <w:lvl w:ilvl="4" w:tplc="6F8E2142">
      <w:start w:val="1"/>
      <w:numFmt w:val="bullet"/>
      <w:lvlText w:val="o"/>
      <w:lvlJc w:val="left"/>
      <w:pPr>
        <w:ind w:left="3600" w:hanging="360"/>
      </w:pPr>
      <w:rPr>
        <w:rFonts w:ascii="Courier New" w:hAnsi="Courier New" w:hint="default"/>
      </w:rPr>
    </w:lvl>
    <w:lvl w:ilvl="5" w:tplc="46547304">
      <w:start w:val="1"/>
      <w:numFmt w:val="bullet"/>
      <w:lvlText w:val=""/>
      <w:lvlJc w:val="left"/>
      <w:pPr>
        <w:ind w:left="4320" w:hanging="360"/>
      </w:pPr>
      <w:rPr>
        <w:rFonts w:ascii="Wingdings" w:hAnsi="Wingdings" w:hint="default"/>
      </w:rPr>
    </w:lvl>
    <w:lvl w:ilvl="6" w:tplc="E52419A6">
      <w:start w:val="1"/>
      <w:numFmt w:val="bullet"/>
      <w:lvlText w:val=""/>
      <w:lvlJc w:val="left"/>
      <w:pPr>
        <w:ind w:left="5040" w:hanging="360"/>
      </w:pPr>
      <w:rPr>
        <w:rFonts w:ascii="Symbol" w:hAnsi="Symbol" w:hint="default"/>
      </w:rPr>
    </w:lvl>
    <w:lvl w:ilvl="7" w:tplc="44F85C8E">
      <w:start w:val="1"/>
      <w:numFmt w:val="bullet"/>
      <w:lvlText w:val="o"/>
      <w:lvlJc w:val="left"/>
      <w:pPr>
        <w:ind w:left="5760" w:hanging="360"/>
      </w:pPr>
      <w:rPr>
        <w:rFonts w:ascii="Courier New" w:hAnsi="Courier New" w:hint="default"/>
      </w:rPr>
    </w:lvl>
    <w:lvl w:ilvl="8" w:tplc="123A7D3C">
      <w:start w:val="1"/>
      <w:numFmt w:val="bullet"/>
      <w:lvlText w:val=""/>
      <w:lvlJc w:val="left"/>
      <w:pPr>
        <w:ind w:left="6480" w:hanging="360"/>
      </w:pPr>
      <w:rPr>
        <w:rFonts w:ascii="Wingdings" w:hAnsi="Wingdings" w:hint="default"/>
      </w:rPr>
    </w:lvl>
  </w:abstractNum>
  <w:abstractNum w:abstractNumId="32" w15:restartNumberingAfterBreak="0">
    <w:nsid w:val="7A2C43DC"/>
    <w:multiLevelType w:val="multilevel"/>
    <w:tmpl w:val="16506B6C"/>
    <w:numStyleLink w:val="ListNumbers"/>
  </w:abstractNum>
  <w:abstractNum w:abstractNumId="33" w15:restartNumberingAfterBreak="0">
    <w:nsid w:val="7DD1201F"/>
    <w:multiLevelType w:val="multilevel"/>
    <w:tmpl w:val="16506B6C"/>
    <w:lvl w:ilvl="0">
      <w:start w:val="1"/>
      <w:numFmt w:val="decimal"/>
      <w:pStyle w:val="ListNumber"/>
      <w:lvlText w:val="%1."/>
      <w:lvlJc w:val="left"/>
      <w:pPr>
        <w:tabs>
          <w:tab w:val="num" w:pos="357"/>
        </w:tabs>
        <w:ind w:left="357" w:hanging="357"/>
      </w:pPr>
      <w:rPr>
        <w:rFonts w:hint="default"/>
      </w:rPr>
    </w:lvl>
    <w:lvl w:ilvl="1">
      <w:start w:val="1"/>
      <w:numFmt w:val="decimal"/>
      <w:pStyle w:val="ListNumber2"/>
      <w:lvlText w:val="%1.%2."/>
      <w:lvlJc w:val="left"/>
      <w:pPr>
        <w:tabs>
          <w:tab w:val="num" w:pos="964"/>
        </w:tabs>
        <w:ind w:left="964" w:hanging="607"/>
      </w:pPr>
      <w:rPr>
        <w:rFonts w:hint="default"/>
      </w:rPr>
    </w:lvl>
    <w:lvl w:ilvl="2">
      <w:start w:val="1"/>
      <w:numFmt w:val="decimal"/>
      <w:pStyle w:val="ListNumber3"/>
      <w:lvlText w:val="%1.%2.%3"/>
      <w:lvlJc w:val="left"/>
      <w:pPr>
        <w:tabs>
          <w:tab w:val="num" w:pos="1731"/>
        </w:tabs>
        <w:ind w:left="1731" w:hanging="767"/>
      </w:pPr>
      <w:rPr>
        <w:rFonts w:hint="default"/>
      </w:rPr>
    </w:lvl>
    <w:lvl w:ilvl="3">
      <w:start w:val="1"/>
      <w:numFmt w:val="decimal"/>
      <w:pStyle w:val="ListNumber4"/>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num w:numId="1" w16cid:durableId="1469274982">
    <w:abstractNumId w:val="4"/>
  </w:num>
  <w:num w:numId="2" w16cid:durableId="703946481">
    <w:abstractNumId w:val="10"/>
  </w:num>
  <w:num w:numId="3" w16cid:durableId="13768101">
    <w:abstractNumId w:val="32"/>
  </w:num>
  <w:num w:numId="4" w16cid:durableId="501505156">
    <w:abstractNumId w:val="0"/>
  </w:num>
  <w:num w:numId="5" w16cid:durableId="17940090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96490813">
    <w:abstractNumId w:val="12"/>
  </w:num>
  <w:num w:numId="7" w16cid:durableId="9879049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21606895">
    <w:abstractNumId w:val="29"/>
  </w:num>
  <w:num w:numId="9" w16cid:durableId="230777069">
    <w:abstractNumId w:val="20"/>
  </w:num>
  <w:num w:numId="10" w16cid:durableId="61984709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55202505">
    <w:abstractNumId w:val="1"/>
  </w:num>
  <w:num w:numId="12" w16cid:durableId="118652050">
    <w:abstractNumId w:val="18"/>
  </w:num>
  <w:num w:numId="13" w16cid:durableId="1123888333">
    <w:abstractNumId w:val="26"/>
  </w:num>
  <w:num w:numId="14" w16cid:durableId="1651669181">
    <w:abstractNumId w:val="33"/>
  </w:num>
  <w:num w:numId="15" w16cid:durableId="101904136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83277766">
    <w:abstractNumId w:val="2"/>
  </w:num>
  <w:num w:numId="17" w16cid:durableId="17123657">
    <w:abstractNumId w:val="24"/>
  </w:num>
  <w:num w:numId="18" w16cid:durableId="979841107">
    <w:abstractNumId w:val="9"/>
  </w:num>
  <w:num w:numId="19" w16cid:durableId="373506444">
    <w:abstractNumId w:val="8"/>
  </w:num>
  <w:num w:numId="20" w16cid:durableId="1521090800">
    <w:abstractNumId w:val="31"/>
  </w:num>
  <w:num w:numId="21" w16cid:durableId="333807224">
    <w:abstractNumId w:val="22"/>
  </w:num>
  <w:num w:numId="22" w16cid:durableId="112140400">
    <w:abstractNumId w:val="15"/>
  </w:num>
  <w:num w:numId="23" w16cid:durableId="334848702">
    <w:abstractNumId w:val="14"/>
  </w:num>
  <w:num w:numId="24" w16cid:durableId="1435662947">
    <w:abstractNumId w:val="25"/>
  </w:num>
  <w:num w:numId="25" w16cid:durableId="1852180476">
    <w:abstractNumId w:val="23"/>
  </w:num>
  <w:num w:numId="26" w16cid:durableId="119882617">
    <w:abstractNumId w:val="5"/>
  </w:num>
  <w:num w:numId="27" w16cid:durableId="898974269">
    <w:abstractNumId w:val="27"/>
  </w:num>
  <w:num w:numId="28" w16cid:durableId="1680963548">
    <w:abstractNumId w:val="16"/>
  </w:num>
  <w:num w:numId="29" w16cid:durableId="2132747292">
    <w:abstractNumId w:val="28"/>
  </w:num>
  <w:num w:numId="30" w16cid:durableId="110976588">
    <w:abstractNumId w:val="21"/>
  </w:num>
  <w:num w:numId="31" w16cid:durableId="1577935650">
    <w:abstractNumId w:val="30"/>
  </w:num>
  <w:num w:numId="32" w16cid:durableId="1778938567">
    <w:abstractNumId w:val="7"/>
  </w:num>
  <w:num w:numId="33" w16cid:durableId="320886850">
    <w:abstractNumId w:val="17"/>
  </w:num>
  <w:num w:numId="34" w16cid:durableId="817767056">
    <w:abstractNumId w:val="13"/>
  </w:num>
  <w:num w:numId="35" w16cid:durableId="662439382">
    <w:abstractNumId w:val="3"/>
  </w:num>
  <w:num w:numId="36" w16cid:durableId="230121091">
    <w:abstractNumId w:val="19"/>
  </w:num>
  <w:num w:numId="37" w16cid:durableId="622074141">
    <w:abstractNumId w:val="6"/>
  </w:num>
  <w:num w:numId="38" w16cid:durableId="555090570">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3074"/>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EF3"/>
    <w:rsid w:val="0000225A"/>
    <w:rsid w:val="00002693"/>
    <w:rsid w:val="00004EFF"/>
    <w:rsid w:val="00020B35"/>
    <w:rsid w:val="000437C5"/>
    <w:rsid w:val="000474AE"/>
    <w:rsid w:val="000571FF"/>
    <w:rsid w:val="000606E8"/>
    <w:rsid w:val="00071857"/>
    <w:rsid w:val="0009705E"/>
    <w:rsid w:val="000A2BDA"/>
    <w:rsid w:val="000A48D5"/>
    <w:rsid w:val="000B5EAA"/>
    <w:rsid w:val="000F3535"/>
    <w:rsid w:val="00175895"/>
    <w:rsid w:val="00185145"/>
    <w:rsid w:val="00190B0E"/>
    <w:rsid w:val="001B51BF"/>
    <w:rsid w:val="001E31B1"/>
    <w:rsid w:val="001F46B4"/>
    <w:rsid w:val="001F471F"/>
    <w:rsid w:val="001F554D"/>
    <w:rsid w:val="00211A97"/>
    <w:rsid w:val="00215922"/>
    <w:rsid w:val="00235DD6"/>
    <w:rsid w:val="002367BA"/>
    <w:rsid w:val="002436A6"/>
    <w:rsid w:val="002438B7"/>
    <w:rsid w:val="0024773F"/>
    <w:rsid w:val="00261308"/>
    <w:rsid w:val="00262A0F"/>
    <w:rsid w:val="002A16E8"/>
    <w:rsid w:val="002B3919"/>
    <w:rsid w:val="002D630D"/>
    <w:rsid w:val="002E4153"/>
    <w:rsid w:val="002F47B6"/>
    <w:rsid w:val="002F6A88"/>
    <w:rsid w:val="00347479"/>
    <w:rsid w:val="003678A8"/>
    <w:rsid w:val="003749C0"/>
    <w:rsid w:val="00380F44"/>
    <w:rsid w:val="0038645E"/>
    <w:rsid w:val="00392688"/>
    <w:rsid w:val="003B0087"/>
    <w:rsid w:val="003B0F6D"/>
    <w:rsid w:val="003D63A8"/>
    <w:rsid w:val="003D6D4A"/>
    <w:rsid w:val="003E3A9F"/>
    <w:rsid w:val="003F1608"/>
    <w:rsid w:val="00407429"/>
    <w:rsid w:val="00426584"/>
    <w:rsid w:val="00431D45"/>
    <w:rsid w:val="004564F4"/>
    <w:rsid w:val="00457042"/>
    <w:rsid w:val="00482EF3"/>
    <w:rsid w:val="004878DB"/>
    <w:rsid w:val="00493E0A"/>
    <w:rsid w:val="00494A2D"/>
    <w:rsid w:val="004A26E3"/>
    <w:rsid w:val="004A293F"/>
    <w:rsid w:val="004A3010"/>
    <w:rsid w:val="004D00DD"/>
    <w:rsid w:val="004E1C37"/>
    <w:rsid w:val="004E1ECE"/>
    <w:rsid w:val="004E3839"/>
    <w:rsid w:val="004E7833"/>
    <w:rsid w:val="004F4EE8"/>
    <w:rsid w:val="004F54F5"/>
    <w:rsid w:val="00500612"/>
    <w:rsid w:val="00505C05"/>
    <w:rsid w:val="0052081B"/>
    <w:rsid w:val="00535159"/>
    <w:rsid w:val="0053666A"/>
    <w:rsid w:val="005620A0"/>
    <w:rsid w:val="0056634E"/>
    <w:rsid w:val="0057264C"/>
    <w:rsid w:val="005735E1"/>
    <w:rsid w:val="00577A39"/>
    <w:rsid w:val="005814F5"/>
    <w:rsid w:val="005A53DE"/>
    <w:rsid w:val="005D30BA"/>
    <w:rsid w:val="005F4391"/>
    <w:rsid w:val="00627B00"/>
    <w:rsid w:val="00631E1B"/>
    <w:rsid w:val="00687D4A"/>
    <w:rsid w:val="006A2F63"/>
    <w:rsid w:val="006A3718"/>
    <w:rsid w:val="006C7F7B"/>
    <w:rsid w:val="006E0D9F"/>
    <w:rsid w:val="006E1D3A"/>
    <w:rsid w:val="006E5EC2"/>
    <w:rsid w:val="00712950"/>
    <w:rsid w:val="00715B3E"/>
    <w:rsid w:val="0073401D"/>
    <w:rsid w:val="007361D8"/>
    <w:rsid w:val="00737A99"/>
    <w:rsid w:val="00782E37"/>
    <w:rsid w:val="00784FF6"/>
    <w:rsid w:val="007A0AA6"/>
    <w:rsid w:val="007C5296"/>
    <w:rsid w:val="007C5F75"/>
    <w:rsid w:val="007E291E"/>
    <w:rsid w:val="007F02C9"/>
    <w:rsid w:val="007F0661"/>
    <w:rsid w:val="00802A52"/>
    <w:rsid w:val="00806F0F"/>
    <w:rsid w:val="0082481D"/>
    <w:rsid w:val="00831224"/>
    <w:rsid w:val="00850D66"/>
    <w:rsid w:val="00855F84"/>
    <w:rsid w:val="00881C97"/>
    <w:rsid w:val="00885607"/>
    <w:rsid w:val="0089381B"/>
    <w:rsid w:val="008D2DDA"/>
    <w:rsid w:val="008E2476"/>
    <w:rsid w:val="009043FC"/>
    <w:rsid w:val="009050C6"/>
    <w:rsid w:val="0091365A"/>
    <w:rsid w:val="00955E32"/>
    <w:rsid w:val="0097181E"/>
    <w:rsid w:val="0098408B"/>
    <w:rsid w:val="00990B3C"/>
    <w:rsid w:val="009D1FBA"/>
    <w:rsid w:val="009E0344"/>
    <w:rsid w:val="009E3921"/>
    <w:rsid w:val="009E47E0"/>
    <w:rsid w:val="009E6BAD"/>
    <w:rsid w:val="009F4681"/>
    <w:rsid w:val="00A01D13"/>
    <w:rsid w:val="00A121B3"/>
    <w:rsid w:val="00A22386"/>
    <w:rsid w:val="00A5273A"/>
    <w:rsid w:val="00A8651A"/>
    <w:rsid w:val="00A95083"/>
    <w:rsid w:val="00AA4303"/>
    <w:rsid w:val="00AB6132"/>
    <w:rsid w:val="00AD2B6E"/>
    <w:rsid w:val="00AF02E0"/>
    <w:rsid w:val="00AF3640"/>
    <w:rsid w:val="00B152AF"/>
    <w:rsid w:val="00B272F4"/>
    <w:rsid w:val="00B30455"/>
    <w:rsid w:val="00B37735"/>
    <w:rsid w:val="00B53D5A"/>
    <w:rsid w:val="00B61F7F"/>
    <w:rsid w:val="00B93B1F"/>
    <w:rsid w:val="00BC2825"/>
    <w:rsid w:val="00BC5E8E"/>
    <w:rsid w:val="00BC719D"/>
    <w:rsid w:val="00BE100F"/>
    <w:rsid w:val="00BE1269"/>
    <w:rsid w:val="00BE4B49"/>
    <w:rsid w:val="00BE5903"/>
    <w:rsid w:val="00BE6801"/>
    <w:rsid w:val="00C0291B"/>
    <w:rsid w:val="00C05740"/>
    <w:rsid w:val="00C07190"/>
    <w:rsid w:val="00C14F9F"/>
    <w:rsid w:val="00C2007C"/>
    <w:rsid w:val="00C37F6A"/>
    <w:rsid w:val="00C42412"/>
    <w:rsid w:val="00C73DA2"/>
    <w:rsid w:val="00CA3730"/>
    <w:rsid w:val="00CB006D"/>
    <w:rsid w:val="00CB6145"/>
    <w:rsid w:val="00CD382D"/>
    <w:rsid w:val="00CE76E8"/>
    <w:rsid w:val="00CF27A2"/>
    <w:rsid w:val="00D00427"/>
    <w:rsid w:val="00D02C4A"/>
    <w:rsid w:val="00D367C9"/>
    <w:rsid w:val="00D458D4"/>
    <w:rsid w:val="00D77363"/>
    <w:rsid w:val="00D8650A"/>
    <w:rsid w:val="00D9253D"/>
    <w:rsid w:val="00E3255C"/>
    <w:rsid w:val="00E33417"/>
    <w:rsid w:val="00E43FA0"/>
    <w:rsid w:val="00E4646D"/>
    <w:rsid w:val="00E5089C"/>
    <w:rsid w:val="00E7708D"/>
    <w:rsid w:val="00E842D2"/>
    <w:rsid w:val="00E866C4"/>
    <w:rsid w:val="00E86DCD"/>
    <w:rsid w:val="00E94A1C"/>
    <w:rsid w:val="00EA2130"/>
    <w:rsid w:val="00EA3CBF"/>
    <w:rsid w:val="00EC05B9"/>
    <w:rsid w:val="00EC4AF9"/>
    <w:rsid w:val="00ED7629"/>
    <w:rsid w:val="00ED7D9E"/>
    <w:rsid w:val="00EE2B9B"/>
    <w:rsid w:val="00EE6703"/>
    <w:rsid w:val="00EF11AE"/>
    <w:rsid w:val="00F03DF7"/>
    <w:rsid w:val="00F04BA5"/>
    <w:rsid w:val="00F07FBE"/>
    <w:rsid w:val="00F17C76"/>
    <w:rsid w:val="00F24B46"/>
    <w:rsid w:val="00F4048D"/>
    <w:rsid w:val="00F41FC6"/>
    <w:rsid w:val="00F61B69"/>
    <w:rsid w:val="00F63593"/>
    <w:rsid w:val="00F83261"/>
    <w:rsid w:val="00FA20BF"/>
    <w:rsid w:val="00FA2DFF"/>
    <w:rsid w:val="00FC0EFA"/>
    <w:rsid w:val="00FC6D23"/>
    <w:rsid w:val="00FF1497"/>
    <w:rsid w:val="00FF3A35"/>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5DA92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365A"/>
    <w:pPr>
      <w:spacing w:after="200" w:line="276" w:lineRule="auto"/>
    </w:pPr>
    <w:rPr>
      <w:rFonts w:ascii="Arial" w:hAnsi="Arial"/>
      <w:szCs w:val="24"/>
      <w:lang w:eastAsia="en-US"/>
    </w:rPr>
  </w:style>
  <w:style w:type="paragraph" w:styleId="Heading1">
    <w:name w:val="heading 1"/>
    <w:next w:val="Normal"/>
    <w:link w:val="Heading1Char"/>
    <w:qFormat/>
    <w:rsid w:val="00802A52"/>
    <w:pPr>
      <w:spacing w:before="400" w:after="240" w:line="276" w:lineRule="auto"/>
      <w:outlineLvl w:val="0"/>
    </w:pPr>
    <w:rPr>
      <w:rFonts w:ascii="Arial Bold" w:eastAsia="MS Gothic" w:hAnsi="Arial Bold"/>
      <w:bCs/>
      <w:sz w:val="28"/>
      <w:szCs w:val="32"/>
      <w:lang w:val="en-US" w:eastAsia="en-US"/>
    </w:rPr>
  </w:style>
  <w:style w:type="paragraph" w:styleId="Heading2">
    <w:name w:val="heading 2"/>
    <w:next w:val="Normal"/>
    <w:link w:val="Heading2Char"/>
    <w:qFormat/>
    <w:rsid w:val="00802A52"/>
    <w:pPr>
      <w:spacing w:before="320" w:after="200" w:line="276" w:lineRule="auto"/>
      <w:outlineLvl w:val="1"/>
    </w:pPr>
    <w:rPr>
      <w:rFonts w:ascii="Arial Bold" w:eastAsia="MS Gothic" w:hAnsi="Arial Bold"/>
      <w:bCs/>
      <w:sz w:val="24"/>
      <w:szCs w:val="26"/>
      <w:lang w:val="en-US" w:eastAsia="en-US"/>
    </w:rPr>
  </w:style>
  <w:style w:type="paragraph" w:styleId="Heading3">
    <w:name w:val="heading 3"/>
    <w:basedOn w:val="Heading2"/>
    <w:next w:val="Normal"/>
    <w:link w:val="Heading3Char"/>
    <w:qFormat/>
    <w:rsid w:val="00802A52"/>
    <w:pPr>
      <w:spacing w:before="280" w:after="160"/>
      <w:outlineLvl w:val="2"/>
    </w:pPr>
    <w:rPr>
      <w:bCs w:val="0"/>
      <w:sz w:val="22"/>
    </w:rPr>
  </w:style>
  <w:style w:type="paragraph" w:styleId="Heading4">
    <w:name w:val="heading 4"/>
    <w:basedOn w:val="Heading3"/>
    <w:next w:val="Normal"/>
    <w:link w:val="Heading4Char"/>
    <w:rsid w:val="00802A52"/>
    <w:pPr>
      <w:spacing w:before="200" w:after="120"/>
      <w:outlineLvl w:val="3"/>
    </w:pPr>
    <w:rPr>
      <w:rFonts w:eastAsia="MS Mincho"/>
      <w:bCs/>
      <w:sz w:val="20"/>
      <w:szCs w:val="28"/>
    </w:rPr>
  </w:style>
  <w:style w:type="paragraph" w:styleId="Heading5">
    <w:name w:val="heading 5"/>
    <w:basedOn w:val="Heading4"/>
    <w:next w:val="Normal"/>
    <w:link w:val="Heading5Char"/>
    <w:rsid w:val="00802A52"/>
    <w:pPr>
      <w:spacing w:after="80"/>
      <w:outlineLvl w:val="4"/>
    </w:pPr>
    <w:rPr>
      <w:rFonts w:ascii="Arial" w:hAnsi="Arial"/>
      <w:bCs w:val="0"/>
      <w:iCs/>
      <w:szCs w:val="26"/>
    </w:rPr>
  </w:style>
  <w:style w:type="paragraph" w:styleId="Heading6">
    <w:name w:val="heading 6"/>
    <w:basedOn w:val="Normal"/>
    <w:next w:val="Normal"/>
    <w:link w:val="Heading6Char"/>
    <w:rsid w:val="00C2007C"/>
    <w:pPr>
      <w:spacing w:before="240" w:after="60"/>
      <w:outlineLvl w:val="5"/>
    </w:pPr>
    <w:rPr>
      <w:bCs/>
      <w:szCs w:val="22"/>
    </w:rPr>
  </w:style>
  <w:style w:type="paragraph" w:styleId="Heading7">
    <w:name w:val="heading 7"/>
    <w:basedOn w:val="Normal"/>
    <w:next w:val="Normal"/>
    <w:link w:val="Heading7Char"/>
    <w:rsid w:val="00C2007C"/>
    <w:pPr>
      <w:spacing w:before="240" w:after="60"/>
      <w:outlineLvl w:val="6"/>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02A52"/>
    <w:rPr>
      <w:rFonts w:ascii="Arial Bold" w:eastAsia="MS Gothic" w:hAnsi="Arial Bold"/>
      <w:bCs/>
      <w:sz w:val="28"/>
      <w:szCs w:val="32"/>
      <w:lang w:val="en-US" w:eastAsia="en-US"/>
    </w:rPr>
  </w:style>
  <w:style w:type="character" w:customStyle="1" w:styleId="Heading2Char">
    <w:name w:val="Heading 2 Char"/>
    <w:link w:val="Heading2"/>
    <w:rsid w:val="00802A52"/>
    <w:rPr>
      <w:rFonts w:ascii="Arial Bold" w:eastAsia="MS Gothic" w:hAnsi="Arial Bold"/>
      <w:bCs/>
      <w:sz w:val="24"/>
      <w:szCs w:val="26"/>
      <w:lang w:val="en-US" w:eastAsia="en-US"/>
    </w:rPr>
  </w:style>
  <w:style w:type="character" w:customStyle="1" w:styleId="Heading3Char">
    <w:name w:val="Heading 3 Char"/>
    <w:link w:val="Heading3"/>
    <w:rsid w:val="00802A52"/>
    <w:rPr>
      <w:rFonts w:ascii="Arial Bold" w:eastAsia="MS Gothic" w:hAnsi="Arial Bold"/>
      <w:sz w:val="22"/>
      <w:szCs w:val="26"/>
      <w:lang w:val="en-US" w:eastAsia="en-US"/>
    </w:rPr>
  </w:style>
  <w:style w:type="paragraph" w:styleId="BalloonText">
    <w:name w:val="Balloon Text"/>
    <w:basedOn w:val="Normal"/>
    <w:link w:val="BalloonTextChar"/>
    <w:uiPriority w:val="99"/>
    <w:semiHidden/>
    <w:unhideWhenUsed/>
    <w:rsid w:val="00EA2130"/>
    <w:rPr>
      <w:rFonts w:ascii="Lucida Grande" w:hAnsi="Lucida Grande"/>
      <w:sz w:val="18"/>
      <w:szCs w:val="18"/>
    </w:rPr>
  </w:style>
  <w:style w:type="character" w:customStyle="1" w:styleId="BalloonTextChar">
    <w:name w:val="Balloon Text Char"/>
    <w:link w:val="BalloonText"/>
    <w:uiPriority w:val="99"/>
    <w:semiHidden/>
    <w:rsid w:val="00EA2130"/>
    <w:rPr>
      <w:rFonts w:ascii="Lucida Grande" w:hAnsi="Lucida Grande"/>
      <w:sz w:val="18"/>
      <w:szCs w:val="18"/>
    </w:rPr>
  </w:style>
  <w:style w:type="paragraph" w:styleId="Footer">
    <w:name w:val="footer"/>
    <w:basedOn w:val="Normal"/>
    <w:link w:val="FooterChar"/>
    <w:uiPriority w:val="99"/>
    <w:unhideWhenUsed/>
    <w:rsid w:val="00EF11AE"/>
    <w:pPr>
      <w:tabs>
        <w:tab w:val="center" w:pos="4320"/>
        <w:tab w:val="right" w:pos="8640"/>
      </w:tabs>
      <w:spacing w:after="0" w:line="240" w:lineRule="auto"/>
    </w:pPr>
    <w:rPr>
      <w:sz w:val="18"/>
    </w:rPr>
  </w:style>
  <w:style w:type="character" w:customStyle="1" w:styleId="FooterChar">
    <w:name w:val="Footer Char"/>
    <w:link w:val="Footer"/>
    <w:uiPriority w:val="99"/>
    <w:rsid w:val="00EF11AE"/>
    <w:rPr>
      <w:rFonts w:ascii="Arial" w:hAnsi="Arial"/>
      <w:sz w:val="18"/>
      <w:szCs w:val="24"/>
      <w:lang w:eastAsia="en-US"/>
    </w:rPr>
  </w:style>
  <w:style w:type="table" w:styleId="TableGrid">
    <w:name w:val="Table Grid"/>
    <w:basedOn w:val="TableNormal"/>
    <w:uiPriority w:val="59"/>
    <w:rsid w:val="00190B0E"/>
    <w:rPr>
      <w:rFonts w:ascii="Arial" w:eastAsia="Cambria"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DocumentMap">
    <w:name w:val="Document Map"/>
    <w:basedOn w:val="Normal"/>
    <w:link w:val="DocumentMapChar"/>
    <w:uiPriority w:val="99"/>
    <w:unhideWhenUsed/>
    <w:rsid w:val="00881C97"/>
    <w:rPr>
      <w:rFonts w:ascii="Lucida Grande" w:hAnsi="Lucida Grande" w:cs="Lucida Grande"/>
    </w:rPr>
  </w:style>
  <w:style w:type="character" w:customStyle="1" w:styleId="DocumentMapChar">
    <w:name w:val="Document Map Char"/>
    <w:link w:val="DocumentMap"/>
    <w:uiPriority w:val="99"/>
    <w:rsid w:val="00881C97"/>
    <w:rPr>
      <w:rFonts w:ascii="Lucida Grande" w:hAnsi="Lucida Grande" w:cs="Lucida Grande"/>
    </w:rPr>
  </w:style>
  <w:style w:type="paragraph" w:styleId="TOCHeading">
    <w:name w:val="TOC Heading"/>
    <w:basedOn w:val="Heading1"/>
    <w:next w:val="TOC1"/>
    <w:uiPriority w:val="39"/>
    <w:qFormat/>
    <w:rsid w:val="00C14F9F"/>
    <w:pPr>
      <w:outlineLvl w:val="9"/>
    </w:pPr>
    <w:rPr>
      <w:bCs w:val="0"/>
    </w:rPr>
  </w:style>
  <w:style w:type="paragraph" w:styleId="TOC1">
    <w:name w:val="toc 1"/>
    <w:basedOn w:val="Normal"/>
    <w:next w:val="Normal"/>
    <w:uiPriority w:val="39"/>
    <w:rsid w:val="00F07FBE"/>
    <w:pPr>
      <w:spacing w:after="120"/>
    </w:pPr>
  </w:style>
  <w:style w:type="character" w:customStyle="1" w:styleId="ItalicText">
    <w:name w:val="Italic Text"/>
    <w:qFormat/>
    <w:rsid w:val="00F63593"/>
    <w:rPr>
      <w:rFonts w:ascii="Arial" w:hAnsi="Arial"/>
      <w:i/>
      <w:sz w:val="20"/>
    </w:rPr>
  </w:style>
  <w:style w:type="paragraph" w:styleId="Header">
    <w:name w:val="header"/>
    <w:basedOn w:val="Normal"/>
    <w:next w:val="Normal"/>
    <w:link w:val="HeaderChar"/>
    <w:rsid w:val="00A121B3"/>
    <w:pPr>
      <w:tabs>
        <w:tab w:val="center" w:pos="4513"/>
        <w:tab w:val="right" w:pos="9026"/>
      </w:tabs>
    </w:pPr>
  </w:style>
  <w:style w:type="character" w:customStyle="1" w:styleId="HeaderChar">
    <w:name w:val="Header Char"/>
    <w:link w:val="Header"/>
    <w:rsid w:val="00A121B3"/>
    <w:rPr>
      <w:sz w:val="24"/>
      <w:szCs w:val="24"/>
      <w:lang w:val="en-US" w:eastAsia="en-US"/>
    </w:rPr>
  </w:style>
  <w:style w:type="paragraph" w:styleId="ListBullet">
    <w:name w:val="List Bullet"/>
    <w:basedOn w:val="Normal"/>
    <w:qFormat/>
    <w:rsid w:val="007E291E"/>
    <w:pPr>
      <w:numPr>
        <w:numId w:val="1"/>
      </w:numPr>
      <w:spacing w:after="120"/>
    </w:pPr>
    <w:rPr>
      <w:lang w:val="en-US"/>
    </w:rPr>
  </w:style>
  <w:style w:type="paragraph" w:styleId="EndnoteText">
    <w:name w:val="endnote text"/>
    <w:basedOn w:val="Normal"/>
    <w:link w:val="EndnoteTextChar"/>
    <w:rsid w:val="00EF11AE"/>
    <w:pPr>
      <w:spacing w:after="40"/>
    </w:pPr>
    <w:rPr>
      <w:sz w:val="16"/>
      <w:szCs w:val="20"/>
    </w:rPr>
  </w:style>
  <w:style w:type="character" w:customStyle="1" w:styleId="EndnoteTextChar">
    <w:name w:val="Endnote Text Char"/>
    <w:link w:val="EndnoteText"/>
    <w:rsid w:val="00EF11AE"/>
    <w:rPr>
      <w:rFonts w:ascii="Arial" w:hAnsi="Arial"/>
      <w:sz w:val="16"/>
      <w:lang w:eastAsia="en-US"/>
    </w:rPr>
  </w:style>
  <w:style w:type="character" w:styleId="EndnoteReference">
    <w:name w:val="endnote reference"/>
    <w:rsid w:val="001F554D"/>
    <w:rPr>
      <w:vertAlign w:val="superscript"/>
    </w:rPr>
  </w:style>
  <w:style w:type="paragraph" w:styleId="FootnoteText">
    <w:name w:val="footnote text"/>
    <w:basedOn w:val="Normal"/>
    <w:link w:val="FootnoteTextChar"/>
    <w:rsid w:val="00EF11AE"/>
    <w:pPr>
      <w:spacing w:after="0" w:line="240" w:lineRule="auto"/>
    </w:pPr>
    <w:rPr>
      <w:sz w:val="16"/>
      <w:szCs w:val="20"/>
    </w:rPr>
  </w:style>
  <w:style w:type="character" w:customStyle="1" w:styleId="FootnoteTextChar">
    <w:name w:val="Footnote Text Char"/>
    <w:link w:val="FootnoteText"/>
    <w:rsid w:val="00EF11AE"/>
    <w:rPr>
      <w:rFonts w:ascii="Arial" w:hAnsi="Arial"/>
      <w:sz w:val="16"/>
      <w:lang w:eastAsia="en-US"/>
    </w:rPr>
  </w:style>
  <w:style w:type="character" w:styleId="FootnoteReference">
    <w:name w:val="footnote reference"/>
    <w:rsid w:val="001F554D"/>
    <w:rPr>
      <w:vertAlign w:val="superscript"/>
    </w:rPr>
  </w:style>
  <w:style w:type="paragraph" w:styleId="ListNumber">
    <w:name w:val="List Number"/>
    <w:basedOn w:val="Normal"/>
    <w:qFormat/>
    <w:rsid w:val="004878DB"/>
    <w:pPr>
      <w:numPr>
        <w:numId w:val="14"/>
      </w:numPr>
      <w:spacing w:after="120"/>
    </w:pPr>
  </w:style>
  <w:style w:type="paragraph" w:styleId="ListNumber2">
    <w:name w:val="List Number 2"/>
    <w:basedOn w:val="ListNumber"/>
    <w:rsid w:val="004878DB"/>
    <w:pPr>
      <w:numPr>
        <w:ilvl w:val="1"/>
      </w:numPr>
    </w:pPr>
  </w:style>
  <w:style w:type="paragraph" w:styleId="TableofFigures">
    <w:name w:val="table of figures"/>
    <w:basedOn w:val="Normal"/>
    <w:qFormat/>
    <w:rsid w:val="00493E0A"/>
    <w:pPr>
      <w:spacing w:after="0"/>
    </w:pPr>
    <w:rPr>
      <w:lang w:val="en-US"/>
    </w:rPr>
  </w:style>
  <w:style w:type="numbering" w:customStyle="1" w:styleId="ListBullets">
    <w:name w:val="ListBullets"/>
    <w:uiPriority w:val="99"/>
    <w:rsid w:val="00CA3730"/>
    <w:pPr>
      <w:numPr>
        <w:numId w:val="1"/>
      </w:numPr>
    </w:pPr>
  </w:style>
  <w:style w:type="paragraph" w:styleId="ListBullet2">
    <w:name w:val="List Bullet 2"/>
    <w:basedOn w:val="Normal"/>
    <w:rsid w:val="007E291E"/>
    <w:pPr>
      <w:numPr>
        <w:ilvl w:val="1"/>
        <w:numId w:val="1"/>
      </w:numPr>
      <w:spacing w:after="120"/>
    </w:pPr>
    <w:rPr>
      <w:lang w:val="en-US"/>
    </w:rPr>
  </w:style>
  <w:style w:type="paragraph" w:styleId="ListParagraph">
    <w:name w:val="List Paragraph"/>
    <w:basedOn w:val="Normal"/>
    <w:uiPriority w:val="34"/>
    <w:qFormat/>
    <w:rsid w:val="004A26E3"/>
    <w:pPr>
      <w:numPr>
        <w:numId w:val="16"/>
      </w:numPr>
      <w:spacing w:after="120"/>
    </w:pPr>
    <w:rPr>
      <w:lang w:val="en-US"/>
    </w:rPr>
  </w:style>
  <w:style w:type="paragraph" w:styleId="ListBullet3">
    <w:name w:val="List Bullet 3"/>
    <w:basedOn w:val="Normal"/>
    <w:rsid w:val="007E291E"/>
    <w:pPr>
      <w:numPr>
        <w:ilvl w:val="2"/>
        <w:numId w:val="1"/>
      </w:numPr>
      <w:spacing w:after="120"/>
    </w:pPr>
  </w:style>
  <w:style w:type="paragraph" w:styleId="ListBullet4">
    <w:name w:val="List Bullet 4"/>
    <w:basedOn w:val="Normal"/>
    <w:rsid w:val="007E291E"/>
    <w:pPr>
      <w:numPr>
        <w:ilvl w:val="3"/>
        <w:numId w:val="1"/>
      </w:numPr>
      <w:spacing w:after="120"/>
      <w:ind w:left="1429"/>
    </w:pPr>
  </w:style>
  <w:style w:type="paragraph" w:styleId="ListBullet5">
    <w:name w:val="List Bullet 5"/>
    <w:basedOn w:val="Normal"/>
    <w:rsid w:val="007E291E"/>
    <w:pPr>
      <w:numPr>
        <w:ilvl w:val="4"/>
        <w:numId w:val="1"/>
      </w:numPr>
      <w:spacing w:after="120"/>
      <w:ind w:left="1786"/>
    </w:pPr>
  </w:style>
  <w:style w:type="paragraph" w:styleId="ListNumber3">
    <w:name w:val="List Number 3"/>
    <w:basedOn w:val="Normal"/>
    <w:rsid w:val="004878DB"/>
    <w:pPr>
      <w:numPr>
        <w:ilvl w:val="2"/>
        <w:numId w:val="14"/>
      </w:numPr>
      <w:spacing w:after="120"/>
    </w:pPr>
  </w:style>
  <w:style w:type="paragraph" w:styleId="ListNumber4">
    <w:name w:val="List Number 4"/>
    <w:basedOn w:val="Normal"/>
    <w:rsid w:val="004878DB"/>
    <w:pPr>
      <w:numPr>
        <w:ilvl w:val="3"/>
        <w:numId w:val="14"/>
      </w:numPr>
      <w:spacing w:after="120"/>
    </w:pPr>
  </w:style>
  <w:style w:type="numbering" w:customStyle="1" w:styleId="ListNumbers">
    <w:name w:val="ListNumbers"/>
    <w:uiPriority w:val="99"/>
    <w:rsid w:val="00D02C4A"/>
    <w:pPr>
      <w:numPr>
        <w:numId w:val="2"/>
      </w:numPr>
    </w:pPr>
  </w:style>
  <w:style w:type="character" w:customStyle="1" w:styleId="Heading4Char">
    <w:name w:val="Heading 4 Char"/>
    <w:link w:val="Heading4"/>
    <w:rsid w:val="00802A52"/>
    <w:rPr>
      <w:rFonts w:ascii="Arial Bold" w:hAnsi="Arial Bold"/>
      <w:bCs/>
      <w:szCs w:val="28"/>
      <w:lang w:val="en-US" w:eastAsia="en-US"/>
    </w:rPr>
  </w:style>
  <w:style w:type="paragraph" w:customStyle="1" w:styleId="Bold">
    <w:name w:val="Bold"/>
    <w:basedOn w:val="Normal"/>
    <w:next w:val="Normal"/>
    <w:link w:val="BoldChar"/>
    <w:qFormat/>
    <w:rsid w:val="008D2DDA"/>
    <w:rPr>
      <w:b/>
    </w:rPr>
  </w:style>
  <w:style w:type="paragraph" w:styleId="TOC2">
    <w:name w:val="toc 2"/>
    <w:basedOn w:val="Normal"/>
    <w:next w:val="Normal"/>
    <w:autoRedefine/>
    <w:uiPriority w:val="39"/>
    <w:rsid w:val="00C14F9F"/>
    <w:pPr>
      <w:tabs>
        <w:tab w:val="right" w:leader="dot" w:pos="9769"/>
      </w:tabs>
      <w:spacing w:after="120"/>
      <w:ind w:left="284"/>
    </w:pPr>
  </w:style>
  <w:style w:type="paragraph" w:styleId="TOC3">
    <w:name w:val="toc 3"/>
    <w:basedOn w:val="Normal"/>
    <w:next w:val="Normal"/>
    <w:autoRedefine/>
    <w:uiPriority w:val="39"/>
    <w:rsid w:val="00C2007C"/>
    <w:pPr>
      <w:tabs>
        <w:tab w:val="right" w:leader="dot" w:pos="9769"/>
      </w:tabs>
      <w:spacing w:after="120"/>
      <w:ind w:left="567"/>
    </w:pPr>
  </w:style>
  <w:style w:type="character" w:styleId="Hyperlink">
    <w:name w:val="Hyperlink"/>
    <w:uiPriority w:val="99"/>
    <w:unhideWhenUsed/>
    <w:rsid w:val="004E1ECE"/>
    <w:rPr>
      <w:color w:val="0000FF"/>
      <w:u w:val="single"/>
    </w:rPr>
  </w:style>
  <w:style w:type="paragraph" w:styleId="TOC4">
    <w:name w:val="toc 4"/>
    <w:basedOn w:val="Normal"/>
    <w:next w:val="Normal"/>
    <w:autoRedefine/>
    <w:uiPriority w:val="39"/>
    <w:rsid w:val="00C2007C"/>
    <w:pPr>
      <w:spacing w:after="120"/>
      <w:ind w:left="851"/>
    </w:pPr>
  </w:style>
  <w:style w:type="character" w:customStyle="1" w:styleId="Heading5Char">
    <w:name w:val="Heading 5 Char"/>
    <w:link w:val="Heading5"/>
    <w:rsid w:val="00802A52"/>
    <w:rPr>
      <w:rFonts w:ascii="Arial" w:hAnsi="Arial"/>
      <w:iCs/>
      <w:szCs w:val="26"/>
      <w:lang w:val="en-US" w:eastAsia="en-US"/>
    </w:rPr>
  </w:style>
  <w:style w:type="character" w:customStyle="1" w:styleId="Heading6Char">
    <w:name w:val="Heading 6 Char"/>
    <w:link w:val="Heading6"/>
    <w:rsid w:val="00C2007C"/>
    <w:rPr>
      <w:rFonts w:ascii="Arial" w:eastAsia="MS Mincho" w:hAnsi="Arial" w:cs="Times New Roman"/>
      <w:bCs/>
      <w:szCs w:val="22"/>
      <w:lang w:eastAsia="en-US"/>
    </w:rPr>
  </w:style>
  <w:style w:type="character" w:customStyle="1" w:styleId="Heading7Char">
    <w:name w:val="Heading 7 Char"/>
    <w:link w:val="Heading7"/>
    <w:rsid w:val="00C2007C"/>
    <w:rPr>
      <w:rFonts w:ascii="Arial" w:eastAsia="MS Mincho" w:hAnsi="Arial" w:cs="Times New Roman"/>
      <w:szCs w:val="24"/>
      <w:lang w:eastAsia="en-US"/>
    </w:rPr>
  </w:style>
  <w:style w:type="paragraph" w:styleId="TOC5">
    <w:name w:val="toc 5"/>
    <w:basedOn w:val="Normal"/>
    <w:next w:val="Normal"/>
    <w:autoRedefine/>
    <w:uiPriority w:val="39"/>
    <w:rsid w:val="00B152AF"/>
    <w:pPr>
      <w:spacing w:after="120"/>
      <w:ind w:left="1134"/>
    </w:pPr>
  </w:style>
  <w:style w:type="character" w:customStyle="1" w:styleId="BoldChar">
    <w:name w:val="Bold Char"/>
    <w:link w:val="Bold"/>
    <w:rsid w:val="00190B0E"/>
    <w:rPr>
      <w:rFonts w:ascii="Arial" w:hAnsi="Arial"/>
      <w:b/>
      <w:szCs w:val="24"/>
      <w:lang w:eastAsia="en-US"/>
    </w:rPr>
  </w:style>
  <w:style w:type="paragraph" w:styleId="Caption">
    <w:name w:val="caption"/>
    <w:basedOn w:val="Normal"/>
    <w:next w:val="Normal"/>
    <w:rsid w:val="0091365A"/>
    <w:pPr>
      <w:spacing w:before="240"/>
    </w:pPr>
    <w:rPr>
      <w:rFonts w:ascii="Arial Bold" w:hAnsi="Arial Bold"/>
      <w:b/>
      <w:bCs/>
      <w:szCs w:val="18"/>
    </w:rPr>
  </w:style>
  <w:style w:type="paragraph" w:styleId="TOAHeading">
    <w:name w:val="toa heading"/>
    <w:basedOn w:val="Normal"/>
    <w:next w:val="Normal"/>
    <w:rsid w:val="00380F44"/>
    <w:pPr>
      <w:spacing w:before="120"/>
    </w:pPr>
    <w:rPr>
      <w:rFonts w:ascii="Calibri" w:eastAsia="MS Gothic" w:hAnsi="Calibri"/>
      <w:b/>
      <w:bCs/>
      <w:sz w:val="24"/>
    </w:rPr>
  </w:style>
  <w:style w:type="character" w:styleId="Strong">
    <w:name w:val="Strong"/>
    <w:rsid w:val="00380F44"/>
    <w:rPr>
      <w:b/>
      <w:bCs/>
    </w:rPr>
  </w:style>
  <w:style w:type="paragraph" w:customStyle="1" w:styleId="DocumentTitle">
    <w:name w:val="Document Title"/>
    <w:basedOn w:val="Normal"/>
    <w:next w:val="Subtitle"/>
    <w:qFormat/>
    <w:rsid w:val="00C14F9F"/>
    <w:pPr>
      <w:spacing w:before="600" w:after="480"/>
    </w:pPr>
    <w:rPr>
      <w:noProof/>
      <w:sz w:val="52"/>
    </w:rPr>
  </w:style>
  <w:style w:type="paragraph" w:styleId="Title">
    <w:name w:val="Title"/>
    <w:basedOn w:val="Normal"/>
    <w:next w:val="Normal"/>
    <w:link w:val="TitleChar"/>
    <w:rsid w:val="00380F44"/>
    <w:pPr>
      <w:pBdr>
        <w:bottom w:val="single" w:sz="8" w:space="4" w:color="4F81BD"/>
      </w:pBdr>
      <w:spacing w:after="300" w:line="240" w:lineRule="auto"/>
      <w:contextualSpacing/>
    </w:pPr>
    <w:rPr>
      <w:rFonts w:ascii="Calibri" w:eastAsia="MS Gothic" w:hAnsi="Calibri"/>
      <w:color w:val="17365D"/>
      <w:spacing w:val="5"/>
      <w:kern w:val="28"/>
      <w:sz w:val="52"/>
      <w:szCs w:val="52"/>
    </w:rPr>
  </w:style>
  <w:style w:type="paragraph" w:styleId="Subtitle">
    <w:name w:val="Subtitle"/>
    <w:basedOn w:val="Normal"/>
    <w:next w:val="Normal"/>
    <w:link w:val="SubtitleChar"/>
    <w:rsid w:val="000F3535"/>
    <w:pPr>
      <w:spacing w:after="360"/>
    </w:pPr>
    <w:rPr>
      <w:rFonts w:eastAsia="MS Gothic"/>
      <w:sz w:val="44"/>
    </w:rPr>
  </w:style>
  <w:style w:type="character" w:customStyle="1" w:styleId="SubtitleChar">
    <w:name w:val="Subtitle Char"/>
    <w:link w:val="Subtitle"/>
    <w:rsid w:val="000F3535"/>
    <w:rPr>
      <w:rFonts w:ascii="Arial" w:eastAsia="MS Gothic" w:hAnsi="Arial" w:cs="Times New Roman"/>
      <w:sz w:val="44"/>
      <w:szCs w:val="24"/>
      <w:lang w:eastAsia="en-US"/>
    </w:rPr>
  </w:style>
  <w:style w:type="paragraph" w:customStyle="1" w:styleId="Subtitle2">
    <w:name w:val="Subtitle2"/>
    <w:basedOn w:val="Subtitle"/>
    <w:next w:val="Heading1"/>
    <w:qFormat/>
    <w:rsid w:val="00380F44"/>
    <w:rPr>
      <w:sz w:val="36"/>
    </w:rPr>
  </w:style>
  <w:style w:type="character" w:customStyle="1" w:styleId="TitleChar">
    <w:name w:val="Title Char"/>
    <w:link w:val="Title"/>
    <w:rsid w:val="00380F44"/>
    <w:rPr>
      <w:rFonts w:ascii="Calibri" w:eastAsia="MS Gothic" w:hAnsi="Calibri" w:cs="Times New Roman"/>
      <w:color w:val="17365D"/>
      <w:spacing w:val="5"/>
      <w:kern w:val="28"/>
      <w:sz w:val="52"/>
      <w:szCs w:val="52"/>
      <w:lang w:eastAsia="en-US"/>
    </w:rPr>
  </w:style>
  <w:style w:type="paragraph" w:customStyle="1" w:styleId="Nospace">
    <w:name w:val="No space"/>
    <w:basedOn w:val="Normal"/>
    <w:qFormat/>
    <w:rsid w:val="00E86DCD"/>
    <w:pPr>
      <w:spacing w:after="0"/>
    </w:pPr>
    <w:rPr>
      <w:noProof/>
      <w:lang w:eastAsia="en-AU"/>
    </w:rPr>
  </w:style>
  <w:style w:type="paragraph" w:customStyle="1" w:styleId="Default">
    <w:name w:val="Default"/>
    <w:rsid w:val="000571FF"/>
    <w:pPr>
      <w:autoSpaceDE w:val="0"/>
      <w:autoSpaceDN w:val="0"/>
      <w:adjustRightInd w:val="0"/>
    </w:pPr>
    <w:rPr>
      <w:rFonts w:ascii="Arial" w:hAnsi="Arial" w:cs="Arial"/>
      <w:color w:val="000000"/>
      <w:sz w:val="24"/>
      <w:szCs w:val="24"/>
    </w:rPr>
  </w:style>
  <w:style w:type="character" w:styleId="CommentReference">
    <w:name w:val="annotation reference"/>
    <w:semiHidden/>
    <w:unhideWhenUsed/>
    <w:rsid w:val="009E47E0"/>
    <w:rPr>
      <w:sz w:val="16"/>
      <w:szCs w:val="16"/>
    </w:rPr>
  </w:style>
  <w:style w:type="paragraph" w:styleId="CommentText">
    <w:name w:val="annotation text"/>
    <w:basedOn w:val="Normal"/>
    <w:link w:val="CommentTextChar"/>
    <w:semiHidden/>
    <w:unhideWhenUsed/>
    <w:rsid w:val="009E47E0"/>
    <w:rPr>
      <w:szCs w:val="20"/>
    </w:rPr>
  </w:style>
  <w:style w:type="character" w:customStyle="1" w:styleId="CommentTextChar">
    <w:name w:val="Comment Text Char"/>
    <w:link w:val="CommentText"/>
    <w:semiHidden/>
    <w:rsid w:val="009E47E0"/>
    <w:rPr>
      <w:rFonts w:ascii="Arial" w:hAnsi="Arial"/>
      <w:lang w:eastAsia="en-US"/>
    </w:rPr>
  </w:style>
  <w:style w:type="paragraph" w:styleId="CommentSubject">
    <w:name w:val="annotation subject"/>
    <w:basedOn w:val="CommentText"/>
    <w:next w:val="CommentText"/>
    <w:link w:val="CommentSubjectChar"/>
    <w:semiHidden/>
    <w:unhideWhenUsed/>
    <w:rsid w:val="009E47E0"/>
    <w:rPr>
      <w:b/>
      <w:bCs/>
    </w:rPr>
  </w:style>
  <w:style w:type="character" w:customStyle="1" w:styleId="CommentSubjectChar">
    <w:name w:val="Comment Subject Char"/>
    <w:link w:val="CommentSubject"/>
    <w:semiHidden/>
    <w:rsid w:val="009E47E0"/>
    <w:rPr>
      <w:rFonts w:ascii="Arial" w:hAnsi="Arial"/>
      <w:b/>
      <w:bCs/>
      <w:lang w:eastAsia="en-US"/>
    </w:rPr>
  </w:style>
  <w:style w:type="character" w:styleId="FollowedHyperlink">
    <w:name w:val="FollowedHyperlink"/>
    <w:semiHidden/>
    <w:unhideWhenUsed/>
    <w:rsid w:val="00BE5903"/>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9832852">
      <w:bodyDiv w:val="1"/>
      <w:marLeft w:val="0"/>
      <w:marRight w:val="0"/>
      <w:marTop w:val="0"/>
      <w:marBottom w:val="0"/>
      <w:divBdr>
        <w:top w:val="none" w:sz="0" w:space="0" w:color="auto"/>
        <w:left w:val="none" w:sz="0" w:space="0" w:color="auto"/>
        <w:bottom w:val="none" w:sz="0" w:space="0" w:color="auto"/>
        <w:right w:val="none" w:sz="0" w:space="0" w:color="auto"/>
      </w:divBdr>
      <w:divsChild>
        <w:div w:id="578370589">
          <w:marLeft w:val="0"/>
          <w:marRight w:val="0"/>
          <w:marTop w:val="0"/>
          <w:marBottom w:val="0"/>
          <w:divBdr>
            <w:top w:val="none" w:sz="0" w:space="0" w:color="auto"/>
            <w:left w:val="none" w:sz="0" w:space="0" w:color="auto"/>
            <w:bottom w:val="none" w:sz="0" w:space="0" w:color="auto"/>
            <w:right w:val="none" w:sz="0" w:space="0" w:color="auto"/>
          </w:divBdr>
        </w:div>
        <w:div w:id="630868108">
          <w:marLeft w:val="0"/>
          <w:marRight w:val="0"/>
          <w:marTop w:val="0"/>
          <w:marBottom w:val="0"/>
          <w:divBdr>
            <w:top w:val="none" w:sz="0" w:space="0" w:color="auto"/>
            <w:left w:val="none" w:sz="0" w:space="0" w:color="auto"/>
            <w:bottom w:val="none" w:sz="0" w:space="0" w:color="auto"/>
            <w:right w:val="none" w:sz="0" w:space="0" w:color="auto"/>
          </w:divBdr>
        </w:div>
        <w:div w:id="899173037">
          <w:marLeft w:val="0"/>
          <w:marRight w:val="0"/>
          <w:marTop w:val="0"/>
          <w:marBottom w:val="0"/>
          <w:divBdr>
            <w:top w:val="none" w:sz="0" w:space="0" w:color="auto"/>
            <w:left w:val="none" w:sz="0" w:space="0" w:color="auto"/>
            <w:bottom w:val="none" w:sz="0" w:space="0" w:color="auto"/>
            <w:right w:val="none" w:sz="0" w:space="0" w:color="auto"/>
          </w:divBdr>
        </w:div>
        <w:div w:id="945113618">
          <w:marLeft w:val="0"/>
          <w:marRight w:val="0"/>
          <w:marTop w:val="0"/>
          <w:marBottom w:val="0"/>
          <w:divBdr>
            <w:top w:val="none" w:sz="0" w:space="0" w:color="auto"/>
            <w:left w:val="none" w:sz="0" w:space="0" w:color="auto"/>
            <w:bottom w:val="none" w:sz="0" w:space="0" w:color="auto"/>
            <w:right w:val="none" w:sz="0" w:space="0" w:color="auto"/>
          </w:divBdr>
        </w:div>
        <w:div w:id="1121921705">
          <w:marLeft w:val="0"/>
          <w:marRight w:val="0"/>
          <w:marTop w:val="0"/>
          <w:marBottom w:val="0"/>
          <w:divBdr>
            <w:top w:val="none" w:sz="0" w:space="0" w:color="auto"/>
            <w:left w:val="none" w:sz="0" w:space="0" w:color="auto"/>
            <w:bottom w:val="none" w:sz="0" w:space="0" w:color="auto"/>
            <w:right w:val="none" w:sz="0" w:space="0" w:color="auto"/>
          </w:divBdr>
        </w:div>
        <w:div w:id="1601646922">
          <w:marLeft w:val="0"/>
          <w:marRight w:val="0"/>
          <w:marTop w:val="0"/>
          <w:marBottom w:val="0"/>
          <w:divBdr>
            <w:top w:val="none" w:sz="0" w:space="0" w:color="auto"/>
            <w:left w:val="none" w:sz="0" w:space="0" w:color="auto"/>
            <w:bottom w:val="none" w:sz="0" w:space="0" w:color="auto"/>
            <w:right w:val="none" w:sz="0" w:space="0" w:color="auto"/>
          </w:divBdr>
        </w:div>
        <w:div w:id="207534803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lbourne.vic.gov.au/business/Pages/business-concierge-service.aspx" TargetMode="External"/><Relationship Id="rId13" Type="http://schemas.openxmlformats.org/officeDocument/2006/relationships/hyperlink" Target="https://www.melbourne.vic.gov.au/qvmrenewal" TargetMode="External"/><Relationship Id="rId18" Type="http://schemas.openxmlformats.org/officeDocument/2006/relationships/hyperlink" Target="https://participate.melbourne.vic.gov.au/city-river-strategy"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participate.melbourne.vic.gov.au/greenline/implementation-plan-overview" TargetMode="External"/><Relationship Id="rId17" Type="http://schemas.openxmlformats.org/officeDocument/2006/relationships/hyperlink" Target="https://www.fishermansbend.vic.gov.au/" TargetMode="External"/><Relationship Id="rId2" Type="http://schemas.openxmlformats.org/officeDocument/2006/relationships/styles" Target="styles.xml"/><Relationship Id="rId16" Type="http://schemas.openxmlformats.org/officeDocument/2006/relationships/hyperlink" Target="https://participate.melbourne.vic.gov.au/macaulay-refresh"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elbourne.vic.gov.au/about-council/vision-goals/Pages/united-nations-sustainable-development-goals.aspx" TargetMode="External"/><Relationship Id="rId5" Type="http://schemas.openxmlformats.org/officeDocument/2006/relationships/footnotes" Target="footnotes.xml"/><Relationship Id="rId15" Type="http://schemas.openxmlformats.org/officeDocument/2006/relationships/hyperlink" Target="https://participate.melbourne.vic.gov.au/arden/plan" TargetMode="External"/><Relationship Id="rId10" Type="http://schemas.openxmlformats.org/officeDocument/2006/relationships/hyperlink" Target="https://www.melbourne.vic.gov.au/arts-and-culture/strategies-support/funding/Pages/event-partnership-program.asp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elbourne.vic.gov.au/about-council/vision-goals/Pages/economic-development-strategy-2031.aspx" TargetMode="External"/><Relationship Id="rId14" Type="http://schemas.openxmlformats.org/officeDocument/2006/relationships/hyperlink" Target="https://www.melbourne.vic.gov.au/qvmrenew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4564</Words>
  <Characters>26017</Characters>
  <Application>Microsoft Office Word</Application>
  <DocSecurity>0</DocSecurity>
  <Lines>216</Lines>
  <Paragraphs>61</Paragraphs>
  <ScaleCrop>false</ScaleCrop>
  <LinksUpToDate>false</LinksUpToDate>
  <CharactersWithSpaces>30520</CharactersWithSpaces>
  <SharedDoc>false</SharedDoc>
  <HLinks>
    <vt:vector size="246" baseType="variant">
      <vt:variant>
        <vt:i4>1966081</vt:i4>
      </vt:variant>
      <vt:variant>
        <vt:i4>216</vt:i4>
      </vt:variant>
      <vt:variant>
        <vt:i4>0</vt:i4>
      </vt:variant>
      <vt:variant>
        <vt:i4>5</vt:i4>
      </vt:variant>
      <vt:variant>
        <vt:lpwstr>https://participate.melbourne.vic.gov.au/city-river-strategy</vt:lpwstr>
      </vt:variant>
      <vt:variant>
        <vt:lpwstr/>
      </vt:variant>
      <vt:variant>
        <vt:i4>6422626</vt:i4>
      </vt:variant>
      <vt:variant>
        <vt:i4>213</vt:i4>
      </vt:variant>
      <vt:variant>
        <vt:i4>0</vt:i4>
      </vt:variant>
      <vt:variant>
        <vt:i4>5</vt:i4>
      </vt:variant>
      <vt:variant>
        <vt:lpwstr>https://www.fishermansbend.vic.gov.au/</vt:lpwstr>
      </vt:variant>
      <vt:variant>
        <vt:lpwstr/>
      </vt:variant>
      <vt:variant>
        <vt:i4>6225937</vt:i4>
      </vt:variant>
      <vt:variant>
        <vt:i4>210</vt:i4>
      </vt:variant>
      <vt:variant>
        <vt:i4>0</vt:i4>
      </vt:variant>
      <vt:variant>
        <vt:i4>5</vt:i4>
      </vt:variant>
      <vt:variant>
        <vt:lpwstr>https://participate.melbourne.vic.gov.au/macaulay-refresh</vt:lpwstr>
      </vt:variant>
      <vt:variant>
        <vt:lpwstr/>
      </vt:variant>
      <vt:variant>
        <vt:i4>7733281</vt:i4>
      </vt:variant>
      <vt:variant>
        <vt:i4>207</vt:i4>
      </vt:variant>
      <vt:variant>
        <vt:i4>0</vt:i4>
      </vt:variant>
      <vt:variant>
        <vt:i4>5</vt:i4>
      </vt:variant>
      <vt:variant>
        <vt:lpwstr>https://participate.melbourne.vic.gov.au/arden/plan</vt:lpwstr>
      </vt:variant>
      <vt:variant>
        <vt:lpwstr/>
      </vt:variant>
      <vt:variant>
        <vt:i4>7602286</vt:i4>
      </vt:variant>
      <vt:variant>
        <vt:i4>201</vt:i4>
      </vt:variant>
      <vt:variant>
        <vt:i4>0</vt:i4>
      </vt:variant>
      <vt:variant>
        <vt:i4>5</vt:i4>
      </vt:variant>
      <vt:variant>
        <vt:lpwstr>https://www.melbourne.vic.gov.au/qvmrenewal</vt:lpwstr>
      </vt:variant>
      <vt:variant>
        <vt:lpwstr/>
      </vt:variant>
      <vt:variant>
        <vt:i4>7602286</vt:i4>
      </vt:variant>
      <vt:variant>
        <vt:i4>198</vt:i4>
      </vt:variant>
      <vt:variant>
        <vt:i4>0</vt:i4>
      </vt:variant>
      <vt:variant>
        <vt:i4>5</vt:i4>
      </vt:variant>
      <vt:variant>
        <vt:lpwstr>https://www.melbourne.vic.gov.au/qvmrenewal</vt:lpwstr>
      </vt:variant>
      <vt:variant>
        <vt:lpwstr/>
      </vt:variant>
      <vt:variant>
        <vt:i4>2883706</vt:i4>
      </vt:variant>
      <vt:variant>
        <vt:i4>195</vt:i4>
      </vt:variant>
      <vt:variant>
        <vt:i4>0</vt:i4>
      </vt:variant>
      <vt:variant>
        <vt:i4>5</vt:i4>
      </vt:variant>
      <vt:variant>
        <vt:lpwstr>https://participate.melbourne.vic.gov.au/greenline/implementation-plan-overview</vt:lpwstr>
      </vt:variant>
      <vt:variant>
        <vt:lpwstr/>
      </vt:variant>
      <vt:variant>
        <vt:i4>2162745</vt:i4>
      </vt:variant>
      <vt:variant>
        <vt:i4>192</vt:i4>
      </vt:variant>
      <vt:variant>
        <vt:i4>0</vt:i4>
      </vt:variant>
      <vt:variant>
        <vt:i4>5</vt:i4>
      </vt:variant>
      <vt:variant>
        <vt:lpwstr>https://www.melbourne.vic.gov.au/about-council/vision-goals/Pages/united-nations-sustainable-development-goals.aspx</vt:lpwstr>
      </vt:variant>
      <vt:variant>
        <vt:lpwstr/>
      </vt:variant>
      <vt:variant>
        <vt:i4>6094922</vt:i4>
      </vt:variant>
      <vt:variant>
        <vt:i4>189</vt:i4>
      </vt:variant>
      <vt:variant>
        <vt:i4>0</vt:i4>
      </vt:variant>
      <vt:variant>
        <vt:i4>5</vt:i4>
      </vt:variant>
      <vt:variant>
        <vt:lpwstr>https://www.melbourne.vic.gov.au/arts-and-culture/strategies-support/funding/Pages/event-partnership-program.aspx</vt:lpwstr>
      </vt:variant>
      <vt:variant>
        <vt:lpwstr/>
      </vt:variant>
      <vt:variant>
        <vt:i4>1638468</vt:i4>
      </vt:variant>
      <vt:variant>
        <vt:i4>186</vt:i4>
      </vt:variant>
      <vt:variant>
        <vt:i4>0</vt:i4>
      </vt:variant>
      <vt:variant>
        <vt:i4>5</vt:i4>
      </vt:variant>
      <vt:variant>
        <vt:lpwstr>https://www.melbourne.vic.gov.au/about-council/vision-goals/Pages/economic-development-strategy-2031.aspx</vt:lpwstr>
      </vt:variant>
      <vt:variant>
        <vt:lpwstr/>
      </vt:variant>
      <vt:variant>
        <vt:i4>6553650</vt:i4>
      </vt:variant>
      <vt:variant>
        <vt:i4>183</vt:i4>
      </vt:variant>
      <vt:variant>
        <vt:i4>0</vt:i4>
      </vt:variant>
      <vt:variant>
        <vt:i4>5</vt:i4>
      </vt:variant>
      <vt:variant>
        <vt:lpwstr>https://www.melbourne.vic.gov.au/business/Pages/business-concierge-service.aspx</vt:lpwstr>
      </vt:variant>
      <vt:variant>
        <vt:lpwstr/>
      </vt:variant>
      <vt:variant>
        <vt:i4>1966131</vt:i4>
      </vt:variant>
      <vt:variant>
        <vt:i4>176</vt:i4>
      </vt:variant>
      <vt:variant>
        <vt:i4>0</vt:i4>
      </vt:variant>
      <vt:variant>
        <vt:i4>5</vt:i4>
      </vt:variant>
      <vt:variant>
        <vt:lpwstr/>
      </vt:variant>
      <vt:variant>
        <vt:lpwstr>_Toc193203114</vt:lpwstr>
      </vt:variant>
      <vt:variant>
        <vt:i4>1966131</vt:i4>
      </vt:variant>
      <vt:variant>
        <vt:i4>170</vt:i4>
      </vt:variant>
      <vt:variant>
        <vt:i4>0</vt:i4>
      </vt:variant>
      <vt:variant>
        <vt:i4>5</vt:i4>
      </vt:variant>
      <vt:variant>
        <vt:lpwstr/>
      </vt:variant>
      <vt:variant>
        <vt:lpwstr>_Toc193203113</vt:lpwstr>
      </vt:variant>
      <vt:variant>
        <vt:i4>1966131</vt:i4>
      </vt:variant>
      <vt:variant>
        <vt:i4>164</vt:i4>
      </vt:variant>
      <vt:variant>
        <vt:i4>0</vt:i4>
      </vt:variant>
      <vt:variant>
        <vt:i4>5</vt:i4>
      </vt:variant>
      <vt:variant>
        <vt:lpwstr/>
      </vt:variant>
      <vt:variant>
        <vt:lpwstr>_Toc193203112</vt:lpwstr>
      </vt:variant>
      <vt:variant>
        <vt:i4>1966131</vt:i4>
      </vt:variant>
      <vt:variant>
        <vt:i4>158</vt:i4>
      </vt:variant>
      <vt:variant>
        <vt:i4>0</vt:i4>
      </vt:variant>
      <vt:variant>
        <vt:i4>5</vt:i4>
      </vt:variant>
      <vt:variant>
        <vt:lpwstr/>
      </vt:variant>
      <vt:variant>
        <vt:lpwstr>_Toc193203111</vt:lpwstr>
      </vt:variant>
      <vt:variant>
        <vt:i4>1966131</vt:i4>
      </vt:variant>
      <vt:variant>
        <vt:i4>152</vt:i4>
      </vt:variant>
      <vt:variant>
        <vt:i4>0</vt:i4>
      </vt:variant>
      <vt:variant>
        <vt:i4>5</vt:i4>
      </vt:variant>
      <vt:variant>
        <vt:lpwstr/>
      </vt:variant>
      <vt:variant>
        <vt:lpwstr>_Toc193203110</vt:lpwstr>
      </vt:variant>
      <vt:variant>
        <vt:i4>2031667</vt:i4>
      </vt:variant>
      <vt:variant>
        <vt:i4>146</vt:i4>
      </vt:variant>
      <vt:variant>
        <vt:i4>0</vt:i4>
      </vt:variant>
      <vt:variant>
        <vt:i4>5</vt:i4>
      </vt:variant>
      <vt:variant>
        <vt:lpwstr/>
      </vt:variant>
      <vt:variant>
        <vt:lpwstr>_Toc193203109</vt:lpwstr>
      </vt:variant>
      <vt:variant>
        <vt:i4>2031667</vt:i4>
      </vt:variant>
      <vt:variant>
        <vt:i4>140</vt:i4>
      </vt:variant>
      <vt:variant>
        <vt:i4>0</vt:i4>
      </vt:variant>
      <vt:variant>
        <vt:i4>5</vt:i4>
      </vt:variant>
      <vt:variant>
        <vt:lpwstr/>
      </vt:variant>
      <vt:variant>
        <vt:lpwstr>_Toc193203108</vt:lpwstr>
      </vt:variant>
      <vt:variant>
        <vt:i4>2031667</vt:i4>
      </vt:variant>
      <vt:variant>
        <vt:i4>134</vt:i4>
      </vt:variant>
      <vt:variant>
        <vt:i4>0</vt:i4>
      </vt:variant>
      <vt:variant>
        <vt:i4>5</vt:i4>
      </vt:variant>
      <vt:variant>
        <vt:lpwstr/>
      </vt:variant>
      <vt:variant>
        <vt:lpwstr>_Toc193203107</vt:lpwstr>
      </vt:variant>
      <vt:variant>
        <vt:i4>2031667</vt:i4>
      </vt:variant>
      <vt:variant>
        <vt:i4>128</vt:i4>
      </vt:variant>
      <vt:variant>
        <vt:i4>0</vt:i4>
      </vt:variant>
      <vt:variant>
        <vt:i4>5</vt:i4>
      </vt:variant>
      <vt:variant>
        <vt:lpwstr/>
      </vt:variant>
      <vt:variant>
        <vt:lpwstr>_Toc193203106</vt:lpwstr>
      </vt:variant>
      <vt:variant>
        <vt:i4>2031667</vt:i4>
      </vt:variant>
      <vt:variant>
        <vt:i4>122</vt:i4>
      </vt:variant>
      <vt:variant>
        <vt:i4>0</vt:i4>
      </vt:variant>
      <vt:variant>
        <vt:i4>5</vt:i4>
      </vt:variant>
      <vt:variant>
        <vt:lpwstr/>
      </vt:variant>
      <vt:variant>
        <vt:lpwstr>_Toc193203105</vt:lpwstr>
      </vt:variant>
      <vt:variant>
        <vt:i4>2031667</vt:i4>
      </vt:variant>
      <vt:variant>
        <vt:i4>116</vt:i4>
      </vt:variant>
      <vt:variant>
        <vt:i4>0</vt:i4>
      </vt:variant>
      <vt:variant>
        <vt:i4>5</vt:i4>
      </vt:variant>
      <vt:variant>
        <vt:lpwstr/>
      </vt:variant>
      <vt:variant>
        <vt:lpwstr>_Toc193203104</vt:lpwstr>
      </vt:variant>
      <vt:variant>
        <vt:i4>2031667</vt:i4>
      </vt:variant>
      <vt:variant>
        <vt:i4>110</vt:i4>
      </vt:variant>
      <vt:variant>
        <vt:i4>0</vt:i4>
      </vt:variant>
      <vt:variant>
        <vt:i4>5</vt:i4>
      </vt:variant>
      <vt:variant>
        <vt:lpwstr/>
      </vt:variant>
      <vt:variant>
        <vt:lpwstr>_Toc193203103</vt:lpwstr>
      </vt:variant>
      <vt:variant>
        <vt:i4>2031667</vt:i4>
      </vt:variant>
      <vt:variant>
        <vt:i4>104</vt:i4>
      </vt:variant>
      <vt:variant>
        <vt:i4>0</vt:i4>
      </vt:variant>
      <vt:variant>
        <vt:i4>5</vt:i4>
      </vt:variant>
      <vt:variant>
        <vt:lpwstr/>
      </vt:variant>
      <vt:variant>
        <vt:lpwstr>_Toc193203102</vt:lpwstr>
      </vt:variant>
      <vt:variant>
        <vt:i4>2031667</vt:i4>
      </vt:variant>
      <vt:variant>
        <vt:i4>98</vt:i4>
      </vt:variant>
      <vt:variant>
        <vt:i4>0</vt:i4>
      </vt:variant>
      <vt:variant>
        <vt:i4>5</vt:i4>
      </vt:variant>
      <vt:variant>
        <vt:lpwstr/>
      </vt:variant>
      <vt:variant>
        <vt:lpwstr>_Toc193203101</vt:lpwstr>
      </vt:variant>
      <vt:variant>
        <vt:i4>2031667</vt:i4>
      </vt:variant>
      <vt:variant>
        <vt:i4>92</vt:i4>
      </vt:variant>
      <vt:variant>
        <vt:i4>0</vt:i4>
      </vt:variant>
      <vt:variant>
        <vt:i4>5</vt:i4>
      </vt:variant>
      <vt:variant>
        <vt:lpwstr/>
      </vt:variant>
      <vt:variant>
        <vt:lpwstr>_Toc193203100</vt:lpwstr>
      </vt:variant>
      <vt:variant>
        <vt:i4>1441842</vt:i4>
      </vt:variant>
      <vt:variant>
        <vt:i4>86</vt:i4>
      </vt:variant>
      <vt:variant>
        <vt:i4>0</vt:i4>
      </vt:variant>
      <vt:variant>
        <vt:i4>5</vt:i4>
      </vt:variant>
      <vt:variant>
        <vt:lpwstr/>
      </vt:variant>
      <vt:variant>
        <vt:lpwstr>_Toc193203099</vt:lpwstr>
      </vt:variant>
      <vt:variant>
        <vt:i4>1441842</vt:i4>
      </vt:variant>
      <vt:variant>
        <vt:i4>80</vt:i4>
      </vt:variant>
      <vt:variant>
        <vt:i4>0</vt:i4>
      </vt:variant>
      <vt:variant>
        <vt:i4>5</vt:i4>
      </vt:variant>
      <vt:variant>
        <vt:lpwstr/>
      </vt:variant>
      <vt:variant>
        <vt:lpwstr>_Toc193203098</vt:lpwstr>
      </vt:variant>
      <vt:variant>
        <vt:i4>1441842</vt:i4>
      </vt:variant>
      <vt:variant>
        <vt:i4>74</vt:i4>
      </vt:variant>
      <vt:variant>
        <vt:i4>0</vt:i4>
      </vt:variant>
      <vt:variant>
        <vt:i4>5</vt:i4>
      </vt:variant>
      <vt:variant>
        <vt:lpwstr/>
      </vt:variant>
      <vt:variant>
        <vt:lpwstr>_Toc193203097</vt:lpwstr>
      </vt:variant>
      <vt:variant>
        <vt:i4>1441842</vt:i4>
      </vt:variant>
      <vt:variant>
        <vt:i4>68</vt:i4>
      </vt:variant>
      <vt:variant>
        <vt:i4>0</vt:i4>
      </vt:variant>
      <vt:variant>
        <vt:i4>5</vt:i4>
      </vt:variant>
      <vt:variant>
        <vt:lpwstr/>
      </vt:variant>
      <vt:variant>
        <vt:lpwstr>_Toc193203096</vt:lpwstr>
      </vt:variant>
      <vt:variant>
        <vt:i4>1441842</vt:i4>
      </vt:variant>
      <vt:variant>
        <vt:i4>62</vt:i4>
      </vt:variant>
      <vt:variant>
        <vt:i4>0</vt:i4>
      </vt:variant>
      <vt:variant>
        <vt:i4>5</vt:i4>
      </vt:variant>
      <vt:variant>
        <vt:lpwstr/>
      </vt:variant>
      <vt:variant>
        <vt:lpwstr>_Toc193203095</vt:lpwstr>
      </vt:variant>
      <vt:variant>
        <vt:i4>1441842</vt:i4>
      </vt:variant>
      <vt:variant>
        <vt:i4>56</vt:i4>
      </vt:variant>
      <vt:variant>
        <vt:i4>0</vt:i4>
      </vt:variant>
      <vt:variant>
        <vt:i4>5</vt:i4>
      </vt:variant>
      <vt:variant>
        <vt:lpwstr/>
      </vt:variant>
      <vt:variant>
        <vt:lpwstr>_Toc193203094</vt:lpwstr>
      </vt:variant>
      <vt:variant>
        <vt:i4>1441842</vt:i4>
      </vt:variant>
      <vt:variant>
        <vt:i4>50</vt:i4>
      </vt:variant>
      <vt:variant>
        <vt:i4>0</vt:i4>
      </vt:variant>
      <vt:variant>
        <vt:i4>5</vt:i4>
      </vt:variant>
      <vt:variant>
        <vt:lpwstr/>
      </vt:variant>
      <vt:variant>
        <vt:lpwstr>_Toc193203093</vt:lpwstr>
      </vt:variant>
      <vt:variant>
        <vt:i4>1441842</vt:i4>
      </vt:variant>
      <vt:variant>
        <vt:i4>44</vt:i4>
      </vt:variant>
      <vt:variant>
        <vt:i4>0</vt:i4>
      </vt:variant>
      <vt:variant>
        <vt:i4>5</vt:i4>
      </vt:variant>
      <vt:variant>
        <vt:lpwstr/>
      </vt:variant>
      <vt:variant>
        <vt:lpwstr>_Toc193203092</vt:lpwstr>
      </vt:variant>
      <vt:variant>
        <vt:i4>1441842</vt:i4>
      </vt:variant>
      <vt:variant>
        <vt:i4>38</vt:i4>
      </vt:variant>
      <vt:variant>
        <vt:i4>0</vt:i4>
      </vt:variant>
      <vt:variant>
        <vt:i4>5</vt:i4>
      </vt:variant>
      <vt:variant>
        <vt:lpwstr/>
      </vt:variant>
      <vt:variant>
        <vt:lpwstr>_Toc193203091</vt:lpwstr>
      </vt:variant>
      <vt:variant>
        <vt:i4>1441842</vt:i4>
      </vt:variant>
      <vt:variant>
        <vt:i4>32</vt:i4>
      </vt:variant>
      <vt:variant>
        <vt:i4>0</vt:i4>
      </vt:variant>
      <vt:variant>
        <vt:i4>5</vt:i4>
      </vt:variant>
      <vt:variant>
        <vt:lpwstr/>
      </vt:variant>
      <vt:variant>
        <vt:lpwstr>_Toc193203090</vt:lpwstr>
      </vt:variant>
      <vt:variant>
        <vt:i4>1507378</vt:i4>
      </vt:variant>
      <vt:variant>
        <vt:i4>26</vt:i4>
      </vt:variant>
      <vt:variant>
        <vt:i4>0</vt:i4>
      </vt:variant>
      <vt:variant>
        <vt:i4>5</vt:i4>
      </vt:variant>
      <vt:variant>
        <vt:lpwstr/>
      </vt:variant>
      <vt:variant>
        <vt:lpwstr>_Toc193203089</vt:lpwstr>
      </vt:variant>
      <vt:variant>
        <vt:i4>1507378</vt:i4>
      </vt:variant>
      <vt:variant>
        <vt:i4>20</vt:i4>
      </vt:variant>
      <vt:variant>
        <vt:i4>0</vt:i4>
      </vt:variant>
      <vt:variant>
        <vt:i4>5</vt:i4>
      </vt:variant>
      <vt:variant>
        <vt:lpwstr/>
      </vt:variant>
      <vt:variant>
        <vt:lpwstr>_Toc193203088</vt:lpwstr>
      </vt:variant>
      <vt:variant>
        <vt:i4>1507378</vt:i4>
      </vt:variant>
      <vt:variant>
        <vt:i4>14</vt:i4>
      </vt:variant>
      <vt:variant>
        <vt:i4>0</vt:i4>
      </vt:variant>
      <vt:variant>
        <vt:i4>5</vt:i4>
      </vt:variant>
      <vt:variant>
        <vt:lpwstr/>
      </vt:variant>
      <vt:variant>
        <vt:lpwstr>_Toc193203087</vt:lpwstr>
      </vt:variant>
      <vt:variant>
        <vt:i4>1507378</vt:i4>
      </vt:variant>
      <vt:variant>
        <vt:i4>8</vt:i4>
      </vt:variant>
      <vt:variant>
        <vt:i4>0</vt:i4>
      </vt:variant>
      <vt:variant>
        <vt:i4>5</vt:i4>
      </vt:variant>
      <vt:variant>
        <vt:lpwstr/>
      </vt:variant>
      <vt:variant>
        <vt:lpwstr>_Toc193203086</vt:lpwstr>
      </vt:variant>
      <vt:variant>
        <vt:i4>1507378</vt:i4>
      </vt:variant>
      <vt:variant>
        <vt:i4>2</vt:i4>
      </vt:variant>
      <vt:variant>
        <vt:i4>0</vt:i4>
      </vt:variant>
      <vt:variant>
        <vt:i4>5</vt:i4>
      </vt:variant>
      <vt:variant>
        <vt:lpwstr/>
      </vt:variant>
      <vt:variant>
        <vt:lpwstr>_Toc193203085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2025-03-18T23:24:00Z</dcterms:created>
  <dcterms:modified xsi:type="dcterms:W3CDTF">2025-03-18T23:25:00Z</dcterms:modified>
</cp:coreProperties>
</file>