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737A99" w:rsidRPr="00537E40" w:rsidRDefault="00643255" w:rsidP="00020B35">
      <w:pPr>
        <w:spacing w:after="0"/>
        <w:jc w:val="right"/>
      </w:pPr>
      <w:r w:rsidRPr="00625963">
        <w:rPr>
          <w:noProof/>
          <w:lang w:eastAsia="en-AU"/>
        </w:rPr>
        <w:drawing>
          <wp:inline distT="0" distB="0" distL="0" distR="0" wp14:anchorId="3F65FB7C" wp14:editId="07777777">
            <wp:extent cx="986790" cy="960120"/>
            <wp:effectExtent l="0" t="0" r="0" b="0"/>
            <wp:docPr id="1" name="Picture 1" descr="City of Melbou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of Melbourn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86790" cy="960120"/>
                    </a:xfrm>
                    <a:prstGeom prst="rect">
                      <a:avLst/>
                    </a:prstGeom>
                    <a:noFill/>
                    <a:ln>
                      <a:noFill/>
                    </a:ln>
                  </pic:spPr>
                </pic:pic>
              </a:graphicData>
            </a:graphic>
          </wp:inline>
        </w:drawing>
      </w:r>
    </w:p>
    <w:p w14:paraId="6310957D" w14:textId="6BE21812" w:rsidR="000742EB" w:rsidRPr="00917227" w:rsidRDefault="007949CF" w:rsidP="00D60FD1">
      <w:pPr>
        <w:pStyle w:val="Subtitle"/>
        <w:spacing w:before="3360"/>
        <w:rPr>
          <w:sz w:val="36"/>
          <w:szCs w:val="36"/>
        </w:rPr>
      </w:pPr>
      <w:bookmarkStart w:id="0" w:name="_Toc403992342"/>
      <w:bookmarkStart w:id="1" w:name="_Toc403992578"/>
      <w:bookmarkStart w:id="2" w:name="_Toc403992662"/>
      <w:r w:rsidRPr="00537E40">
        <w:t>City of Melbourne</w:t>
      </w:r>
      <w:r w:rsidR="000742EB">
        <w:t xml:space="preserve"> </w:t>
      </w:r>
      <w:r w:rsidRPr="00537E40">
        <w:t>Population</w:t>
      </w:r>
      <w:r w:rsidR="009A15FD">
        <w:t>,</w:t>
      </w:r>
      <w:r w:rsidRPr="00537E40">
        <w:t xml:space="preserve"> Jobs</w:t>
      </w:r>
      <w:r w:rsidR="009A15FD">
        <w:t xml:space="preserve"> and Land Use</w:t>
      </w:r>
      <w:r w:rsidRPr="00537E40">
        <w:t xml:space="preserve"> Forecasts</w:t>
      </w:r>
      <w:bookmarkEnd w:id="0"/>
      <w:bookmarkEnd w:id="1"/>
      <w:bookmarkEnd w:id="2"/>
      <w:r w:rsidR="00E91B42">
        <w:t xml:space="preserve"> 202</w:t>
      </w:r>
      <w:r w:rsidR="009A15FD">
        <w:t>3</w:t>
      </w:r>
      <w:r w:rsidR="00E91B42">
        <w:t>-204</w:t>
      </w:r>
      <w:r w:rsidR="009A15FD">
        <w:t>3</w:t>
      </w:r>
    </w:p>
    <w:p w14:paraId="5F85B705" w14:textId="4AA8A23D" w:rsidR="000F3535" w:rsidRDefault="001B3AA2" w:rsidP="001B51BF">
      <w:pPr>
        <w:pStyle w:val="Subtitle"/>
      </w:pPr>
      <w:r w:rsidRPr="00537E40">
        <w:t xml:space="preserve">Summary </w:t>
      </w:r>
      <w:r w:rsidR="001D104E">
        <w:t>r</w:t>
      </w:r>
      <w:r w:rsidR="0049069D" w:rsidRPr="00537E40">
        <w:t xml:space="preserve">eport </w:t>
      </w:r>
      <w:r w:rsidR="00E91B42">
        <w:t>202</w:t>
      </w:r>
      <w:r w:rsidR="009A15FD">
        <w:t>4</w:t>
      </w:r>
    </w:p>
    <w:p w14:paraId="406425CA" w14:textId="77777777" w:rsidR="00B152AF" w:rsidRPr="00537E40" w:rsidRDefault="00020B35" w:rsidP="00020B35">
      <w:pPr>
        <w:pStyle w:val="TOCHeading"/>
        <w:rPr>
          <w:rFonts w:hint="eastAsia"/>
        </w:rPr>
      </w:pPr>
      <w:r w:rsidRPr="00537E40">
        <w:br w:type="page"/>
      </w:r>
      <w:bookmarkStart w:id="3" w:name="_Toc403992663"/>
      <w:bookmarkStart w:id="4" w:name="_Toc403992345"/>
      <w:bookmarkStart w:id="5" w:name="_Toc403992580"/>
      <w:r w:rsidR="00B152AF" w:rsidRPr="00537E40">
        <w:lastRenderedPageBreak/>
        <w:t>Contents</w:t>
      </w:r>
      <w:bookmarkEnd w:id="3"/>
    </w:p>
    <w:p w14:paraId="0DE456AB" w14:textId="0D9E64A2" w:rsidR="00B70B50" w:rsidRDefault="00B152AF">
      <w:pPr>
        <w:pStyle w:val="TOC1"/>
        <w:tabs>
          <w:tab w:val="right" w:leader="dot" w:pos="9769"/>
        </w:tabs>
        <w:rPr>
          <w:rFonts w:asciiTheme="minorHAnsi" w:eastAsiaTheme="minorEastAsia" w:hAnsiTheme="minorHAnsi" w:cstheme="minorBidi"/>
          <w:noProof/>
          <w:kern w:val="2"/>
          <w:sz w:val="22"/>
          <w:szCs w:val="22"/>
          <w:lang w:eastAsia="en-AU"/>
          <w14:ligatures w14:val="standardContextual"/>
        </w:rPr>
      </w:pPr>
      <w:r w:rsidRPr="00537E40">
        <w:fldChar w:fldCharType="begin"/>
      </w:r>
      <w:r w:rsidRPr="00537E40">
        <w:instrText xml:space="preserve"> TOC \o "1-3" \h \z \u </w:instrText>
      </w:r>
      <w:r w:rsidRPr="00537E40">
        <w:fldChar w:fldCharType="separate"/>
      </w:r>
      <w:hyperlink w:anchor="_Toc180519440" w:history="1">
        <w:r w:rsidR="00B70B50" w:rsidRPr="006E6FA3">
          <w:rPr>
            <w:rStyle w:val="Hyperlink"/>
            <w:noProof/>
          </w:rPr>
          <w:t>Introduction</w:t>
        </w:r>
        <w:r w:rsidR="00B70B50">
          <w:rPr>
            <w:noProof/>
            <w:webHidden/>
          </w:rPr>
          <w:tab/>
        </w:r>
        <w:r w:rsidR="00B70B50">
          <w:rPr>
            <w:noProof/>
            <w:webHidden/>
          </w:rPr>
          <w:fldChar w:fldCharType="begin"/>
        </w:r>
        <w:r w:rsidR="00B70B50">
          <w:rPr>
            <w:noProof/>
            <w:webHidden/>
          </w:rPr>
          <w:instrText xml:space="preserve"> PAGEREF _Toc180519440 \h </w:instrText>
        </w:r>
        <w:r w:rsidR="00B70B50">
          <w:rPr>
            <w:noProof/>
            <w:webHidden/>
          </w:rPr>
        </w:r>
        <w:r w:rsidR="00B70B50">
          <w:rPr>
            <w:noProof/>
            <w:webHidden/>
          </w:rPr>
          <w:fldChar w:fldCharType="separate"/>
        </w:r>
        <w:r w:rsidR="00D722F7">
          <w:rPr>
            <w:noProof/>
            <w:webHidden/>
          </w:rPr>
          <w:t>3</w:t>
        </w:r>
        <w:r w:rsidR="00B70B50">
          <w:rPr>
            <w:noProof/>
            <w:webHidden/>
          </w:rPr>
          <w:fldChar w:fldCharType="end"/>
        </w:r>
      </w:hyperlink>
    </w:p>
    <w:p w14:paraId="4C69E04D" w14:textId="4A9E1201" w:rsidR="00B70B50" w:rsidRDefault="00E64E10">
      <w:pPr>
        <w:pStyle w:val="TOC2"/>
        <w:rPr>
          <w:rFonts w:asciiTheme="minorHAnsi" w:eastAsiaTheme="minorEastAsia" w:hAnsiTheme="minorHAnsi" w:cstheme="minorBidi"/>
          <w:noProof/>
          <w:kern w:val="2"/>
          <w:sz w:val="22"/>
          <w:szCs w:val="22"/>
          <w:lang w:eastAsia="en-AU"/>
          <w14:ligatures w14:val="standardContextual"/>
        </w:rPr>
      </w:pPr>
      <w:hyperlink w:anchor="_Toc180519442" w:history="1">
        <w:r w:rsidR="00B70B50" w:rsidRPr="006E6FA3">
          <w:rPr>
            <w:rStyle w:val="Hyperlink"/>
            <w:noProof/>
          </w:rPr>
          <w:t>Forecasts</w:t>
        </w:r>
        <w:r w:rsidR="00B70B50">
          <w:rPr>
            <w:noProof/>
            <w:webHidden/>
          </w:rPr>
          <w:tab/>
        </w:r>
        <w:r w:rsidR="00B70B50">
          <w:rPr>
            <w:noProof/>
            <w:webHidden/>
          </w:rPr>
          <w:fldChar w:fldCharType="begin"/>
        </w:r>
        <w:r w:rsidR="00B70B50">
          <w:rPr>
            <w:noProof/>
            <w:webHidden/>
          </w:rPr>
          <w:instrText xml:space="preserve"> PAGEREF _Toc180519442 \h </w:instrText>
        </w:r>
        <w:r w:rsidR="00B70B50">
          <w:rPr>
            <w:noProof/>
            <w:webHidden/>
          </w:rPr>
        </w:r>
        <w:r w:rsidR="00B70B50">
          <w:rPr>
            <w:noProof/>
            <w:webHidden/>
          </w:rPr>
          <w:fldChar w:fldCharType="separate"/>
        </w:r>
        <w:r w:rsidR="00D722F7">
          <w:rPr>
            <w:noProof/>
            <w:webHidden/>
          </w:rPr>
          <w:t>3</w:t>
        </w:r>
        <w:r w:rsidR="00B70B50">
          <w:rPr>
            <w:noProof/>
            <w:webHidden/>
          </w:rPr>
          <w:fldChar w:fldCharType="end"/>
        </w:r>
      </w:hyperlink>
    </w:p>
    <w:p w14:paraId="14CEB5F4" w14:textId="161988B6" w:rsidR="00B70B50" w:rsidRDefault="00E64E10">
      <w:pPr>
        <w:pStyle w:val="TOC1"/>
        <w:tabs>
          <w:tab w:val="right" w:leader="dot" w:pos="9769"/>
        </w:tabs>
        <w:rPr>
          <w:rFonts w:asciiTheme="minorHAnsi" w:eastAsiaTheme="minorEastAsia" w:hAnsiTheme="minorHAnsi" w:cstheme="minorBidi"/>
          <w:noProof/>
          <w:kern w:val="2"/>
          <w:sz w:val="22"/>
          <w:szCs w:val="22"/>
          <w:lang w:eastAsia="en-AU"/>
          <w14:ligatures w14:val="standardContextual"/>
        </w:rPr>
      </w:pPr>
      <w:hyperlink w:anchor="_Toc180519443" w:history="1">
        <w:r w:rsidR="00B70B50" w:rsidRPr="006E6FA3">
          <w:rPr>
            <w:rStyle w:val="Hyperlink"/>
            <w:noProof/>
          </w:rPr>
          <w:t>Summary</w:t>
        </w:r>
        <w:r w:rsidR="00B70B50">
          <w:rPr>
            <w:noProof/>
            <w:webHidden/>
          </w:rPr>
          <w:tab/>
        </w:r>
        <w:r w:rsidR="00B70B50">
          <w:rPr>
            <w:noProof/>
            <w:webHidden/>
          </w:rPr>
          <w:fldChar w:fldCharType="begin"/>
        </w:r>
        <w:r w:rsidR="00B70B50">
          <w:rPr>
            <w:noProof/>
            <w:webHidden/>
          </w:rPr>
          <w:instrText xml:space="preserve"> PAGEREF _Toc180519443 \h </w:instrText>
        </w:r>
        <w:r w:rsidR="00B70B50">
          <w:rPr>
            <w:noProof/>
            <w:webHidden/>
          </w:rPr>
        </w:r>
        <w:r w:rsidR="00B70B50">
          <w:rPr>
            <w:noProof/>
            <w:webHidden/>
          </w:rPr>
          <w:fldChar w:fldCharType="separate"/>
        </w:r>
        <w:r w:rsidR="00D722F7">
          <w:rPr>
            <w:noProof/>
            <w:webHidden/>
          </w:rPr>
          <w:t>3</w:t>
        </w:r>
        <w:r w:rsidR="00B70B50">
          <w:rPr>
            <w:noProof/>
            <w:webHidden/>
          </w:rPr>
          <w:fldChar w:fldCharType="end"/>
        </w:r>
      </w:hyperlink>
    </w:p>
    <w:p w14:paraId="59270C29" w14:textId="65947A40" w:rsidR="00B70B50" w:rsidRDefault="00E64E10">
      <w:pPr>
        <w:pStyle w:val="TOC2"/>
        <w:rPr>
          <w:rFonts w:asciiTheme="minorHAnsi" w:eastAsiaTheme="minorEastAsia" w:hAnsiTheme="minorHAnsi" w:cstheme="minorBidi"/>
          <w:noProof/>
          <w:kern w:val="2"/>
          <w:sz w:val="22"/>
          <w:szCs w:val="22"/>
          <w:lang w:eastAsia="en-AU"/>
          <w14:ligatures w14:val="standardContextual"/>
        </w:rPr>
      </w:pPr>
      <w:hyperlink w:anchor="_Toc180519444" w:history="1">
        <w:r w:rsidR="00B70B50" w:rsidRPr="006E6FA3">
          <w:rPr>
            <w:rStyle w:val="Hyperlink"/>
            <w:noProof/>
          </w:rPr>
          <w:t>Melbourne municipality: Forecasts 2023, 2033 and 2043</w:t>
        </w:r>
        <w:r w:rsidR="00B70B50">
          <w:rPr>
            <w:noProof/>
            <w:webHidden/>
          </w:rPr>
          <w:tab/>
        </w:r>
        <w:r w:rsidR="00B70B50">
          <w:rPr>
            <w:noProof/>
            <w:webHidden/>
          </w:rPr>
          <w:fldChar w:fldCharType="begin"/>
        </w:r>
        <w:r w:rsidR="00B70B50">
          <w:rPr>
            <w:noProof/>
            <w:webHidden/>
          </w:rPr>
          <w:instrText xml:space="preserve"> PAGEREF _Toc180519444 \h </w:instrText>
        </w:r>
        <w:r w:rsidR="00B70B50">
          <w:rPr>
            <w:noProof/>
            <w:webHidden/>
          </w:rPr>
        </w:r>
        <w:r w:rsidR="00B70B50">
          <w:rPr>
            <w:noProof/>
            <w:webHidden/>
          </w:rPr>
          <w:fldChar w:fldCharType="separate"/>
        </w:r>
        <w:r w:rsidR="00D722F7">
          <w:rPr>
            <w:noProof/>
            <w:webHidden/>
          </w:rPr>
          <w:t>3</w:t>
        </w:r>
        <w:r w:rsidR="00B70B50">
          <w:rPr>
            <w:noProof/>
            <w:webHidden/>
          </w:rPr>
          <w:fldChar w:fldCharType="end"/>
        </w:r>
      </w:hyperlink>
    </w:p>
    <w:p w14:paraId="4A0A556A" w14:textId="37433C96" w:rsidR="00B70B50" w:rsidRDefault="00E64E10">
      <w:pPr>
        <w:pStyle w:val="TOC2"/>
        <w:rPr>
          <w:rFonts w:asciiTheme="minorHAnsi" w:eastAsiaTheme="minorEastAsia" w:hAnsiTheme="minorHAnsi" w:cstheme="minorBidi"/>
          <w:noProof/>
          <w:kern w:val="2"/>
          <w:sz w:val="22"/>
          <w:szCs w:val="22"/>
          <w:lang w:eastAsia="en-AU"/>
          <w14:ligatures w14:val="standardContextual"/>
        </w:rPr>
      </w:pPr>
      <w:hyperlink w:anchor="_Toc180519445" w:history="1">
        <w:r w:rsidR="00B70B50" w:rsidRPr="006E6FA3">
          <w:rPr>
            <w:rStyle w:val="Hyperlink"/>
            <w:noProof/>
          </w:rPr>
          <w:t>Population and jobs growth</w:t>
        </w:r>
        <w:r w:rsidR="00B70B50">
          <w:rPr>
            <w:noProof/>
            <w:webHidden/>
          </w:rPr>
          <w:tab/>
        </w:r>
        <w:r w:rsidR="00B70B50">
          <w:rPr>
            <w:noProof/>
            <w:webHidden/>
          </w:rPr>
          <w:fldChar w:fldCharType="begin"/>
        </w:r>
        <w:r w:rsidR="00B70B50">
          <w:rPr>
            <w:noProof/>
            <w:webHidden/>
          </w:rPr>
          <w:instrText xml:space="preserve"> PAGEREF _Toc180519445 \h </w:instrText>
        </w:r>
        <w:r w:rsidR="00B70B50">
          <w:rPr>
            <w:noProof/>
            <w:webHidden/>
          </w:rPr>
        </w:r>
        <w:r w:rsidR="00B70B50">
          <w:rPr>
            <w:noProof/>
            <w:webHidden/>
          </w:rPr>
          <w:fldChar w:fldCharType="separate"/>
        </w:r>
        <w:r w:rsidR="00D722F7">
          <w:rPr>
            <w:noProof/>
            <w:webHidden/>
          </w:rPr>
          <w:t>4</w:t>
        </w:r>
        <w:r w:rsidR="00B70B50">
          <w:rPr>
            <w:noProof/>
            <w:webHidden/>
          </w:rPr>
          <w:fldChar w:fldCharType="end"/>
        </w:r>
      </w:hyperlink>
    </w:p>
    <w:p w14:paraId="097B9928" w14:textId="00C50B52" w:rsidR="00B70B50" w:rsidRDefault="00E64E10">
      <w:pPr>
        <w:pStyle w:val="TOC2"/>
        <w:rPr>
          <w:rFonts w:asciiTheme="minorHAnsi" w:eastAsiaTheme="minorEastAsia" w:hAnsiTheme="minorHAnsi" w:cstheme="minorBidi"/>
          <w:noProof/>
          <w:kern w:val="2"/>
          <w:sz w:val="22"/>
          <w:szCs w:val="22"/>
          <w:lang w:eastAsia="en-AU"/>
          <w14:ligatures w14:val="standardContextual"/>
        </w:rPr>
      </w:pPr>
      <w:hyperlink w:anchor="_Toc180519446" w:history="1">
        <w:r w:rsidR="00B70B50" w:rsidRPr="006E6FA3">
          <w:rPr>
            <w:rStyle w:val="Hyperlink"/>
            <w:noProof/>
          </w:rPr>
          <w:t>Jobs by industry</w:t>
        </w:r>
        <w:r w:rsidR="00B70B50">
          <w:rPr>
            <w:noProof/>
            <w:webHidden/>
          </w:rPr>
          <w:tab/>
        </w:r>
        <w:r w:rsidR="00B70B50">
          <w:rPr>
            <w:noProof/>
            <w:webHidden/>
          </w:rPr>
          <w:fldChar w:fldCharType="begin"/>
        </w:r>
        <w:r w:rsidR="00B70B50">
          <w:rPr>
            <w:noProof/>
            <w:webHidden/>
          </w:rPr>
          <w:instrText xml:space="preserve"> PAGEREF _Toc180519446 \h </w:instrText>
        </w:r>
        <w:r w:rsidR="00B70B50">
          <w:rPr>
            <w:noProof/>
            <w:webHidden/>
          </w:rPr>
        </w:r>
        <w:r w:rsidR="00B70B50">
          <w:rPr>
            <w:noProof/>
            <w:webHidden/>
          </w:rPr>
          <w:fldChar w:fldCharType="separate"/>
        </w:r>
        <w:r w:rsidR="00D722F7">
          <w:rPr>
            <w:noProof/>
            <w:webHidden/>
          </w:rPr>
          <w:t>6</w:t>
        </w:r>
        <w:r w:rsidR="00B70B50">
          <w:rPr>
            <w:noProof/>
            <w:webHidden/>
          </w:rPr>
          <w:fldChar w:fldCharType="end"/>
        </w:r>
      </w:hyperlink>
    </w:p>
    <w:p w14:paraId="65AF383F" w14:textId="734B1A54" w:rsidR="00B70B50" w:rsidRDefault="00E64E10">
      <w:pPr>
        <w:pStyle w:val="TOC2"/>
        <w:rPr>
          <w:rFonts w:asciiTheme="minorHAnsi" w:eastAsiaTheme="minorEastAsia" w:hAnsiTheme="minorHAnsi" w:cstheme="minorBidi"/>
          <w:noProof/>
          <w:kern w:val="2"/>
          <w:sz w:val="22"/>
          <w:szCs w:val="22"/>
          <w:lang w:eastAsia="en-AU"/>
          <w14:ligatures w14:val="standardContextual"/>
        </w:rPr>
      </w:pPr>
      <w:hyperlink w:anchor="_Toc180519447" w:history="1">
        <w:r w:rsidR="00B70B50" w:rsidRPr="006E6FA3">
          <w:rPr>
            <w:rStyle w:val="Hyperlink"/>
            <w:noProof/>
          </w:rPr>
          <w:t>Floor space (employment)</w:t>
        </w:r>
        <w:r w:rsidR="00B70B50">
          <w:rPr>
            <w:noProof/>
            <w:webHidden/>
          </w:rPr>
          <w:tab/>
        </w:r>
        <w:r w:rsidR="00B70B50">
          <w:rPr>
            <w:noProof/>
            <w:webHidden/>
          </w:rPr>
          <w:fldChar w:fldCharType="begin"/>
        </w:r>
        <w:r w:rsidR="00B70B50">
          <w:rPr>
            <w:noProof/>
            <w:webHidden/>
          </w:rPr>
          <w:instrText xml:space="preserve"> PAGEREF _Toc180519447 \h </w:instrText>
        </w:r>
        <w:r w:rsidR="00B70B50">
          <w:rPr>
            <w:noProof/>
            <w:webHidden/>
          </w:rPr>
        </w:r>
        <w:r w:rsidR="00B70B50">
          <w:rPr>
            <w:noProof/>
            <w:webHidden/>
          </w:rPr>
          <w:fldChar w:fldCharType="separate"/>
        </w:r>
        <w:r w:rsidR="00D722F7">
          <w:rPr>
            <w:noProof/>
            <w:webHidden/>
          </w:rPr>
          <w:t>7</w:t>
        </w:r>
        <w:r w:rsidR="00B70B50">
          <w:rPr>
            <w:noProof/>
            <w:webHidden/>
          </w:rPr>
          <w:fldChar w:fldCharType="end"/>
        </w:r>
      </w:hyperlink>
    </w:p>
    <w:p w14:paraId="0E0DA2E1" w14:textId="1BCC148C" w:rsidR="00B70B50" w:rsidRDefault="00E64E10">
      <w:pPr>
        <w:pStyle w:val="TOC1"/>
        <w:tabs>
          <w:tab w:val="right" w:leader="dot" w:pos="9769"/>
        </w:tabs>
        <w:rPr>
          <w:rFonts w:asciiTheme="minorHAnsi" w:eastAsiaTheme="minorEastAsia" w:hAnsiTheme="minorHAnsi" w:cstheme="minorBidi"/>
          <w:noProof/>
          <w:kern w:val="2"/>
          <w:sz w:val="22"/>
          <w:szCs w:val="22"/>
          <w:lang w:eastAsia="en-AU"/>
          <w14:ligatures w14:val="standardContextual"/>
        </w:rPr>
      </w:pPr>
      <w:hyperlink w:anchor="_Toc180519448" w:history="1">
        <w:r w:rsidR="00B70B50" w:rsidRPr="006E6FA3">
          <w:rPr>
            <w:rStyle w:val="Hyperlink"/>
            <w:noProof/>
          </w:rPr>
          <w:t>Method</w:t>
        </w:r>
        <w:r w:rsidR="00B70B50">
          <w:rPr>
            <w:noProof/>
            <w:webHidden/>
          </w:rPr>
          <w:tab/>
        </w:r>
        <w:r w:rsidR="00B70B50">
          <w:rPr>
            <w:noProof/>
            <w:webHidden/>
          </w:rPr>
          <w:fldChar w:fldCharType="begin"/>
        </w:r>
        <w:r w:rsidR="00B70B50">
          <w:rPr>
            <w:noProof/>
            <w:webHidden/>
          </w:rPr>
          <w:instrText xml:space="preserve"> PAGEREF _Toc180519448 \h </w:instrText>
        </w:r>
        <w:r w:rsidR="00B70B50">
          <w:rPr>
            <w:noProof/>
            <w:webHidden/>
          </w:rPr>
        </w:r>
        <w:r w:rsidR="00B70B50">
          <w:rPr>
            <w:noProof/>
            <w:webHidden/>
          </w:rPr>
          <w:fldChar w:fldCharType="separate"/>
        </w:r>
        <w:r w:rsidR="00D722F7">
          <w:rPr>
            <w:noProof/>
            <w:webHidden/>
          </w:rPr>
          <w:t>7</w:t>
        </w:r>
        <w:r w:rsidR="00B70B50">
          <w:rPr>
            <w:noProof/>
            <w:webHidden/>
          </w:rPr>
          <w:fldChar w:fldCharType="end"/>
        </w:r>
      </w:hyperlink>
    </w:p>
    <w:p w14:paraId="3C2E4AFC" w14:textId="60323E86" w:rsidR="00B70B50" w:rsidRDefault="00E64E10">
      <w:pPr>
        <w:pStyle w:val="TOC1"/>
        <w:tabs>
          <w:tab w:val="right" w:leader="dot" w:pos="9769"/>
        </w:tabs>
        <w:rPr>
          <w:rFonts w:asciiTheme="minorHAnsi" w:eastAsiaTheme="minorEastAsia" w:hAnsiTheme="minorHAnsi" w:cstheme="minorBidi"/>
          <w:noProof/>
          <w:kern w:val="2"/>
          <w:sz w:val="22"/>
          <w:szCs w:val="22"/>
          <w:lang w:eastAsia="en-AU"/>
          <w14:ligatures w14:val="standardContextual"/>
        </w:rPr>
      </w:pPr>
      <w:hyperlink w:anchor="_Toc180519449" w:history="1">
        <w:r w:rsidR="00B70B50" w:rsidRPr="006E6FA3">
          <w:rPr>
            <w:rStyle w:val="Hyperlink"/>
            <w:noProof/>
          </w:rPr>
          <w:t>Forecast assumptions</w:t>
        </w:r>
        <w:r w:rsidR="00B70B50">
          <w:rPr>
            <w:noProof/>
            <w:webHidden/>
          </w:rPr>
          <w:tab/>
        </w:r>
        <w:r w:rsidR="00B70B50">
          <w:rPr>
            <w:noProof/>
            <w:webHidden/>
          </w:rPr>
          <w:fldChar w:fldCharType="begin"/>
        </w:r>
        <w:r w:rsidR="00B70B50">
          <w:rPr>
            <w:noProof/>
            <w:webHidden/>
          </w:rPr>
          <w:instrText xml:space="preserve"> PAGEREF _Toc180519449 \h </w:instrText>
        </w:r>
        <w:r w:rsidR="00B70B50">
          <w:rPr>
            <w:noProof/>
            <w:webHidden/>
          </w:rPr>
        </w:r>
        <w:r w:rsidR="00B70B50">
          <w:rPr>
            <w:noProof/>
            <w:webHidden/>
          </w:rPr>
          <w:fldChar w:fldCharType="separate"/>
        </w:r>
        <w:r w:rsidR="00D722F7">
          <w:rPr>
            <w:noProof/>
            <w:webHidden/>
          </w:rPr>
          <w:t>8</w:t>
        </w:r>
        <w:r w:rsidR="00B70B50">
          <w:rPr>
            <w:noProof/>
            <w:webHidden/>
          </w:rPr>
          <w:fldChar w:fldCharType="end"/>
        </w:r>
      </w:hyperlink>
    </w:p>
    <w:p w14:paraId="56FF76B1" w14:textId="3E7AF7C2" w:rsidR="00B70B50" w:rsidRDefault="00E64E10">
      <w:pPr>
        <w:pStyle w:val="TOC2"/>
        <w:rPr>
          <w:rFonts w:asciiTheme="minorHAnsi" w:eastAsiaTheme="minorEastAsia" w:hAnsiTheme="minorHAnsi" w:cstheme="minorBidi"/>
          <w:noProof/>
          <w:kern w:val="2"/>
          <w:sz w:val="22"/>
          <w:szCs w:val="22"/>
          <w:lang w:eastAsia="en-AU"/>
          <w14:ligatures w14:val="standardContextual"/>
        </w:rPr>
      </w:pPr>
      <w:hyperlink w:anchor="_Toc180519450" w:history="1">
        <w:r w:rsidR="00B70B50" w:rsidRPr="006E6FA3">
          <w:rPr>
            <w:rStyle w:val="Hyperlink"/>
            <w:noProof/>
          </w:rPr>
          <w:t>Victoria and Greater Melbourne context</w:t>
        </w:r>
        <w:r w:rsidR="00B70B50">
          <w:rPr>
            <w:noProof/>
            <w:webHidden/>
          </w:rPr>
          <w:tab/>
        </w:r>
        <w:r w:rsidR="00B70B50">
          <w:rPr>
            <w:noProof/>
            <w:webHidden/>
          </w:rPr>
          <w:fldChar w:fldCharType="begin"/>
        </w:r>
        <w:r w:rsidR="00B70B50">
          <w:rPr>
            <w:noProof/>
            <w:webHidden/>
          </w:rPr>
          <w:instrText xml:space="preserve"> PAGEREF _Toc180519450 \h </w:instrText>
        </w:r>
        <w:r w:rsidR="00B70B50">
          <w:rPr>
            <w:noProof/>
            <w:webHidden/>
          </w:rPr>
        </w:r>
        <w:r w:rsidR="00B70B50">
          <w:rPr>
            <w:noProof/>
            <w:webHidden/>
          </w:rPr>
          <w:fldChar w:fldCharType="separate"/>
        </w:r>
        <w:r w:rsidR="00D722F7">
          <w:rPr>
            <w:noProof/>
            <w:webHidden/>
          </w:rPr>
          <w:t>8</w:t>
        </w:r>
        <w:r w:rsidR="00B70B50">
          <w:rPr>
            <w:noProof/>
            <w:webHidden/>
          </w:rPr>
          <w:fldChar w:fldCharType="end"/>
        </w:r>
      </w:hyperlink>
    </w:p>
    <w:p w14:paraId="217959A4" w14:textId="53B2A68C" w:rsidR="00B70B50" w:rsidRDefault="00E64E10">
      <w:pPr>
        <w:pStyle w:val="TOC1"/>
        <w:tabs>
          <w:tab w:val="right" w:leader="dot" w:pos="9769"/>
        </w:tabs>
        <w:rPr>
          <w:rFonts w:asciiTheme="minorHAnsi" w:eastAsiaTheme="minorEastAsia" w:hAnsiTheme="minorHAnsi" w:cstheme="minorBidi"/>
          <w:noProof/>
          <w:kern w:val="2"/>
          <w:sz w:val="22"/>
          <w:szCs w:val="22"/>
          <w:lang w:eastAsia="en-AU"/>
          <w14:ligatures w14:val="standardContextual"/>
        </w:rPr>
      </w:pPr>
      <w:hyperlink w:anchor="_Toc180519451" w:history="1">
        <w:r w:rsidR="00B70B50" w:rsidRPr="006E6FA3">
          <w:rPr>
            <w:rStyle w:val="Hyperlink"/>
            <w:noProof/>
          </w:rPr>
          <w:t>Acknowledgements</w:t>
        </w:r>
        <w:r w:rsidR="00B70B50">
          <w:rPr>
            <w:noProof/>
            <w:webHidden/>
          </w:rPr>
          <w:tab/>
        </w:r>
        <w:r w:rsidR="00B70B50">
          <w:rPr>
            <w:noProof/>
            <w:webHidden/>
          </w:rPr>
          <w:fldChar w:fldCharType="begin"/>
        </w:r>
        <w:r w:rsidR="00B70B50">
          <w:rPr>
            <w:noProof/>
            <w:webHidden/>
          </w:rPr>
          <w:instrText xml:space="preserve"> PAGEREF _Toc180519451 \h </w:instrText>
        </w:r>
        <w:r w:rsidR="00B70B50">
          <w:rPr>
            <w:noProof/>
            <w:webHidden/>
          </w:rPr>
        </w:r>
        <w:r w:rsidR="00B70B50">
          <w:rPr>
            <w:noProof/>
            <w:webHidden/>
          </w:rPr>
          <w:fldChar w:fldCharType="separate"/>
        </w:r>
        <w:r w:rsidR="00D722F7">
          <w:rPr>
            <w:noProof/>
            <w:webHidden/>
          </w:rPr>
          <w:t>9</w:t>
        </w:r>
        <w:r w:rsidR="00B70B50">
          <w:rPr>
            <w:noProof/>
            <w:webHidden/>
          </w:rPr>
          <w:fldChar w:fldCharType="end"/>
        </w:r>
      </w:hyperlink>
    </w:p>
    <w:p w14:paraId="4770AD4A" w14:textId="71BEDE91" w:rsidR="00B70B50" w:rsidRDefault="00E64E10">
      <w:pPr>
        <w:pStyle w:val="TOC2"/>
        <w:rPr>
          <w:rFonts w:asciiTheme="minorHAnsi" w:eastAsiaTheme="minorEastAsia" w:hAnsiTheme="minorHAnsi" w:cstheme="minorBidi"/>
          <w:noProof/>
          <w:kern w:val="2"/>
          <w:sz w:val="22"/>
          <w:szCs w:val="22"/>
          <w:lang w:eastAsia="en-AU"/>
          <w14:ligatures w14:val="standardContextual"/>
        </w:rPr>
      </w:pPr>
      <w:hyperlink w:anchor="_Toc180519452" w:history="1">
        <w:r w:rsidR="00B70B50" w:rsidRPr="006E6FA3">
          <w:rPr>
            <w:rStyle w:val="Hyperlink"/>
            <w:noProof/>
          </w:rPr>
          <w:t>Disclaimer</w:t>
        </w:r>
        <w:r w:rsidR="00B70B50">
          <w:rPr>
            <w:noProof/>
            <w:webHidden/>
          </w:rPr>
          <w:tab/>
        </w:r>
        <w:r w:rsidR="00B70B50">
          <w:rPr>
            <w:noProof/>
            <w:webHidden/>
          </w:rPr>
          <w:fldChar w:fldCharType="begin"/>
        </w:r>
        <w:r w:rsidR="00B70B50">
          <w:rPr>
            <w:noProof/>
            <w:webHidden/>
          </w:rPr>
          <w:instrText xml:space="preserve"> PAGEREF _Toc180519452 \h </w:instrText>
        </w:r>
        <w:r w:rsidR="00B70B50">
          <w:rPr>
            <w:noProof/>
            <w:webHidden/>
          </w:rPr>
        </w:r>
        <w:r w:rsidR="00B70B50">
          <w:rPr>
            <w:noProof/>
            <w:webHidden/>
          </w:rPr>
          <w:fldChar w:fldCharType="separate"/>
        </w:r>
        <w:r w:rsidR="00D722F7">
          <w:rPr>
            <w:noProof/>
            <w:webHidden/>
          </w:rPr>
          <w:t>9</w:t>
        </w:r>
        <w:r w:rsidR="00B70B50">
          <w:rPr>
            <w:noProof/>
            <w:webHidden/>
          </w:rPr>
          <w:fldChar w:fldCharType="end"/>
        </w:r>
      </w:hyperlink>
    </w:p>
    <w:p w14:paraId="48B4B903" w14:textId="787B1172" w:rsidR="00B70B50" w:rsidRDefault="00E64E10">
      <w:pPr>
        <w:pStyle w:val="TOC1"/>
        <w:tabs>
          <w:tab w:val="right" w:leader="dot" w:pos="9769"/>
        </w:tabs>
        <w:rPr>
          <w:rFonts w:asciiTheme="minorHAnsi" w:eastAsiaTheme="minorEastAsia" w:hAnsiTheme="minorHAnsi" w:cstheme="minorBidi"/>
          <w:noProof/>
          <w:kern w:val="2"/>
          <w:sz w:val="22"/>
          <w:szCs w:val="22"/>
          <w:lang w:eastAsia="en-AU"/>
          <w14:ligatures w14:val="standardContextual"/>
        </w:rPr>
      </w:pPr>
      <w:hyperlink w:anchor="_Toc180519453" w:history="1">
        <w:r w:rsidR="00B70B50" w:rsidRPr="006E6FA3">
          <w:rPr>
            <w:rStyle w:val="Hyperlink"/>
            <w:noProof/>
          </w:rPr>
          <w:t>Appendix 1: Accessible data tables</w:t>
        </w:r>
        <w:r w:rsidR="00B70B50">
          <w:rPr>
            <w:noProof/>
            <w:webHidden/>
          </w:rPr>
          <w:tab/>
        </w:r>
        <w:r w:rsidR="00B70B50">
          <w:rPr>
            <w:noProof/>
            <w:webHidden/>
          </w:rPr>
          <w:fldChar w:fldCharType="begin"/>
        </w:r>
        <w:r w:rsidR="00B70B50">
          <w:rPr>
            <w:noProof/>
            <w:webHidden/>
          </w:rPr>
          <w:instrText xml:space="preserve"> PAGEREF _Toc180519453 \h </w:instrText>
        </w:r>
        <w:r w:rsidR="00B70B50">
          <w:rPr>
            <w:noProof/>
            <w:webHidden/>
          </w:rPr>
        </w:r>
        <w:r w:rsidR="00B70B50">
          <w:rPr>
            <w:noProof/>
            <w:webHidden/>
          </w:rPr>
          <w:fldChar w:fldCharType="separate"/>
        </w:r>
        <w:r w:rsidR="00D722F7">
          <w:rPr>
            <w:noProof/>
            <w:webHidden/>
          </w:rPr>
          <w:t>10</w:t>
        </w:r>
        <w:r w:rsidR="00B70B50">
          <w:rPr>
            <w:noProof/>
            <w:webHidden/>
          </w:rPr>
          <w:fldChar w:fldCharType="end"/>
        </w:r>
      </w:hyperlink>
    </w:p>
    <w:p w14:paraId="582A8CB8" w14:textId="0ED09F8F" w:rsidR="00B70B50" w:rsidRDefault="00E64E10">
      <w:pPr>
        <w:pStyle w:val="TOC2"/>
        <w:rPr>
          <w:rFonts w:asciiTheme="minorHAnsi" w:eastAsiaTheme="minorEastAsia" w:hAnsiTheme="minorHAnsi" w:cstheme="minorBidi"/>
          <w:noProof/>
          <w:kern w:val="2"/>
          <w:sz w:val="22"/>
          <w:szCs w:val="22"/>
          <w:lang w:eastAsia="en-AU"/>
          <w14:ligatures w14:val="standardContextual"/>
        </w:rPr>
      </w:pPr>
      <w:hyperlink w:anchor="_Toc180519454" w:history="1">
        <w:r w:rsidR="00B70B50" w:rsidRPr="006E6FA3">
          <w:rPr>
            <w:rStyle w:val="Hyperlink"/>
            <w:noProof/>
          </w:rPr>
          <w:t>Population by small area 2023, 2033 and 2043</w:t>
        </w:r>
        <w:r w:rsidR="00B70B50">
          <w:rPr>
            <w:noProof/>
            <w:webHidden/>
          </w:rPr>
          <w:tab/>
        </w:r>
        <w:r w:rsidR="00B70B50">
          <w:rPr>
            <w:noProof/>
            <w:webHidden/>
          </w:rPr>
          <w:fldChar w:fldCharType="begin"/>
        </w:r>
        <w:r w:rsidR="00B70B50">
          <w:rPr>
            <w:noProof/>
            <w:webHidden/>
          </w:rPr>
          <w:instrText xml:space="preserve"> PAGEREF _Toc180519454 \h </w:instrText>
        </w:r>
        <w:r w:rsidR="00B70B50">
          <w:rPr>
            <w:noProof/>
            <w:webHidden/>
          </w:rPr>
        </w:r>
        <w:r w:rsidR="00B70B50">
          <w:rPr>
            <w:noProof/>
            <w:webHidden/>
          </w:rPr>
          <w:fldChar w:fldCharType="separate"/>
        </w:r>
        <w:r w:rsidR="00D722F7">
          <w:rPr>
            <w:noProof/>
            <w:webHidden/>
          </w:rPr>
          <w:t>10</w:t>
        </w:r>
        <w:r w:rsidR="00B70B50">
          <w:rPr>
            <w:noProof/>
            <w:webHidden/>
          </w:rPr>
          <w:fldChar w:fldCharType="end"/>
        </w:r>
      </w:hyperlink>
    </w:p>
    <w:p w14:paraId="73654682" w14:textId="53227288" w:rsidR="00B70B50" w:rsidRDefault="00E64E10">
      <w:pPr>
        <w:pStyle w:val="TOC2"/>
        <w:rPr>
          <w:rFonts w:asciiTheme="minorHAnsi" w:eastAsiaTheme="minorEastAsia" w:hAnsiTheme="minorHAnsi" w:cstheme="minorBidi"/>
          <w:noProof/>
          <w:kern w:val="2"/>
          <w:sz w:val="22"/>
          <w:szCs w:val="22"/>
          <w:lang w:eastAsia="en-AU"/>
          <w14:ligatures w14:val="standardContextual"/>
        </w:rPr>
      </w:pPr>
      <w:hyperlink w:anchor="_Toc180519455" w:history="1">
        <w:r w:rsidR="00B70B50" w:rsidRPr="006E6FA3">
          <w:rPr>
            <w:rStyle w:val="Hyperlink"/>
            <w:noProof/>
          </w:rPr>
          <w:t>Households by small area 2023, 2033 and 2043</w:t>
        </w:r>
        <w:r w:rsidR="00B70B50">
          <w:rPr>
            <w:noProof/>
            <w:webHidden/>
          </w:rPr>
          <w:tab/>
        </w:r>
        <w:r w:rsidR="00B70B50">
          <w:rPr>
            <w:noProof/>
            <w:webHidden/>
          </w:rPr>
          <w:fldChar w:fldCharType="begin"/>
        </w:r>
        <w:r w:rsidR="00B70B50">
          <w:rPr>
            <w:noProof/>
            <w:webHidden/>
          </w:rPr>
          <w:instrText xml:space="preserve"> PAGEREF _Toc180519455 \h </w:instrText>
        </w:r>
        <w:r w:rsidR="00B70B50">
          <w:rPr>
            <w:noProof/>
            <w:webHidden/>
          </w:rPr>
        </w:r>
        <w:r w:rsidR="00B70B50">
          <w:rPr>
            <w:noProof/>
            <w:webHidden/>
          </w:rPr>
          <w:fldChar w:fldCharType="separate"/>
        </w:r>
        <w:r w:rsidR="00D722F7">
          <w:rPr>
            <w:noProof/>
            <w:webHidden/>
          </w:rPr>
          <w:t>10</w:t>
        </w:r>
        <w:r w:rsidR="00B70B50">
          <w:rPr>
            <w:noProof/>
            <w:webHidden/>
          </w:rPr>
          <w:fldChar w:fldCharType="end"/>
        </w:r>
      </w:hyperlink>
    </w:p>
    <w:p w14:paraId="0F4ED700" w14:textId="28006979" w:rsidR="00B70B50" w:rsidRDefault="00E64E10">
      <w:pPr>
        <w:pStyle w:val="TOC2"/>
        <w:rPr>
          <w:rFonts w:asciiTheme="minorHAnsi" w:eastAsiaTheme="minorEastAsia" w:hAnsiTheme="minorHAnsi" w:cstheme="minorBidi"/>
          <w:noProof/>
          <w:kern w:val="2"/>
          <w:sz w:val="22"/>
          <w:szCs w:val="22"/>
          <w:lang w:eastAsia="en-AU"/>
          <w14:ligatures w14:val="standardContextual"/>
        </w:rPr>
      </w:pPr>
      <w:hyperlink w:anchor="_Toc180519456" w:history="1">
        <w:r w:rsidR="00B70B50" w:rsidRPr="006E6FA3">
          <w:rPr>
            <w:rStyle w:val="Hyperlink"/>
            <w:noProof/>
          </w:rPr>
          <w:t>Floor space (‘000 sqm) by small area 2023, 2033 and 2043</w:t>
        </w:r>
        <w:r w:rsidR="00B70B50">
          <w:rPr>
            <w:noProof/>
            <w:webHidden/>
          </w:rPr>
          <w:tab/>
        </w:r>
        <w:r w:rsidR="00B70B50">
          <w:rPr>
            <w:noProof/>
            <w:webHidden/>
          </w:rPr>
          <w:fldChar w:fldCharType="begin"/>
        </w:r>
        <w:r w:rsidR="00B70B50">
          <w:rPr>
            <w:noProof/>
            <w:webHidden/>
          </w:rPr>
          <w:instrText xml:space="preserve"> PAGEREF _Toc180519456 \h </w:instrText>
        </w:r>
        <w:r w:rsidR="00B70B50">
          <w:rPr>
            <w:noProof/>
            <w:webHidden/>
          </w:rPr>
        </w:r>
        <w:r w:rsidR="00B70B50">
          <w:rPr>
            <w:noProof/>
            <w:webHidden/>
          </w:rPr>
          <w:fldChar w:fldCharType="separate"/>
        </w:r>
        <w:r w:rsidR="00D722F7">
          <w:rPr>
            <w:noProof/>
            <w:webHidden/>
          </w:rPr>
          <w:t>11</w:t>
        </w:r>
        <w:r w:rsidR="00B70B50">
          <w:rPr>
            <w:noProof/>
            <w:webHidden/>
          </w:rPr>
          <w:fldChar w:fldCharType="end"/>
        </w:r>
      </w:hyperlink>
    </w:p>
    <w:p w14:paraId="5E9AD285" w14:textId="19471DA6" w:rsidR="00B70B50" w:rsidRDefault="00E64E10">
      <w:pPr>
        <w:pStyle w:val="TOC2"/>
        <w:rPr>
          <w:rFonts w:asciiTheme="minorHAnsi" w:eastAsiaTheme="minorEastAsia" w:hAnsiTheme="minorHAnsi" w:cstheme="minorBidi"/>
          <w:noProof/>
          <w:kern w:val="2"/>
          <w:sz w:val="22"/>
          <w:szCs w:val="22"/>
          <w:lang w:eastAsia="en-AU"/>
          <w14:ligatures w14:val="standardContextual"/>
        </w:rPr>
      </w:pPr>
      <w:hyperlink w:anchor="_Toc180519457" w:history="1">
        <w:r w:rsidR="00B70B50" w:rsidRPr="006E6FA3">
          <w:rPr>
            <w:rStyle w:val="Hyperlink"/>
            <w:noProof/>
          </w:rPr>
          <w:t>Jobs by industry 2023, 2033 and 2043</w:t>
        </w:r>
        <w:r w:rsidR="00B70B50">
          <w:rPr>
            <w:noProof/>
            <w:webHidden/>
          </w:rPr>
          <w:tab/>
        </w:r>
        <w:r w:rsidR="00B70B50">
          <w:rPr>
            <w:noProof/>
            <w:webHidden/>
          </w:rPr>
          <w:fldChar w:fldCharType="begin"/>
        </w:r>
        <w:r w:rsidR="00B70B50">
          <w:rPr>
            <w:noProof/>
            <w:webHidden/>
          </w:rPr>
          <w:instrText xml:space="preserve"> PAGEREF _Toc180519457 \h </w:instrText>
        </w:r>
        <w:r w:rsidR="00B70B50">
          <w:rPr>
            <w:noProof/>
            <w:webHidden/>
          </w:rPr>
        </w:r>
        <w:r w:rsidR="00B70B50">
          <w:rPr>
            <w:noProof/>
            <w:webHidden/>
          </w:rPr>
          <w:fldChar w:fldCharType="separate"/>
        </w:r>
        <w:r w:rsidR="00D722F7">
          <w:rPr>
            <w:noProof/>
            <w:webHidden/>
          </w:rPr>
          <w:t>12</w:t>
        </w:r>
        <w:r w:rsidR="00B70B50">
          <w:rPr>
            <w:noProof/>
            <w:webHidden/>
          </w:rPr>
          <w:fldChar w:fldCharType="end"/>
        </w:r>
      </w:hyperlink>
    </w:p>
    <w:p w14:paraId="748B2901" w14:textId="0A999709" w:rsidR="00B70B50" w:rsidRDefault="00E64E10">
      <w:pPr>
        <w:pStyle w:val="TOC2"/>
        <w:rPr>
          <w:rFonts w:asciiTheme="minorHAnsi" w:eastAsiaTheme="minorEastAsia" w:hAnsiTheme="minorHAnsi" w:cstheme="minorBidi"/>
          <w:noProof/>
          <w:kern w:val="2"/>
          <w:sz w:val="22"/>
          <w:szCs w:val="22"/>
          <w:lang w:eastAsia="en-AU"/>
          <w14:ligatures w14:val="standardContextual"/>
        </w:rPr>
      </w:pPr>
      <w:hyperlink w:anchor="_Toc180519458" w:history="1">
        <w:r w:rsidR="00B70B50" w:rsidRPr="006E6FA3">
          <w:rPr>
            <w:rStyle w:val="Hyperlink"/>
            <w:noProof/>
          </w:rPr>
          <w:t>Floor space (‘000 sqm) by space use 2023, 2033 and 2043</w:t>
        </w:r>
        <w:r w:rsidR="00B70B50">
          <w:rPr>
            <w:noProof/>
            <w:webHidden/>
          </w:rPr>
          <w:tab/>
        </w:r>
        <w:r w:rsidR="00B70B50">
          <w:rPr>
            <w:noProof/>
            <w:webHidden/>
          </w:rPr>
          <w:fldChar w:fldCharType="begin"/>
        </w:r>
        <w:r w:rsidR="00B70B50">
          <w:rPr>
            <w:noProof/>
            <w:webHidden/>
          </w:rPr>
          <w:instrText xml:space="preserve"> PAGEREF _Toc180519458 \h </w:instrText>
        </w:r>
        <w:r w:rsidR="00B70B50">
          <w:rPr>
            <w:noProof/>
            <w:webHidden/>
          </w:rPr>
        </w:r>
        <w:r w:rsidR="00B70B50">
          <w:rPr>
            <w:noProof/>
            <w:webHidden/>
          </w:rPr>
          <w:fldChar w:fldCharType="separate"/>
        </w:r>
        <w:r w:rsidR="00D722F7">
          <w:rPr>
            <w:noProof/>
            <w:webHidden/>
          </w:rPr>
          <w:t>13</w:t>
        </w:r>
        <w:r w:rsidR="00B70B50">
          <w:rPr>
            <w:noProof/>
            <w:webHidden/>
          </w:rPr>
          <w:fldChar w:fldCharType="end"/>
        </w:r>
      </w:hyperlink>
    </w:p>
    <w:p w14:paraId="19B112C3" w14:textId="6512DC93" w:rsidR="00B70B50" w:rsidRDefault="00E64E10">
      <w:pPr>
        <w:pStyle w:val="TOC1"/>
        <w:tabs>
          <w:tab w:val="right" w:leader="dot" w:pos="9769"/>
        </w:tabs>
        <w:rPr>
          <w:rFonts w:asciiTheme="minorHAnsi" w:eastAsiaTheme="minorEastAsia" w:hAnsiTheme="minorHAnsi" w:cstheme="minorBidi"/>
          <w:noProof/>
          <w:kern w:val="2"/>
          <w:sz w:val="22"/>
          <w:szCs w:val="22"/>
          <w:lang w:eastAsia="en-AU"/>
          <w14:ligatures w14:val="standardContextual"/>
        </w:rPr>
      </w:pPr>
      <w:hyperlink w:anchor="_Toc180519459" w:history="1">
        <w:r w:rsidR="00B70B50" w:rsidRPr="006E6FA3">
          <w:rPr>
            <w:rStyle w:val="Hyperlink"/>
            <w:noProof/>
          </w:rPr>
          <w:t>Appendix 2: Industry categories</w:t>
        </w:r>
        <w:r w:rsidR="00B70B50">
          <w:rPr>
            <w:noProof/>
            <w:webHidden/>
          </w:rPr>
          <w:tab/>
        </w:r>
        <w:r w:rsidR="00B70B50">
          <w:rPr>
            <w:noProof/>
            <w:webHidden/>
          </w:rPr>
          <w:fldChar w:fldCharType="begin"/>
        </w:r>
        <w:r w:rsidR="00B70B50">
          <w:rPr>
            <w:noProof/>
            <w:webHidden/>
          </w:rPr>
          <w:instrText xml:space="preserve"> PAGEREF _Toc180519459 \h </w:instrText>
        </w:r>
        <w:r w:rsidR="00B70B50">
          <w:rPr>
            <w:noProof/>
            <w:webHidden/>
          </w:rPr>
        </w:r>
        <w:r w:rsidR="00B70B50">
          <w:rPr>
            <w:noProof/>
            <w:webHidden/>
          </w:rPr>
          <w:fldChar w:fldCharType="separate"/>
        </w:r>
        <w:r w:rsidR="00D722F7">
          <w:rPr>
            <w:noProof/>
            <w:webHidden/>
          </w:rPr>
          <w:t>14</w:t>
        </w:r>
        <w:r w:rsidR="00B70B50">
          <w:rPr>
            <w:noProof/>
            <w:webHidden/>
          </w:rPr>
          <w:fldChar w:fldCharType="end"/>
        </w:r>
      </w:hyperlink>
    </w:p>
    <w:p w14:paraId="39297F02" w14:textId="12C9B986" w:rsidR="00B70B50" w:rsidRDefault="00E64E10">
      <w:pPr>
        <w:pStyle w:val="TOC1"/>
        <w:tabs>
          <w:tab w:val="right" w:leader="dot" w:pos="9769"/>
        </w:tabs>
        <w:rPr>
          <w:rFonts w:asciiTheme="minorHAnsi" w:eastAsiaTheme="minorEastAsia" w:hAnsiTheme="minorHAnsi" w:cstheme="minorBidi"/>
          <w:noProof/>
          <w:kern w:val="2"/>
          <w:sz w:val="22"/>
          <w:szCs w:val="22"/>
          <w:lang w:eastAsia="en-AU"/>
          <w14:ligatures w14:val="standardContextual"/>
        </w:rPr>
      </w:pPr>
      <w:hyperlink w:anchor="_Toc180519460" w:history="1">
        <w:r w:rsidR="00B70B50" w:rsidRPr="006E6FA3">
          <w:rPr>
            <w:rStyle w:val="Hyperlink"/>
            <w:noProof/>
          </w:rPr>
          <w:t>Appendix 3: Space use categories</w:t>
        </w:r>
        <w:r w:rsidR="00B70B50">
          <w:rPr>
            <w:noProof/>
            <w:webHidden/>
          </w:rPr>
          <w:tab/>
        </w:r>
        <w:r w:rsidR="00B70B50">
          <w:rPr>
            <w:noProof/>
            <w:webHidden/>
          </w:rPr>
          <w:fldChar w:fldCharType="begin"/>
        </w:r>
        <w:r w:rsidR="00B70B50">
          <w:rPr>
            <w:noProof/>
            <w:webHidden/>
          </w:rPr>
          <w:instrText xml:space="preserve"> PAGEREF _Toc180519460 \h </w:instrText>
        </w:r>
        <w:r w:rsidR="00B70B50">
          <w:rPr>
            <w:noProof/>
            <w:webHidden/>
          </w:rPr>
        </w:r>
        <w:r w:rsidR="00B70B50">
          <w:rPr>
            <w:noProof/>
            <w:webHidden/>
          </w:rPr>
          <w:fldChar w:fldCharType="separate"/>
        </w:r>
        <w:r w:rsidR="00D722F7">
          <w:rPr>
            <w:noProof/>
            <w:webHidden/>
          </w:rPr>
          <w:t>15</w:t>
        </w:r>
        <w:r w:rsidR="00B70B50">
          <w:rPr>
            <w:noProof/>
            <w:webHidden/>
          </w:rPr>
          <w:fldChar w:fldCharType="end"/>
        </w:r>
      </w:hyperlink>
    </w:p>
    <w:p w14:paraId="3E7A9F1C" w14:textId="07FA4419" w:rsidR="00BE6801" w:rsidRPr="00537E40" w:rsidRDefault="00B152AF" w:rsidP="00802A52">
      <w:pPr>
        <w:pStyle w:val="Heading1"/>
        <w:rPr>
          <w:rFonts w:hint="eastAsia"/>
        </w:rPr>
      </w:pPr>
      <w:r w:rsidRPr="00537E40">
        <w:rPr>
          <w:noProof/>
        </w:rPr>
        <w:fldChar w:fldCharType="end"/>
      </w:r>
      <w:r w:rsidRPr="00537E40">
        <w:rPr>
          <w:rFonts w:hint="eastAsia"/>
        </w:rPr>
        <w:br w:type="page"/>
      </w:r>
      <w:bookmarkStart w:id="6" w:name="_Toc180519440"/>
      <w:bookmarkEnd w:id="4"/>
      <w:bookmarkEnd w:id="5"/>
      <w:r w:rsidR="0049069D" w:rsidRPr="00537E40">
        <w:lastRenderedPageBreak/>
        <w:t>I</w:t>
      </w:r>
      <w:r w:rsidR="0098439B">
        <w:t>ntroduction</w:t>
      </w:r>
      <w:bookmarkEnd w:id="6"/>
    </w:p>
    <w:p w14:paraId="176E30BC" w14:textId="681B9E60" w:rsidR="009A15FD" w:rsidRPr="0098439B" w:rsidRDefault="009A15FD" w:rsidP="009A15FD">
      <w:pPr>
        <w:pStyle w:val="Heading2"/>
        <w:rPr>
          <w:rFonts w:hint="eastAsia"/>
        </w:rPr>
      </w:pPr>
      <w:bookmarkStart w:id="7" w:name="_Toc180519442"/>
      <w:bookmarkStart w:id="8" w:name="_Toc403992346"/>
      <w:bookmarkStart w:id="9" w:name="_Toc403992581"/>
      <w:bookmarkStart w:id="10" w:name="_Toc419982306"/>
      <w:r w:rsidRPr="0098439B">
        <w:t>Forecasts</w:t>
      </w:r>
      <w:bookmarkEnd w:id="7"/>
      <w:r w:rsidRPr="0098439B">
        <w:t xml:space="preserve"> </w:t>
      </w:r>
    </w:p>
    <w:p w14:paraId="4308AE98" w14:textId="606BC077" w:rsidR="00A222FA" w:rsidRPr="0098439B" w:rsidRDefault="00A222FA" w:rsidP="00A222FA">
      <w:r w:rsidRPr="0098439B">
        <w:t>Forecasts provide a</w:t>
      </w:r>
      <w:r w:rsidR="009F0584" w:rsidRPr="0098439B">
        <w:t>n informed guide to what may occur in</w:t>
      </w:r>
      <w:r w:rsidRPr="0098439B">
        <w:t xml:space="preserve"> </w:t>
      </w:r>
      <w:r w:rsidR="009F0584" w:rsidRPr="0098439B">
        <w:t>th</w:t>
      </w:r>
      <w:r w:rsidRPr="0098439B">
        <w:t xml:space="preserve">e future. They help us answer questions such as how many people </w:t>
      </w:r>
      <w:r w:rsidR="009F0584" w:rsidRPr="0098439B">
        <w:t xml:space="preserve">may </w:t>
      </w:r>
      <w:r w:rsidRPr="0098439B">
        <w:t xml:space="preserve">live within the city or how many jobs </w:t>
      </w:r>
      <w:r w:rsidR="009F0584" w:rsidRPr="0098439B">
        <w:t xml:space="preserve">may </w:t>
      </w:r>
      <w:r w:rsidRPr="0098439B">
        <w:t xml:space="preserve">be within the city, and where these </w:t>
      </w:r>
      <w:r w:rsidR="009F0584" w:rsidRPr="0098439B">
        <w:t xml:space="preserve">may </w:t>
      </w:r>
      <w:r w:rsidRPr="0098439B">
        <w:t>be located. Having a</w:t>
      </w:r>
      <w:r w:rsidR="00DC3825">
        <w:t>n</w:t>
      </w:r>
      <w:r w:rsidRPr="0098439B">
        <w:t xml:space="preserve"> understanding of the expected level of growth is essential to allocating sufficient resources and services to support our </w:t>
      </w:r>
      <w:r w:rsidR="009F0584" w:rsidRPr="0098439B">
        <w:t>fast-</w:t>
      </w:r>
      <w:r w:rsidRPr="0098439B">
        <w:t xml:space="preserve">growing city. </w:t>
      </w:r>
    </w:p>
    <w:p w14:paraId="744ED02F" w14:textId="20C38267" w:rsidR="00CE5B6B" w:rsidRPr="0098439B" w:rsidRDefault="005479A8" w:rsidP="00A222FA">
      <w:r w:rsidRPr="0098439B">
        <w:t xml:space="preserve">The </w:t>
      </w:r>
      <w:r w:rsidR="00A222FA" w:rsidRPr="0098439B">
        <w:t xml:space="preserve">City of Melbourne </w:t>
      </w:r>
      <w:r w:rsidR="00E91B42" w:rsidRPr="0098439B">
        <w:t>commissions</w:t>
      </w:r>
      <w:r w:rsidR="005432C1" w:rsidRPr="0098439B">
        <w:t xml:space="preserve"> population and jobs</w:t>
      </w:r>
      <w:r w:rsidR="00A222FA" w:rsidRPr="0098439B">
        <w:t xml:space="preserve"> forecasts from an independent, specialist agency </w:t>
      </w:r>
      <w:r w:rsidR="00DC3825">
        <w:t>which</w:t>
      </w:r>
      <w:r w:rsidR="00917227" w:rsidRPr="0098439B">
        <w:t xml:space="preserve"> are</w:t>
      </w:r>
      <w:r w:rsidR="00A222FA" w:rsidRPr="0098439B">
        <w:t xml:space="preserve"> periodically </w:t>
      </w:r>
      <w:r w:rsidR="00CE5B6B" w:rsidRPr="0098439B">
        <w:t>revised</w:t>
      </w:r>
      <w:r w:rsidR="00A222FA" w:rsidRPr="0098439B">
        <w:t xml:space="preserve"> when new information is </w:t>
      </w:r>
      <w:proofErr w:type="gramStart"/>
      <w:r w:rsidR="00A222FA" w:rsidRPr="0098439B">
        <w:t>released</w:t>
      </w:r>
      <w:proofErr w:type="gramEnd"/>
      <w:r w:rsidR="00DC3825">
        <w:t xml:space="preserve"> or material changes occur in the external environment</w:t>
      </w:r>
      <w:r w:rsidR="00A222FA" w:rsidRPr="0098439B">
        <w:t>.</w:t>
      </w:r>
      <w:r w:rsidR="00342C45" w:rsidRPr="0098439B">
        <w:t xml:space="preserve"> </w:t>
      </w:r>
      <w:r w:rsidR="00E91B42" w:rsidRPr="0098439B">
        <w:t xml:space="preserve">In </w:t>
      </w:r>
      <w:r w:rsidR="0098439B" w:rsidRPr="0098439B">
        <w:t>January</w:t>
      </w:r>
      <w:r w:rsidR="00E91B42" w:rsidRPr="0098439B">
        <w:t xml:space="preserve"> 202</w:t>
      </w:r>
      <w:r w:rsidR="0098439B" w:rsidRPr="0098439B">
        <w:t>4</w:t>
      </w:r>
      <w:r w:rsidR="00CE5B6B" w:rsidRPr="0098439B">
        <w:t xml:space="preserve">, SGS Economics and Planning </w:t>
      </w:r>
      <w:r w:rsidR="57A255B4" w:rsidRPr="0098439B">
        <w:t>were engaged</w:t>
      </w:r>
      <w:r w:rsidR="00CE5B6B" w:rsidRPr="0098439B">
        <w:t xml:space="preserve"> to provide Council with</w:t>
      </w:r>
      <w:r w:rsidR="0003014D" w:rsidRPr="0098439B">
        <w:t xml:space="preserve"> updated</w:t>
      </w:r>
      <w:r w:rsidR="00CE5B6B" w:rsidRPr="0098439B">
        <w:t xml:space="preserve"> forecasts</w:t>
      </w:r>
      <w:r w:rsidR="0098439B" w:rsidRPr="0098439B">
        <w:t>.</w:t>
      </w:r>
    </w:p>
    <w:p w14:paraId="4041A364" w14:textId="6A0B1E0A" w:rsidR="007F64BD" w:rsidRPr="0098439B" w:rsidRDefault="00A222FA" w:rsidP="00A222FA">
      <w:r>
        <w:t xml:space="preserve">This summary report highlights </w:t>
      </w:r>
      <w:r w:rsidR="00342C45">
        <w:t xml:space="preserve">forecasts </w:t>
      </w:r>
      <w:r w:rsidR="00F568BB">
        <w:t xml:space="preserve">prepared between </w:t>
      </w:r>
      <w:r w:rsidR="0098439B">
        <w:t>January 2024</w:t>
      </w:r>
      <w:r w:rsidR="00F568BB">
        <w:t xml:space="preserve"> and </w:t>
      </w:r>
      <w:r w:rsidR="0098439B">
        <w:t>August 2024</w:t>
      </w:r>
      <w:r w:rsidR="00F568BB">
        <w:t xml:space="preserve"> </w:t>
      </w:r>
      <w:r w:rsidR="00342C45">
        <w:t xml:space="preserve">relating to the population, </w:t>
      </w:r>
      <w:r w:rsidR="0098439B">
        <w:t>jobs,</w:t>
      </w:r>
      <w:r w:rsidR="00342C45">
        <w:t xml:space="preserve"> and floor space demand (required to accommodate population and jobs) within the City of Melbourne </w:t>
      </w:r>
      <w:r w:rsidR="007F64BD">
        <w:t xml:space="preserve">municipality </w:t>
      </w:r>
      <w:r w:rsidR="00342C45">
        <w:t>from 202</w:t>
      </w:r>
      <w:r w:rsidR="0098439B">
        <w:t>3</w:t>
      </w:r>
      <w:r w:rsidR="00342C45">
        <w:t xml:space="preserve"> to 204</w:t>
      </w:r>
      <w:r w:rsidR="0098439B">
        <w:t>3</w:t>
      </w:r>
      <w:r w:rsidR="00342C45">
        <w:t>.</w:t>
      </w:r>
      <w:r w:rsidR="00AC5322">
        <w:t xml:space="preserve"> </w:t>
      </w:r>
    </w:p>
    <w:p w14:paraId="08423271" w14:textId="77777777" w:rsidR="0049069D" w:rsidRPr="00537E40" w:rsidRDefault="0049069D" w:rsidP="0049069D">
      <w:pPr>
        <w:pStyle w:val="Heading1"/>
        <w:rPr>
          <w:rFonts w:hint="eastAsia"/>
        </w:rPr>
      </w:pPr>
      <w:bookmarkStart w:id="11" w:name="_Toc180519443"/>
      <w:r w:rsidRPr="00537E40">
        <w:t>Summary</w:t>
      </w:r>
      <w:bookmarkEnd w:id="11"/>
    </w:p>
    <w:p w14:paraId="20264EB9" w14:textId="7EF7D5F7" w:rsidR="009F0AC1" w:rsidRPr="00537E40" w:rsidRDefault="003A5674" w:rsidP="008E0C7D">
      <w:r>
        <w:t>The City of Melbourne</w:t>
      </w:r>
      <w:r w:rsidR="00664502">
        <w:t xml:space="preserve"> </w:t>
      </w:r>
      <w:r w:rsidR="00421147">
        <w:t>is forecast</w:t>
      </w:r>
      <w:r>
        <w:t xml:space="preserve"> to reach </w:t>
      </w:r>
      <w:r w:rsidR="00917227">
        <w:t xml:space="preserve">around </w:t>
      </w:r>
      <w:r w:rsidR="000C034D">
        <w:t>292,100</w:t>
      </w:r>
      <w:r>
        <w:t xml:space="preserve"> people and </w:t>
      </w:r>
      <w:r w:rsidR="000C034D">
        <w:t>675,300</w:t>
      </w:r>
      <w:r w:rsidR="00421147">
        <w:t xml:space="preserve"> </w:t>
      </w:r>
      <w:r>
        <w:t>jobs</w:t>
      </w:r>
      <w:r w:rsidR="0056230B">
        <w:t xml:space="preserve"> (on-site)</w:t>
      </w:r>
      <w:r>
        <w:t xml:space="preserve"> by</w:t>
      </w:r>
      <w:r w:rsidR="00442B4F">
        <w:t xml:space="preserve"> </w:t>
      </w:r>
      <w:r w:rsidR="00421147">
        <w:t>2043</w:t>
      </w:r>
      <w:r>
        <w:t>, accommodating an additional 1</w:t>
      </w:r>
      <w:r w:rsidR="000C034D">
        <w:t>14,7</w:t>
      </w:r>
      <w:r>
        <w:t xml:space="preserve">00 residents and </w:t>
      </w:r>
      <w:r w:rsidR="000C034D">
        <w:t>1</w:t>
      </w:r>
      <w:r w:rsidR="2A3A3722">
        <w:t>80,000</w:t>
      </w:r>
      <w:r>
        <w:t xml:space="preserve"> </w:t>
      </w:r>
      <w:r w:rsidR="0056230B">
        <w:t>(</w:t>
      </w:r>
      <w:r w:rsidR="00DC3825">
        <w:t>‘</w:t>
      </w:r>
      <w:r w:rsidR="0056230B">
        <w:t>on-site</w:t>
      </w:r>
      <w:r w:rsidR="00DC3825">
        <w:t>’</w:t>
      </w:r>
      <w:r w:rsidR="0056230B">
        <w:t xml:space="preserve">) </w:t>
      </w:r>
      <w:r>
        <w:t>jobs between 202</w:t>
      </w:r>
      <w:r w:rsidR="000C034D">
        <w:t>3</w:t>
      </w:r>
      <w:r>
        <w:t xml:space="preserve"> and 204</w:t>
      </w:r>
      <w:r w:rsidR="000C034D">
        <w:t>3</w:t>
      </w:r>
      <w:r>
        <w:t xml:space="preserve">. </w:t>
      </w:r>
      <w:r w:rsidR="00FD2B9F">
        <w:t xml:space="preserve">By 2043, there are expected to be an additional </w:t>
      </w:r>
      <w:r w:rsidR="00FD2B9F" w:rsidRPr="00DC3825">
        <w:t>223,</w:t>
      </w:r>
      <w:r w:rsidR="5DAFD673" w:rsidRPr="00DC3825">
        <w:t>5</w:t>
      </w:r>
      <w:r w:rsidR="00FD2B9F" w:rsidRPr="00DC3825">
        <w:t>00</w:t>
      </w:r>
      <w:r w:rsidR="00FD2B9F">
        <w:t xml:space="preserve"> total jobs</w:t>
      </w:r>
      <w:r w:rsidR="00DC3825">
        <w:rPr>
          <w:rStyle w:val="FootnoteReference"/>
        </w:rPr>
        <w:footnoteReference w:id="1"/>
      </w:r>
      <w:r w:rsidR="00FD2B9F">
        <w:t xml:space="preserve">. </w:t>
      </w:r>
    </w:p>
    <w:p w14:paraId="4BD56F1A" w14:textId="53AF6009" w:rsidR="00C14D31" w:rsidRPr="00537E40" w:rsidRDefault="00C14D31" w:rsidP="008E0C7D">
      <w:r>
        <w:t>By 204</w:t>
      </w:r>
      <w:r w:rsidR="000C034D">
        <w:t>3</w:t>
      </w:r>
      <w:r>
        <w:t xml:space="preserve">, </w:t>
      </w:r>
      <w:r w:rsidR="00DD5964">
        <w:t>t</w:t>
      </w:r>
      <w:r>
        <w:t>he City of Melbourne is forecast</w:t>
      </w:r>
      <w:r w:rsidR="00917227">
        <w:t xml:space="preserve"> </w:t>
      </w:r>
      <w:r>
        <w:t xml:space="preserve">to reach </w:t>
      </w:r>
      <w:r w:rsidR="003C6342">
        <w:t>13</w:t>
      </w:r>
      <w:r w:rsidR="000C034D">
        <w:t>4,9</w:t>
      </w:r>
      <w:r>
        <w:t xml:space="preserve">00 households, accommodating an additional </w:t>
      </w:r>
      <w:r w:rsidR="000C034D">
        <w:t>37,100</w:t>
      </w:r>
      <w:r>
        <w:t xml:space="preserve"> households between 202</w:t>
      </w:r>
      <w:r w:rsidR="000C034D">
        <w:t>3</w:t>
      </w:r>
      <w:r>
        <w:t xml:space="preserve"> and 204</w:t>
      </w:r>
      <w:r w:rsidR="000C034D">
        <w:t>3</w:t>
      </w:r>
      <w:r>
        <w:t xml:space="preserve">. </w:t>
      </w:r>
    </w:p>
    <w:p w14:paraId="1F965C70" w14:textId="04D86B15" w:rsidR="00C14D31" w:rsidRPr="00537E40" w:rsidRDefault="00C14D31" w:rsidP="008E0C7D">
      <w:pPr>
        <w:spacing w:after="360"/>
      </w:pPr>
      <w:r>
        <w:t xml:space="preserve">Floor space demand is expected to grow by over </w:t>
      </w:r>
      <w:r w:rsidR="003C6342">
        <w:t>6.</w:t>
      </w:r>
      <w:r w:rsidR="000C034D">
        <w:t>7</w:t>
      </w:r>
      <w:r>
        <w:t xml:space="preserve"> million square metres between 202</w:t>
      </w:r>
      <w:r w:rsidR="000C034D">
        <w:t>3</w:t>
      </w:r>
      <w:r>
        <w:t xml:space="preserve"> and 204</w:t>
      </w:r>
      <w:r w:rsidR="000C034D">
        <w:t>3</w:t>
      </w:r>
      <w:r>
        <w:t xml:space="preserve">, of which </w:t>
      </w:r>
      <w:r w:rsidR="003C6342" w:rsidRPr="000C034D">
        <w:t>2.</w:t>
      </w:r>
      <w:r w:rsidR="000C034D" w:rsidRPr="000C034D">
        <w:t>1</w:t>
      </w:r>
      <w:r w:rsidRPr="000C034D">
        <w:t xml:space="preserve"> million square metres is residential.</w:t>
      </w:r>
    </w:p>
    <w:p w14:paraId="4FF51BDB" w14:textId="16294887" w:rsidR="00C14D31" w:rsidRPr="00537E40" w:rsidRDefault="00C14D31" w:rsidP="110985B9">
      <w:pPr>
        <w:pStyle w:val="Heading2"/>
        <w:rPr>
          <w:rFonts w:hint="eastAsia"/>
        </w:rPr>
      </w:pPr>
      <w:bookmarkStart w:id="12" w:name="_Toc180519444"/>
      <w:r>
        <w:t>Melbourne municipality: Forecasts 202</w:t>
      </w:r>
      <w:r w:rsidR="003B7001">
        <w:t>3</w:t>
      </w:r>
      <w:r>
        <w:t>, 203</w:t>
      </w:r>
      <w:r w:rsidR="003B7001">
        <w:t>3</w:t>
      </w:r>
      <w:r>
        <w:t xml:space="preserve"> and 204</w:t>
      </w:r>
      <w:r w:rsidR="003B7001">
        <w:t>3</w:t>
      </w:r>
      <w:bookmarkEnd w:id="12"/>
    </w:p>
    <w:tbl>
      <w:tblPr>
        <w:tblW w:w="9772" w:type="dxa"/>
        <w:tblLayout w:type="fixed"/>
        <w:tblLook w:val="04A0" w:firstRow="1" w:lastRow="0" w:firstColumn="1" w:lastColumn="0" w:noHBand="0" w:noVBand="1"/>
      </w:tblPr>
      <w:tblGrid>
        <w:gridCol w:w="3114"/>
        <w:gridCol w:w="1276"/>
        <w:gridCol w:w="1275"/>
        <w:gridCol w:w="1276"/>
        <w:gridCol w:w="1418"/>
        <w:gridCol w:w="1413"/>
      </w:tblGrid>
      <w:tr w:rsidR="001D104E" w:rsidRPr="00537E40" w14:paraId="2529C845" w14:textId="77777777" w:rsidTr="7CBAB9C3">
        <w:trPr>
          <w:trHeight w:val="285"/>
        </w:trPr>
        <w:tc>
          <w:tcPr>
            <w:tcW w:w="3114"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hideMark/>
          </w:tcPr>
          <w:p w14:paraId="2AB85B47" w14:textId="77777777" w:rsidR="001D104E" w:rsidRPr="00B07612" w:rsidRDefault="001D104E" w:rsidP="00B07612">
            <w:pPr>
              <w:spacing w:after="0" w:line="240" w:lineRule="auto"/>
              <w:rPr>
                <w:rFonts w:eastAsia="Times New Roman" w:cs="Arial"/>
                <w:b/>
                <w:bCs/>
                <w:color w:val="000000"/>
                <w:szCs w:val="20"/>
                <w:lang w:eastAsia="en-AU"/>
              </w:rPr>
            </w:pPr>
            <w:r w:rsidRPr="00B07612">
              <w:rPr>
                <w:rFonts w:eastAsia="Times New Roman" w:cs="Arial"/>
                <w:b/>
                <w:bCs/>
                <w:color w:val="000000"/>
                <w:szCs w:val="20"/>
                <w:lang w:eastAsia="en-AU"/>
              </w:rPr>
              <w:t>Summary</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79ABF2" w14:textId="46D787D6" w:rsidR="001D104E" w:rsidRPr="00B07612" w:rsidRDefault="001D104E" w:rsidP="110985B9">
            <w:pPr>
              <w:spacing w:after="0" w:line="240" w:lineRule="auto"/>
              <w:jc w:val="center"/>
              <w:rPr>
                <w:rFonts w:eastAsia="Times New Roman" w:cs="Arial"/>
                <w:b/>
                <w:bCs/>
                <w:color w:val="000000"/>
                <w:lang w:eastAsia="en-AU"/>
              </w:rPr>
            </w:pPr>
            <w:r w:rsidRPr="110985B9">
              <w:rPr>
                <w:rFonts w:eastAsia="Times New Roman" w:cs="Arial"/>
                <w:b/>
                <w:bCs/>
                <w:color w:val="000000" w:themeColor="text1"/>
                <w:lang w:eastAsia="en-AU"/>
              </w:rPr>
              <w:t>202</w:t>
            </w:r>
            <w:r w:rsidR="003B7001">
              <w:rPr>
                <w:rFonts w:eastAsia="Times New Roman" w:cs="Arial"/>
                <w:b/>
                <w:bCs/>
                <w:color w:val="000000" w:themeColor="text1"/>
                <w:lang w:eastAsia="en-AU"/>
              </w:rPr>
              <w:t>3</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3D46AA" w14:textId="22806341" w:rsidR="001D104E" w:rsidRPr="00B07612" w:rsidRDefault="001D104E" w:rsidP="110985B9">
            <w:pPr>
              <w:spacing w:after="0" w:line="240" w:lineRule="auto"/>
              <w:jc w:val="center"/>
              <w:rPr>
                <w:rFonts w:eastAsia="Times New Roman" w:cs="Arial"/>
                <w:b/>
                <w:bCs/>
                <w:color w:val="000000"/>
                <w:lang w:eastAsia="en-AU"/>
              </w:rPr>
            </w:pPr>
            <w:r w:rsidRPr="110985B9">
              <w:rPr>
                <w:rFonts w:eastAsia="Times New Roman" w:cs="Arial"/>
                <w:b/>
                <w:bCs/>
                <w:color w:val="000000" w:themeColor="text1"/>
                <w:lang w:eastAsia="en-AU"/>
              </w:rPr>
              <w:t>20</w:t>
            </w:r>
            <w:r w:rsidR="003B7001">
              <w:rPr>
                <w:rFonts w:eastAsia="Times New Roman" w:cs="Arial"/>
                <w:b/>
                <w:bCs/>
                <w:color w:val="000000" w:themeColor="text1"/>
                <w:lang w:eastAsia="en-AU"/>
              </w:rPr>
              <w:t>33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19D65D" w14:textId="5741A2F6" w:rsidR="001D104E" w:rsidRPr="00B07612" w:rsidRDefault="001D104E" w:rsidP="110985B9">
            <w:pPr>
              <w:spacing w:after="0" w:line="240" w:lineRule="auto"/>
              <w:jc w:val="center"/>
              <w:rPr>
                <w:rFonts w:eastAsia="Times New Roman" w:cs="Arial"/>
                <w:b/>
                <w:bCs/>
                <w:color w:val="000000"/>
                <w:lang w:eastAsia="en-AU"/>
              </w:rPr>
            </w:pPr>
            <w:r w:rsidRPr="110985B9">
              <w:rPr>
                <w:rFonts w:eastAsia="Times New Roman" w:cs="Arial"/>
                <w:b/>
                <w:bCs/>
                <w:color w:val="000000" w:themeColor="text1"/>
                <w:lang w:eastAsia="en-AU"/>
              </w:rPr>
              <w:t>204</w:t>
            </w:r>
            <w:r w:rsidR="003B7001">
              <w:rPr>
                <w:rFonts w:eastAsia="Times New Roman" w:cs="Arial"/>
                <w:b/>
                <w:bCs/>
                <w:color w:val="000000" w:themeColor="text1"/>
                <w:lang w:eastAsia="en-AU"/>
              </w:rPr>
              <w:t>3</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6357F5F7" w14:textId="7D17C97D" w:rsidR="001D104E" w:rsidRPr="00B07612" w:rsidRDefault="001D104E" w:rsidP="110985B9">
            <w:pPr>
              <w:spacing w:after="0" w:line="240" w:lineRule="auto"/>
              <w:jc w:val="center"/>
              <w:rPr>
                <w:rFonts w:eastAsia="Times New Roman" w:cs="Arial"/>
                <w:b/>
                <w:bCs/>
                <w:color w:val="000000"/>
                <w:lang w:eastAsia="en-AU"/>
              </w:rPr>
            </w:pPr>
            <w:r w:rsidRPr="110985B9">
              <w:rPr>
                <w:rFonts w:eastAsia="Times New Roman" w:cs="Arial"/>
                <w:b/>
                <w:bCs/>
                <w:color w:val="000000" w:themeColor="text1"/>
                <w:lang w:eastAsia="en-AU"/>
              </w:rPr>
              <w:t xml:space="preserve">Change </w:t>
            </w:r>
            <w:r>
              <w:br/>
            </w:r>
            <w:r w:rsidRPr="110985B9">
              <w:rPr>
                <w:rFonts w:eastAsia="Times New Roman" w:cs="Arial"/>
                <w:b/>
                <w:bCs/>
                <w:color w:val="000000" w:themeColor="text1"/>
                <w:lang w:eastAsia="en-AU"/>
              </w:rPr>
              <w:t>202</w:t>
            </w:r>
            <w:r w:rsidR="006E1732">
              <w:rPr>
                <w:rFonts w:eastAsia="Times New Roman" w:cs="Arial"/>
                <w:b/>
                <w:bCs/>
                <w:color w:val="000000" w:themeColor="text1"/>
                <w:lang w:eastAsia="en-AU"/>
              </w:rPr>
              <w:t>3</w:t>
            </w:r>
            <w:r w:rsidRPr="110985B9">
              <w:rPr>
                <w:rFonts w:eastAsia="Times New Roman" w:cs="Arial"/>
                <w:b/>
                <w:bCs/>
                <w:color w:val="000000" w:themeColor="text1"/>
                <w:lang w:eastAsia="en-AU"/>
              </w:rPr>
              <w:t>-204</w:t>
            </w:r>
            <w:r w:rsidR="006E1732">
              <w:rPr>
                <w:rFonts w:eastAsia="Times New Roman" w:cs="Arial"/>
                <w:b/>
                <w:bCs/>
                <w:color w:val="000000" w:themeColor="text1"/>
                <w:lang w:eastAsia="en-AU"/>
              </w:rPr>
              <w:t>3</w:t>
            </w:r>
          </w:p>
        </w:tc>
        <w:tc>
          <w:tcPr>
            <w:tcW w:w="1413" w:type="dxa"/>
            <w:tcBorders>
              <w:top w:val="single" w:sz="4" w:space="0" w:color="auto"/>
              <w:left w:val="nil"/>
              <w:bottom w:val="single" w:sz="4" w:space="0" w:color="auto"/>
              <w:right w:val="single" w:sz="4" w:space="0" w:color="auto"/>
            </w:tcBorders>
            <w:shd w:val="clear" w:color="auto" w:fill="auto"/>
            <w:vAlign w:val="center"/>
          </w:tcPr>
          <w:p w14:paraId="0C6B3626" w14:textId="3E81DE4F" w:rsidR="001D104E" w:rsidRPr="00B07612" w:rsidRDefault="001D104E" w:rsidP="110985B9">
            <w:pPr>
              <w:spacing w:after="0" w:line="240" w:lineRule="auto"/>
              <w:jc w:val="center"/>
              <w:rPr>
                <w:rFonts w:eastAsia="Times New Roman" w:cs="Arial"/>
                <w:b/>
                <w:bCs/>
                <w:color w:val="000000"/>
                <w:lang w:eastAsia="en-AU"/>
              </w:rPr>
            </w:pPr>
            <w:r w:rsidRPr="110985B9">
              <w:rPr>
                <w:rFonts w:eastAsia="Times New Roman" w:cs="Arial"/>
                <w:b/>
                <w:bCs/>
                <w:color w:val="000000" w:themeColor="text1"/>
                <w:lang w:eastAsia="en-AU"/>
              </w:rPr>
              <w:t>Avg. Annual Growth Rate</w:t>
            </w:r>
            <w:r w:rsidR="4F1CAFDE" w:rsidRPr="110985B9">
              <w:rPr>
                <w:rFonts w:eastAsia="Times New Roman" w:cs="Arial"/>
                <w:b/>
                <w:bCs/>
                <w:color w:val="000000" w:themeColor="text1"/>
                <w:lang w:eastAsia="en-AU"/>
              </w:rPr>
              <w:t xml:space="preserve"> </w:t>
            </w:r>
            <w:r w:rsidRPr="110985B9">
              <w:rPr>
                <w:rFonts w:eastAsia="Times New Roman" w:cs="Arial"/>
                <w:b/>
                <w:bCs/>
                <w:color w:val="000000" w:themeColor="text1"/>
                <w:lang w:eastAsia="en-AU"/>
              </w:rPr>
              <w:t>202</w:t>
            </w:r>
            <w:r w:rsidR="006E1732">
              <w:rPr>
                <w:rFonts w:eastAsia="Times New Roman" w:cs="Arial"/>
                <w:b/>
                <w:bCs/>
                <w:color w:val="000000" w:themeColor="text1"/>
                <w:lang w:eastAsia="en-AU"/>
              </w:rPr>
              <w:t>3</w:t>
            </w:r>
            <w:r w:rsidRPr="110985B9">
              <w:rPr>
                <w:rFonts w:eastAsia="Times New Roman" w:cs="Arial"/>
                <w:b/>
                <w:bCs/>
                <w:color w:val="000000" w:themeColor="text1"/>
                <w:lang w:eastAsia="en-AU"/>
              </w:rPr>
              <w:t>-204</w:t>
            </w:r>
            <w:r w:rsidR="006E1732">
              <w:rPr>
                <w:rFonts w:eastAsia="Times New Roman" w:cs="Arial"/>
                <w:b/>
                <w:bCs/>
                <w:color w:val="000000" w:themeColor="text1"/>
                <w:lang w:eastAsia="en-AU"/>
              </w:rPr>
              <w:t>3</w:t>
            </w:r>
          </w:p>
        </w:tc>
      </w:tr>
      <w:tr w:rsidR="00B07612" w:rsidRPr="00537E40" w14:paraId="64DC5B59" w14:textId="77777777" w:rsidTr="7CBAB9C3">
        <w:trPr>
          <w:trHeight w:val="454"/>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1009D64D" w14:textId="77777777" w:rsidR="00B07612" w:rsidRPr="00B07612" w:rsidRDefault="00B07612" w:rsidP="00B07612">
            <w:pPr>
              <w:spacing w:after="0" w:line="240" w:lineRule="auto"/>
              <w:rPr>
                <w:rFonts w:eastAsia="Times New Roman" w:cs="Arial"/>
                <w:b/>
                <w:bCs/>
                <w:color w:val="000000"/>
                <w:szCs w:val="20"/>
                <w:lang w:eastAsia="en-AU"/>
              </w:rPr>
            </w:pPr>
            <w:r w:rsidRPr="00B07612">
              <w:rPr>
                <w:rFonts w:eastAsia="Times New Roman" w:cs="Arial"/>
                <w:b/>
                <w:bCs/>
                <w:color w:val="000000"/>
                <w:szCs w:val="20"/>
                <w:lang w:eastAsia="en-AU"/>
              </w:rPr>
              <w:t>Population</w:t>
            </w:r>
          </w:p>
        </w:tc>
        <w:tc>
          <w:tcPr>
            <w:tcW w:w="1276" w:type="dxa"/>
            <w:tcBorders>
              <w:top w:val="nil"/>
              <w:left w:val="nil"/>
              <w:bottom w:val="single" w:sz="4" w:space="0" w:color="auto"/>
              <w:right w:val="single" w:sz="4" w:space="0" w:color="auto"/>
            </w:tcBorders>
            <w:shd w:val="clear" w:color="auto" w:fill="auto"/>
            <w:noWrap/>
            <w:vAlign w:val="center"/>
            <w:hideMark/>
          </w:tcPr>
          <w:p w14:paraId="07CD23A9" w14:textId="707F228A" w:rsidR="00B07612" w:rsidRPr="00B07612" w:rsidRDefault="003B7001" w:rsidP="110985B9">
            <w:pPr>
              <w:spacing w:after="0" w:line="240" w:lineRule="auto"/>
              <w:jc w:val="right"/>
              <w:rPr>
                <w:rFonts w:eastAsia="Times New Roman" w:cs="Arial"/>
                <w:color w:val="000000"/>
                <w:lang w:eastAsia="en-AU"/>
              </w:rPr>
            </w:pPr>
            <w:r>
              <w:rPr>
                <w:rFonts w:eastAsia="Times New Roman" w:cs="Arial"/>
                <w:color w:val="000000" w:themeColor="text1"/>
                <w:lang w:eastAsia="en-AU"/>
              </w:rPr>
              <w:t>177,400</w:t>
            </w:r>
          </w:p>
        </w:tc>
        <w:tc>
          <w:tcPr>
            <w:tcW w:w="1275" w:type="dxa"/>
            <w:tcBorders>
              <w:top w:val="nil"/>
              <w:left w:val="nil"/>
              <w:bottom w:val="single" w:sz="4" w:space="0" w:color="auto"/>
              <w:right w:val="single" w:sz="4" w:space="0" w:color="auto"/>
            </w:tcBorders>
            <w:shd w:val="clear" w:color="auto" w:fill="auto"/>
            <w:noWrap/>
            <w:vAlign w:val="center"/>
            <w:hideMark/>
          </w:tcPr>
          <w:p w14:paraId="7B7060FD" w14:textId="28F945F1" w:rsidR="00B07612" w:rsidRPr="00B07612" w:rsidRDefault="003B7001" w:rsidP="110985B9">
            <w:pPr>
              <w:spacing w:after="0" w:line="240" w:lineRule="auto"/>
              <w:jc w:val="right"/>
              <w:rPr>
                <w:rFonts w:eastAsia="Times New Roman" w:cs="Arial"/>
                <w:color w:val="000000"/>
                <w:lang w:eastAsia="en-AU"/>
              </w:rPr>
            </w:pPr>
            <w:r>
              <w:rPr>
                <w:rFonts w:eastAsia="Times New Roman" w:cs="Arial"/>
                <w:color w:val="000000" w:themeColor="text1"/>
                <w:lang w:eastAsia="en-AU"/>
              </w:rPr>
              <w:t>246,600</w:t>
            </w:r>
          </w:p>
        </w:tc>
        <w:tc>
          <w:tcPr>
            <w:tcW w:w="1276" w:type="dxa"/>
            <w:tcBorders>
              <w:top w:val="nil"/>
              <w:left w:val="nil"/>
              <w:bottom w:val="single" w:sz="4" w:space="0" w:color="auto"/>
              <w:right w:val="single" w:sz="4" w:space="0" w:color="auto"/>
            </w:tcBorders>
            <w:shd w:val="clear" w:color="auto" w:fill="auto"/>
            <w:noWrap/>
            <w:vAlign w:val="center"/>
            <w:hideMark/>
          </w:tcPr>
          <w:p w14:paraId="6DEF8A42" w14:textId="6DACFE23" w:rsidR="00B07612" w:rsidRPr="00B07612" w:rsidRDefault="003B7001" w:rsidP="110985B9">
            <w:pPr>
              <w:spacing w:after="0" w:line="240" w:lineRule="auto"/>
              <w:jc w:val="right"/>
              <w:rPr>
                <w:rFonts w:eastAsia="Times New Roman" w:cs="Arial"/>
                <w:color w:val="000000"/>
                <w:lang w:eastAsia="en-AU"/>
              </w:rPr>
            </w:pPr>
            <w:r>
              <w:rPr>
                <w:rFonts w:eastAsia="Times New Roman" w:cs="Arial"/>
                <w:color w:val="000000" w:themeColor="text1"/>
                <w:lang w:eastAsia="en-AU"/>
              </w:rPr>
              <w:t>292,100</w:t>
            </w:r>
          </w:p>
        </w:tc>
        <w:tc>
          <w:tcPr>
            <w:tcW w:w="1418" w:type="dxa"/>
            <w:tcBorders>
              <w:top w:val="nil"/>
              <w:left w:val="nil"/>
              <w:bottom w:val="single" w:sz="4" w:space="0" w:color="auto"/>
              <w:right w:val="single" w:sz="4" w:space="0" w:color="auto"/>
            </w:tcBorders>
            <w:shd w:val="clear" w:color="auto" w:fill="auto"/>
            <w:noWrap/>
            <w:vAlign w:val="center"/>
            <w:hideMark/>
          </w:tcPr>
          <w:p w14:paraId="0555222C" w14:textId="32029681" w:rsidR="00B07612" w:rsidRPr="00B07612" w:rsidRDefault="003B7001" w:rsidP="110985B9">
            <w:pPr>
              <w:spacing w:after="0" w:line="240" w:lineRule="auto"/>
              <w:jc w:val="right"/>
              <w:rPr>
                <w:rFonts w:eastAsia="Times New Roman" w:cs="Arial"/>
                <w:color w:val="000000"/>
                <w:lang w:eastAsia="en-AU"/>
              </w:rPr>
            </w:pPr>
            <w:r>
              <w:rPr>
                <w:rFonts w:eastAsia="Times New Roman" w:cs="Arial"/>
                <w:color w:val="000000" w:themeColor="text1"/>
                <w:lang w:eastAsia="en-AU"/>
              </w:rPr>
              <w:t>114,700</w:t>
            </w:r>
          </w:p>
        </w:tc>
        <w:tc>
          <w:tcPr>
            <w:tcW w:w="1413" w:type="dxa"/>
            <w:tcBorders>
              <w:top w:val="nil"/>
              <w:left w:val="nil"/>
              <w:bottom w:val="single" w:sz="4" w:space="0" w:color="auto"/>
              <w:right w:val="single" w:sz="4" w:space="0" w:color="auto"/>
            </w:tcBorders>
            <w:shd w:val="clear" w:color="auto" w:fill="auto"/>
            <w:noWrap/>
            <w:vAlign w:val="center"/>
            <w:hideMark/>
          </w:tcPr>
          <w:p w14:paraId="7AEBE098" w14:textId="7980FE05" w:rsidR="00B07612" w:rsidRPr="00B07612" w:rsidRDefault="003B7001" w:rsidP="110985B9">
            <w:pPr>
              <w:spacing w:after="0" w:line="240" w:lineRule="auto"/>
              <w:jc w:val="right"/>
              <w:rPr>
                <w:rFonts w:eastAsia="Times New Roman" w:cs="Arial"/>
                <w:color w:val="000000"/>
                <w:lang w:eastAsia="en-AU"/>
              </w:rPr>
            </w:pPr>
            <w:r>
              <w:rPr>
                <w:rFonts w:eastAsia="Times New Roman" w:cs="Arial"/>
                <w:color w:val="000000" w:themeColor="text1"/>
                <w:lang w:eastAsia="en-AU"/>
              </w:rPr>
              <w:t>2</w:t>
            </w:r>
            <w:r w:rsidR="00B07612" w:rsidRPr="110985B9">
              <w:rPr>
                <w:rFonts w:eastAsia="Times New Roman" w:cs="Arial"/>
                <w:color w:val="000000" w:themeColor="text1"/>
                <w:lang w:eastAsia="en-AU"/>
              </w:rPr>
              <w:t>.</w:t>
            </w:r>
            <w:r w:rsidR="00CC2F7D" w:rsidRPr="110985B9">
              <w:rPr>
                <w:rFonts w:eastAsia="Times New Roman" w:cs="Arial"/>
                <w:color w:val="000000" w:themeColor="text1"/>
                <w:lang w:eastAsia="en-AU"/>
              </w:rPr>
              <w:t>5</w:t>
            </w:r>
            <w:r w:rsidR="00B07612" w:rsidRPr="110985B9">
              <w:rPr>
                <w:rFonts w:eastAsia="Times New Roman" w:cs="Arial"/>
                <w:color w:val="000000" w:themeColor="text1"/>
                <w:lang w:eastAsia="en-AU"/>
              </w:rPr>
              <w:t>%</w:t>
            </w:r>
          </w:p>
        </w:tc>
      </w:tr>
      <w:tr w:rsidR="00B07612" w:rsidRPr="00537E40" w14:paraId="49B9AC9D" w14:textId="77777777" w:rsidTr="7CBAB9C3">
        <w:trPr>
          <w:trHeight w:val="454"/>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5F41B2B3" w14:textId="77777777" w:rsidR="00B07612" w:rsidRPr="00B07612" w:rsidRDefault="00B07612" w:rsidP="00B07612">
            <w:pPr>
              <w:spacing w:after="0" w:line="240" w:lineRule="auto"/>
              <w:rPr>
                <w:rFonts w:eastAsia="Times New Roman" w:cs="Arial"/>
                <w:b/>
                <w:bCs/>
                <w:color w:val="000000"/>
                <w:szCs w:val="20"/>
                <w:lang w:eastAsia="en-AU"/>
              </w:rPr>
            </w:pPr>
            <w:r w:rsidRPr="00B07612">
              <w:rPr>
                <w:rFonts w:eastAsia="Times New Roman" w:cs="Arial"/>
                <w:b/>
                <w:bCs/>
                <w:color w:val="000000"/>
                <w:szCs w:val="20"/>
                <w:lang w:eastAsia="en-AU"/>
              </w:rPr>
              <w:t>Households</w:t>
            </w:r>
          </w:p>
        </w:tc>
        <w:tc>
          <w:tcPr>
            <w:tcW w:w="1276" w:type="dxa"/>
            <w:tcBorders>
              <w:top w:val="nil"/>
              <w:left w:val="nil"/>
              <w:bottom w:val="single" w:sz="4" w:space="0" w:color="auto"/>
              <w:right w:val="single" w:sz="4" w:space="0" w:color="auto"/>
            </w:tcBorders>
            <w:shd w:val="clear" w:color="auto" w:fill="auto"/>
            <w:noWrap/>
            <w:vAlign w:val="center"/>
            <w:hideMark/>
          </w:tcPr>
          <w:p w14:paraId="3AC3EB5C" w14:textId="685DC76F" w:rsidR="00B07612" w:rsidRPr="00B07612" w:rsidRDefault="003B7001" w:rsidP="110985B9">
            <w:pPr>
              <w:spacing w:after="0" w:line="240" w:lineRule="auto"/>
              <w:jc w:val="right"/>
              <w:rPr>
                <w:rFonts w:eastAsia="Times New Roman" w:cs="Arial"/>
                <w:color w:val="000000"/>
                <w:lang w:eastAsia="en-AU"/>
              </w:rPr>
            </w:pPr>
            <w:r>
              <w:rPr>
                <w:rFonts w:eastAsia="Times New Roman" w:cs="Arial"/>
                <w:color w:val="000000" w:themeColor="text1"/>
                <w:lang w:eastAsia="en-AU"/>
              </w:rPr>
              <w:t>97,800</w:t>
            </w:r>
          </w:p>
        </w:tc>
        <w:tc>
          <w:tcPr>
            <w:tcW w:w="1275" w:type="dxa"/>
            <w:tcBorders>
              <w:top w:val="nil"/>
              <w:left w:val="nil"/>
              <w:bottom w:val="single" w:sz="4" w:space="0" w:color="auto"/>
              <w:right w:val="single" w:sz="4" w:space="0" w:color="auto"/>
            </w:tcBorders>
            <w:shd w:val="clear" w:color="auto" w:fill="auto"/>
            <w:noWrap/>
            <w:vAlign w:val="center"/>
            <w:hideMark/>
          </w:tcPr>
          <w:p w14:paraId="2B6D62E5" w14:textId="334CBEA3" w:rsidR="00B07612" w:rsidRPr="00B07612" w:rsidRDefault="003B7001" w:rsidP="110985B9">
            <w:pPr>
              <w:spacing w:after="0" w:line="240" w:lineRule="auto"/>
              <w:jc w:val="right"/>
              <w:rPr>
                <w:rFonts w:eastAsia="Times New Roman" w:cs="Arial"/>
                <w:color w:val="000000"/>
                <w:lang w:eastAsia="en-AU"/>
              </w:rPr>
            </w:pPr>
            <w:r>
              <w:rPr>
                <w:rFonts w:eastAsia="Times New Roman" w:cs="Arial"/>
                <w:color w:val="000000" w:themeColor="text1"/>
                <w:lang w:eastAsia="en-AU"/>
              </w:rPr>
              <w:t>113,900</w:t>
            </w:r>
          </w:p>
        </w:tc>
        <w:tc>
          <w:tcPr>
            <w:tcW w:w="1276" w:type="dxa"/>
            <w:tcBorders>
              <w:top w:val="nil"/>
              <w:left w:val="nil"/>
              <w:bottom w:val="single" w:sz="4" w:space="0" w:color="auto"/>
              <w:right w:val="single" w:sz="4" w:space="0" w:color="auto"/>
            </w:tcBorders>
            <w:shd w:val="clear" w:color="auto" w:fill="auto"/>
            <w:noWrap/>
            <w:vAlign w:val="center"/>
            <w:hideMark/>
          </w:tcPr>
          <w:p w14:paraId="0A72C94E" w14:textId="390C67B4" w:rsidR="00B07612" w:rsidRPr="00B07612" w:rsidRDefault="003B7001" w:rsidP="110985B9">
            <w:pPr>
              <w:spacing w:after="0" w:line="240" w:lineRule="auto"/>
              <w:jc w:val="right"/>
              <w:rPr>
                <w:rFonts w:eastAsia="Times New Roman" w:cs="Arial"/>
                <w:color w:val="000000"/>
                <w:lang w:eastAsia="en-AU"/>
              </w:rPr>
            </w:pPr>
            <w:r>
              <w:rPr>
                <w:rFonts w:eastAsia="Times New Roman" w:cs="Arial"/>
                <w:color w:val="000000" w:themeColor="text1"/>
                <w:lang w:eastAsia="en-AU"/>
              </w:rPr>
              <w:t>134,900</w:t>
            </w:r>
          </w:p>
        </w:tc>
        <w:tc>
          <w:tcPr>
            <w:tcW w:w="1418" w:type="dxa"/>
            <w:tcBorders>
              <w:top w:val="nil"/>
              <w:left w:val="nil"/>
              <w:bottom w:val="single" w:sz="4" w:space="0" w:color="auto"/>
              <w:right w:val="single" w:sz="4" w:space="0" w:color="auto"/>
            </w:tcBorders>
            <w:shd w:val="clear" w:color="auto" w:fill="auto"/>
            <w:noWrap/>
            <w:vAlign w:val="center"/>
            <w:hideMark/>
          </w:tcPr>
          <w:p w14:paraId="603C1378" w14:textId="27F94E72" w:rsidR="00B07612" w:rsidRPr="00B07612" w:rsidRDefault="4A67D3D0" w:rsidP="110985B9">
            <w:pPr>
              <w:spacing w:after="0" w:line="240" w:lineRule="auto"/>
              <w:jc w:val="right"/>
              <w:rPr>
                <w:rFonts w:eastAsia="Times New Roman" w:cs="Arial"/>
                <w:color w:val="000000"/>
                <w:lang w:eastAsia="en-AU"/>
              </w:rPr>
            </w:pPr>
            <w:r w:rsidRPr="110985B9">
              <w:rPr>
                <w:rFonts w:eastAsia="Times New Roman" w:cs="Arial"/>
                <w:color w:val="000000" w:themeColor="text1"/>
                <w:lang w:eastAsia="en-AU"/>
              </w:rPr>
              <w:t xml:space="preserve"> </w:t>
            </w:r>
            <w:r w:rsidR="003B7001">
              <w:rPr>
                <w:rFonts w:eastAsia="Times New Roman" w:cs="Arial"/>
                <w:color w:val="000000" w:themeColor="text1"/>
                <w:lang w:eastAsia="en-AU"/>
              </w:rPr>
              <w:t>37,100</w:t>
            </w:r>
          </w:p>
        </w:tc>
        <w:tc>
          <w:tcPr>
            <w:tcW w:w="1413" w:type="dxa"/>
            <w:tcBorders>
              <w:top w:val="nil"/>
              <w:left w:val="nil"/>
              <w:bottom w:val="single" w:sz="4" w:space="0" w:color="auto"/>
              <w:right w:val="single" w:sz="4" w:space="0" w:color="auto"/>
            </w:tcBorders>
            <w:shd w:val="clear" w:color="auto" w:fill="auto"/>
            <w:noWrap/>
            <w:vAlign w:val="center"/>
            <w:hideMark/>
          </w:tcPr>
          <w:p w14:paraId="30A24581" w14:textId="63AFF14C" w:rsidR="00B07612" w:rsidRPr="00B07612" w:rsidRDefault="003B7001" w:rsidP="110985B9">
            <w:pPr>
              <w:spacing w:after="0" w:line="240" w:lineRule="auto"/>
              <w:jc w:val="right"/>
              <w:rPr>
                <w:rFonts w:eastAsia="Times New Roman" w:cs="Arial"/>
                <w:color w:val="000000"/>
                <w:lang w:eastAsia="en-AU"/>
              </w:rPr>
            </w:pPr>
            <w:r>
              <w:rPr>
                <w:rFonts w:eastAsia="Times New Roman" w:cs="Arial"/>
                <w:color w:val="000000" w:themeColor="text1"/>
                <w:lang w:eastAsia="en-AU"/>
              </w:rPr>
              <w:t>1.6</w:t>
            </w:r>
            <w:r w:rsidR="00B07612" w:rsidRPr="110985B9">
              <w:rPr>
                <w:rFonts w:eastAsia="Times New Roman" w:cs="Arial"/>
                <w:color w:val="000000" w:themeColor="text1"/>
                <w:lang w:eastAsia="en-AU"/>
              </w:rPr>
              <w:t>%</w:t>
            </w:r>
          </w:p>
        </w:tc>
      </w:tr>
      <w:tr w:rsidR="00B07612" w:rsidRPr="00537E40" w14:paraId="29058035" w14:textId="77777777" w:rsidTr="7CBAB9C3">
        <w:trPr>
          <w:trHeight w:val="454"/>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0668D723" w14:textId="047ED61B" w:rsidR="00B07612" w:rsidRPr="00B07612" w:rsidRDefault="00B07612" w:rsidP="00B07612">
            <w:pPr>
              <w:spacing w:after="0" w:line="240" w:lineRule="auto"/>
              <w:rPr>
                <w:rFonts w:eastAsia="Times New Roman" w:cs="Arial"/>
                <w:b/>
                <w:bCs/>
                <w:color w:val="000000"/>
                <w:szCs w:val="20"/>
                <w:lang w:eastAsia="en-AU"/>
              </w:rPr>
            </w:pPr>
            <w:r w:rsidRPr="00B07612">
              <w:rPr>
                <w:rFonts w:eastAsia="Times New Roman" w:cs="Arial"/>
                <w:b/>
                <w:bCs/>
                <w:color w:val="000000"/>
                <w:szCs w:val="20"/>
                <w:lang w:eastAsia="en-AU"/>
              </w:rPr>
              <w:t>Jobs</w:t>
            </w:r>
            <w:r w:rsidR="0056230B">
              <w:rPr>
                <w:rFonts w:eastAsia="Times New Roman" w:cs="Arial"/>
                <w:b/>
                <w:bCs/>
                <w:color w:val="000000"/>
                <w:szCs w:val="20"/>
                <w:lang w:eastAsia="en-AU"/>
              </w:rPr>
              <w:t xml:space="preserve"> (On-Site)</w:t>
            </w:r>
          </w:p>
        </w:tc>
        <w:tc>
          <w:tcPr>
            <w:tcW w:w="1276" w:type="dxa"/>
            <w:tcBorders>
              <w:top w:val="nil"/>
              <w:left w:val="nil"/>
              <w:bottom w:val="single" w:sz="4" w:space="0" w:color="auto"/>
              <w:right w:val="single" w:sz="4" w:space="0" w:color="auto"/>
            </w:tcBorders>
            <w:shd w:val="clear" w:color="auto" w:fill="auto"/>
            <w:noWrap/>
            <w:vAlign w:val="center"/>
            <w:hideMark/>
          </w:tcPr>
          <w:p w14:paraId="08F1BA18" w14:textId="7D90ABF6" w:rsidR="00B07612" w:rsidRPr="00B07612" w:rsidRDefault="00DC3825" w:rsidP="4A450472">
            <w:pPr>
              <w:spacing w:after="0" w:line="240" w:lineRule="auto"/>
              <w:jc w:val="right"/>
              <w:rPr>
                <w:rFonts w:eastAsia="Times New Roman" w:cs="Arial"/>
                <w:color w:val="000000" w:themeColor="text1"/>
                <w:lang w:eastAsia="en-AU"/>
              </w:rPr>
            </w:pPr>
            <w:r>
              <w:rPr>
                <w:rFonts w:eastAsia="Times New Roman" w:cs="Arial"/>
                <w:color w:val="000000" w:themeColor="text1"/>
                <w:lang w:eastAsia="en-AU"/>
              </w:rPr>
              <w:t>495,400</w:t>
            </w:r>
          </w:p>
        </w:tc>
        <w:tc>
          <w:tcPr>
            <w:tcW w:w="1275" w:type="dxa"/>
            <w:tcBorders>
              <w:top w:val="nil"/>
              <w:left w:val="nil"/>
              <w:bottom w:val="single" w:sz="4" w:space="0" w:color="auto"/>
              <w:right w:val="single" w:sz="4" w:space="0" w:color="auto"/>
            </w:tcBorders>
            <w:shd w:val="clear" w:color="auto" w:fill="auto"/>
            <w:noWrap/>
            <w:vAlign w:val="center"/>
            <w:hideMark/>
          </w:tcPr>
          <w:p w14:paraId="1C85200B" w14:textId="6DB110A6" w:rsidR="00B07612" w:rsidRPr="00B07612" w:rsidRDefault="003B7001" w:rsidP="110985B9">
            <w:pPr>
              <w:spacing w:after="0" w:line="240" w:lineRule="auto"/>
              <w:jc w:val="right"/>
              <w:rPr>
                <w:rFonts w:eastAsia="Times New Roman" w:cs="Arial"/>
                <w:color w:val="000000"/>
                <w:lang w:eastAsia="en-AU"/>
              </w:rPr>
            </w:pPr>
            <w:r>
              <w:rPr>
                <w:rFonts w:eastAsia="Times New Roman" w:cs="Arial"/>
                <w:color w:val="000000" w:themeColor="text1"/>
                <w:lang w:eastAsia="en-AU"/>
              </w:rPr>
              <w:t>610,800</w:t>
            </w:r>
          </w:p>
        </w:tc>
        <w:tc>
          <w:tcPr>
            <w:tcW w:w="1276" w:type="dxa"/>
            <w:tcBorders>
              <w:top w:val="nil"/>
              <w:left w:val="nil"/>
              <w:bottom w:val="single" w:sz="4" w:space="0" w:color="auto"/>
              <w:right w:val="single" w:sz="4" w:space="0" w:color="auto"/>
            </w:tcBorders>
            <w:shd w:val="clear" w:color="auto" w:fill="auto"/>
            <w:noWrap/>
            <w:vAlign w:val="center"/>
            <w:hideMark/>
          </w:tcPr>
          <w:p w14:paraId="47A5BA30" w14:textId="066D6852" w:rsidR="00B07612" w:rsidRPr="00B07612" w:rsidRDefault="003B7001" w:rsidP="110985B9">
            <w:pPr>
              <w:spacing w:after="0" w:line="240" w:lineRule="auto"/>
              <w:jc w:val="right"/>
              <w:rPr>
                <w:rFonts w:eastAsia="Times New Roman" w:cs="Arial"/>
                <w:color w:val="000000"/>
                <w:lang w:eastAsia="en-AU"/>
              </w:rPr>
            </w:pPr>
            <w:r>
              <w:rPr>
                <w:rFonts w:eastAsia="Times New Roman" w:cs="Arial"/>
                <w:color w:val="000000" w:themeColor="text1"/>
                <w:lang w:eastAsia="en-AU"/>
              </w:rPr>
              <w:t>675,300</w:t>
            </w:r>
          </w:p>
        </w:tc>
        <w:tc>
          <w:tcPr>
            <w:tcW w:w="1418" w:type="dxa"/>
            <w:tcBorders>
              <w:top w:val="nil"/>
              <w:left w:val="nil"/>
              <w:bottom w:val="single" w:sz="4" w:space="0" w:color="auto"/>
              <w:right w:val="single" w:sz="4" w:space="0" w:color="auto"/>
            </w:tcBorders>
            <w:shd w:val="clear" w:color="auto" w:fill="auto"/>
            <w:noWrap/>
            <w:vAlign w:val="center"/>
            <w:hideMark/>
          </w:tcPr>
          <w:p w14:paraId="261A97BC" w14:textId="32220A6F" w:rsidR="00B07612" w:rsidRPr="00B07612" w:rsidRDefault="4888946F" w:rsidP="4A450472">
            <w:pPr>
              <w:spacing w:after="0" w:line="240" w:lineRule="auto"/>
              <w:jc w:val="right"/>
              <w:rPr>
                <w:rFonts w:eastAsia="Arial" w:cs="Arial"/>
                <w:szCs w:val="20"/>
              </w:rPr>
            </w:pPr>
            <w:r w:rsidRPr="4A450472">
              <w:rPr>
                <w:rFonts w:eastAsia="Times New Roman" w:cs="Arial"/>
                <w:color w:val="000000" w:themeColor="text1"/>
                <w:lang w:eastAsia="en-AU"/>
              </w:rPr>
              <w:t>162,700</w:t>
            </w:r>
          </w:p>
        </w:tc>
        <w:tc>
          <w:tcPr>
            <w:tcW w:w="1413" w:type="dxa"/>
            <w:tcBorders>
              <w:top w:val="nil"/>
              <w:left w:val="nil"/>
              <w:bottom w:val="single" w:sz="4" w:space="0" w:color="auto"/>
              <w:right w:val="single" w:sz="4" w:space="0" w:color="auto"/>
            </w:tcBorders>
            <w:shd w:val="clear" w:color="auto" w:fill="auto"/>
            <w:noWrap/>
            <w:vAlign w:val="center"/>
            <w:hideMark/>
          </w:tcPr>
          <w:p w14:paraId="23BE8C19" w14:textId="7322437A" w:rsidR="00B07612" w:rsidRPr="00B07612" w:rsidRDefault="2224BB7B" w:rsidP="110985B9">
            <w:pPr>
              <w:spacing w:after="0" w:line="240" w:lineRule="auto"/>
              <w:jc w:val="right"/>
              <w:rPr>
                <w:rFonts w:eastAsia="Times New Roman" w:cs="Arial"/>
                <w:color w:val="000000"/>
                <w:lang w:eastAsia="en-AU"/>
              </w:rPr>
            </w:pPr>
            <w:r w:rsidRPr="4A450472">
              <w:rPr>
                <w:rFonts w:eastAsia="Times New Roman" w:cs="Arial"/>
                <w:color w:val="000000" w:themeColor="text1"/>
                <w:lang w:eastAsia="en-AU"/>
              </w:rPr>
              <w:t>1.</w:t>
            </w:r>
            <w:r w:rsidR="2F6BE382" w:rsidRPr="4A450472">
              <w:rPr>
                <w:rFonts w:eastAsia="Times New Roman" w:cs="Arial"/>
                <w:color w:val="000000" w:themeColor="text1"/>
                <w:lang w:eastAsia="en-AU"/>
              </w:rPr>
              <w:t>4</w:t>
            </w:r>
            <w:r w:rsidR="00B07612" w:rsidRPr="4A450472">
              <w:rPr>
                <w:rFonts w:eastAsia="Times New Roman" w:cs="Arial"/>
                <w:color w:val="000000" w:themeColor="text1"/>
                <w:lang w:eastAsia="en-AU"/>
              </w:rPr>
              <w:t>%</w:t>
            </w:r>
          </w:p>
        </w:tc>
      </w:tr>
      <w:tr w:rsidR="0056230B" w:rsidRPr="00537E40" w14:paraId="6C8832A1" w14:textId="77777777" w:rsidTr="7CBAB9C3">
        <w:trPr>
          <w:trHeight w:val="454"/>
        </w:trPr>
        <w:tc>
          <w:tcPr>
            <w:tcW w:w="3114" w:type="dxa"/>
            <w:tcBorders>
              <w:top w:val="nil"/>
              <w:left w:val="single" w:sz="4" w:space="0" w:color="auto"/>
              <w:bottom w:val="single" w:sz="4" w:space="0" w:color="auto"/>
              <w:right w:val="single" w:sz="4" w:space="0" w:color="auto"/>
            </w:tcBorders>
            <w:shd w:val="clear" w:color="auto" w:fill="auto"/>
            <w:noWrap/>
            <w:vAlign w:val="center"/>
          </w:tcPr>
          <w:p w14:paraId="5CEA4764" w14:textId="02F0958A" w:rsidR="0056230B" w:rsidRPr="00B07612" w:rsidRDefault="0056230B" w:rsidP="00B07612">
            <w:pPr>
              <w:spacing w:after="0" w:line="240" w:lineRule="auto"/>
              <w:rPr>
                <w:rFonts w:eastAsia="Times New Roman" w:cs="Arial"/>
                <w:b/>
                <w:bCs/>
                <w:color w:val="000000"/>
                <w:szCs w:val="20"/>
                <w:lang w:eastAsia="en-AU"/>
              </w:rPr>
            </w:pPr>
            <w:r>
              <w:rPr>
                <w:rFonts w:eastAsia="Times New Roman" w:cs="Arial"/>
                <w:b/>
                <w:bCs/>
                <w:color w:val="000000"/>
                <w:szCs w:val="20"/>
                <w:lang w:eastAsia="en-AU"/>
              </w:rPr>
              <w:t>Jobs (Total)</w:t>
            </w:r>
          </w:p>
        </w:tc>
        <w:tc>
          <w:tcPr>
            <w:tcW w:w="1276" w:type="dxa"/>
            <w:tcBorders>
              <w:top w:val="nil"/>
              <w:left w:val="nil"/>
              <w:bottom w:val="single" w:sz="4" w:space="0" w:color="auto"/>
              <w:right w:val="single" w:sz="4" w:space="0" w:color="auto"/>
            </w:tcBorders>
            <w:shd w:val="clear" w:color="auto" w:fill="auto"/>
            <w:noWrap/>
            <w:vAlign w:val="center"/>
          </w:tcPr>
          <w:p w14:paraId="22C1B540" w14:textId="0786A38F" w:rsidR="0056230B" w:rsidRDefault="0056230B" w:rsidP="110985B9">
            <w:pPr>
              <w:spacing w:after="0" w:line="240" w:lineRule="auto"/>
              <w:jc w:val="right"/>
              <w:rPr>
                <w:rFonts w:eastAsia="Times New Roman" w:cs="Arial"/>
                <w:color w:val="000000" w:themeColor="text1"/>
                <w:lang w:eastAsia="en-AU"/>
              </w:rPr>
            </w:pPr>
            <w:r>
              <w:rPr>
                <w:rFonts w:eastAsia="Times New Roman" w:cs="Arial"/>
                <w:color w:val="000000" w:themeColor="text1"/>
                <w:lang w:eastAsia="en-AU"/>
              </w:rPr>
              <w:t>622,000</w:t>
            </w:r>
          </w:p>
        </w:tc>
        <w:tc>
          <w:tcPr>
            <w:tcW w:w="1275" w:type="dxa"/>
            <w:tcBorders>
              <w:top w:val="nil"/>
              <w:left w:val="nil"/>
              <w:bottom w:val="single" w:sz="4" w:space="0" w:color="auto"/>
              <w:right w:val="single" w:sz="4" w:space="0" w:color="auto"/>
            </w:tcBorders>
            <w:shd w:val="clear" w:color="auto" w:fill="auto"/>
            <w:noWrap/>
            <w:vAlign w:val="center"/>
          </w:tcPr>
          <w:p w14:paraId="7C531DA1" w14:textId="6D569F2F" w:rsidR="0056230B" w:rsidRDefault="0056230B" w:rsidP="110985B9">
            <w:pPr>
              <w:spacing w:after="0" w:line="240" w:lineRule="auto"/>
              <w:jc w:val="right"/>
              <w:rPr>
                <w:rFonts w:eastAsia="Times New Roman" w:cs="Arial"/>
                <w:color w:val="000000" w:themeColor="text1"/>
                <w:lang w:eastAsia="en-AU"/>
              </w:rPr>
            </w:pPr>
            <w:r>
              <w:rPr>
                <w:rFonts w:eastAsia="Times New Roman" w:cs="Arial"/>
                <w:color w:val="000000" w:themeColor="text1"/>
                <w:lang w:eastAsia="en-AU"/>
              </w:rPr>
              <w:t>763,500</w:t>
            </w:r>
          </w:p>
        </w:tc>
        <w:tc>
          <w:tcPr>
            <w:tcW w:w="1276" w:type="dxa"/>
            <w:tcBorders>
              <w:top w:val="nil"/>
              <w:left w:val="nil"/>
              <w:bottom w:val="single" w:sz="4" w:space="0" w:color="auto"/>
              <w:right w:val="single" w:sz="4" w:space="0" w:color="auto"/>
            </w:tcBorders>
            <w:shd w:val="clear" w:color="auto" w:fill="auto"/>
            <w:noWrap/>
            <w:vAlign w:val="center"/>
          </w:tcPr>
          <w:p w14:paraId="1BA4B156" w14:textId="5EF706C9" w:rsidR="0056230B" w:rsidRDefault="0056230B" w:rsidP="110985B9">
            <w:pPr>
              <w:spacing w:after="0" w:line="240" w:lineRule="auto"/>
              <w:jc w:val="right"/>
              <w:rPr>
                <w:rFonts w:eastAsia="Times New Roman" w:cs="Arial"/>
                <w:color w:val="000000" w:themeColor="text1"/>
                <w:lang w:eastAsia="en-AU"/>
              </w:rPr>
            </w:pPr>
            <w:r w:rsidRPr="7CBAB9C3">
              <w:rPr>
                <w:rFonts w:eastAsia="Times New Roman" w:cs="Arial"/>
                <w:color w:val="000000" w:themeColor="text1"/>
                <w:lang w:eastAsia="en-AU"/>
              </w:rPr>
              <w:t>845,</w:t>
            </w:r>
            <w:r w:rsidR="5370917B" w:rsidRPr="7CBAB9C3">
              <w:rPr>
                <w:rFonts w:eastAsia="Times New Roman" w:cs="Arial"/>
                <w:color w:val="000000" w:themeColor="text1"/>
                <w:lang w:eastAsia="en-AU"/>
              </w:rPr>
              <w:t>5</w:t>
            </w:r>
            <w:r w:rsidRPr="7CBAB9C3">
              <w:rPr>
                <w:rFonts w:eastAsia="Times New Roman" w:cs="Arial"/>
                <w:color w:val="000000" w:themeColor="text1"/>
                <w:lang w:eastAsia="en-AU"/>
              </w:rPr>
              <w:t>00</w:t>
            </w:r>
          </w:p>
        </w:tc>
        <w:tc>
          <w:tcPr>
            <w:tcW w:w="1418" w:type="dxa"/>
            <w:tcBorders>
              <w:top w:val="nil"/>
              <w:left w:val="nil"/>
              <w:bottom w:val="single" w:sz="4" w:space="0" w:color="auto"/>
              <w:right w:val="single" w:sz="4" w:space="0" w:color="auto"/>
            </w:tcBorders>
            <w:shd w:val="clear" w:color="auto" w:fill="auto"/>
            <w:noWrap/>
            <w:vAlign w:val="center"/>
          </w:tcPr>
          <w:p w14:paraId="1833EFDC" w14:textId="45CC2B47" w:rsidR="0056230B" w:rsidRDefault="0056230B" w:rsidP="110985B9">
            <w:pPr>
              <w:spacing w:after="0" w:line="240" w:lineRule="auto"/>
              <w:jc w:val="right"/>
              <w:rPr>
                <w:rFonts w:eastAsia="Times New Roman" w:cs="Arial"/>
                <w:color w:val="000000" w:themeColor="text1"/>
                <w:lang w:eastAsia="en-AU"/>
              </w:rPr>
            </w:pPr>
            <w:r w:rsidRPr="7CBAB9C3">
              <w:rPr>
                <w:rFonts w:eastAsia="Times New Roman" w:cs="Arial"/>
                <w:color w:val="000000" w:themeColor="text1"/>
                <w:lang w:eastAsia="en-AU"/>
              </w:rPr>
              <w:t>223,</w:t>
            </w:r>
            <w:r w:rsidR="2B83C458" w:rsidRPr="7CBAB9C3">
              <w:rPr>
                <w:rFonts w:eastAsia="Times New Roman" w:cs="Arial"/>
                <w:color w:val="000000" w:themeColor="text1"/>
                <w:lang w:eastAsia="en-AU"/>
              </w:rPr>
              <w:t>5</w:t>
            </w:r>
            <w:r w:rsidRPr="7CBAB9C3">
              <w:rPr>
                <w:rFonts w:eastAsia="Times New Roman" w:cs="Arial"/>
                <w:color w:val="000000" w:themeColor="text1"/>
                <w:lang w:eastAsia="en-AU"/>
              </w:rPr>
              <w:t>00</w:t>
            </w:r>
          </w:p>
        </w:tc>
        <w:tc>
          <w:tcPr>
            <w:tcW w:w="1413" w:type="dxa"/>
            <w:tcBorders>
              <w:top w:val="nil"/>
              <w:left w:val="nil"/>
              <w:bottom w:val="single" w:sz="4" w:space="0" w:color="auto"/>
              <w:right w:val="single" w:sz="4" w:space="0" w:color="auto"/>
            </w:tcBorders>
            <w:shd w:val="clear" w:color="auto" w:fill="auto"/>
            <w:noWrap/>
            <w:vAlign w:val="center"/>
          </w:tcPr>
          <w:p w14:paraId="1B858691" w14:textId="29F45774" w:rsidR="0056230B" w:rsidRPr="110985B9" w:rsidRDefault="0056230B" w:rsidP="110985B9">
            <w:pPr>
              <w:spacing w:after="0" w:line="240" w:lineRule="auto"/>
              <w:jc w:val="right"/>
              <w:rPr>
                <w:rFonts w:eastAsia="Times New Roman" w:cs="Arial"/>
                <w:color w:val="000000" w:themeColor="text1"/>
                <w:lang w:eastAsia="en-AU"/>
              </w:rPr>
            </w:pPr>
            <w:r>
              <w:rPr>
                <w:rFonts w:eastAsia="Times New Roman" w:cs="Arial"/>
                <w:color w:val="000000" w:themeColor="text1"/>
                <w:lang w:eastAsia="en-AU"/>
              </w:rPr>
              <w:t>1.5%</w:t>
            </w:r>
          </w:p>
        </w:tc>
      </w:tr>
      <w:tr w:rsidR="00B07612" w:rsidRPr="00537E40" w14:paraId="2038E228" w14:textId="77777777" w:rsidTr="7CBAB9C3">
        <w:trPr>
          <w:trHeight w:val="454"/>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16164169" w14:textId="77777777" w:rsidR="00B07612" w:rsidRPr="00B07612" w:rsidRDefault="00B07612" w:rsidP="00B07612">
            <w:pPr>
              <w:spacing w:after="0" w:line="240" w:lineRule="auto"/>
              <w:rPr>
                <w:rFonts w:eastAsia="Times New Roman" w:cs="Arial"/>
                <w:b/>
                <w:bCs/>
                <w:color w:val="000000"/>
                <w:szCs w:val="20"/>
                <w:lang w:eastAsia="en-AU"/>
              </w:rPr>
            </w:pPr>
            <w:r w:rsidRPr="00B07612">
              <w:rPr>
                <w:rFonts w:eastAsia="Times New Roman" w:cs="Arial"/>
                <w:b/>
                <w:bCs/>
                <w:color w:val="000000"/>
                <w:szCs w:val="20"/>
                <w:lang w:eastAsia="en-AU"/>
              </w:rPr>
              <w:t>Floor space (</w:t>
            </w:r>
            <w:r w:rsidR="00C55026">
              <w:rPr>
                <w:rFonts w:eastAsia="Times New Roman" w:cs="Arial"/>
                <w:b/>
                <w:bCs/>
                <w:color w:val="000000"/>
                <w:szCs w:val="20"/>
                <w:lang w:eastAsia="en-AU"/>
              </w:rPr>
              <w:t>‘000 s</w:t>
            </w:r>
            <w:r w:rsidRPr="00B07612">
              <w:rPr>
                <w:rFonts w:eastAsia="Times New Roman" w:cs="Arial"/>
                <w:b/>
                <w:bCs/>
                <w:color w:val="000000"/>
                <w:szCs w:val="20"/>
                <w:lang w:eastAsia="en-AU"/>
              </w:rPr>
              <w:t>qm)</w:t>
            </w:r>
          </w:p>
        </w:tc>
        <w:tc>
          <w:tcPr>
            <w:tcW w:w="1276" w:type="dxa"/>
            <w:tcBorders>
              <w:top w:val="nil"/>
              <w:left w:val="nil"/>
              <w:bottom w:val="single" w:sz="4" w:space="0" w:color="auto"/>
              <w:right w:val="single" w:sz="4" w:space="0" w:color="auto"/>
            </w:tcBorders>
            <w:shd w:val="clear" w:color="auto" w:fill="auto"/>
            <w:noWrap/>
            <w:vAlign w:val="center"/>
            <w:hideMark/>
          </w:tcPr>
          <w:p w14:paraId="6C5FFBEF" w14:textId="5FBEF79A" w:rsidR="00B07612" w:rsidRPr="00B07612" w:rsidRDefault="00E00AAF" w:rsidP="110985B9">
            <w:pPr>
              <w:spacing w:after="0" w:line="240" w:lineRule="auto"/>
              <w:jc w:val="right"/>
              <w:rPr>
                <w:rFonts w:eastAsia="Times New Roman" w:cs="Arial"/>
                <w:color w:val="000000"/>
                <w:lang w:eastAsia="en-AU"/>
              </w:rPr>
            </w:pPr>
            <w:r>
              <w:rPr>
                <w:rFonts w:eastAsia="Times New Roman" w:cs="Arial"/>
                <w:color w:val="000000" w:themeColor="text1"/>
                <w:lang w:eastAsia="en-AU"/>
              </w:rPr>
              <w:t>28,200</w:t>
            </w:r>
          </w:p>
        </w:tc>
        <w:tc>
          <w:tcPr>
            <w:tcW w:w="1275" w:type="dxa"/>
            <w:tcBorders>
              <w:top w:val="nil"/>
              <w:left w:val="nil"/>
              <w:bottom w:val="single" w:sz="4" w:space="0" w:color="auto"/>
              <w:right w:val="single" w:sz="4" w:space="0" w:color="auto"/>
            </w:tcBorders>
            <w:shd w:val="clear" w:color="auto" w:fill="auto"/>
            <w:noWrap/>
            <w:vAlign w:val="center"/>
            <w:hideMark/>
          </w:tcPr>
          <w:p w14:paraId="76B6A45A" w14:textId="38DF6D2A" w:rsidR="00B07612" w:rsidRPr="00B07612" w:rsidRDefault="00E00AAF" w:rsidP="110985B9">
            <w:pPr>
              <w:spacing w:after="0" w:line="240" w:lineRule="auto"/>
              <w:jc w:val="right"/>
              <w:rPr>
                <w:rFonts w:eastAsia="Times New Roman" w:cs="Arial"/>
                <w:color w:val="000000"/>
                <w:lang w:eastAsia="en-AU"/>
              </w:rPr>
            </w:pPr>
            <w:r>
              <w:rPr>
                <w:rFonts w:eastAsia="Times New Roman" w:cs="Arial"/>
                <w:color w:val="000000" w:themeColor="text1"/>
                <w:lang w:eastAsia="en-AU"/>
              </w:rPr>
              <w:t>31,700</w:t>
            </w:r>
          </w:p>
        </w:tc>
        <w:tc>
          <w:tcPr>
            <w:tcW w:w="1276" w:type="dxa"/>
            <w:tcBorders>
              <w:top w:val="nil"/>
              <w:left w:val="nil"/>
              <w:bottom w:val="single" w:sz="4" w:space="0" w:color="auto"/>
              <w:right w:val="single" w:sz="4" w:space="0" w:color="auto"/>
            </w:tcBorders>
            <w:shd w:val="clear" w:color="auto" w:fill="auto"/>
            <w:noWrap/>
            <w:vAlign w:val="center"/>
            <w:hideMark/>
          </w:tcPr>
          <w:p w14:paraId="3071FC53" w14:textId="37F04BB2" w:rsidR="00B07612" w:rsidRPr="00B07612" w:rsidRDefault="00E00AAF" w:rsidP="110985B9">
            <w:pPr>
              <w:spacing w:after="0" w:line="240" w:lineRule="auto"/>
              <w:jc w:val="right"/>
              <w:rPr>
                <w:rFonts w:eastAsia="Times New Roman" w:cs="Arial"/>
                <w:color w:val="000000"/>
                <w:lang w:eastAsia="en-AU"/>
              </w:rPr>
            </w:pPr>
            <w:r>
              <w:rPr>
                <w:rFonts w:eastAsia="Times New Roman" w:cs="Arial"/>
                <w:color w:val="000000" w:themeColor="text1"/>
                <w:lang w:eastAsia="en-AU"/>
              </w:rPr>
              <w:t>34,900</w:t>
            </w:r>
          </w:p>
        </w:tc>
        <w:tc>
          <w:tcPr>
            <w:tcW w:w="1418" w:type="dxa"/>
            <w:tcBorders>
              <w:top w:val="nil"/>
              <w:left w:val="nil"/>
              <w:bottom w:val="single" w:sz="4" w:space="0" w:color="auto"/>
              <w:right w:val="single" w:sz="4" w:space="0" w:color="auto"/>
            </w:tcBorders>
            <w:shd w:val="clear" w:color="auto" w:fill="auto"/>
            <w:noWrap/>
            <w:vAlign w:val="center"/>
            <w:hideMark/>
          </w:tcPr>
          <w:p w14:paraId="34BCA8E7" w14:textId="413D2846" w:rsidR="00B07612" w:rsidRPr="00B07612" w:rsidRDefault="76ADB430" w:rsidP="110985B9">
            <w:pPr>
              <w:spacing w:after="0" w:line="240" w:lineRule="auto"/>
              <w:jc w:val="right"/>
              <w:rPr>
                <w:rFonts w:eastAsia="Times New Roman" w:cs="Arial"/>
                <w:color w:val="000000"/>
                <w:lang w:eastAsia="en-AU"/>
              </w:rPr>
            </w:pPr>
            <w:r w:rsidRPr="110985B9">
              <w:rPr>
                <w:rFonts w:eastAsia="Times New Roman" w:cs="Arial"/>
                <w:color w:val="000000" w:themeColor="text1"/>
                <w:lang w:eastAsia="en-AU"/>
              </w:rPr>
              <w:t>6,</w:t>
            </w:r>
            <w:r w:rsidR="000C034D">
              <w:rPr>
                <w:rFonts w:eastAsia="Times New Roman" w:cs="Arial"/>
                <w:color w:val="000000" w:themeColor="text1"/>
                <w:lang w:eastAsia="en-AU"/>
              </w:rPr>
              <w:t>700</w:t>
            </w:r>
          </w:p>
        </w:tc>
        <w:tc>
          <w:tcPr>
            <w:tcW w:w="1413" w:type="dxa"/>
            <w:tcBorders>
              <w:top w:val="nil"/>
              <w:left w:val="nil"/>
              <w:bottom w:val="single" w:sz="4" w:space="0" w:color="auto"/>
              <w:right w:val="single" w:sz="4" w:space="0" w:color="auto"/>
            </w:tcBorders>
            <w:shd w:val="clear" w:color="auto" w:fill="auto"/>
            <w:noWrap/>
            <w:vAlign w:val="center"/>
            <w:hideMark/>
          </w:tcPr>
          <w:p w14:paraId="6D6BD8DA" w14:textId="6C70B6EA" w:rsidR="00B07612" w:rsidRPr="00B07612" w:rsidRDefault="00B07612" w:rsidP="110985B9">
            <w:pPr>
              <w:spacing w:after="0" w:line="240" w:lineRule="auto"/>
              <w:jc w:val="right"/>
              <w:rPr>
                <w:rFonts w:eastAsia="Times New Roman" w:cs="Arial"/>
                <w:color w:val="000000"/>
                <w:lang w:eastAsia="en-AU"/>
              </w:rPr>
            </w:pPr>
            <w:r w:rsidRPr="110985B9">
              <w:rPr>
                <w:rFonts w:eastAsia="Times New Roman" w:cs="Arial"/>
                <w:color w:val="000000" w:themeColor="text1"/>
                <w:lang w:eastAsia="en-AU"/>
              </w:rPr>
              <w:t>1.</w:t>
            </w:r>
            <w:r w:rsidR="76ADB430" w:rsidRPr="110985B9">
              <w:rPr>
                <w:rFonts w:eastAsia="Times New Roman" w:cs="Arial"/>
                <w:color w:val="000000" w:themeColor="text1"/>
                <w:lang w:eastAsia="en-AU"/>
              </w:rPr>
              <w:t>1</w:t>
            </w:r>
            <w:r w:rsidRPr="110985B9">
              <w:rPr>
                <w:rFonts w:eastAsia="Times New Roman" w:cs="Arial"/>
                <w:color w:val="000000" w:themeColor="text1"/>
                <w:lang w:eastAsia="en-AU"/>
              </w:rPr>
              <w:t>%</w:t>
            </w:r>
          </w:p>
        </w:tc>
      </w:tr>
    </w:tbl>
    <w:p w14:paraId="19F83069" w14:textId="1464600B" w:rsidR="000742EB" w:rsidRDefault="009F0AC1" w:rsidP="110985B9">
      <w:pPr>
        <w:spacing w:before="120"/>
        <w:rPr>
          <w:sz w:val="16"/>
          <w:szCs w:val="16"/>
        </w:rPr>
      </w:pPr>
      <w:r w:rsidRPr="110985B9">
        <w:rPr>
          <w:sz w:val="16"/>
          <w:szCs w:val="16"/>
        </w:rPr>
        <w:t>Source: SGS Economics and Planning, 202</w:t>
      </w:r>
      <w:r w:rsidR="003B7001">
        <w:rPr>
          <w:sz w:val="16"/>
          <w:szCs w:val="16"/>
        </w:rPr>
        <w:t>4</w:t>
      </w:r>
      <w:r w:rsidR="007306D6">
        <w:rPr>
          <w:sz w:val="16"/>
          <w:szCs w:val="16"/>
        </w:rPr>
        <w:t>. Tables show rounded figures.</w:t>
      </w:r>
    </w:p>
    <w:p w14:paraId="0BEE0270" w14:textId="77777777" w:rsidR="00E90CEB" w:rsidRPr="00E90CEB" w:rsidRDefault="00E90CEB" w:rsidP="008E0C7D">
      <w:pPr>
        <w:spacing w:before="120" w:after="360"/>
        <w:rPr>
          <w:szCs w:val="20"/>
        </w:rPr>
      </w:pPr>
      <w:r w:rsidRPr="00E90CEB">
        <w:rPr>
          <w:szCs w:val="20"/>
        </w:rPr>
        <w:t xml:space="preserve">Accessible data tables can be viewed </w:t>
      </w:r>
      <w:r w:rsidR="00B61D4E">
        <w:rPr>
          <w:szCs w:val="20"/>
        </w:rPr>
        <w:t>at</w:t>
      </w:r>
      <w:r w:rsidR="00BF4912">
        <w:rPr>
          <w:szCs w:val="20"/>
        </w:rPr>
        <w:t xml:space="preserve"> </w:t>
      </w:r>
      <w:r w:rsidRPr="00E90CEB">
        <w:rPr>
          <w:szCs w:val="20"/>
        </w:rPr>
        <w:t>Appendix</w:t>
      </w:r>
      <w:r w:rsidR="00B61D4E">
        <w:rPr>
          <w:szCs w:val="20"/>
        </w:rPr>
        <w:t xml:space="preserve"> 1</w:t>
      </w:r>
      <w:r w:rsidRPr="00E90CEB">
        <w:rPr>
          <w:szCs w:val="20"/>
        </w:rPr>
        <w:t xml:space="preserve"> at the end of this document.</w:t>
      </w:r>
    </w:p>
    <w:p w14:paraId="5F108E2A" w14:textId="0D4620EC" w:rsidR="000742EB" w:rsidRPr="0098439B" w:rsidRDefault="007F64BD" w:rsidP="001D104E">
      <w:pPr>
        <w:pStyle w:val="Heading2"/>
        <w:rPr>
          <w:rFonts w:hint="eastAsia"/>
        </w:rPr>
      </w:pPr>
      <w:bookmarkStart w:id="13" w:name="_Toc180519445"/>
      <w:r w:rsidRPr="0098439B">
        <w:lastRenderedPageBreak/>
        <w:t>Population and jobs g</w:t>
      </w:r>
      <w:r w:rsidR="000742EB" w:rsidRPr="0098439B">
        <w:t>rowth</w:t>
      </w:r>
      <w:bookmarkEnd w:id="13"/>
    </w:p>
    <w:p w14:paraId="72789D5C" w14:textId="33E8F8AC" w:rsidR="00421147" w:rsidRPr="00FD2B9F" w:rsidRDefault="00DC3825" w:rsidP="4A450472">
      <w:pPr>
        <w:pStyle w:val="ListParagraph"/>
      </w:pPr>
      <w:r>
        <w:t xml:space="preserve">The population </w:t>
      </w:r>
      <w:r w:rsidR="00421147">
        <w:t xml:space="preserve">has recovered to pre-COVID levels, </w:t>
      </w:r>
      <w:r w:rsidR="00752A4C">
        <w:t xml:space="preserve">and the </w:t>
      </w:r>
      <w:proofErr w:type="gramStart"/>
      <w:r w:rsidR="00752A4C">
        <w:t>City</w:t>
      </w:r>
      <w:proofErr w:type="gramEnd"/>
      <w:r w:rsidR="00752A4C">
        <w:t xml:space="preserve"> is expected to grow by an additional </w:t>
      </w:r>
      <w:r w:rsidR="3022EEEE">
        <w:t>114,700</w:t>
      </w:r>
      <w:r w:rsidR="00752A4C">
        <w:t xml:space="preserve"> residents (or 65 per cent) over the next two decades, reaching a total of 292,</w:t>
      </w:r>
      <w:r w:rsidR="4406C9FD">
        <w:t>1</w:t>
      </w:r>
      <w:r w:rsidR="00752A4C">
        <w:t xml:space="preserve">00. </w:t>
      </w:r>
      <w:r w:rsidR="00421147">
        <w:t xml:space="preserve">In 2043, the </w:t>
      </w:r>
      <w:proofErr w:type="gramStart"/>
      <w:r w:rsidR="00421147">
        <w:t>City</w:t>
      </w:r>
      <w:proofErr w:type="gramEnd"/>
      <w:r w:rsidR="00421147">
        <w:t xml:space="preserve"> is forecast to account for 9.5</w:t>
      </w:r>
      <w:r w:rsidR="00752A4C">
        <w:t xml:space="preserve"> per cent</w:t>
      </w:r>
      <w:r w:rsidR="00421147">
        <w:t xml:space="preserve"> of Greater Melbourne’s population.</w:t>
      </w:r>
      <w:r w:rsidR="00752A4C">
        <w:t xml:space="preserve"> Between 2023 and 2043 the municipality will grow at 2.5 per cent per annum, faster than the forecast growth rate for Greater Melbourne of 1.7 per cent per annum (between 2021 and 2036). The growth will be largely driven by overseas migration which has been at peak levels over the past two years. </w:t>
      </w:r>
      <w:r w:rsidR="00615032">
        <w:br/>
      </w:r>
    </w:p>
    <w:tbl>
      <w:tblPr>
        <w:tblStyle w:val="TableGrid"/>
        <w:tblW w:w="0" w:type="auto"/>
        <w:tblInd w:w="720" w:type="dxa"/>
        <w:tblLook w:val="04A0" w:firstRow="1" w:lastRow="0" w:firstColumn="1" w:lastColumn="0" w:noHBand="0" w:noVBand="1"/>
      </w:tblPr>
      <w:tblGrid>
        <w:gridCol w:w="2988"/>
        <w:gridCol w:w="3047"/>
        <w:gridCol w:w="3014"/>
      </w:tblGrid>
      <w:tr w:rsidR="00641CD6" w14:paraId="00003BF7" w14:textId="77777777" w:rsidTr="006B6DD2">
        <w:trPr>
          <w:trHeight w:val="340"/>
        </w:trPr>
        <w:tc>
          <w:tcPr>
            <w:tcW w:w="3256" w:type="dxa"/>
            <w:vAlign w:val="center"/>
          </w:tcPr>
          <w:p w14:paraId="48292588" w14:textId="39FE3EE2" w:rsidR="00641CD6" w:rsidRPr="00641CD6" w:rsidRDefault="00641CD6" w:rsidP="006B6DD2">
            <w:pPr>
              <w:pStyle w:val="ListParagraph"/>
              <w:numPr>
                <w:ilvl w:val="0"/>
                <w:numId w:val="0"/>
              </w:numPr>
              <w:jc w:val="center"/>
              <w:rPr>
                <w:b/>
                <w:bCs/>
              </w:rPr>
            </w:pPr>
            <w:r w:rsidRPr="00641CD6">
              <w:rPr>
                <w:b/>
                <w:bCs/>
              </w:rPr>
              <w:t>Year</w:t>
            </w:r>
          </w:p>
        </w:tc>
        <w:tc>
          <w:tcPr>
            <w:tcW w:w="3256" w:type="dxa"/>
            <w:vAlign w:val="center"/>
          </w:tcPr>
          <w:p w14:paraId="6D91ABDE" w14:textId="46139EC8" w:rsidR="00641CD6" w:rsidRPr="00641CD6" w:rsidRDefault="00641CD6" w:rsidP="006B6DD2">
            <w:pPr>
              <w:pStyle w:val="ListParagraph"/>
              <w:numPr>
                <w:ilvl w:val="0"/>
                <w:numId w:val="0"/>
              </w:numPr>
              <w:jc w:val="center"/>
              <w:rPr>
                <w:b/>
                <w:bCs/>
              </w:rPr>
            </w:pPr>
            <w:r w:rsidRPr="00641CD6">
              <w:rPr>
                <w:b/>
                <w:bCs/>
              </w:rPr>
              <w:t>Estimated Resident Population</w:t>
            </w:r>
          </w:p>
        </w:tc>
        <w:tc>
          <w:tcPr>
            <w:tcW w:w="3257" w:type="dxa"/>
            <w:vAlign w:val="center"/>
          </w:tcPr>
          <w:p w14:paraId="087B5F35" w14:textId="6CD2D014" w:rsidR="00641CD6" w:rsidRPr="00641CD6" w:rsidRDefault="00641CD6" w:rsidP="006B6DD2">
            <w:pPr>
              <w:pStyle w:val="ListParagraph"/>
              <w:numPr>
                <w:ilvl w:val="0"/>
                <w:numId w:val="0"/>
              </w:numPr>
              <w:jc w:val="center"/>
              <w:rPr>
                <w:b/>
                <w:bCs/>
              </w:rPr>
            </w:pPr>
            <w:r w:rsidRPr="00641CD6">
              <w:rPr>
                <w:b/>
                <w:bCs/>
              </w:rPr>
              <w:t>Notes</w:t>
            </w:r>
          </w:p>
        </w:tc>
      </w:tr>
      <w:tr w:rsidR="00641CD6" w14:paraId="0D050934" w14:textId="77777777" w:rsidTr="006B6DD2">
        <w:trPr>
          <w:trHeight w:val="340"/>
        </w:trPr>
        <w:tc>
          <w:tcPr>
            <w:tcW w:w="3256" w:type="dxa"/>
            <w:vAlign w:val="center"/>
          </w:tcPr>
          <w:p w14:paraId="24091FB1" w14:textId="7CCEC388" w:rsidR="00641CD6" w:rsidRPr="004E537E" w:rsidRDefault="00641CD6" w:rsidP="006B6DD2">
            <w:pPr>
              <w:pStyle w:val="ListParagraph"/>
              <w:numPr>
                <w:ilvl w:val="0"/>
                <w:numId w:val="0"/>
              </w:numPr>
              <w:jc w:val="center"/>
              <w:rPr>
                <w:b/>
                <w:bCs/>
              </w:rPr>
            </w:pPr>
            <w:r w:rsidRPr="004E537E">
              <w:rPr>
                <w:b/>
                <w:bCs/>
              </w:rPr>
              <w:t>2006</w:t>
            </w:r>
          </w:p>
        </w:tc>
        <w:tc>
          <w:tcPr>
            <w:tcW w:w="3256" w:type="dxa"/>
            <w:vAlign w:val="center"/>
          </w:tcPr>
          <w:p w14:paraId="0D117C2F" w14:textId="3A330F9F" w:rsidR="00641CD6" w:rsidRDefault="00641CD6" w:rsidP="006B6DD2">
            <w:pPr>
              <w:pStyle w:val="ListParagraph"/>
              <w:numPr>
                <w:ilvl w:val="0"/>
                <w:numId w:val="0"/>
              </w:numPr>
              <w:jc w:val="center"/>
            </w:pPr>
            <w:r>
              <w:t>80,200</w:t>
            </w:r>
          </w:p>
        </w:tc>
        <w:tc>
          <w:tcPr>
            <w:tcW w:w="3257" w:type="dxa"/>
            <w:vAlign w:val="center"/>
          </w:tcPr>
          <w:p w14:paraId="72D5BEC9" w14:textId="77777777" w:rsidR="00641CD6" w:rsidRDefault="00641CD6" w:rsidP="006B6DD2">
            <w:pPr>
              <w:pStyle w:val="ListParagraph"/>
              <w:numPr>
                <w:ilvl w:val="0"/>
                <w:numId w:val="0"/>
              </w:numPr>
              <w:jc w:val="center"/>
            </w:pPr>
          </w:p>
        </w:tc>
      </w:tr>
      <w:tr w:rsidR="00641CD6" w14:paraId="43734D6E" w14:textId="77777777" w:rsidTr="006B6DD2">
        <w:trPr>
          <w:trHeight w:val="340"/>
        </w:trPr>
        <w:tc>
          <w:tcPr>
            <w:tcW w:w="3256" w:type="dxa"/>
            <w:vAlign w:val="center"/>
          </w:tcPr>
          <w:p w14:paraId="153EBDD3" w14:textId="2A4BFEBE" w:rsidR="00641CD6" w:rsidRPr="004E537E" w:rsidRDefault="00641CD6" w:rsidP="006B6DD2">
            <w:pPr>
              <w:pStyle w:val="ListParagraph"/>
              <w:numPr>
                <w:ilvl w:val="0"/>
                <w:numId w:val="0"/>
              </w:numPr>
              <w:jc w:val="center"/>
              <w:rPr>
                <w:b/>
                <w:bCs/>
              </w:rPr>
            </w:pPr>
            <w:r w:rsidRPr="004E537E">
              <w:rPr>
                <w:b/>
                <w:bCs/>
              </w:rPr>
              <w:t>2007</w:t>
            </w:r>
          </w:p>
        </w:tc>
        <w:tc>
          <w:tcPr>
            <w:tcW w:w="3256" w:type="dxa"/>
            <w:vAlign w:val="center"/>
          </w:tcPr>
          <w:p w14:paraId="23050864" w14:textId="55A5ED8E" w:rsidR="00641CD6" w:rsidRDefault="00641CD6" w:rsidP="006B6DD2">
            <w:pPr>
              <w:pStyle w:val="ListParagraph"/>
              <w:numPr>
                <w:ilvl w:val="0"/>
                <w:numId w:val="0"/>
              </w:numPr>
              <w:jc w:val="center"/>
            </w:pPr>
            <w:r>
              <w:t>85,400</w:t>
            </w:r>
          </w:p>
        </w:tc>
        <w:tc>
          <w:tcPr>
            <w:tcW w:w="3257" w:type="dxa"/>
            <w:vAlign w:val="center"/>
          </w:tcPr>
          <w:p w14:paraId="131FBBC6" w14:textId="77777777" w:rsidR="00641CD6" w:rsidRDefault="00641CD6" w:rsidP="006B6DD2">
            <w:pPr>
              <w:pStyle w:val="ListParagraph"/>
              <w:numPr>
                <w:ilvl w:val="0"/>
                <w:numId w:val="0"/>
              </w:numPr>
              <w:jc w:val="center"/>
            </w:pPr>
          </w:p>
        </w:tc>
      </w:tr>
      <w:tr w:rsidR="00641CD6" w14:paraId="00D839D0" w14:textId="77777777" w:rsidTr="006B6DD2">
        <w:trPr>
          <w:trHeight w:val="340"/>
        </w:trPr>
        <w:tc>
          <w:tcPr>
            <w:tcW w:w="3256" w:type="dxa"/>
            <w:vAlign w:val="center"/>
          </w:tcPr>
          <w:p w14:paraId="396E5F23" w14:textId="78F99E33" w:rsidR="00641CD6" w:rsidRPr="004E537E" w:rsidRDefault="00641CD6" w:rsidP="006B6DD2">
            <w:pPr>
              <w:pStyle w:val="ListParagraph"/>
              <w:numPr>
                <w:ilvl w:val="0"/>
                <w:numId w:val="0"/>
              </w:numPr>
              <w:jc w:val="center"/>
              <w:rPr>
                <w:b/>
                <w:bCs/>
              </w:rPr>
            </w:pPr>
            <w:r w:rsidRPr="004E537E">
              <w:rPr>
                <w:b/>
                <w:bCs/>
              </w:rPr>
              <w:t>2008</w:t>
            </w:r>
          </w:p>
        </w:tc>
        <w:tc>
          <w:tcPr>
            <w:tcW w:w="3256" w:type="dxa"/>
            <w:vAlign w:val="center"/>
          </w:tcPr>
          <w:p w14:paraId="5A4483F3" w14:textId="4D6B373E" w:rsidR="00641CD6" w:rsidRDefault="00641CD6" w:rsidP="006B6DD2">
            <w:pPr>
              <w:pStyle w:val="ListParagraph"/>
              <w:numPr>
                <w:ilvl w:val="0"/>
                <w:numId w:val="0"/>
              </w:numPr>
              <w:jc w:val="center"/>
            </w:pPr>
            <w:r>
              <w:t>89,900</w:t>
            </w:r>
          </w:p>
        </w:tc>
        <w:tc>
          <w:tcPr>
            <w:tcW w:w="3257" w:type="dxa"/>
            <w:vAlign w:val="center"/>
          </w:tcPr>
          <w:p w14:paraId="1186F100" w14:textId="77777777" w:rsidR="00641CD6" w:rsidRDefault="00641CD6" w:rsidP="006B6DD2">
            <w:pPr>
              <w:pStyle w:val="ListParagraph"/>
              <w:numPr>
                <w:ilvl w:val="0"/>
                <w:numId w:val="0"/>
              </w:numPr>
              <w:jc w:val="center"/>
            </w:pPr>
          </w:p>
        </w:tc>
      </w:tr>
      <w:tr w:rsidR="00641CD6" w14:paraId="42E04DA4" w14:textId="77777777" w:rsidTr="006B6DD2">
        <w:trPr>
          <w:trHeight w:val="340"/>
        </w:trPr>
        <w:tc>
          <w:tcPr>
            <w:tcW w:w="3256" w:type="dxa"/>
            <w:vAlign w:val="center"/>
          </w:tcPr>
          <w:p w14:paraId="022E8582" w14:textId="04D3B287" w:rsidR="00641CD6" w:rsidRPr="004E537E" w:rsidRDefault="00641CD6" w:rsidP="006B6DD2">
            <w:pPr>
              <w:pStyle w:val="ListParagraph"/>
              <w:numPr>
                <w:ilvl w:val="0"/>
                <w:numId w:val="0"/>
              </w:numPr>
              <w:jc w:val="center"/>
              <w:rPr>
                <w:b/>
                <w:bCs/>
              </w:rPr>
            </w:pPr>
            <w:r w:rsidRPr="004E537E">
              <w:rPr>
                <w:b/>
                <w:bCs/>
              </w:rPr>
              <w:t>2009</w:t>
            </w:r>
          </w:p>
        </w:tc>
        <w:tc>
          <w:tcPr>
            <w:tcW w:w="3256" w:type="dxa"/>
            <w:vAlign w:val="center"/>
          </w:tcPr>
          <w:p w14:paraId="4DC46E65" w14:textId="0CCB093F" w:rsidR="00641CD6" w:rsidRDefault="00641CD6" w:rsidP="006B6DD2">
            <w:pPr>
              <w:pStyle w:val="ListParagraph"/>
              <w:numPr>
                <w:ilvl w:val="0"/>
                <w:numId w:val="0"/>
              </w:numPr>
              <w:jc w:val="center"/>
            </w:pPr>
            <w:r>
              <w:t>94,200</w:t>
            </w:r>
          </w:p>
        </w:tc>
        <w:tc>
          <w:tcPr>
            <w:tcW w:w="3257" w:type="dxa"/>
            <w:vAlign w:val="center"/>
          </w:tcPr>
          <w:p w14:paraId="03CBF771" w14:textId="77777777" w:rsidR="00641CD6" w:rsidRDefault="00641CD6" w:rsidP="006B6DD2">
            <w:pPr>
              <w:pStyle w:val="ListParagraph"/>
              <w:numPr>
                <w:ilvl w:val="0"/>
                <w:numId w:val="0"/>
              </w:numPr>
              <w:jc w:val="center"/>
            </w:pPr>
          </w:p>
        </w:tc>
      </w:tr>
      <w:tr w:rsidR="00641CD6" w14:paraId="1E4FA0B0" w14:textId="77777777" w:rsidTr="006B6DD2">
        <w:trPr>
          <w:trHeight w:val="340"/>
        </w:trPr>
        <w:tc>
          <w:tcPr>
            <w:tcW w:w="3256" w:type="dxa"/>
            <w:vAlign w:val="center"/>
          </w:tcPr>
          <w:p w14:paraId="320F7122" w14:textId="6191BF6E" w:rsidR="00641CD6" w:rsidRPr="004E537E" w:rsidRDefault="00641CD6" w:rsidP="006B6DD2">
            <w:pPr>
              <w:pStyle w:val="ListParagraph"/>
              <w:numPr>
                <w:ilvl w:val="0"/>
                <w:numId w:val="0"/>
              </w:numPr>
              <w:jc w:val="center"/>
              <w:rPr>
                <w:b/>
                <w:bCs/>
              </w:rPr>
            </w:pPr>
            <w:r w:rsidRPr="004E537E">
              <w:rPr>
                <w:b/>
                <w:bCs/>
              </w:rPr>
              <w:t>2010</w:t>
            </w:r>
          </w:p>
        </w:tc>
        <w:tc>
          <w:tcPr>
            <w:tcW w:w="3256" w:type="dxa"/>
            <w:vAlign w:val="center"/>
          </w:tcPr>
          <w:p w14:paraId="1573F60D" w14:textId="1AC43502" w:rsidR="00641CD6" w:rsidRDefault="00641CD6" w:rsidP="006B6DD2">
            <w:pPr>
              <w:pStyle w:val="ListParagraph"/>
              <w:numPr>
                <w:ilvl w:val="0"/>
                <w:numId w:val="0"/>
              </w:numPr>
              <w:jc w:val="center"/>
            </w:pPr>
            <w:r>
              <w:t>97,600</w:t>
            </w:r>
          </w:p>
        </w:tc>
        <w:tc>
          <w:tcPr>
            <w:tcW w:w="3257" w:type="dxa"/>
            <w:vAlign w:val="center"/>
          </w:tcPr>
          <w:p w14:paraId="1CB31C41" w14:textId="77777777" w:rsidR="00641CD6" w:rsidRDefault="00641CD6" w:rsidP="006B6DD2">
            <w:pPr>
              <w:pStyle w:val="ListParagraph"/>
              <w:numPr>
                <w:ilvl w:val="0"/>
                <w:numId w:val="0"/>
              </w:numPr>
              <w:jc w:val="center"/>
            </w:pPr>
          </w:p>
        </w:tc>
      </w:tr>
      <w:tr w:rsidR="00641CD6" w14:paraId="7C13110E" w14:textId="77777777" w:rsidTr="006B6DD2">
        <w:trPr>
          <w:trHeight w:val="340"/>
        </w:trPr>
        <w:tc>
          <w:tcPr>
            <w:tcW w:w="3256" w:type="dxa"/>
            <w:vAlign w:val="center"/>
          </w:tcPr>
          <w:p w14:paraId="6FD446D1" w14:textId="424625C8" w:rsidR="00641CD6" w:rsidRPr="004E537E" w:rsidRDefault="00641CD6" w:rsidP="006B6DD2">
            <w:pPr>
              <w:pStyle w:val="ListParagraph"/>
              <w:numPr>
                <w:ilvl w:val="0"/>
                <w:numId w:val="0"/>
              </w:numPr>
              <w:jc w:val="center"/>
              <w:rPr>
                <w:b/>
                <w:bCs/>
              </w:rPr>
            </w:pPr>
            <w:r w:rsidRPr="004E537E">
              <w:rPr>
                <w:b/>
                <w:bCs/>
              </w:rPr>
              <w:t>2011</w:t>
            </w:r>
          </w:p>
        </w:tc>
        <w:tc>
          <w:tcPr>
            <w:tcW w:w="3256" w:type="dxa"/>
            <w:vAlign w:val="center"/>
          </w:tcPr>
          <w:p w14:paraId="3DADB9AF" w14:textId="5C68B445" w:rsidR="00641CD6" w:rsidRDefault="00641CD6" w:rsidP="006B6DD2">
            <w:pPr>
              <w:pStyle w:val="ListParagraph"/>
              <w:numPr>
                <w:ilvl w:val="0"/>
                <w:numId w:val="0"/>
              </w:numPr>
              <w:jc w:val="center"/>
            </w:pPr>
            <w:r>
              <w:t>100,200</w:t>
            </w:r>
          </w:p>
        </w:tc>
        <w:tc>
          <w:tcPr>
            <w:tcW w:w="3257" w:type="dxa"/>
            <w:vAlign w:val="center"/>
          </w:tcPr>
          <w:p w14:paraId="4CB94EDB" w14:textId="77777777" w:rsidR="00641CD6" w:rsidRDefault="00641CD6" w:rsidP="006B6DD2">
            <w:pPr>
              <w:pStyle w:val="ListParagraph"/>
              <w:numPr>
                <w:ilvl w:val="0"/>
                <w:numId w:val="0"/>
              </w:numPr>
              <w:jc w:val="center"/>
            </w:pPr>
          </w:p>
        </w:tc>
      </w:tr>
      <w:tr w:rsidR="00641CD6" w14:paraId="58BED1FC" w14:textId="77777777" w:rsidTr="006B6DD2">
        <w:trPr>
          <w:trHeight w:val="340"/>
        </w:trPr>
        <w:tc>
          <w:tcPr>
            <w:tcW w:w="3256" w:type="dxa"/>
            <w:vAlign w:val="center"/>
          </w:tcPr>
          <w:p w14:paraId="02823CB4" w14:textId="3629AD8B" w:rsidR="00641CD6" w:rsidRPr="004E537E" w:rsidRDefault="00641CD6" w:rsidP="006B6DD2">
            <w:pPr>
              <w:pStyle w:val="ListParagraph"/>
              <w:numPr>
                <w:ilvl w:val="0"/>
                <w:numId w:val="0"/>
              </w:numPr>
              <w:jc w:val="center"/>
              <w:rPr>
                <w:b/>
                <w:bCs/>
              </w:rPr>
            </w:pPr>
            <w:r w:rsidRPr="004E537E">
              <w:rPr>
                <w:b/>
                <w:bCs/>
              </w:rPr>
              <w:t>2012</w:t>
            </w:r>
          </w:p>
        </w:tc>
        <w:tc>
          <w:tcPr>
            <w:tcW w:w="3256" w:type="dxa"/>
            <w:vAlign w:val="center"/>
          </w:tcPr>
          <w:p w14:paraId="595F672F" w14:textId="29DDEC77" w:rsidR="00641CD6" w:rsidRDefault="00641CD6" w:rsidP="006B6DD2">
            <w:pPr>
              <w:pStyle w:val="ListParagraph"/>
              <w:numPr>
                <w:ilvl w:val="0"/>
                <w:numId w:val="0"/>
              </w:numPr>
              <w:jc w:val="center"/>
            </w:pPr>
            <w:r>
              <w:t>107,600</w:t>
            </w:r>
          </w:p>
        </w:tc>
        <w:tc>
          <w:tcPr>
            <w:tcW w:w="3257" w:type="dxa"/>
            <w:vAlign w:val="center"/>
          </w:tcPr>
          <w:p w14:paraId="3C064CD8" w14:textId="77777777" w:rsidR="00641CD6" w:rsidRDefault="00641CD6" w:rsidP="006B6DD2">
            <w:pPr>
              <w:pStyle w:val="ListParagraph"/>
              <w:numPr>
                <w:ilvl w:val="0"/>
                <w:numId w:val="0"/>
              </w:numPr>
              <w:jc w:val="center"/>
            </w:pPr>
          </w:p>
        </w:tc>
      </w:tr>
      <w:tr w:rsidR="00641CD6" w14:paraId="39F30A78" w14:textId="77777777" w:rsidTr="006B6DD2">
        <w:trPr>
          <w:trHeight w:val="340"/>
        </w:trPr>
        <w:tc>
          <w:tcPr>
            <w:tcW w:w="3256" w:type="dxa"/>
            <w:vAlign w:val="center"/>
          </w:tcPr>
          <w:p w14:paraId="6F500FB0" w14:textId="278F9253" w:rsidR="00641CD6" w:rsidRPr="004E537E" w:rsidRDefault="00641CD6" w:rsidP="006B6DD2">
            <w:pPr>
              <w:pStyle w:val="ListParagraph"/>
              <w:numPr>
                <w:ilvl w:val="0"/>
                <w:numId w:val="0"/>
              </w:numPr>
              <w:jc w:val="center"/>
              <w:rPr>
                <w:b/>
                <w:bCs/>
              </w:rPr>
            </w:pPr>
            <w:r w:rsidRPr="004E537E">
              <w:rPr>
                <w:b/>
                <w:bCs/>
              </w:rPr>
              <w:t>2013</w:t>
            </w:r>
          </w:p>
        </w:tc>
        <w:tc>
          <w:tcPr>
            <w:tcW w:w="3256" w:type="dxa"/>
            <w:vAlign w:val="center"/>
          </w:tcPr>
          <w:p w14:paraId="6D76BE9C" w14:textId="3FD6267B" w:rsidR="00641CD6" w:rsidRDefault="00641CD6" w:rsidP="006B6DD2">
            <w:pPr>
              <w:pStyle w:val="ListParagraph"/>
              <w:numPr>
                <w:ilvl w:val="0"/>
                <w:numId w:val="0"/>
              </w:numPr>
              <w:jc w:val="center"/>
            </w:pPr>
            <w:r>
              <w:t>118,700</w:t>
            </w:r>
          </w:p>
        </w:tc>
        <w:tc>
          <w:tcPr>
            <w:tcW w:w="3257" w:type="dxa"/>
            <w:vAlign w:val="center"/>
          </w:tcPr>
          <w:p w14:paraId="7F7B582F" w14:textId="77777777" w:rsidR="00641CD6" w:rsidRDefault="00641CD6" w:rsidP="006B6DD2">
            <w:pPr>
              <w:pStyle w:val="ListParagraph"/>
              <w:numPr>
                <w:ilvl w:val="0"/>
                <w:numId w:val="0"/>
              </w:numPr>
              <w:jc w:val="center"/>
            </w:pPr>
          </w:p>
        </w:tc>
      </w:tr>
      <w:tr w:rsidR="00641CD6" w14:paraId="3FA44435" w14:textId="77777777" w:rsidTr="006B6DD2">
        <w:trPr>
          <w:trHeight w:val="340"/>
        </w:trPr>
        <w:tc>
          <w:tcPr>
            <w:tcW w:w="3256" w:type="dxa"/>
            <w:vAlign w:val="center"/>
          </w:tcPr>
          <w:p w14:paraId="6A08A05D" w14:textId="7AE712BF" w:rsidR="00641CD6" w:rsidRPr="004E537E" w:rsidRDefault="00641CD6" w:rsidP="006B6DD2">
            <w:pPr>
              <w:pStyle w:val="ListParagraph"/>
              <w:numPr>
                <w:ilvl w:val="0"/>
                <w:numId w:val="0"/>
              </w:numPr>
              <w:jc w:val="center"/>
              <w:rPr>
                <w:b/>
                <w:bCs/>
              </w:rPr>
            </w:pPr>
            <w:r w:rsidRPr="004E537E">
              <w:rPr>
                <w:b/>
                <w:bCs/>
              </w:rPr>
              <w:t>2014</w:t>
            </w:r>
          </w:p>
        </w:tc>
        <w:tc>
          <w:tcPr>
            <w:tcW w:w="3256" w:type="dxa"/>
            <w:vAlign w:val="center"/>
          </w:tcPr>
          <w:p w14:paraId="67FCEFFE" w14:textId="2BDA1211" w:rsidR="00641CD6" w:rsidRDefault="00641CD6" w:rsidP="006B6DD2">
            <w:pPr>
              <w:pStyle w:val="ListParagraph"/>
              <w:numPr>
                <w:ilvl w:val="0"/>
                <w:numId w:val="0"/>
              </w:numPr>
              <w:jc w:val="center"/>
            </w:pPr>
            <w:r>
              <w:t>128,000</w:t>
            </w:r>
          </w:p>
        </w:tc>
        <w:tc>
          <w:tcPr>
            <w:tcW w:w="3257" w:type="dxa"/>
            <w:vAlign w:val="center"/>
          </w:tcPr>
          <w:p w14:paraId="6D8FC5CD" w14:textId="77777777" w:rsidR="00641CD6" w:rsidRDefault="00641CD6" w:rsidP="006B6DD2">
            <w:pPr>
              <w:pStyle w:val="ListParagraph"/>
              <w:numPr>
                <w:ilvl w:val="0"/>
                <w:numId w:val="0"/>
              </w:numPr>
              <w:jc w:val="center"/>
            </w:pPr>
          </w:p>
        </w:tc>
      </w:tr>
      <w:tr w:rsidR="00641CD6" w14:paraId="62A41CB8" w14:textId="77777777" w:rsidTr="006B6DD2">
        <w:trPr>
          <w:trHeight w:val="340"/>
        </w:trPr>
        <w:tc>
          <w:tcPr>
            <w:tcW w:w="3256" w:type="dxa"/>
            <w:vAlign w:val="center"/>
          </w:tcPr>
          <w:p w14:paraId="15F4467C" w14:textId="6457FF04" w:rsidR="00641CD6" w:rsidRPr="004E537E" w:rsidRDefault="00641CD6" w:rsidP="006B6DD2">
            <w:pPr>
              <w:pStyle w:val="ListParagraph"/>
              <w:numPr>
                <w:ilvl w:val="0"/>
                <w:numId w:val="0"/>
              </w:numPr>
              <w:jc w:val="center"/>
              <w:rPr>
                <w:b/>
                <w:bCs/>
              </w:rPr>
            </w:pPr>
            <w:r w:rsidRPr="004E537E">
              <w:rPr>
                <w:b/>
                <w:bCs/>
              </w:rPr>
              <w:t>2015</w:t>
            </w:r>
          </w:p>
        </w:tc>
        <w:tc>
          <w:tcPr>
            <w:tcW w:w="3256" w:type="dxa"/>
            <w:vAlign w:val="center"/>
          </w:tcPr>
          <w:p w14:paraId="5740B09A" w14:textId="35F07760" w:rsidR="00641CD6" w:rsidRDefault="00641CD6" w:rsidP="006B6DD2">
            <w:pPr>
              <w:pStyle w:val="ListParagraph"/>
              <w:numPr>
                <w:ilvl w:val="0"/>
                <w:numId w:val="0"/>
              </w:numPr>
              <w:jc w:val="center"/>
            </w:pPr>
            <w:r>
              <w:t>136,900</w:t>
            </w:r>
          </w:p>
        </w:tc>
        <w:tc>
          <w:tcPr>
            <w:tcW w:w="3257" w:type="dxa"/>
            <w:vAlign w:val="center"/>
          </w:tcPr>
          <w:p w14:paraId="67C3EE91" w14:textId="77777777" w:rsidR="00641CD6" w:rsidRDefault="00641CD6" w:rsidP="006B6DD2">
            <w:pPr>
              <w:pStyle w:val="ListParagraph"/>
              <w:numPr>
                <w:ilvl w:val="0"/>
                <w:numId w:val="0"/>
              </w:numPr>
              <w:jc w:val="center"/>
            </w:pPr>
          </w:p>
        </w:tc>
      </w:tr>
      <w:tr w:rsidR="00641CD6" w14:paraId="39D13AC0" w14:textId="77777777" w:rsidTr="006B6DD2">
        <w:trPr>
          <w:trHeight w:val="340"/>
        </w:trPr>
        <w:tc>
          <w:tcPr>
            <w:tcW w:w="3256" w:type="dxa"/>
            <w:vAlign w:val="center"/>
          </w:tcPr>
          <w:p w14:paraId="65A86F34" w14:textId="167B07AF" w:rsidR="00641CD6" w:rsidRPr="004E537E" w:rsidRDefault="00641CD6" w:rsidP="006B6DD2">
            <w:pPr>
              <w:pStyle w:val="ListParagraph"/>
              <w:numPr>
                <w:ilvl w:val="0"/>
                <w:numId w:val="0"/>
              </w:numPr>
              <w:jc w:val="center"/>
              <w:rPr>
                <w:b/>
                <w:bCs/>
              </w:rPr>
            </w:pPr>
            <w:r w:rsidRPr="004E537E">
              <w:rPr>
                <w:b/>
                <w:bCs/>
              </w:rPr>
              <w:t>2016</w:t>
            </w:r>
          </w:p>
        </w:tc>
        <w:tc>
          <w:tcPr>
            <w:tcW w:w="3256" w:type="dxa"/>
            <w:vAlign w:val="center"/>
          </w:tcPr>
          <w:p w14:paraId="09BF0359" w14:textId="150A4BAB" w:rsidR="00641CD6" w:rsidRDefault="00641CD6" w:rsidP="006B6DD2">
            <w:pPr>
              <w:pStyle w:val="ListParagraph"/>
              <w:numPr>
                <w:ilvl w:val="0"/>
                <w:numId w:val="0"/>
              </w:numPr>
              <w:jc w:val="center"/>
            </w:pPr>
            <w:r>
              <w:t>146,000</w:t>
            </w:r>
          </w:p>
        </w:tc>
        <w:tc>
          <w:tcPr>
            <w:tcW w:w="3257" w:type="dxa"/>
            <w:vAlign w:val="center"/>
          </w:tcPr>
          <w:p w14:paraId="7FF01E8E" w14:textId="77777777" w:rsidR="00641CD6" w:rsidRDefault="00641CD6" w:rsidP="006B6DD2">
            <w:pPr>
              <w:pStyle w:val="ListParagraph"/>
              <w:numPr>
                <w:ilvl w:val="0"/>
                <w:numId w:val="0"/>
              </w:numPr>
              <w:jc w:val="center"/>
            </w:pPr>
          </w:p>
        </w:tc>
      </w:tr>
      <w:tr w:rsidR="00641CD6" w14:paraId="1DD220AD" w14:textId="77777777" w:rsidTr="006B6DD2">
        <w:trPr>
          <w:trHeight w:val="340"/>
        </w:trPr>
        <w:tc>
          <w:tcPr>
            <w:tcW w:w="3256" w:type="dxa"/>
            <w:vAlign w:val="center"/>
          </w:tcPr>
          <w:p w14:paraId="06788174" w14:textId="1F1F34A6" w:rsidR="00641CD6" w:rsidRPr="004E537E" w:rsidRDefault="00641CD6" w:rsidP="006B6DD2">
            <w:pPr>
              <w:pStyle w:val="ListParagraph"/>
              <w:numPr>
                <w:ilvl w:val="0"/>
                <w:numId w:val="0"/>
              </w:numPr>
              <w:jc w:val="center"/>
              <w:rPr>
                <w:b/>
                <w:bCs/>
              </w:rPr>
            </w:pPr>
            <w:r w:rsidRPr="004E537E">
              <w:rPr>
                <w:b/>
                <w:bCs/>
              </w:rPr>
              <w:t>2017</w:t>
            </w:r>
          </w:p>
        </w:tc>
        <w:tc>
          <w:tcPr>
            <w:tcW w:w="3256" w:type="dxa"/>
            <w:vAlign w:val="center"/>
          </w:tcPr>
          <w:p w14:paraId="580AE7D3" w14:textId="0DE2BD12" w:rsidR="00641CD6" w:rsidRDefault="00615032" w:rsidP="006B6DD2">
            <w:pPr>
              <w:pStyle w:val="ListParagraph"/>
              <w:numPr>
                <w:ilvl w:val="0"/>
                <w:numId w:val="0"/>
              </w:numPr>
              <w:jc w:val="center"/>
            </w:pPr>
            <w:r>
              <w:t>156,000</w:t>
            </w:r>
          </w:p>
        </w:tc>
        <w:tc>
          <w:tcPr>
            <w:tcW w:w="3257" w:type="dxa"/>
            <w:vAlign w:val="center"/>
          </w:tcPr>
          <w:p w14:paraId="356C7BB2" w14:textId="77777777" w:rsidR="00641CD6" w:rsidRDefault="00641CD6" w:rsidP="006B6DD2">
            <w:pPr>
              <w:pStyle w:val="ListParagraph"/>
              <w:numPr>
                <w:ilvl w:val="0"/>
                <w:numId w:val="0"/>
              </w:numPr>
              <w:jc w:val="center"/>
            </w:pPr>
          </w:p>
        </w:tc>
      </w:tr>
      <w:tr w:rsidR="00641CD6" w14:paraId="112B975E" w14:textId="77777777" w:rsidTr="006B6DD2">
        <w:trPr>
          <w:trHeight w:val="340"/>
        </w:trPr>
        <w:tc>
          <w:tcPr>
            <w:tcW w:w="3256" w:type="dxa"/>
            <w:vAlign w:val="center"/>
          </w:tcPr>
          <w:p w14:paraId="626F036F" w14:textId="5957D911" w:rsidR="00641CD6" w:rsidRPr="004E537E" w:rsidRDefault="00641CD6" w:rsidP="006B6DD2">
            <w:pPr>
              <w:pStyle w:val="ListParagraph"/>
              <w:numPr>
                <w:ilvl w:val="0"/>
                <w:numId w:val="0"/>
              </w:numPr>
              <w:jc w:val="center"/>
              <w:rPr>
                <w:b/>
                <w:bCs/>
              </w:rPr>
            </w:pPr>
            <w:r w:rsidRPr="004E537E">
              <w:rPr>
                <w:b/>
                <w:bCs/>
              </w:rPr>
              <w:t>2018</w:t>
            </w:r>
          </w:p>
        </w:tc>
        <w:tc>
          <w:tcPr>
            <w:tcW w:w="3256" w:type="dxa"/>
            <w:vAlign w:val="center"/>
          </w:tcPr>
          <w:p w14:paraId="57E39170" w14:textId="5083C21B" w:rsidR="00641CD6" w:rsidRDefault="00615032" w:rsidP="006B6DD2">
            <w:pPr>
              <w:pStyle w:val="ListParagraph"/>
              <w:numPr>
                <w:ilvl w:val="0"/>
                <w:numId w:val="0"/>
              </w:numPr>
              <w:jc w:val="center"/>
            </w:pPr>
            <w:r>
              <w:t>163,400</w:t>
            </w:r>
          </w:p>
        </w:tc>
        <w:tc>
          <w:tcPr>
            <w:tcW w:w="3257" w:type="dxa"/>
            <w:vAlign w:val="center"/>
          </w:tcPr>
          <w:p w14:paraId="504F66E7" w14:textId="77777777" w:rsidR="00641CD6" w:rsidRDefault="00641CD6" w:rsidP="006B6DD2">
            <w:pPr>
              <w:pStyle w:val="ListParagraph"/>
              <w:numPr>
                <w:ilvl w:val="0"/>
                <w:numId w:val="0"/>
              </w:numPr>
              <w:jc w:val="center"/>
            </w:pPr>
          </w:p>
        </w:tc>
      </w:tr>
      <w:tr w:rsidR="00641CD6" w14:paraId="0B2CC141" w14:textId="77777777" w:rsidTr="006B6DD2">
        <w:trPr>
          <w:trHeight w:val="340"/>
        </w:trPr>
        <w:tc>
          <w:tcPr>
            <w:tcW w:w="3256" w:type="dxa"/>
            <w:vAlign w:val="center"/>
          </w:tcPr>
          <w:p w14:paraId="069343CC" w14:textId="1C6ECA0E" w:rsidR="00641CD6" w:rsidRPr="004E537E" w:rsidRDefault="00641CD6" w:rsidP="006B6DD2">
            <w:pPr>
              <w:pStyle w:val="ListParagraph"/>
              <w:numPr>
                <w:ilvl w:val="0"/>
                <w:numId w:val="0"/>
              </w:numPr>
              <w:jc w:val="center"/>
              <w:rPr>
                <w:b/>
                <w:bCs/>
              </w:rPr>
            </w:pPr>
            <w:r w:rsidRPr="004E537E">
              <w:rPr>
                <w:b/>
                <w:bCs/>
              </w:rPr>
              <w:t>2019</w:t>
            </w:r>
          </w:p>
        </w:tc>
        <w:tc>
          <w:tcPr>
            <w:tcW w:w="3256" w:type="dxa"/>
            <w:vAlign w:val="center"/>
          </w:tcPr>
          <w:p w14:paraId="5A9CAC9E" w14:textId="4E762863" w:rsidR="00641CD6" w:rsidRDefault="00615032" w:rsidP="006B6DD2">
            <w:pPr>
              <w:pStyle w:val="ListParagraph"/>
              <w:numPr>
                <w:ilvl w:val="0"/>
                <w:numId w:val="0"/>
              </w:numPr>
              <w:jc w:val="center"/>
            </w:pPr>
            <w:r>
              <w:t>169,000</w:t>
            </w:r>
          </w:p>
        </w:tc>
        <w:tc>
          <w:tcPr>
            <w:tcW w:w="3257" w:type="dxa"/>
            <w:vAlign w:val="center"/>
          </w:tcPr>
          <w:p w14:paraId="47971C7D" w14:textId="77777777" w:rsidR="00641CD6" w:rsidRDefault="00641CD6" w:rsidP="006B6DD2">
            <w:pPr>
              <w:pStyle w:val="ListParagraph"/>
              <w:numPr>
                <w:ilvl w:val="0"/>
                <w:numId w:val="0"/>
              </w:numPr>
              <w:jc w:val="center"/>
            </w:pPr>
          </w:p>
        </w:tc>
      </w:tr>
      <w:tr w:rsidR="00641CD6" w14:paraId="743EC7A7" w14:textId="77777777" w:rsidTr="006B6DD2">
        <w:trPr>
          <w:trHeight w:val="340"/>
        </w:trPr>
        <w:tc>
          <w:tcPr>
            <w:tcW w:w="3256" w:type="dxa"/>
            <w:vAlign w:val="center"/>
          </w:tcPr>
          <w:p w14:paraId="099ED3F4" w14:textId="236370C0" w:rsidR="00641CD6" w:rsidRPr="004E537E" w:rsidRDefault="00641CD6" w:rsidP="006B6DD2">
            <w:pPr>
              <w:pStyle w:val="ListParagraph"/>
              <w:numPr>
                <w:ilvl w:val="0"/>
                <w:numId w:val="0"/>
              </w:numPr>
              <w:jc w:val="center"/>
              <w:rPr>
                <w:b/>
                <w:bCs/>
              </w:rPr>
            </w:pPr>
            <w:r w:rsidRPr="004E537E">
              <w:rPr>
                <w:b/>
                <w:bCs/>
              </w:rPr>
              <w:t>2020</w:t>
            </w:r>
          </w:p>
        </w:tc>
        <w:tc>
          <w:tcPr>
            <w:tcW w:w="3256" w:type="dxa"/>
            <w:vAlign w:val="center"/>
          </w:tcPr>
          <w:p w14:paraId="2D35DD42" w14:textId="6FFE6D96" w:rsidR="00641CD6" w:rsidRDefault="00615032" w:rsidP="006B6DD2">
            <w:pPr>
              <w:pStyle w:val="ListParagraph"/>
              <w:numPr>
                <w:ilvl w:val="0"/>
                <w:numId w:val="0"/>
              </w:numPr>
              <w:jc w:val="center"/>
            </w:pPr>
            <w:r>
              <w:t>170,600</w:t>
            </w:r>
          </w:p>
        </w:tc>
        <w:tc>
          <w:tcPr>
            <w:tcW w:w="3257" w:type="dxa"/>
            <w:vAlign w:val="center"/>
          </w:tcPr>
          <w:p w14:paraId="0675E780" w14:textId="77777777" w:rsidR="00641CD6" w:rsidRDefault="00641CD6" w:rsidP="006B6DD2">
            <w:pPr>
              <w:pStyle w:val="ListParagraph"/>
              <w:numPr>
                <w:ilvl w:val="0"/>
                <w:numId w:val="0"/>
              </w:numPr>
              <w:jc w:val="center"/>
            </w:pPr>
          </w:p>
        </w:tc>
      </w:tr>
      <w:tr w:rsidR="00641CD6" w14:paraId="30AEBB0B" w14:textId="77777777" w:rsidTr="006B6DD2">
        <w:trPr>
          <w:trHeight w:val="340"/>
        </w:trPr>
        <w:tc>
          <w:tcPr>
            <w:tcW w:w="3256" w:type="dxa"/>
            <w:vAlign w:val="center"/>
          </w:tcPr>
          <w:p w14:paraId="6FFCEB7D" w14:textId="7DA02BA1" w:rsidR="00641CD6" w:rsidRPr="004E537E" w:rsidRDefault="00641CD6" w:rsidP="006B6DD2">
            <w:pPr>
              <w:pStyle w:val="ListParagraph"/>
              <w:numPr>
                <w:ilvl w:val="0"/>
                <w:numId w:val="0"/>
              </w:numPr>
              <w:jc w:val="center"/>
              <w:rPr>
                <w:b/>
                <w:bCs/>
              </w:rPr>
            </w:pPr>
            <w:r w:rsidRPr="004E537E">
              <w:rPr>
                <w:b/>
                <w:bCs/>
              </w:rPr>
              <w:t>2021</w:t>
            </w:r>
          </w:p>
        </w:tc>
        <w:tc>
          <w:tcPr>
            <w:tcW w:w="3256" w:type="dxa"/>
            <w:vAlign w:val="center"/>
          </w:tcPr>
          <w:p w14:paraId="54E3125F" w14:textId="715C42CE" w:rsidR="00641CD6" w:rsidRDefault="00615032" w:rsidP="006B6DD2">
            <w:pPr>
              <w:pStyle w:val="ListParagraph"/>
              <w:numPr>
                <w:ilvl w:val="0"/>
                <w:numId w:val="0"/>
              </w:numPr>
              <w:jc w:val="center"/>
            </w:pPr>
            <w:r>
              <w:t>153,100</w:t>
            </w:r>
          </w:p>
        </w:tc>
        <w:tc>
          <w:tcPr>
            <w:tcW w:w="3257" w:type="dxa"/>
            <w:vAlign w:val="center"/>
          </w:tcPr>
          <w:p w14:paraId="26449902" w14:textId="540D7005" w:rsidR="00641CD6" w:rsidRDefault="00641CD6" w:rsidP="006B6DD2">
            <w:pPr>
              <w:pStyle w:val="ListParagraph"/>
              <w:numPr>
                <w:ilvl w:val="0"/>
                <w:numId w:val="0"/>
              </w:numPr>
              <w:jc w:val="center"/>
            </w:pPr>
            <w:r>
              <w:t>COVID-19</w:t>
            </w:r>
          </w:p>
        </w:tc>
      </w:tr>
      <w:tr w:rsidR="00641CD6" w14:paraId="383994D7" w14:textId="77777777" w:rsidTr="006B6DD2">
        <w:trPr>
          <w:trHeight w:val="340"/>
        </w:trPr>
        <w:tc>
          <w:tcPr>
            <w:tcW w:w="3256" w:type="dxa"/>
            <w:vAlign w:val="center"/>
          </w:tcPr>
          <w:p w14:paraId="50ACE37E" w14:textId="2AAFFD53" w:rsidR="00641CD6" w:rsidRPr="004E537E" w:rsidRDefault="00641CD6" w:rsidP="006B6DD2">
            <w:pPr>
              <w:pStyle w:val="ListParagraph"/>
              <w:numPr>
                <w:ilvl w:val="0"/>
                <w:numId w:val="0"/>
              </w:numPr>
              <w:jc w:val="center"/>
              <w:rPr>
                <w:b/>
                <w:bCs/>
              </w:rPr>
            </w:pPr>
            <w:r w:rsidRPr="004E537E">
              <w:rPr>
                <w:b/>
                <w:bCs/>
              </w:rPr>
              <w:t>2022</w:t>
            </w:r>
          </w:p>
        </w:tc>
        <w:tc>
          <w:tcPr>
            <w:tcW w:w="3256" w:type="dxa"/>
            <w:vAlign w:val="center"/>
          </w:tcPr>
          <w:p w14:paraId="13A041E7" w14:textId="161B0E7C" w:rsidR="00641CD6" w:rsidRDefault="00615032" w:rsidP="006B6DD2">
            <w:pPr>
              <w:pStyle w:val="ListParagraph"/>
              <w:numPr>
                <w:ilvl w:val="0"/>
                <w:numId w:val="0"/>
              </w:numPr>
              <w:jc w:val="center"/>
            </w:pPr>
            <w:r>
              <w:t>160,300</w:t>
            </w:r>
          </w:p>
        </w:tc>
        <w:tc>
          <w:tcPr>
            <w:tcW w:w="3257" w:type="dxa"/>
            <w:vAlign w:val="center"/>
          </w:tcPr>
          <w:p w14:paraId="060CE854" w14:textId="77777777" w:rsidR="00641CD6" w:rsidRDefault="00641CD6" w:rsidP="006B6DD2">
            <w:pPr>
              <w:pStyle w:val="ListParagraph"/>
              <w:numPr>
                <w:ilvl w:val="0"/>
                <w:numId w:val="0"/>
              </w:numPr>
              <w:jc w:val="center"/>
            </w:pPr>
          </w:p>
        </w:tc>
      </w:tr>
      <w:tr w:rsidR="00641CD6" w14:paraId="0C0A3453" w14:textId="77777777" w:rsidTr="006B6DD2">
        <w:trPr>
          <w:trHeight w:val="340"/>
        </w:trPr>
        <w:tc>
          <w:tcPr>
            <w:tcW w:w="3256" w:type="dxa"/>
            <w:vAlign w:val="center"/>
          </w:tcPr>
          <w:p w14:paraId="3BB1A916" w14:textId="2D88A196" w:rsidR="00641CD6" w:rsidRPr="004E537E" w:rsidRDefault="00641CD6" w:rsidP="006B6DD2">
            <w:pPr>
              <w:pStyle w:val="ListParagraph"/>
              <w:numPr>
                <w:ilvl w:val="0"/>
                <w:numId w:val="0"/>
              </w:numPr>
              <w:jc w:val="center"/>
              <w:rPr>
                <w:b/>
                <w:bCs/>
              </w:rPr>
            </w:pPr>
            <w:r w:rsidRPr="004E537E">
              <w:rPr>
                <w:b/>
                <w:bCs/>
              </w:rPr>
              <w:t>2023</w:t>
            </w:r>
          </w:p>
        </w:tc>
        <w:tc>
          <w:tcPr>
            <w:tcW w:w="3256" w:type="dxa"/>
            <w:vAlign w:val="center"/>
          </w:tcPr>
          <w:p w14:paraId="29B09399" w14:textId="2AC5A4E1" w:rsidR="00641CD6" w:rsidRDefault="00615032" w:rsidP="006B6DD2">
            <w:pPr>
              <w:pStyle w:val="ListParagraph"/>
              <w:numPr>
                <w:ilvl w:val="0"/>
                <w:numId w:val="0"/>
              </w:numPr>
              <w:jc w:val="center"/>
            </w:pPr>
            <w:r>
              <w:t>177,400</w:t>
            </w:r>
          </w:p>
        </w:tc>
        <w:tc>
          <w:tcPr>
            <w:tcW w:w="3257" w:type="dxa"/>
            <w:vAlign w:val="center"/>
          </w:tcPr>
          <w:p w14:paraId="761B2FEB" w14:textId="77777777" w:rsidR="00641CD6" w:rsidRDefault="00641CD6" w:rsidP="006B6DD2">
            <w:pPr>
              <w:pStyle w:val="ListParagraph"/>
              <w:numPr>
                <w:ilvl w:val="0"/>
                <w:numId w:val="0"/>
              </w:numPr>
              <w:jc w:val="center"/>
            </w:pPr>
          </w:p>
        </w:tc>
      </w:tr>
      <w:tr w:rsidR="00641CD6" w14:paraId="4B8B55EA" w14:textId="77777777" w:rsidTr="006B6DD2">
        <w:trPr>
          <w:trHeight w:val="340"/>
        </w:trPr>
        <w:tc>
          <w:tcPr>
            <w:tcW w:w="3256" w:type="dxa"/>
            <w:vAlign w:val="center"/>
          </w:tcPr>
          <w:p w14:paraId="52A0D957" w14:textId="74CCCECB" w:rsidR="00641CD6" w:rsidRPr="004E537E" w:rsidRDefault="00641CD6" w:rsidP="006B6DD2">
            <w:pPr>
              <w:pStyle w:val="ListParagraph"/>
              <w:numPr>
                <w:ilvl w:val="0"/>
                <w:numId w:val="0"/>
              </w:numPr>
              <w:jc w:val="center"/>
              <w:rPr>
                <w:b/>
                <w:bCs/>
              </w:rPr>
            </w:pPr>
            <w:r w:rsidRPr="004E537E">
              <w:rPr>
                <w:b/>
                <w:bCs/>
              </w:rPr>
              <w:t>2024</w:t>
            </w:r>
          </w:p>
        </w:tc>
        <w:tc>
          <w:tcPr>
            <w:tcW w:w="3256" w:type="dxa"/>
            <w:vAlign w:val="center"/>
          </w:tcPr>
          <w:p w14:paraId="7FBEB645" w14:textId="38C4365D" w:rsidR="00641CD6" w:rsidRDefault="00615032" w:rsidP="006B6DD2">
            <w:pPr>
              <w:pStyle w:val="ListParagraph"/>
              <w:numPr>
                <w:ilvl w:val="0"/>
                <w:numId w:val="0"/>
              </w:numPr>
              <w:jc w:val="center"/>
            </w:pPr>
            <w:r>
              <w:t>191,600</w:t>
            </w:r>
          </w:p>
        </w:tc>
        <w:tc>
          <w:tcPr>
            <w:tcW w:w="3257" w:type="dxa"/>
            <w:vAlign w:val="center"/>
          </w:tcPr>
          <w:p w14:paraId="52636E4D" w14:textId="77777777" w:rsidR="00641CD6" w:rsidRDefault="00641CD6" w:rsidP="006B6DD2">
            <w:pPr>
              <w:pStyle w:val="ListParagraph"/>
              <w:numPr>
                <w:ilvl w:val="0"/>
                <w:numId w:val="0"/>
              </w:numPr>
              <w:jc w:val="center"/>
            </w:pPr>
          </w:p>
        </w:tc>
      </w:tr>
      <w:tr w:rsidR="00615032" w14:paraId="739BD4EE" w14:textId="77777777" w:rsidTr="006B6DD2">
        <w:trPr>
          <w:trHeight w:val="340"/>
        </w:trPr>
        <w:tc>
          <w:tcPr>
            <w:tcW w:w="3256" w:type="dxa"/>
            <w:vAlign w:val="center"/>
          </w:tcPr>
          <w:p w14:paraId="5D0EB733" w14:textId="1E20F3F9" w:rsidR="00615032" w:rsidRPr="004E537E" w:rsidRDefault="00615032" w:rsidP="006B6DD2">
            <w:pPr>
              <w:pStyle w:val="ListParagraph"/>
              <w:numPr>
                <w:ilvl w:val="0"/>
                <w:numId w:val="0"/>
              </w:numPr>
              <w:jc w:val="center"/>
              <w:rPr>
                <w:b/>
                <w:bCs/>
              </w:rPr>
            </w:pPr>
            <w:r w:rsidRPr="004E537E">
              <w:rPr>
                <w:b/>
                <w:bCs/>
              </w:rPr>
              <w:t>2025</w:t>
            </w:r>
          </w:p>
        </w:tc>
        <w:tc>
          <w:tcPr>
            <w:tcW w:w="3256" w:type="dxa"/>
            <w:vAlign w:val="center"/>
          </w:tcPr>
          <w:p w14:paraId="1896FF5D" w14:textId="4888B538" w:rsidR="00615032" w:rsidRDefault="00615032" w:rsidP="006B6DD2">
            <w:pPr>
              <w:pStyle w:val="ListParagraph"/>
              <w:numPr>
                <w:ilvl w:val="0"/>
                <w:numId w:val="0"/>
              </w:numPr>
              <w:jc w:val="center"/>
            </w:pPr>
            <w:r>
              <w:t>196,200</w:t>
            </w:r>
          </w:p>
        </w:tc>
        <w:tc>
          <w:tcPr>
            <w:tcW w:w="3257" w:type="dxa"/>
            <w:vAlign w:val="center"/>
          </w:tcPr>
          <w:p w14:paraId="73CF5279" w14:textId="77777777" w:rsidR="00615032" w:rsidRDefault="00615032" w:rsidP="006B6DD2">
            <w:pPr>
              <w:pStyle w:val="ListParagraph"/>
              <w:numPr>
                <w:ilvl w:val="0"/>
                <w:numId w:val="0"/>
              </w:numPr>
              <w:jc w:val="center"/>
            </w:pPr>
          </w:p>
        </w:tc>
      </w:tr>
      <w:tr w:rsidR="00615032" w14:paraId="779AD0AA" w14:textId="77777777" w:rsidTr="006B6DD2">
        <w:trPr>
          <w:trHeight w:val="340"/>
        </w:trPr>
        <w:tc>
          <w:tcPr>
            <w:tcW w:w="3256" w:type="dxa"/>
            <w:vAlign w:val="center"/>
          </w:tcPr>
          <w:p w14:paraId="1B1288E1" w14:textId="1D45123C" w:rsidR="00615032" w:rsidRPr="004E537E" w:rsidRDefault="00615032" w:rsidP="006B6DD2">
            <w:pPr>
              <w:pStyle w:val="ListParagraph"/>
              <w:numPr>
                <w:ilvl w:val="0"/>
                <w:numId w:val="0"/>
              </w:numPr>
              <w:jc w:val="center"/>
              <w:rPr>
                <w:b/>
                <w:bCs/>
              </w:rPr>
            </w:pPr>
            <w:r w:rsidRPr="004E537E">
              <w:rPr>
                <w:b/>
                <w:bCs/>
              </w:rPr>
              <w:t>2026</w:t>
            </w:r>
          </w:p>
        </w:tc>
        <w:tc>
          <w:tcPr>
            <w:tcW w:w="3256" w:type="dxa"/>
            <w:vAlign w:val="center"/>
          </w:tcPr>
          <w:p w14:paraId="3119D58A" w14:textId="034937C3" w:rsidR="00615032" w:rsidRDefault="00615032" w:rsidP="006B6DD2">
            <w:pPr>
              <w:pStyle w:val="ListParagraph"/>
              <w:numPr>
                <w:ilvl w:val="0"/>
                <w:numId w:val="0"/>
              </w:numPr>
              <w:jc w:val="center"/>
            </w:pPr>
            <w:r>
              <w:t>203,400</w:t>
            </w:r>
          </w:p>
        </w:tc>
        <w:tc>
          <w:tcPr>
            <w:tcW w:w="3257" w:type="dxa"/>
            <w:vAlign w:val="center"/>
          </w:tcPr>
          <w:p w14:paraId="4721D2A5" w14:textId="77777777" w:rsidR="00615032" w:rsidRDefault="00615032" w:rsidP="006B6DD2">
            <w:pPr>
              <w:pStyle w:val="ListParagraph"/>
              <w:numPr>
                <w:ilvl w:val="0"/>
                <w:numId w:val="0"/>
              </w:numPr>
              <w:jc w:val="center"/>
            </w:pPr>
          </w:p>
        </w:tc>
      </w:tr>
      <w:tr w:rsidR="00615032" w14:paraId="58C4242D" w14:textId="77777777" w:rsidTr="006B6DD2">
        <w:trPr>
          <w:trHeight w:val="340"/>
        </w:trPr>
        <w:tc>
          <w:tcPr>
            <w:tcW w:w="3256" w:type="dxa"/>
            <w:vAlign w:val="center"/>
          </w:tcPr>
          <w:p w14:paraId="5852074B" w14:textId="5684FEEA" w:rsidR="00615032" w:rsidRPr="004E537E" w:rsidRDefault="00615032" w:rsidP="006B6DD2">
            <w:pPr>
              <w:pStyle w:val="ListParagraph"/>
              <w:numPr>
                <w:ilvl w:val="0"/>
                <w:numId w:val="0"/>
              </w:numPr>
              <w:jc w:val="center"/>
              <w:rPr>
                <w:b/>
                <w:bCs/>
              </w:rPr>
            </w:pPr>
            <w:r w:rsidRPr="004E537E">
              <w:rPr>
                <w:b/>
                <w:bCs/>
              </w:rPr>
              <w:lastRenderedPageBreak/>
              <w:t>2027</w:t>
            </w:r>
          </w:p>
        </w:tc>
        <w:tc>
          <w:tcPr>
            <w:tcW w:w="3256" w:type="dxa"/>
            <w:vAlign w:val="center"/>
          </w:tcPr>
          <w:p w14:paraId="5DEEBABC" w14:textId="3010CBE4" w:rsidR="00615032" w:rsidRDefault="00615032" w:rsidP="006B6DD2">
            <w:pPr>
              <w:pStyle w:val="ListParagraph"/>
              <w:numPr>
                <w:ilvl w:val="0"/>
                <w:numId w:val="0"/>
              </w:numPr>
              <w:jc w:val="center"/>
            </w:pPr>
            <w:r>
              <w:t>210,300</w:t>
            </w:r>
          </w:p>
        </w:tc>
        <w:tc>
          <w:tcPr>
            <w:tcW w:w="3257" w:type="dxa"/>
            <w:vAlign w:val="center"/>
          </w:tcPr>
          <w:p w14:paraId="2A7EAD1E" w14:textId="77777777" w:rsidR="00615032" w:rsidRDefault="00615032" w:rsidP="006B6DD2">
            <w:pPr>
              <w:pStyle w:val="ListParagraph"/>
              <w:numPr>
                <w:ilvl w:val="0"/>
                <w:numId w:val="0"/>
              </w:numPr>
              <w:jc w:val="center"/>
            </w:pPr>
          </w:p>
        </w:tc>
      </w:tr>
      <w:tr w:rsidR="00615032" w14:paraId="3ECC51D4" w14:textId="77777777" w:rsidTr="006B6DD2">
        <w:trPr>
          <w:trHeight w:val="340"/>
        </w:trPr>
        <w:tc>
          <w:tcPr>
            <w:tcW w:w="3256" w:type="dxa"/>
            <w:vAlign w:val="center"/>
          </w:tcPr>
          <w:p w14:paraId="26EBAF36" w14:textId="645B1DFE" w:rsidR="00615032" w:rsidRPr="004E537E" w:rsidRDefault="00615032" w:rsidP="006B6DD2">
            <w:pPr>
              <w:pStyle w:val="ListParagraph"/>
              <w:numPr>
                <w:ilvl w:val="0"/>
                <w:numId w:val="0"/>
              </w:numPr>
              <w:jc w:val="center"/>
              <w:rPr>
                <w:b/>
                <w:bCs/>
              </w:rPr>
            </w:pPr>
            <w:r w:rsidRPr="004E537E">
              <w:rPr>
                <w:b/>
                <w:bCs/>
              </w:rPr>
              <w:t>2028</w:t>
            </w:r>
          </w:p>
        </w:tc>
        <w:tc>
          <w:tcPr>
            <w:tcW w:w="3256" w:type="dxa"/>
            <w:vAlign w:val="center"/>
          </w:tcPr>
          <w:p w14:paraId="3AAD7EEA" w14:textId="65A5274F" w:rsidR="00615032" w:rsidRDefault="00615032" w:rsidP="006B6DD2">
            <w:pPr>
              <w:pStyle w:val="ListParagraph"/>
              <w:numPr>
                <w:ilvl w:val="0"/>
                <w:numId w:val="0"/>
              </w:numPr>
              <w:jc w:val="center"/>
            </w:pPr>
            <w:r>
              <w:t>217,000</w:t>
            </w:r>
          </w:p>
        </w:tc>
        <w:tc>
          <w:tcPr>
            <w:tcW w:w="3257" w:type="dxa"/>
            <w:vAlign w:val="center"/>
          </w:tcPr>
          <w:p w14:paraId="2CEA97BF" w14:textId="77777777" w:rsidR="00615032" w:rsidRDefault="00615032" w:rsidP="006B6DD2">
            <w:pPr>
              <w:pStyle w:val="ListParagraph"/>
              <w:numPr>
                <w:ilvl w:val="0"/>
                <w:numId w:val="0"/>
              </w:numPr>
              <w:jc w:val="center"/>
            </w:pPr>
          </w:p>
        </w:tc>
      </w:tr>
      <w:tr w:rsidR="00615032" w14:paraId="0201C8AB" w14:textId="77777777" w:rsidTr="006B6DD2">
        <w:trPr>
          <w:trHeight w:val="340"/>
        </w:trPr>
        <w:tc>
          <w:tcPr>
            <w:tcW w:w="3256" w:type="dxa"/>
            <w:vAlign w:val="center"/>
          </w:tcPr>
          <w:p w14:paraId="5B2D7C3D" w14:textId="73937E01" w:rsidR="00615032" w:rsidRPr="004E537E" w:rsidRDefault="00615032" w:rsidP="006B6DD2">
            <w:pPr>
              <w:pStyle w:val="ListParagraph"/>
              <w:numPr>
                <w:ilvl w:val="0"/>
                <w:numId w:val="0"/>
              </w:numPr>
              <w:jc w:val="center"/>
              <w:rPr>
                <w:b/>
                <w:bCs/>
              </w:rPr>
            </w:pPr>
            <w:r w:rsidRPr="004E537E">
              <w:rPr>
                <w:b/>
                <w:bCs/>
              </w:rPr>
              <w:t>2029</w:t>
            </w:r>
          </w:p>
        </w:tc>
        <w:tc>
          <w:tcPr>
            <w:tcW w:w="3256" w:type="dxa"/>
            <w:vAlign w:val="center"/>
          </w:tcPr>
          <w:p w14:paraId="7B0429C4" w14:textId="4F68E137" w:rsidR="00615032" w:rsidRDefault="00615032" w:rsidP="006B6DD2">
            <w:pPr>
              <w:pStyle w:val="ListParagraph"/>
              <w:numPr>
                <w:ilvl w:val="0"/>
                <w:numId w:val="0"/>
              </w:numPr>
              <w:jc w:val="center"/>
            </w:pPr>
            <w:r>
              <w:t>223,400</w:t>
            </w:r>
          </w:p>
        </w:tc>
        <w:tc>
          <w:tcPr>
            <w:tcW w:w="3257" w:type="dxa"/>
            <w:vAlign w:val="center"/>
          </w:tcPr>
          <w:p w14:paraId="69C33CD6" w14:textId="77777777" w:rsidR="00615032" w:rsidRDefault="00615032" w:rsidP="006B6DD2">
            <w:pPr>
              <w:pStyle w:val="ListParagraph"/>
              <w:numPr>
                <w:ilvl w:val="0"/>
                <w:numId w:val="0"/>
              </w:numPr>
              <w:jc w:val="center"/>
            </w:pPr>
          </w:p>
        </w:tc>
      </w:tr>
      <w:tr w:rsidR="00615032" w14:paraId="5CA05428" w14:textId="77777777" w:rsidTr="006B6DD2">
        <w:trPr>
          <w:trHeight w:val="340"/>
        </w:trPr>
        <w:tc>
          <w:tcPr>
            <w:tcW w:w="3256" w:type="dxa"/>
            <w:vAlign w:val="center"/>
          </w:tcPr>
          <w:p w14:paraId="146A6AC6" w14:textId="5B597918" w:rsidR="00615032" w:rsidRPr="004E537E" w:rsidRDefault="00615032" w:rsidP="006B6DD2">
            <w:pPr>
              <w:pStyle w:val="ListParagraph"/>
              <w:numPr>
                <w:ilvl w:val="0"/>
                <w:numId w:val="0"/>
              </w:numPr>
              <w:jc w:val="center"/>
              <w:rPr>
                <w:b/>
                <w:bCs/>
              </w:rPr>
            </w:pPr>
            <w:r w:rsidRPr="004E537E">
              <w:rPr>
                <w:b/>
                <w:bCs/>
              </w:rPr>
              <w:t>2030</w:t>
            </w:r>
          </w:p>
        </w:tc>
        <w:tc>
          <w:tcPr>
            <w:tcW w:w="3256" w:type="dxa"/>
            <w:vAlign w:val="center"/>
          </w:tcPr>
          <w:p w14:paraId="518EE932" w14:textId="7AFDA1B5" w:rsidR="00615032" w:rsidRDefault="00615032" w:rsidP="006B6DD2">
            <w:pPr>
              <w:pStyle w:val="ListParagraph"/>
              <w:numPr>
                <w:ilvl w:val="0"/>
                <w:numId w:val="0"/>
              </w:numPr>
              <w:jc w:val="center"/>
            </w:pPr>
            <w:r>
              <w:t>229,500</w:t>
            </w:r>
          </w:p>
        </w:tc>
        <w:tc>
          <w:tcPr>
            <w:tcW w:w="3257" w:type="dxa"/>
            <w:vAlign w:val="center"/>
          </w:tcPr>
          <w:p w14:paraId="72951700" w14:textId="77777777" w:rsidR="00615032" w:rsidRDefault="00615032" w:rsidP="006B6DD2">
            <w:pPr>
              <w:pStyle w:val="ListParagraph"/>
              <w:numPr>
                <w:ilvl w:val="0"/>
                <w:numId w:val="0"/>
              </w:numPr>
              <w:jc w:val="center"/>
            </w:pPr>
          </w:p>
        </w:tc>
      </w:tr>
      <w:tr w:rsidR="00615032" w14:paraId="488FF60E" w14:textId="77777777" w:rsidTr="006B6DD2">
        <w:trPr>
          <w:trHeight w:val="340"/>
        </w:trPr>
        <w:tc>
          <w:tcPr>
            <w:tcW w:w="3256" w:type="dxa"/>
            <w:vAlign w:val="center"/>
          </w:tcPr>
          <w:p w14:paraId="38ADEBAB" w14:textId="4DD9A46F" w:rsidR="00615032" w:rsidRPr="004E537E" w:rsidRDefault="00615032" w:rsidP="006B6DD2">
            <w:pPr>
              <w:pStyle w:val="ListParagraph"/>
              <w:numPr>
                <w:ilvl w:val="0"/>
                <w:numId w:val="0"/>
              </w:numPr>
              <w:jc w:val="center"/>
              <w:rPr>
                <w:b/>
                <w:bCs/>
              </w:rPr>
            </w:pPr>
            <w:r w:rsidRPr="004E537E">
              <w:rPr>
                <w:b/>
                <w:bCs/>
              </w:rPr>
              <w:t>2031</w:t>
            </w:r>
          </w:p>
        </w:tc>
        <w:tc>
          <w:tcPr>
            <w:tcW w:w="3256" w:type="dxa"/>
            <w:vAlign w:val="center"/>
          </w:tcPr>
          <w:p w14:paraId="0336DA50" w14:textId="629C1806" w:rsidR="00615032" w:rsidRDefault="00615032" w:rsidP="006B6DD2">
            <w:pPr>
              <w:pStyle w:val="ListParagraph"/>
              <w:numPr>
                <w:ilvl w:val="0"/>
                <w:numId w:val="0"/>
              </w:numPr>
              <w:jc w:val="center"/>
            </w:pPr>
            <w:r>
              <w:t>235,400</w:t>
            </w:r>
          </w:p>
        </w:tc>
        <w:tc>
          <w:tcPr>
            <w:tcW w:w="3257" w:type="dxa"/>
            <w:vAlign w:val="center"/>
          </w:tcPr>
          <w:p w14:paraId="6A61E4B5" w14:textId="77777777" w:rsidR="00615032" w:rsidRDefault="00615032" w:rsidP="006B6DD2">
            <w:pPr>
              <w:pStyle w:val="ListParagraph"/>
              <w:numPr>
                <w:ilvl w:val="0"/>
                <w:numId w:val="0"/>
              </w:numPr>
              <w:jc w:val="center"/>
            </w:pPr>
          </w:p>
        </w:tc>
      </w:tr>
      <w:tr w:rsidR="00615032" w14:paraId="446D74F9" w14:textId="77777777" w:rsidTr="006B6DD2">
        <w:trPr>
          <w:trHeight w:val="340"/>
        </w:trPr>
        <w:tc>
          <w:tcPr>
            <w:tcW w:w="3256" w:type="dxa"/>
            <w:vAlign w:val="center"/>
          </w:tcPr>
          <w:p w14:paraId="683DC95F" w14:textId="051766FD" w:rsidR="00615032" w:rsidRPr="004E537E" w:rsidRDefault="00615032" w:rsidP="006B6DD2">
            <w:pPr>
              <w:pStyle w:val="ListParagraph"/>
              <w:numPr>
                <w:ilvl w:val="0"/>
                <w:numId w:val="0"/>
              </w:numPr>
              <w:jc w:val="center"/>
              <w:rPr>
                <w:b/>
                <w:bCs/>
              </w:rPr>
            </w:pPr>
            <w:r w:rsidRPr="004E537E">
              <w:rPr>
                <w:b/>
                <w:bCs/>
              </w:rPr>
              <w:t>2032</w:t>
            </w:r>
          </w:p>
        </w:tc>
        <w:tc>
          <w:tcPr>
            <w:tcW w:w="3256" w:type="dxa"/>
            <w:vAlign w:val="center"/>
          </w:tcPr>
          <w:p w14:paraId="2563325B" w14:textId="6FF45173" w:rsidR="00615032" w:rsidRDefault="00615032" w:rsidP="006B6DD2">
            <w:pPr>
              <w:pStyle w:val="ListParagraph"/>
              <w:numPr>
                <w:ilvl w:val="0"/>
                <w:numId w:val="0"/>
              </w:numPr>
              <w:jc w:val="center"/>
            </w:pPr>
            <w:r>
              <w:t>241,000</w:t>
            </w:r>
          </w:p>
        </w:tc>
        <w:tc>
          <w:tcPr>
            <w:tcW w:w="3257" w:type="dxa"/>
            <w:vAlign w:val="center"/>
          </w:tcPr>
          <w:p w14:paraId="698F95A9" w14:textId="77777777" w:rsidR="00615032" w:rsidRDefault="00615032" w:rsidP="006B6DD2">
            <w:pPr>
              <w:pStyle w:val="ListParagraph"/>
              <w:numPr>
                <w:ilvl w:val="0"/>
                <w:numId w:val="0"/>
              </w:numPr>
              <w:jc w:val="center"/>
            </w:pPr>
          </w:p>
        </w:tc>
      </w:tr>
      <w:tr w:rsidR="00615032" w14:paraId="1B095322" w14:textId="77777777" w:rsidTr="006B6DD2">
        <w:trPr>
          <w:trHeight w:val="340"/>
        </w:trPr>
        <w:tc>
          <w:tcPr>
            <w:tcW w:w="3256" w:type="dxa"/>
            <w:vAlign w:val="center"/>
          </w:tcPr>
          <w:p w14:paraId="605E4374" w14:textId="0A8E5F98" w:rsidR="00615032" w:rsidRPr="004E537E" w:rsidRDefault="00615032" w:rsidP="006B6DD2">
            <w:pPr>
              <w:pStyle w:val="ListParagraph"/>
              <w:numPr>
                <w:ilvl w:val="0"/>
                <w:numId w:val="0"/>
              </w:numPr>
              <w:jc w:val="center"/>
              <w:rPr>
                <w:b/>
                <w:bCs/>
              </w:rPr>
            </w:pPr>
            <w:r w:rsidRPr="004E537E">
              <w:rPr>
                <w:b/>
                <w:bCs/>
              </w:rPr>
              <w:t>2033</w:t>
            </w:r>
          </w:p>
        </w:tc>
        <w:tc>
          <w:tcPr>
            <w:tcW w:w="3256" w:type="dxa"/>
            <w:vAlign w:val="center"/>
          </w:tcPr>
          <w:p w14:paraId="1B4E9CAE" w14:textId="34E36077" w:rsidR="00615032" w:rsidRDefault="00615032" w:rsidP="006B6DD2">
            <w:pPr>
              <w:pStyle w:val="ListParagraph"/>
              <w:numPr>
                <w:ilvl w:val="0"/>
                <w:numId w:val="0"/>
              </w:numPr>
              <w:jc w:val="center"/>
            </w:pPr>
            <w:r>
              <w:t>246,600</w:t>
            </w:r>
          </w:p>
        </w:tc>
        <w:tc>
          <w:tcPr>
            <w:tcW w:w="3257" w:type="dxa"/>
            <w:vAlign w:val="center"/>
          </w:tcPr>
          <w:p w14:paraId="31DD8A24" w14:textId="77777777" w:rsidR="00615032" w:rsidRDefault="00615032" w:rsidP="006B6DD2">
            <w:pPr>
              <w:pStyle w:val="ListParagraph"/>
              <w:numPr>
                <w:ilvl w:val="0"/>
                <w:numId w:val="0"/>
              </w:numPr>
              <w:jc w:val="center"/>
            </w:pPr>
          </w:p>
        </w:tc>
      </w:tr>
      <w:tr w:rsidR="00615032" w14:paraId="1BD95BD6" w14:textId="77777777" w:rsidTr="006B6DD2">
        <w:trPr>
          <w:trHeight w:val="340"/>
        </w:trPr>
        <w:tc>
          <w:tcPr>
            <w:tcW w:w="3256" w:type="dxa"/>
            <w:vAlign w:val="center"/>
          </w:tcPr>
          <w:p w14:paraId="50402FA8" w14:textId="4F60D6D3" w:rsidR="00615032" w:rsidRPr="004E537E" w:rsidRDefault="00615032" w:rsidP="006B6DD2">
            <w:pPr>
              <w:pStyle w:val="ListParagraph"/>
              <w:numPr>
                <w:ilvl w:val="0"/>
                <w:numId w:val="0"/>
              </w:numPr>
              <w:jc w:val="center"/>
              <w:rPr>
                <w:b/>
                <w:bCs/>
              </w:rPr>
            </w:pPr>
            <w:r w:rsidRPr="004E537E">
              <w:rPr>
                <w:b/>
                <w:bCs/>
              </w:rPr>
              <w:t>2034</w:t>
            </w:r>
          </w:p>
        </w:tc>
        <w:tc>
          <w:tcPr>
            <w:tcW w:w="3256" w:type="dxa"/>
            <w:vAlign w:val="center"/>
          </w:tcPr>
          <w:p w14:paraId="49712BC7" w14:textId="56B9C293" w:rsidR="00615032" w:rsidRDefault="00615032" w:rsidP="006B6DD2">
            <w:pPr>
              <w:pStyle w:val="ListParagraph"/>
              <w:numPr>
                <w:ilvl w:val="0"/>
                <w:numId w:val="0"/>
              </w:numPr>
              <w:jc w:val="center"/>
            </w:pPr>
            <w:r>
              <w:t>251,800</w:t>
            </w:r>
          </w:p>
        </w:tc>
        <w:tc>
          <w:tcPr>
            <w:tcW w:w="3257" w:type="dxa"/>
            <w:vAlign w:val="center"/>
          </w:tcPr>
          <w:p w14:paraId="15A952C7" w14:textId="77777777" w:rsidR="00615032" w:rsidRDefault="00615032" w:rsidP="006B6DD2">
            <w:pPr>
              <w:pStyle w:val="ListParagraph"/>
              <w:numPr>
                <w:ilvl w:val="0"/>
                <w:numId w:val="0"/>
              </w:numPr>
              <w:jc w:val="center"/>
            </w:pPr>
          </w:p>
        </w:tc>
      </w:tr>
      <w:tr w:rsidR="00615032" w14:paraId="63FEF2EC" w14:textId="77777777" w:rsidTr="006B6DD2">
        <w:trPr>
          <w:trHeight w:val="340"/>
        </w:trPr>
        <w:tc>
          <w:tcPr>
            <w:tcW w:w="3256" w:type="dxa"/>
            <w:vAlign w:val="center"/>
          </w:tcPr>
          <w:p w14:paraId="4A23E3AE" w14:textId="56F04C3F" w:rsidR="00615032" w:rsidRPr="004E537E" w:rsidRDefault="00615032" w:rsidP="006B6DD2">
            <w:pPr>
              <w:pStyle w:val="ListParagraph"/>
              <w:numPr>
                <w:ilvl w:val="0"/>
                <w:numId w:val="0"/>
              </w:numPr>
              <w:jc w:val="center"/>
              <w:rPr>
                <w:b/>
                <w:bCs/>
              </w:rPr>
            </w:pPr>
            <w:r w:rsidRPr="004E537E">
              <w:rPr>
                <w:b/>
                <w:bCs/>
              </w:rPr>
              <w:t>2035</w:t>
            </w:r>
          </w:p>
        </w:tc>
        <w:tc>
          <w:tcPr>
            <w:tcW w:w="3256" w:type="dxa"/>
            <w:vAlign w:val="center"/>
          </w:tcPr>
          <w:p w14:paraId="5DE2621A" w14:textId="4F90A24D" w:rsidR="00615032" w:rsidRDefault="00615032" w:rsidP="006B6DD2">
            <w:pPr>
              <w:pStyle w:val="ListParagraph"/>
              <w:numPr>
                <w:ilvl w:val="0"/>
                <w:numId w:val="0"/>
              </w:numPr>
              <w:jc w:val="center"/>
            </w:pPr>
            <w:r>
              <w:t>257,000</w:t>
            </w:r>
          </w:p>
        </w:tc>
        <w:tc>
          <w:tcPr>
            <w:tcW w:w="3257" w:type="dxa"/>
            <w:vAlign w:val="center"/>
          </w:tcPr>
          <w:p w14:paraId="50DA5BC2" w14:textId="77777777" w:rsidR="00615032" w:rsidRDefault="00615032" w:rsidP="006B6DD2">
            <w:pPr>
              <w:pStyle w:val="ListParagraph"/>
              <w:numPr>
                <w:ilvl w:val="0"/>
                <w:numId w:val="0"/>
              </w:numPr>
              <w:jc w:val="center"/>
            </w:pPr>
          </w:p>
        </w:tc>
      </w:tr>
      <w:tr w:rsidR="00615032" w14:paraId="76538C8D" w14:textId="77777777" w:rsidTr="006B6DD2">
        <w:trPr>
          <w:trHeight w:val="340"/>
        </w:trPr>
        <w:tc>
          <w:tcPr>
            <w:tcW w:w="3256" w:type="dxa"/>
            <w:vAlign w:val="center"/>
          </w:tcPr>
          <w:p w14:paraId="1EDED980" w14:textId="6274D7BD" w:rsidR="00615032" w:rsidRPr="004E537E" w:rsidRDefault="00615032" w:rsidP="006B6DD2">
            <w:pPr>
              <w:pStyle w:val="ListParagraph"/>
              <w:numPr>
                <w:ilvl w:val="0"/>
                <w:numId w:val="0"/>
              </w:numPr>
              <w:jc w:val="center"/>
              <w:rPr>
                <w:b/>
                <w:bCs/>
              </w:rPr>
            </w:pPr>
            <w:r w:rsidRPr="004E537E">
              <w:rPr>
                <w:b/>
                <w:bCs/>
              </w:rPr>
              <w:t>2036</w:t>
            </w:r>
          </w:p>
        </w:tc>
        <w:tc>
          <w:tcPr>
            <w:tcW w:w="3256" w:type="dxa"/>
            <w:vAlign w:val="center"/>
          </w:tcPr>
          <w:p w14:paraId="664AD58B" w14:textId="36872298" w:rsidR="00615032" w:rsidRDefault="00615032" w:rsidP="006B6DD2">
            <w:pPr>
              <w:pStyle w:val="ListParagraph"/>
              <w:numPr>
                <w:ilvl w:val="0"/>
                <w:numId w:val="0"/>
              </w:numPr>
              <w:jc w:val="center"/>
            </w:pPr>
            <w:r>
              <w:t>261,900</w:t>
            </w:r>
          </w:p>
        </w:tc>
        <w:tc>
          <w:tcPr>
            <w:tcW w:w="3257" w:type="dxa"/>
            <w:vAlign w:val="center"/>
          </w:tcPr>
          <w:p w14:paraId="5FEF31BA" w14:textId="77777777" w:rsidR="00615032" w:rsidRDefault="00615032" w:rsidP="006B6DD2">
            <w:pPr>
              <w:pStyle w:val="ListParagraph"/>
              <w:numPr>
                <w:ilvl w:val="0"/>
                <w:numId w:val="0"/>
              </w:numPr>
              <w:jc w:val="center"/>
            </w:pPr>
          </w:p>
        </w:tc>
      </w:tr>
      <w:tr w:rsidR="00615032" w14:paraId="6C6AD615" w14:textId="77777777" w:rsidTr="006B6DD2">
        <w:trPr>
          <w:trHeight w:val="340"/>
        </w:trPr>
        <w:tc>
          <w:tcPr>
            <w:tcW w:w="3256" w:type="dxa"/>
            <w:vAlign w:val="center"/>
          </w:tcPr>
          <w:p w14:paraId="4EC1258C" w14:textId="5F95E6D0" w:rsidR="00615032" w:rsidRPr="004E537E" w:rsidRDefault="00615032" w:rsidP="006B6DD2">
            <w:pPr>
              <w:pStyle w:val="ListParagraph"/>
              <w:numPr>
                <w:ilvl w:val="0"/>
                <w:numId w:val="0"/>
              </w:numPr>
              <w:jc w:val="center"/>
              <w:rPr>
                <w:b/>
                <w:bCs/>
              </w:rPr>
            </w:pPr>
            <w:r w:rsidRPr="004E537E">
              <w:rPr>
                <w:b/>
                <w:bCs/>
              </w:rPr>
              <w:t>2037</w:t>
            </w:r>
          </w:p>
        </w:tc>
        <w:tc>
          <w:tcPr>
            <w:tcW w:w="3256" w:type="dxa"/>
            <w:vAlign w:val="center"/>
          </w:tcPr>
          <w:p w14:paraId="62CA586E" w14:textId="3586D7A7" w:rsidR="00615032" w:rsidRDefault="00615032" w:rsidP="006B6DD2">
            <w:pPr>
              <w:pStyle w:val="ListParagraph"/>
              <w:numPr>
                <w:ilvl w:val="0"/>
                <w:numId w:val="0"/>
              </w:numPr>
              <w:jc w:val="center"/>
            </w:pPr>
            <w:r>
              <w:t>266,600</w:t>
            </w:r>
          </w:p>
        </w:tc>
        <w:tc>
          <w:tcPr>
            <w:tcW w:w="3257" w:type="dxa"/>
            <w:vAlign w:val="center"/>
          </w:tcPr>
          <w:p w14:paraId="07AF555F" w14:textId="77777777" w:rsidR="00615032" w:rsidRDefault="00615032" w:rsidP="006B6DD2">
            <w:pPr>
              <w:pStyle w:val="ListParagraph"/>
              <w:numPr>
                <w:ilvl w:val="0"/>
                <w:numId w:val="0"/>
              </w:numPr>
              <w:jc w:val="center"/>
            </w:pPr>
          </w:p>
        </w:tc>
      </w:tr>
      <w:tr w:rsidR="00615032" w14:paraId="40407A26" w14:textId="77777777" w:rsidTr="006B6DD2">
        <w:trPr>
          <w:trHeight w:val="340"/>
        </w:trPr>
        <w:tc>
          <w:tcPr>
            <w:tcW w:w="3256" w:type="dxa"/>
            <w:vAlign w:val="center"/>
          </w:tcPr>
          <w:p w14:paraId="1304C146" w14:textId="52532E9A" w:rsidR="00615032" w:rsidRPr="004E537E" w:rsidRDefault="00615032" w:rsidP="006B6DD2">
            <w:pPr>
              <w:pStyle w:val="ListParagraph"/>
              <w:numPr>
                <w:ilvl w:val="0"/>
                <w:numId w:val="0"/>
              </w:numPr>
              <w:jc w:val="center"/>
              <w:rPr>
                <w:b/>
                <w:bCs/>
              </w:rPr>
            </w:pPr>
            <w:r w:rsidRPr="004E537E">
              <w:rPr>
                <w:b/>
                <w:bCs/>
              </w:rPr>
              <w:t>2038</w:t>
            </w:r>
          </w:p>
        </w:tc>
        <w:tc>
          <w:tcPr>
            <w:tcW w:w="3256" w:type="dxa"/>
            <w:vAlign w:val="center"/>
          </w:tcPr>
          <w:p w14:paraId="38776103" w14:textId="44C97F0F" w:rsidR="00615032" w:rsidRDefault="00615032" w:rsidP="006B6DD2">
            <w:pPr>
              <w:pStyle w:val="ListParagraph"/>
              <w:numPr>
                <w:ilvl w:val="0"/>
                <w:numId w:val="0"/>
              </w:numPr>
              <w:jc w:val="center"/>
            </w:pPr>
            <w:r>
              <w:t>271,200</w:t>
            </w:r>
          </w:p>
        </w:tc>
        <w:tc>
          <w:tcPr>
            <w:tcW w:w="3257" w:type="dxa"/>
            <w:vAlign w:val="center"/>
          </w:tcPr>
          <w:p w14:paraId="56D18DF9" w14:textId="77777777" w:rsidR="00615032" w:rsidRDefault="00615032" w:rsidP="006B6DD2">
            <w:pPr>
              <w:pStyle w:val="ListParagraph"/>
              <w:numPr>
                <w:ilvl w:val="0"/>
                <w:numId w:val="0"/>
              </w:numPr>
              <w:jc w:val="center"/>
            </w:pPr>
          </w:p>
        </w:tc>
      </w:tr>
      <w:tr w:rsidR="00615032" w14:paraId="3D89CC30" w14:textId="77777777" w:rsidTr="006B6DD2">
        <w:trPr>
          <w:trHeight w:val="340"/>
        </w:trPr>
        <w:tc>
          <w:tcPr>
            <w:tcW w:w="3256" w:type="dxa"/>
            <w:vAlign w:val="center"/>
          </w:tcPr>
          <w:p w14:paraId="11F98B4B" w14:textId="4C28DE45" w:rsidR="00615032" w:rsidRPr="004E537E" w:rsidRDefault="00615032" w:rsidP="006B6DD2">
            <w:pPr>
              <w:pStyle w:val="ListParagraph"/>
              <w:numPr>
                <w:ilvl w:val="0"/>
                <w:numId w:val="0"/>
              </w:numPr>
              <w:jc w:val="center"/>
              <w:rPr>
                <w:b/>
                <w:bCs/>
              </w:rPr>
            </w:pPr>
            <w:r w:rsidRPr="004E537E">
              <w:rPr>
                <w:b/>
                <w:bCs/>
              </w:rPr>
              <w:t>2039</w:t>
            </w:r>
          </w:p>
        </w:tc>
        <w:tc>
          <w:tcPr>
            <w:tcW w:w="3256" w:type="dxa"/>
            <w:vAlign w:val="center"/>
          </w:tcPr>
          <w:p w14:paraId="2D6168D4" w14:textId="7C3E4C82" w:rsidR="00615032" w:rsidRDefault="00615032" w:rsidP="006B6DD2">
            <w:pPr>
              <w:pStyle w:val="ListParagraph"/>
              <w:numPr>
                <w:ilvl w:val="0"/>
                <w:numId w:val="0"/>
              </w:numPr>
              <w:jc w:val="center"/>
            </w:pPr>
            <w:r>
              <w:t>275,600</w:t>
            </w:r>
          </w:p>
        </w:tc>
        <w:tc>
          <w:tcPr>
            <w:tcW w:w="3257" w:type="dxa"/>
            <w:vAlign w:val="center"/>
          </w:tcPr>
          <w:p w14:paraId="0CFF69C8" w14:textId="77777777" w:rsidR="00615032" w:rsidRDefault="00615032" w:rsidP="006B6DD2">
            <w:pPr>
              <w:pStyle w:val="ListParagraph"/>
              <w:numPr>
                <w:ilvl w:val="0"/>
                <w:numId w:val="0"/>
              </w:numPr>
              <w:jc w:val="center"/>
            </w:pPr>
          </w:p>
        </w:tc>
      </w:tr>
      <w:tr w:rsidR="00615032" w14:paraId="16BD49C6" w14:textId="77777777" w:rsidTr="006B6DD2">
        <w:trPr>
          <w:trHeight w:val="340"/>
        </w:trPr>
        <w:tc>
          <w:tcPr>
            <w:tcW w:w="3256" w:type="dxa"/>
            <w:vAlign w:val="center"/>
          </w:tcPr>
          <w:p w14:paraId="00C5331B" w14:textId="2AE408E6" w:rsidR="00615032" w:rsidRPr="004E537E" w:rsidRDefault="00615032" w:rsidP="006B6DD2">
            <w:pPr>
              <w:pStyle w:val="ListParagraph"/>
              <w:numPr>
                <w:ilvl w:val="0"/>
                <w:numId w:val="0"/>
              </w:numPr>
              <w:jc w:val="center"/>
              <w:rPr>
                <w:b/>
                <w:bCs/>
              </w:rPr>
            </w:pPr>
            <w:r w:rsidRPr="004E537E">
              <w:rPr>
                <w:b/>
                <w:bCs/>
              </w:rPr>
              <w:t>2040</w:t>
            </w:r>
          </w:p>
        </w:tc>
        <w:tc>
          <w:tcPr>
            <w:tcW w:w="3256" w:type="dxa"/>
            <w:vAlign w:val="center"/>
          </w:tcPr>
          <w:p w14:paraId="284649A8" w14:textId="6141EA92" w:rsidR="00615032" w:rsidRDefault="00615032" w:rsidP="006B6DD2">
            <w:pPr>
              <w:pStyle w:val="ListParagraph"/>
              <w:numPr>
                <w:ilvl w:val="0"/>
                <w:numId w:val="0"/>
              </w:numPr>
              <w:jc w:val="center"/>
            </w:pPr>
            <w:r>
              <w:t>279,900</w:t>
            </w:r>
          </w:p>
        </w:tc>
        <w:tc>
          <w:tcPr>
            <w:tcW w:w="3257" w:type="dxa"/>
            <w:vAlign w:val="center"/>
          </w:tcPr>
          <w:p w14:paraId="2B848A60" w14:textId="77777777" w:rsidR="00615032" w:rsidRDefault="00615032" w:rsidP="006B6DD2">
            <w:pPr>
              <w:pStyle w:val="ListParagraph"/>
              <w:numPr>
                <w:ilvl w:val="0"/>
                <w:numId w:val="0"/>
              </w:numPr>
              <w:jc w:val="center"/>
            </w:pPr>
          </w:p>
        </w:tc>
      </w:tr>
      <w:tr w:rsidR="00615032" w14:paraId="21E96B0B" w14:textId="77777777" w:rsidTr="006B6DD2">
        <w:trPr>
          <w:trHeight w:val="340"/>
        </w:trPr>
        <w:tc>
          <w:tcPr>
            <w:tcW w:w="3256" w:type="dxa"/>
            <w:vAlign w:val="center"/>
          </w:tcPr>
          <w:p w14:paraId="7FD08F66" w14:textId="794EF41A" w:rsidR="00615032" w:rsidRPr="004E537E" w:rsidRDefault="00615032" w:rsidP="006B6DD2">
            <w:pPr>
              <w:pStyle w:val="ListParagraph"/>
              <w:numPr>
                <w:ilvl w:val="0"/>
                <w:numId w:val="0"/>
              </w:numPr>
              <w:jc w:val="center"/>
              <w:rPr>
                <w:b/>
                <w:bCs/>
              </w:rPr>
            </w:pPr>
            <w:r w:rsidRPr="004E537E">
              <w:rPr>
                <w:b/>
                <w:bCs/>
              </w:rPr>
              <w:t>2041</w:t>
            </w:r>
          </w:p>
        </w:tc>
        <w:tc>
          <w:tcPr>
            <w:tcW w:w="3256" w:type="dxa"/>
            <w:vAlign w:val="center"/>
          </w:tcPr>
          <w:p w14:paraId="7F1A3104" w14:textId="5CF0E96B" w:rsidR="00615032" w:rsidRDefault="00615032" w:rsidP="006B6DD2">
            <w:pPr>
              <w:pStyle w:val="ListParagraph"/>
              <w:numPr>
                <w:ilvl w:val="0"/>
                <w:numId w:val="0"/>
              </w:numPr>
              <w:jc w:val="center"/>
            </w:pPr>
            <w:r>
              <w:t>284,100</w:t>
            </w:r>
          </w:p>
        </w:tc>
        <w:tc>
          <w:tcPr>
            <w:tcW w:w="3257" w:type="dxa"/>
            <w:vAlign w:val="center"/>
          </w:tcPr>
          <w:p w14:paraId="2AD75520" w14:textId="77777777" w:rsidR="00615032" w:rsidRDefault="00615032" w:rsidP="006B6DD2">
            <w:pPr>
              <w:pStyle w:val="ListParagraph"/>
              <w:numPr>
                <w:ilvl w:val="0"/>
                <w:numId w:val="0"/>
              </w:numPr>
              <w:jc w:val="center"/>
            </w:pPr>
          </w:p>
        </w:tc>
      </w:tr>
      <w:tr w:rsidR="00615032" w14:paraId="2CADB450" w14:textId="77777777" w:rsidTr="006B6DD2">
        <w:trPr>
          <w:trHeight w:val="340"/>
        </w:trPr>
        <w:tc>
          <w:tcPr>
            <w:tcW w:w="3256" w:type="dxa"/>
            <w:vAlign w:val="center"/>
          </w:tcPr>
          <w:p w14:paraId="7D810DCB" w14:textId="5A2890D2" w:rsidR="00615032" w:rsidRPr="004E537E" w:rsidRDefault="00615032" w:rsidP="006B6DD2">
            <w:pPr>
              <w:pStyle w:val="ListParagraph"/>
              <w:numPr>
                <w:ilvl w:val="0"/>
                <w:numId w:val="0"/>
              </w:numPr>
              <w:jc w:val="center"/>
              <w:rPr>
                <w:b/>
                <w:bCs/>
              </w:rPr>
            </w:pPr>
            <w:r w:rsidRPr="004E537E">
              <w:rPr>
                <w:b/>
                <w:bCs/>
              </w:rPr>
              <w:t>2042</w:t>
            </w:r>
          </w:p>
        </w:tc>
        <w:tc>
          <w:tcPr>
            <w:tcW w:w="3256" w:type="dxa"/>
            <w:vAlign w:val="center"/>
          </w:tcPr>
          <w:p w14:paraId="5AFB2D6A" w14:textId="2125749B" w:rsidR="00615032" w:rsidRDefault="00615032" w:rsidP="006B6DD2">
            <w:pPr>
              <w:pStyle w:val="ListParagraph"/>
              <w:numPr>
                <w:ilvl w:val="0"/>
                <w:numId w:val="0"/>
              </w:numPr>
              <w:jc w:val="center"/>
            </w:pPr>
            <w:r>
              <w:t>288,200</w:t>
            </w:r>
          </w:p>
        </w:tc>
        <w:tc>
          <w:tcPr>
            <w:tcW w:w="3257" w:type="dxa"/>
            <w:vAlign w:val="center"/>
          </w:tcPr>
          <w:p w14:paraId="710A2155" w14:textId="77777777" w:rsidR="00615032" w:rsidRDefault="00615032" w:rsidP="006B6DD2">
            <w:pPr>
              <w:pStyle w:val="ListParagraph"/>
              <w:numPr>
                <w:ilvl w:val="0"/>
                <w:numId w:val="0"/>
              </w:numPr>
              <w:jc w:val="center"/>
            </w:pPr>
          </w:p>
        </w:tc>
      </w:tr>
      <w:tr w:rsidR="00615032" w14:paraId="6A8F695B" w14:textId="77777777" w:rsidTr="006B6DD2">
        <w:trPr>
          <w:trHeight w:val="340"/>
        </w:trPr>
        <w:tc>
          <w:tcPr>
            <w:tcW w:w="3256" w:type="dxa"/>
            <w:vAlign w:val="center"/>
          </w:tcPr>
          <w:p w14:paraId="4D5F85D6" w14:textId="7D69E2F1" w:rsidR="00615032" w:rsidRPr="004E537E" w:rsidRDefault="00615032" w:rsidP="006B6DD2">
            <w:pPr>
              <w:pStyle w:val="ListParagraph"/>
              <w:numPr>
                <w:ilvl w:val="0"/>
                <w:numId w:val="0"/>
              </w:numPr>
              <w:jc w:val="center"/>
              <w:rPr>
                <w:b/>
                <w:bCs/>
              </w:rPr>
            </w:pPr>
            <w:r w:rsidRPr="004E537E">
              <w:rPr>
                <w:b/>
                <w:bCs/>
              </w:rPr>
              <w:t>2043</w:t>
            </w:r>
          </w:p>
        </w:tc>
        <w:tc>
          <w:tcPr>
            <w:tcW w:w="3256" w:type="dxa"/>
            <w:vAlign w:val="center"/>
          </w:tcPr>
          <w:p w14:paraId="649E3563" w14:textId="31FC3779" w:rsidR="00615032" w:rsidRDefault="00615032" w:rsidP="006B6DD2">
            <w:pPr>
              <w:pStyle w:val="ListParagraph"/>
              <w:numPr>
                <w:ilvl w:val="0"/>
                <w:numId w:val="0"/>
              </w:numPr>
              <w:jc w:val="center"/>
            </w:pPr>
            <w:r>
              <w:t>292,100</w:t>
            </w:r>
          </w:p>
        </w:tc>
        <w:tc>
          <w:tcPr>
            <w:tcW w:w="3257" w:type="dxa"/>
            <w:vAlign w:val="center"/>
          </w:tcPr>
          <w:p w14:paraId="2472FE38" w14:textId="77777777" w:rsidR="00615032" w:rsidRDefault="00615032" w:rsidP="006B6DD2">
            <w:pPr>
              <w:pStyle w:val="ListParagraph"/>
              <w:numPr>
                <w:ilvl w:val="0"/>
                <w:numId w:val="0"/>
              </w:numPr>
              <w:jc w:val="center"/>
            </w:pPr>
          </w:p>
        </w:tc>
      </w:tr>
    </w:tbl>
    <w:p w14:paraId="645C37EE" w14:textId="003F0EE8" w:rsidR="00752A4C" w:rsidRPr="00FD2B9F" w:rsidRDefault="00752A4C" w:rsidP="00461A52">
      <w:pPr>
        <w:spacing w:before="120"/>
        <w:jc w:val="center"/>
        <w:rPr>
          <w:sz w:val="16"/>
          <w:szCs w:val="16"/>
        </w:rPr>
      </w:pPr>
      <w:r w:rsidRPr="00FD2B9F">
        <w:rPr>
          <w:sz w:val="16"/>
          <w:szCs w:val="16"/>
        </w:rPr>
        <w:t>Figure 1: Forecast population across City of Melbourne 2006-2043</w:t>
      </w:r>
      <w:r w:rsidR="004B4780">
        <w:rPr>
          <w:sz w:val="16"/>
          <w:szCs w:val="16"/>
        </w:rPr>
        <w:t>. Table shows rounded figures.</w:t>
      </w:r>
    </w:p>
    <w:p w14:paraId="7B436A91" w14:textId="77777777" w:rsidR="00752A4C" w:rsidRPr="00FD2B9F" w:rsidRDefault="00752A4C" w:rsidP="00752A4C">
      <w:pPr>
        <w:pStyle w:val="ListParagraph"/>
        <w:numPr>
          <w:ilvl w:val="0"/>
          <w:numId w:val="0"/>
        </w:numPr>
        <w:ind w:left="720"/>
      </w:pPr>
    </w:p>
    <w:p w14:paraId="51E4DCAD" w14:textId="59F3EE94" w:rsidR="00C14D31" w:rsidRPr="00FD2B9F" w:rsidRDefault="00C14D31" w:rsidP="4A450472">
      <w:pPr>
        <w:pStyle w:val="ListParagraph"/>
      </w:pPr>
      <w:r>
        <w:t>Melbourne (CBD) will continue to be the most attractive location for residential and employment</w:t>
      </w:r>
      <w:r w:rsidR="00917227">
        <w:t xml:space="preserve"> growth</w:t>
      </w:r>
      <w:r>
        <w:t xml:space="preserve">, adding </w:t>
      </w:r>
      <w:r w:rsidR="007B1482">
        <w:t>32,500</w:t>
      </w:r>
      <w:r>
        <w:t xml:space="preserve"> residents and </w:t>
      </w:r>
      <w:r w:rsidR="00E61CD0">
        <w:t>76</w:t>
      </w:r>
      <w:r>
        <w:t>,</w:t>
      </w:r>
      <w:r w:rsidR="007B1482">
        <w:t>4</w:t>
      </w:r>
      <w:r>
        <w:t>00 jobs by 204</w:t>
      </w:r>
      <w:r w:rsidR="007B1482">
        <w:t>3</w:t>
      </w:r>
      <w:r>
        <w:t xml:space="preserve">. This will see it capture </w:t>
      </w:r>
      <w:r w:rsidR="007B1482">
        <w:t>43</w:t>
      </w:r>
      <w:r w:rsidR="00963946">
        <w:t xml:space="preserve"> </w:t>
      </w:r>
      <w:r>
        <w:t xml:space="preserve">per cent of </w:t>
      </w:r>
      <w:r w:rsidR="00963946">
        <w:t>1</w:t>
      </w:r>
      <w:r w:rsidR="007B1482">
        <w:t>79</w:t>
      </w:r>
      <w:r w:rsidR="00AC5322">
        <w:t>,</w:t>
      </w:r>
      <w:r w:rsidR="007B1482">
        <w:t>9</w:t>
      </w:r>
      <w:r w:rsidR="00AC5322">
        <w:t xml:space="preserve">00 </w:t>
      </w:r>
      <w:r>
        <w:t xml:space="preserve">additional jobs </w:t>
      </w:r>
      <w:r w:rsidR="009808EC">
        <w:t xml:space="preserve">across the municipality </w:t>
      </w:r>
      <w:r>
        <w:t>over the next 20 years.</w:t>
      </w:r>
    </w:p>
    <w:p w14:paraId="0931980B" w14:textId="6725F035" w:rsidR="00475FD1" w:rsidRPr="00ED6228" w:rsidRDefault="001D2AD9" w:rsidP="00ED6228">
      <w:pPr>
        <w:pStyle w:val="ListParagraph"/>
        <w:rPr>
          <w:b/>
          <w:bCs/>
          <w:color w:val="000000" w:themeColor="text1"/>
        </w:rPr>
      </w:pPr>
      <w:r>
        <w:t xml:space="preserve">Between 2023 and 2043, the </w:t>
      </w:r>
      <w:r w:rsidR="07D2870F">
        <w:t xml:space="preserve">City’s </w:t>
      </w:r>
      <w:r>
        <w:t>renewal precincts pick up 21 per cent of the forecast growth (</w:t>
      </w:r>
      <w:r w:rsidRPr="4A450472">
        <w:rPr>
          <w:color w:val="000000" w:themeColor="text1"/>
        </w:rPr>
        <w:t xml:space="preserve">approximately 24,000 residents), with the largest share of this falling in Arden, City North and Macaulay at </w:t>
      </w:r>
      <w:r w:rsidR="00DC3825">
        <w:rPr>
          <w:color w:val="000000" w:themeColor="text1"/>
        </w:rPr>
        <w:t>seven, six and five</w:t>
      </w:r>
      <w:r w:rsidRPr="4A450472">
        <w:rPr>
          <w:color w:val="000000" w:themeColor="text1"/>
        </w:rPr>
        <w:t xml:space="preserve"> per cent respectively, once supporting investments eventuate. </w:t>
      </w:r>
    </w:p>
    <w:tbl>
      <w:tblPr>
        <w:tblStyle w:val="TableGrid"/>
        <w:tblW w:w="0" w:type="auto"/>
        <w:tblInd w:w="360" w:type="dxa"/>
        <w:tblLook w:val="04A0" w:firstRow="1" w:lastRow="0" w:firstColumn="1" w:lastColumn="0" w:noHBand="0" w:noVBand="1"/>
      </w:tblPr>
      <w:tblGrid>
        <w:gridCol w:w="4719"/>
        <w:gridCol w:w="4690"/>
      </w:tblGrid>
      <w:tr w:rsidR="00ED6228" w14:paraId="72CC14E8" w14:textId="77777777" w:rsidTr="006B6DD2">
        <w:trPr>
          <w:trHeight w:val="227"/>
        </w:trPr>
        <w:tc>
          <w:tcPr>
            <w:tcW w:w="4719" w:type="dxa"/>
            <w:vAlign w:val="center"/>
          </w:tcPr>
          <w:p w14:paraId="68274FAC" w14:textId="78A47AEA" w:rsidR="006B6DD2" w:rsidRDefault="00ED6228" w:rsidP="006B6DD2">
            <w:pPr>
              <w:jc w:val="center"/>
              <w:rPr>
                <w:b/>
                <w:bCs/>
                <w:color w:val="000000" w:themeColor="text1"/>
              </w:rPr>
            </w:pPr>
            <w:r>
              <w:rPr>
                <w:b/>
                <w:bCs/>
                <w:color w:val="000000" w:themeColor="text1"/>
              </w:rPr>
              <w:t>Neighbourhoods</w:t>
            </w:r>
          </w:p>
        </w:tc>
        <w:tc>
          <w:tcPr>
            <w:tcW w:w="4690" w:type="dxa"/>
            <w:vAlign w:val="center"/>
          </w:tcPr>
          <w:p w14:paraId="47285EDD" w14:textId="0B9A554D" w:rsidR="00ED6228" w:rsidRDefault="00ED6228" w:rsidP="006B6DD2">
            <w:pPr>
              <w:jc w:val="center"/>
              <w:rPr>
                <w:b/>
                <w:bCs/>
                <w:color w:val="000000" w:themeColor="text1"/>
              </w:rPr>
            </w:pPr>
            <w:r>
              <w:rPr>
                <w:b/>
                <w:bCs/>
                <w:color w:val="000000" w:themeColor="text1"/>
              </w:rPr>
              <w:t>Population growth (%)</w:t>
            </w:r>
          </w:p>
        </w:tc>
      </w:tr>
      <w:tr w:rsidR="00ED6228" w14:paraId="4A6B2928" w14:textId="77777777" w:rsidTr="006B6DD2">
        <w:trPr>
          <w:trHeight w:val="340"/>
        </w:trPr>
        <w:tc>
          <w:tcPr>
            <w:tcW w:w="4719" w:type="dxa"/>
          </w:tcPr>
          <w:p w14:paraId="1A4AF335" w14:textId="7A181F64" w:rsidR="00ED6228" w:rsidRDefault="00ED6228" w:rsidP="006B6DD2">
            <w:pPr>
              <w:jc w:val="center"/>
              <w:rPr>
                <w:b/>
                <w:bCs/>
                <w:color w:val="000000" w:themeColor="text1"/>
              </w:rPr>
            </w:pPr>
            <w:r>
              <w:rPr>
                <w:b/>
                <w:bCs/>
                <w:color w:val="000000" w:themeColor="text1"/>
              </w:rPr>
              <w:t>CBD Hoddle Grid</w:t>
            </w:r>
          </w:p>
        </w:tc>
        <w:tc>
          <w:tcPr>
            <w:tcW w:w="4690" w:type="dxa"/>
          </w:tcPr>
          <w:p w14:paraId="4860F386" w14:textId="5C029316" w:rsidR="00ED6228" w:rsidRPr="00ED6228" w:rsidRDefault="00ED6228" w:rsidP="006B6DD2">
            <w:pPr>
              <w:jc w:val="center"/>
              <w:rPr>
                <w:color w:val="000000" w:themeColor="text1"/>
              </w:rPr>
            </w:pPr>
            <w:r>
              <w:rPr>
                <w:color w:val="000000" w:themeColor="text1"/>
              </w:rPr>
              <w:t>63%</w:t>
            </w:r>
          </w:p>
        </w:tc>
      </w:tr>
      <w:tr w:rsidR="00ED6228" w14:paraId="44847DBE" w14:textId="77777777" w:rsidTr="006B6DD2">
        <w:trPr>
          <w:trHeight w:val="340"/>
        </w:trPr>
        <w:tc>
          <w:tcPr>
            <w:tcW w:w="4719" w:type="dxa"/>
          </w:tcPr>
          <w:p w14:paraId="0C16B655" w14:textId="5E6737F0" w:rsidR="00ED6228" w:rsidRDefault="00ED6228" w:rsidP="006B6DD2">
            <w:pPr>
              <w:jc w:val="center"/>
              <w:rPr>
                <w:b/>
                <w:bCs/>
                <w:color w:val="000000" w:themeColor="text1"/>
              </w:rPr>
            </w:pPr>
            <w:r>
              <w:rPr>
                <w:b/>
                <w:bCs/>
                <w:color w:val="000000" w:themeColor="text1"/>
              </w:rPr>
              <w:t>Carlton</w:t>
            </w:r>
          </w:p>
        </w:tc>
        <w:tc>
          <w:tcPr>
            <w:tcW w:w="4690" w:type="dxa"/>
          </w:tcPr>
          <w:p w14:paraId="5E5D8357" w14:textId="77EA3EE6" w:rsidR="00ED6228" w:rsidRPr="00ED6228" w:rsidRDefault="00ED6228" w:rsidP="006B6DD2">
            <w:pPr>
              <w:jc w:val="center"/>
              <w:rPr>
                <w:color w:val="000000" w:themeColor="text1"/>
              </w:rPr>
            </w:pPr>
            <w:r>
              <w:rPr>
                <w:color w:val="000000" w:themeColor="text1"/>
              </w:rPr>
              <w:t>42%</w:t>
            </w:r>
          </w:p>
        </w:tc>
      </w:tr>
      <w:tr w:rsidR="00ED6228" w14:paraId="018078C1" w14:textId="77777777" w:rsidTr="006B6DD2">
        <w:trPr>
          <w:trHeight w:val="340"/>
        </w:trPr>
        <w:tc>
          <w:tcPr>
            <w:tcW w:w="4719" w:type="dxa"/>
          </w:tcPr>
          <w:p w14:paraId="29D8B366" w14:textId="194679C2" w:rsidR="00ED6228" w:rsidRDefault="00ED6228" w:rsidP="006B6DD2">
            <w:pPr>
              <w:jc w:val="center"/>
              <w:rPr>
                <w:b/>
                <w:bCs/>
                <w:color w:val="000000" w:themeColor="text1"/>
              </w:rPr>
            </w:pPr>
            <w:r>
              <w:rPr>
                <w:b/>
                <w:bCs/>
                <w:color w:val="000000" w:themeColor="text1"/>
              </w:rPr>
              <w:t>Docklands</w:t>
            </w:r>
          </w:p>
        </w:tc>
        <w:tc>
          <w:tcPr>
            <w:tcW w:w="4690" w:type="dxa"/>
          </w:tcPr>
          <w:p w14:paraId="79670D91" w14:textId="7F082E6E" w:rsidR="00ED6228" w:rsidRPr="00ED6228" w:rsidRDefault="00ED6228" w:rsidP="006B6DD2">
            <w:pPr>
              <w:jc w:val="center"/>
              <w:rPr>
                <w:color w:val="000000" w:themeColor="text1"/>
              </w:rPr>
            </w:pPr>
            <w:r>
              <w:rPr>
                <w:color w:val="000000" w:themeColor="text1"/>
              </w:rPr>
              <w:t>62%</w:t>
            </w:r>
          </w:p>
        </w:tc>
      </w:tr>
      <w:tr w:rsidR="00ED6228" w14:paraId="1D0AAFA4" w14:textId="77777777" w:rsidTr="006B6DD2">
        <w:trPr>
          <w:trHeight w:val="340"/>
        </w:trPr>
        <w:tc>
          <w:tcPr>
            <w:tcW w:w="4719" w:type="dxa"/>
          </w:tcPr>
          <w:p w14:paraId="38A52801" w14:textId="536B52A1" w:rsidR="00ED6228" w:rsidRDefault="00ED6228" w:rsidP="006B6DD2">
            <w:pPr>
              <w:jc w:val="center"/>
              <w:rPr>
                <w:b/>
                <w:bCs/>
                <w:color w:val="000000" w:themeColor="text1"/>
              </w:rPr>
            </w:pPr>
            <w:r>
              <w:rPr>
                <w:b/>
                <w:bCs/>
                <w:color w:val="000000" w:themeColor="text1"/>
              </w:rPr>
              <w:lastRenderedPageBreak/>
              <w:t>East Melbourne</w:t>
            </w:r>
          </w:p>
        </w:tc>
        <w:tc>
          <w:tcPr>
            <w:tcW w:w="4690" w:type="dxa"/>
          </w:tcPr>
          <w:p w14:paraId="32FC886E" w14:textId="1BDCC1EC" w:rsidR="00ED6228" w:rsidRPr="00ED6228" w:rsidRDefault="00ED6228" w:rsidP="006B6DD2">
            <w:pPr>
              <w:jc w:val="center"/>
              <w:rPr>
                <w:color w:val="000000" w:themeColor="text1"/>
              </w:rPr>
            </w:pPr>
            <w:r>
              <w:rPr>
                <w:color w:val="000000" w:themeColor="text1"/>
              </w:rPr>
              <w:t>50%</w:t>
            </w:r>
          </w:p>
        </w:tc>
      </w:tr>
      <w:tr w:rsidR="00ED6228" w14:paraId="684AE247" w14:textId="77777777" w:rsidTr="006B6DD2">
        <w:trPr>
          <w:trHeight w:val="340"/>
        </w:trPr>
        <w:tc>
          <w:tcPr>
            <w:tcW w:w="4719" w:type="dxa"/>
          </w:tcPr>
          <w:p w14:paraId="3E00EB96" w14:textId="60D89500" w:rsidR="00ED6228" w:rsidRDefault="00ED6228" w:rsidP="006B6DD2">
            <w:pPr>
              <w:jc w:val="center"/>
              <w:rPr>
                <w:b/>
                <w:bCs/>
                <w:color w:val="000000" w:themeColor="text1"/>
              </w:rPr>
            </w:pPr>
            <w:r>
              <w:rPr>
                <w:b/>
                <w:bCs/>
                <w:color w:val="000000" w:themeColor="text1"/>
              </w:rPr>
              <w:t>Fishermans Bend</w:t>
            </w:r>
          </w:p>
        </w:tc>
        <w:tc>
          <w:tcPr>
            <w:tcW w:w="4690" w:type="dxa"/>
          </w:tcPr>
          <w:p w14:paraId="445ABE7F" w14:textId="6C186F0E" w:rsidR="00ED6228" w:rsidRPr="00ED6228" w:rsidRDefault="00ED6228" w:rsidP="006B6DD2">
            <w:pPr>
              <w:jc w:val="center"/>
              <w:rPr>
                <w:color w:val="000000" w:themeColor="text1"/>
              </w:rPr>
            </w:pPr>
            <w:r>
              <w:rPr>
                <w:color w:val="000000" w:themeColor="text1"/>
              </w:rPr>
              <w:t>&gt;300%</w:t>
            </w:r>
          </w:p>
        </w:tc>
      </w:tr>
      <w:tr w:rsidR="00ED6228" w14:paraId="55454412" w14:textId="77777777" w:rsidTr="006B6DD2">
        <w:trPr>
          <w:trHeight w:val="340"/>
        </w:trPr>
        <w:tc>
          <w:tcPr>
            <w:tcW w:w="4719" w:type="dxa"/>
          </w:tcPr>
          <w:p w14:paraId="1BD7BD53" w14:textId="74A29EAD" w:rsidR="00ED6228" w:rsidRDefault="00ED6228" w:rsidP="006B6DD2">
            <w:pPr>
              <w:jc w:val="center"/>
              <w:rPr>
                <w:b/>
                <w:bCs/>
                <w:color w:val="000000" w:themeColor="text1"/>
              </w:rPr>
            </w:pPr>
            <w:r>
              <w:rPr>
                <w:b/>
                <w:bCs/>
                <w:color w:val="000000" w:themeColor="text1"/>
              </w:rPr>
              <w:t>Kensington</w:t>
            </w:r>
          </w:p>
        </w:tc>
        <w:tc>
          <w:tcPr>
            <w:tcW w:w="4690" w:type="dxa"/>
          </w:tcPr>
          <w:p w14:paraId="3E86D279" w14:textId="1A3FC7B2" w:rsidR="00ED6228" w:rsidRPr="00ED6228" w:rsidRDefault="00ED6228" w:rsidP="006B6DD2">
            <w:pPr>
              <w:jc w:val="center"/>
              <w:rPr>
                <w:color w:val="000000" w:themeColor="text1"/>
              </w:rPr>
            </w:pPr>
            <w:r>
              <w:rPr>
                <w:color w:val="000000" w:themeColor="text1"/>
              </w:rPr>
              <w:t>67%</w:t>
            </w:r>
          </w:p>
        </w:tc>
      </w:tr>
      <w:tr w:rsidR="00ED6228" w14:paraId="6A57C3EB" w14:textId="77777777" w:rsidTr="006B6DD2">
        <w:trPr>
          <w:trHeight w:val="340"/>
        </w:trPr>
        <w:tc>
          <w:tcPr>
            <w:tcW w:w="4719" w:type="dxa"/>
          </w:tcPr>
          <w:p w14:paraId="5D5157C1" w14:textId="42AC775E" w:rsidR="00ED6228" w:rsidRDefault="00ED6228" w:rsidP="006B6DD2">
            <w:pPr>
              <w:jc w:val="center"/>
              <w:rPr>
                <w:b/>
                <w:bCs/>
                <w:color w:val="000000" w:themeColor="text1"/>
              </w:rPr>
            </w:pPr>
            <w:r>
              <w:rPr>
                <w:b/>
                <w:bCs/>
                <w:color w:val="000000" w:themeColor="text1"/>
              </w:rPr>
              <w:t>North Melbourne</w:t>
            </w:r>
          </w:p>
        </w:tc>
        <w:tc>
          <w:tcPr>
            <w:tcW w:w="4690" w:type="dxa"/>
          </w:tcPr>
          <w:p w14:paraId="14A07290" w14:textId="7518B351" w:rsidR="00ED6228" w:rsidRPr="00ED6228" w:rsidRDefault="00ED6228" w:rsidP="006B6DD2">
            <w:pPr>
              <w:jc w:val="center"/>
              <w:rPr>
                <w:color w:val="000000" w:themeColor="text1"/>
              </w:rPr>
            </w:pPr>
            <w:r>
              <w:rPr>
                <w:color w:val="000000" w:themeColor="text1"/>
              </w:rPr>
              <w:t>103%</w:t>
            </w:r>
          </w:p>
        </w:tc>
      </w:tr>
      <w:tr w:rsidR="00ED6228" w14:paraId="5D1C7235" w14:textId="77777777" w:rsidTr="006B6DD2">
        <w:trPr>
          <w:trHeight w:val="340"/>
        </w:trPr>
        <w:tc>
          <w:tcPr>
            <w:tcW w:w="4719" w:type="dxa"/>
          </w:tcPr>
          <w:p w14:paraId="7C6ABD9C" w14:textId="6D6C2D02" w:rsidR="00ED6228" w:rsidRDefault="00ED6228" w:rsidP="006B6DD2">
            <w:pPr>
              <w:jc w:val="center"/>
              <w:rPr>
                <w:b/>
                <w:bCs/>
                <w:color w:val="000000" w:themeColor="text1"/>
              </w:rPr>
            </w:pPr>
            <w:r>
              <w:rPr>
                <w:b/>
                <w:bCs/>
                <w:color w:val="000000" w:themeColor="text1"/>
              </w:rPr>
              <w:t>Parkville</w:t>
            </w:r>
          </w:p>
        </w:tc>
        <w:tc>
          <w:tcPr>
            <w:tcW w:w="4690" w:type="dxa"/>
          </w:tcPr>
          <w:p w14:paraId="25F90408" w14:textId="6F5D9B38" w:rsidR="00ED6228" w:rsidRPr="00ED6228" w:rsidRDefault="00ED6228" w:rsidP="006B6DD2">
            <w:pPr>
              <w:jc w:val="center"/>
              <w:rPr>
                <w:color w:val="000000" w:themeColor="text1"/>
              </w:rPr>
            </w:pPr>
            <w:r>
              <w:rPr>
                <w:color w:val="000000" w:themeColor="text1"/>
              </w:rPr>
              <w:t>41%</w:t>
            </w:r>
          </w:p>
        </w:tc>
      </w:tr>
      <w:tr w:rsidR="00ED6228" w14:paraId="4ADE3B35" w14:textId="77777777" w:rsidTr="006B6DD2">
        <w:trPr>
          <w:trHeight w:val="340"/>
        </w:trPr>
        <w:tc>
          <w:tcPr>
            <w:tcW w:w="4719" w:type="dxa"/>
          </w:tcPr>
          <w:p w14:paraId="68CECD9D" w14:textId="575AC4CC" w:rsidR="00ED6228" w:rsidRDefault="00ED6228" w:rsidP="006B6DD2">
            <w:pPr>
              <w:jc w:val="center"/>
              <w:rPr>
                <w:b/>
                <w:bCs/>
                <w:color w:val="000000" w:themeColor="text1"/>
              </w:rPr>
            </w:pPr>
            <w:r>
              <w:rPr>
                <w:b/>
                <w:bCs/>
                <w:color w:val="000000" w:themeColor="text1"/>
              </w:rPr>
              <w:t>Southbank</w:t>
            </w:r>
          </w:p>
        </w:tc>
        <w:tc>
          <w:tcPr>
            <w:tcW w:w="4690" w:type="dxa"/>
          </w:tcPr>
          <w:p w14:paraId="60B2EA95" w14:textId="34BA6FBE" w:rsidR="00ED6228" w:rsidRPr="00ED6228" w:rsidRDefault="00ED6228" w:rsidP="006B6DD2">
            <w:pPr>
              <w:jc w:val="center"/>
              <w:rPr>
                <w:color w:val="000000" w:themeColor="text1"/>
              </w:rPr>
            </w:pPr>
            <w:r>
              <w:rPr>
                <w:color w:val="000000" w:themeColor="text1"/>
              </w:rPr>
              <w:t>68%</w:t>
            </w:r>
          </w:p>
        </w:tc>
      </w:tr>
      <w:tr w:rsidR="00ED6228" w14:paraId="56C3B1A3" w14:textId="77777777" w:rsidTr="006B6DD2">
        <w:trPr>
          <w:trHeight w:val="340"/>
        </w:trPr>
        <w:tc>
          <w:tcPr>
            <w:tcW w:w="4719" w:type="dxa"/>
          </w:tcPr>
          <w:p w14:paraId="7A1CE9DB" w14:textId="73105FAE" w:rsidR="00ED6228" w:rsidRDefault="00ED6228" w:rsidP="006B6DD2">
            <w:pPr>
              <w:jc w:val="center"/>
              <w:rPr>
                <w:b/>
                <w:bCs/>
                <w:color w:val="000000" w:themeColor="text1"/>
              </w:rPr>
            </w:pPr>
            <w:r>
              <w:rPr>
                <w:b/>
                <w:bCs/>
                <w:color w:val="000000" w:themeColor="text1"/>
              </w:rPr>
              <w:t>South Yarra</w:t>
            </w:r>
          </w:p>
        </w:tc>
        <w:tc>
          <w:tcPr>
            <w:tcW w:w="4690" w:type="dxa"/>
          </w:tcPr>
          <w:p w14:paraId="42447184" w14:textId="0A27D246" w:rsidR="00ED6228" w:rsidRPr="00ED6228" w:rsidRDefault="00ED6228" w:rsidP="006B6DD2">
            <w:pPr>
              <w:jc w:val="center"/>
              <w:rPr>
                <w:color w:val="000000" w:themeColor="text1"/>
              </w:rPr>
            </w:pPr>
            <w:r w:rsidRPr="00ED6228">
              <w:rPr>
                <w:color w:val="000000" w:themeColor="text1"/>
              </w:rPr>
              <w:t>38%</w:t>
            </w:r>
          </w:p>
        </w:tc>
      </w:tr>
      <w:tr w:rsidR="00ED6228" w14:paraId="7D09C974" w14:textId="77777777" w:rsidTr="006B6DD2">
        <w:trPr>
          <w:trHeight w:val="340"/>
        </w:trPr>
        <w:tc>
          <w:tcPr>
            <w:tcW w:w="4719" w:type="dxa"/>
          </w:tcPr>
          <w:p w14:paraId="7B332544" w14:textId="64D02DB8" w:rsidR="00ED6228" w:rsidRDefault="00ED6228" w:rsidP="006B6DD2">
            <w:pPr>
              <w:jc w:val="center"/>
              <w:rPr>
                <w:b/>
                <w:bCs/>
                <w:color w:val="000000" w:themeColor="text1"/>
              </w:rPr>
            </w:pPr>
            <w:r>
              <w:rPr>
                <w:b/>
                <w:bCs/>
                <w:color w:val="000000" w:themeColor="text1"/>
              </w:rPr>
              <w:t>West Melbourne</w:t>
            </w:r>
          </w:p>
        </w:tc>
        <w:tc>
          <w:tcPr>
            <w:tcW w:w="4690" w:type="dxa"/>
          </w:tcPr>
          <w:p w14:paraId="7429A773" w14:textId="475407F6" w:rsidR="00ED6228" w:rsidRPr="00ED6228" w:rsidRDefault="00ED6228" w:rsidP="006B6DD2">
            <w:pPr>
              <w:jc w:val="center"/>
              <w:rPr>
                <w:color w:val="000000" w:themeColor="text1"/>
              </w:rPr>
            </w:pPr>
            <w:r w:rsidRPr="00ED6228">
              <w:rPr>
                <w:color w:val="000000" w:themeColor="text1"/>
              </w:rPr>
              <w:t>73%</w:t>
            </w:r>
          </w:p>
        </w:tc>
      </w:tr>
    </w:tbl>
    <w:p w14:paraId="62D1532D" w14:textId="00A80F35" w:rsidR="00583CC2" w:rsidRPr="00946E92" w:rsidRDefault="00583CC2" w:rsidP="00461A52">
      <w:pPr>
        <w:spacing w:before="120"/>
        <w:jc w:val="center"/>
        <w:rPr>
          <w:color w:val="000000" w:themeColor="text1"/>
          <w:sz w:val="16"/>
          <w:szCs w:val="16"/>
        </w:rPr>
      </w:pPr>
      <w:r w:rsidRPr="4A450472">
        <w:rPr>
          <w:color w:val="000000" w:themeColor="text1"/>
          <w:sz w:val="16"/>
          <w:szCs w:val="16"/>
        </w:rPr>
        <w:t xml:space="preserve">Figure </w:t>
      </w:r>
      <w:r w:rsidR="09B76C66" w:rsidRPr="4A450472">
        <w:rPr>
          <w:color w:val="000000" w:themeColor="text1"/>
          <w:sz w:val="16"/>
          <w:szCs w:val="16"/>
        </w:rPr>
        <w:t>2</w:t>
      </w:r>
      <w:r w:rsidRPr="4A450472">
        <w:rPr>
          <w:color w:val="000000" w:themeColor="text1"/>
          <w:sz w:val="16"/>
          <w:szCs w:val="16"/>
        </w:rPr>
        <w:t xml:space="preserve">: </w:t>
      </w:r>
      <w:r w:rsidR="00DC3825">
        <w:rPr>
          <w:color w:val="000000" w:themeColor="text1"/>
          <w:sz w:val="16"/>
          <w:szCs w:val="16"/>
        </w:rPr>
        <w:t>Population</w:t>
      </w:r>
      <w:r w:rsidRPr="4A450472">
        <w:rPr>
          <w:color w:val="000000" w:themeColor="text1"/>
          <w:sz w:val="16"/>
          <w:szCs w:val="16"/>
        </w:rPr>
        <w:t xml:space="preserve"> growth</w:t>
      </w:r>
      <w:r w:rsidR="00DC3825">
        <w:rPr>
          <w:color w:val="000000" w:themeColor="text1"/>
          <w:sz w:val="16"/>
          <w:szCs w:val="16"/>
        </w:rPr>
        <w:t xml:space="preserve"> (%)</w:t>
      </w:r>
      <w:r w:rsidRPr="4A450472">
        <w:rPr>
          <w:color w:val="000000" w:themeColor="text1"/>
          <w:sz w:val="16"/>
          <w:szCs w:val="16"/>
        </w:rPr>
        <w:t xml:space="preserve"> between 2023-2043 </w:t>
      </w:r>
      <w:r w:rsidR="00DC3825">
        <w:rPr>
          <w:color w:val="000000" w:themeColor="text1"/>
          <w:sz w:val="16"/>
          <w:szCs w:val="16"/>
        </w:rPr>
        <w:t>by</w:t>
      </w:r>
      <w:r w:rsidR="00DC3825" w:rsidRPr="4A450472">
        <w:rPr>
          <w:color w:val="000000" w:themeColor="text1"/>
          <w:sz w:val="16"/>
          <w:szCs w:val="16"/>
        </w:rPr>
        <w:t xml:space="preserve"> </w:t>
      </w:r>
      <w:r w:rsidRPr="0055227E">
        <w:rPr>
          <w:color w:val="000000" w:themeColor="text1"/>
          <w:sz w:val="16"/>
          <w:szCs w:val="16"/>
          <w:u w:val="single"/>
        </w:rPr>
        <w:t>neighbourhood</w:t>
      </w:r>
    </w:p>
    <w:p w14:paraId="6C38B3B2" w14:textId="171D889E" w:rsidR="001D2AD9" w:rsidRPr="00946E92" w:rsidRDefault="001D2AD9" w:rsidP="001D2AD9">
      <w:pPr>
        <w:pStyle w:val="ListParagraph"/>
        <w:numPr>
          <w:ilvl w:val="0"/>
          <w:numId w:val="32"/>
        </w:numPr>
        <w:rPr>
          <w:color w:val="000000" w:themeColor="text1"/>
        </w:rPr>
      </w:pPr>
      <w:r w:rsidRPr="00946E92">
        <w:rPr>
          <w:color w:val="000000" w:themeColor="text1"/>
        </w:rPr>
        <w:t>The suburbs of Docklands and Southbank, which are highly accessible locations, will also experience rapid residential and employment growth out to 204</w:t>
      </w:r>
      <w:r w:rsidR="00FD2B9F" w:rsidRPr="00946E92">
        <w:rPr>
          <w:color w:val="000000" w:themeColor="text1"/>
        </w:rPr>
        <w:t>3</w:t>
      </w:r>
      <w:r w:rsidRPr="00946E92">
        <w:rPr>
          <w:color w:val="000000" w:themeColor="text1"/>
        </w:rPr>
        <w:t xml:space="preserve">. Docklands will add </w:t>
      </w:r>
      <w:r w:rsidR="00946E92" w:rsidRPr="00946E92">
        <w:rPr>
          <w:color w:val="000000" w:themeColor="text1"/>
        </w:rPr>
        <w:t>12,700</w:t>
      </w:r>
      <w:r w:rsidRPr="00946E92">
        <w:rPr>
          <w:color w:val="000000" w:themeColor="text1"/>
        </w:rPr>
        <w:t xml:space="preserve"> residents and 21,</w:t>
      </w:r>
      <w:r w:rsidR="00946E92" w:rsidRPr="00946E92">
        <w:rPr>
          <w:color w:val="000000" w:themeColor="text1"/>
        </w:rPr>
        <w:t>3</w:t>
      </w:r>
      <w:r w:rsidRPr="00946E92">
        <w:rPr>
          <w:color w:val="000000" w:themeColor="text1"/>
        </w:rPr>
        <w:t xml:space="preserve">00 jobs, while Southbank is anticipated to increase with </w:t>
      </w:r>
      <w:r w:rsidR="00946E92" w:rsidRPr="00946E92">
        <w:rPr>
          <w:color w:val="000000" w:themeColor="text1"/>
        </w:rPr>
        <w:t>18</w:t>
      </w:r>
      <w:r w:rsidRPr="00946E92">
        <w:rPr>
          <w:color w:val="000000" w:themeColor="text1"/>
        </w:rPr>
        <w:t xml:space="preserve">,000 residents and </w:t>
      </w:r>
      <w:r w:rsidR="00946E92" w:rsidRPr="00946E92">
        <w:rPr>
          <w:color w:val="000000" w:themeColor="text1"/>
        </w:rPr>
        <w:t>20,100</w:t>
      </w:r>
      <w:r w:rsidRPr="00946E92">
        <w:rPr>
          <w:color w:val="000000" w:themeColor="text1"/>
        </w:rPr>
        <w:t xml:space="preserve"> jobs.</w:t>
      </w:r>
    </w:p>
    <w:p w14:paraId="6D43EF0A" w14:textId="0A4A1BEB" w:rsidR="00DC3825" w:rsidRPr="00946E92" w:rsidRDefault="001D2AD9" w:rsidP="001D2AD9">
      <w:pPr>
        <w:pStyle w:val="ListParagraph"/>
        <w:numPr>
          <w:ilvl w:val="0"/>
          <w:numId w:val="32"/>
        </w:numPr>
        <w:rPr>
          <w:b/>
          <w:bCs/>
          <w:color w:val="000000" w:themeColor="text1"/>
        </w:rPr>
      </w:pPr>
      <w:r w:rsidRPr="00946E92">
        <w:rPr>
          <w:color w:val="000000" w:themeColor="text1"/>
        </w:rPr>
        <w:t xml:space="preserve">North Melbourne </w:t>
      </w:r>
      <w:r w:rsidRPr="003B0760">
        <w:t>and West Melbourne (residential) suburbs will also see significant population and employment growth, largely driven by major urban renewal areas</w:t>
      </w:r>
      <w:r w:rsidR="003B0760" w:rsidRPr="003B0760">
        <w:t>, with an additional 18,100 and 7,000 residents respectively,</w:t>
      </w:r>
      <w:r w:rsidR="00042616">
        <w:t xml:space="preserve"> and</w:t>
      </w:r>
      <w:r w:rsidR="003B0760" w:rsidRPr="003B0760">
        <w:t xml:space="preserve"> 14,000 and 3,000 jobs respectively</w:t>
      </w:r>
      <w:r w:rsidRPr="003B0760">
        <w:t>. Port Melbourne</w:t>
      </w:r>
      <w:r w:rsidR="00DC3825">
        <w:t xml:space="preserve"> (precinct)</w:t>
      </w:r>
      <w:r w:rsidRPr="003B0760">
        <w:t xml:space="preserve"> will largely be commercial in nature, with strong growth in institutional jobs associated with anchors such as the University of Melbourne engineering and design campus. </w:t>
      </w:r>
    </w:p>
    <w:p w14:paraId="4B5D4411" w14:textId="64478631" w:rsidR="001D2AD9" w:rsidRPr="00DC3825" w:rsidRDefault="00113E6E" w:rsidP="0055227E">
      <w:pPr>
        <w:pStyle w:val="ListParagraph"/>
        <w:numPr>
          <w:ilvl w:val="0"/>
          <w:numId w:val="32"/>
        </w:numPr>
        <w:rPr>
          <w:b/>
          <w:bCs/>
        </w:rPr>
      </w:pPr>
      <w:r w:rsidRPr="00DC3825">
        <w:rPr>
          <w:color w:val="000000" w:themeColor="text1"/>
        </w:rPr>
        <w:t xml:space="preserve">The municipality remains attractive to students and young couples. While still expected to be an important component </w:t>
      </w:r>
      <w:r>
        <w:t xml:space="preserve">of our population, recent surging growth in international students has been forecast to plateau in the coming decade. Similarly, the </w:t>
      </w:r>
      <w:proofErr w:type="gramStart"/>
      <w:r>
        <w:t>City</w:t>
      </w:r>
      <w:proofErr w:type="gramEnd"/>
      <w:r>
        <w:t xml:space="preserve"> is expected to attract and retain an increasing share of families. </w:t>
      </w:r>
    </w:p>
    <w:tbl>
      <w:tblPr>
        <w:tblStyle w:val="TableGrid"/>
        <w:tblW w:w="0" w:type="auto"/>
        <w:jc w:val="center"/>
        <w:tblLook w:val="04A0" w:firstRow="1" w:lastRow="0" w:firstColumn="1" w:lastColumn="0" w:noHBand="0" w:noVBand="1"/>
      </w:tblPr>
      <w:tblGrid>
        <w:gridCol w:w="2442"/>
        <w:gridCol w:w="2442"/>
        <w:gridCol w:w="2442"/>
        <w:gridCol w:w="2443"/>
      </w:tblGrid>
      <w:tr w:rsidR="00ED6228" w:rsidRPr="00895F19" w14:paraId="6D450208" w14:textId="77777777" w:rsidTr="00895F19">
        <w:trPr>
          <w:trHeight w:val="283"/>
          <w:jc w:val="center"/>
        </w:trPr>
        <w:tc>
          <w:tcPr>
            <w:tcW w:w="2442" w:type="dxa"/>
            <w:vAlign w:val="center"/>
          </w:tcPr>
          <w:p w14:paraId="716B6891" w14:textId="2EF1D99B" w:rsidR="004B4780" w:rsidRPr="00895F19" w:rsidRDefault="00ED6228" w:rsidP="00895F19">
            <w:pPr>
              <w:jc w:val="center"/>
              <w:rPr>
                <w:rFonts w:cs="Arial"/>
                <w:b/>
                <w:bCs/>
                <w:szCs w:val="20"/>
              </w:rPr>
            </w:pPr>
            <w:r w:rsidRPr="00895F19">
              <w:rPr>
                <w:rFonts w:cs="Arial"/>
                <w:b/>
                <w:bCs/>
                <w:szCs w:val="20"/>
              </w:rPr>
              <w:t>Age Group</w:t>
            </w:r>
          </w:p>
        </w:tc>
        <w:tc>
          <w:tcPr>
            <w:tcW w:w="2442" w:type="dxa"/>
            <w:vAlign w:val="center"/>
          </w:tcPr>
          <w:p w14:paraId="409763EF" w14:textId="5B8DA6F5" w:rsidR="00ED6228" w:rsidRPr="00895F19" w:rsidRDefault="00ED6228" w:rsidP="00895F19">
            <w:pPr>
              <w:jc w:val="center"/>
              <w:rPr>
                <w:rFonts w:cs="Arial"/>
                <w:b/>
                <w:bCs/>
                <w:szCs w:val="20"/>
              </w:rPr>
            </w:pPr>
            <w:r w:rsidRPr="00895F19">
              <w:rPr>
                <w:rFonts w:cs="Arial"/>
                <w:b/>
                <w:bCs/>
                <w:szCs w:val="20"/>
              </w:rPr>
              <w:t>2023</w:t>
            </w:r>
          </w:p>
        </w:tc>
        <w:tc>
          <w:tcPr>
            <w:tcW w:w="2442" w:type="dxa"/>
            <w:vAlign w:val="center"/>
          </w:tcPr>
          <w:p w14:paraId="0AE198FA" w14:textId="571A61F7" w:rsidR="00ED6228" w:rsidRPr="00895F19" w:rsidRDefault="00ED6228" w:rsidP="00895F19">
            <w:pPr>
              <w:jc w:val="center"/>
              <w:rPr>
                <w:rFonts w:cs="Arial"/>
                <w:b/>
                <w:bCs/>
                <w:szCs w:val="20"/>
              </w:rPr>
            </w:pPr>
            <w:r w:rsidRPr="00895F19">
              <w:rPr>
                <w:rFonts w:cs="Arial"/>
                <w:b/>
                <w:bCs/>
                <w:szCs w:val="20"/>
              </w:rPr>
              <w:t>2033</w:t>
            </w:r>
          </w:p>
        </w:tc>
        <w:tc>
          <w:tcPr>
            <w:tcW w:w="2443" w:type="dxa"/>
            <w:vAlign w:val="center"/>
          </w:tcPr>
          <w:p w14:paraId="0BB6576F" w14:textId="20AF4796" w:rsidR="00ED6228" w:rsidRPr="00895F19" w:rsidRDefault="00ED6228" w:rsidP="00895F19">
            <w:pPr>
              <w:jc w:val="center"/>
              <w:rPr>
                <w:rFonts w:cs="Arial"/>
                <w:b/>
                <w:bCs/>
                <w:szCs w:val="20"/>
              </w:rPr>
            </w:pPr>
            <w:r w:rsidRPr="00895F19">
              <w:rPr>
                <w:rFonts w:cs="Arial"/>
                <w:b/>
                <w:bCs/>
                <w:szCs w:val="20"/>
              </w:rPr>
              <w:t>2043</w:t>
            </w:r>
          </w:p>
        </w:tc>
      </w:tr>
      <w:tr w:rsidR="00ED6228" w:rsidRPr="00895F19" w14:paraId="6B3B8B45" w14:textId="77777777" w:rsidTr="00895F19">
        <w:trPr>
          <w:trHeight w:val="283"/>
          <w:jc w:val="center"/>
        </w:trPr>
        <w:tc>
          <w:tcPr>
            <w:tcW w:w="2442" w:type="dxa"/>
          </w:tcPr>
          <w:p w14:paraId="0B6BDC67" w14:textId="530E4AEB" w:rsidR="00ED6228" w:rsidRPr="00895F19" w:rsidRDefault="00ED6228" w:rsidP="00ED6228">
            <w:pPr>
              <w:jc w:val="center"/>
              <w:rPr>
                <w:rFonts w:cs="Arial"/>
                <w:b/>
                <w:bCs/>
                <w:szCs w:val="20"/>
              </w:rPr>
            </w:pPr>
            <w:r w:rsidRPr="00895F19">
              <w:rPr>
                <w:rFonts w:cs="Arial"/>
                <w:b/>
                <w:bCs/>
                <w:szCs w:val="20"/>
              </w:rPr>
              <w:t>0 - 4</w:t>
            </w:r>
          </w:p>
        </w:tc>
        <w:tc>
          <w:tcPr>
            <w:tcW w:w="2442" w:type="dxa"/>
          </w:tcPr>
          <w:p w14:paraId="43F319AF" w14:textId="5E3BC903" w:rsidR="00ED6228" w:rsidRPr="00895F19" w:rsidRDefault="004B4780" w:rsidP="00ED6228">
            <w:pPr>
              <w:jc w:val="center"/>
              <w:rPr>
                <w:rFonts w:cs="Arial"/>
                <w:szCs w:val="20"/>
              </w:rPr>
            </w:pPr>
            <w:r w:rsidRPr="00895F19">
              <w:rPr>
                <w:rFonts w:cs="Arial"/>
                <w:szCs w:val="20"/>
              </w:rPr>
              <w:t>2.7%</w:t>
            </w:r>
          </w:p>
        </w:tc>
        <w:tc>
          <w:tcPr>
            <w:tcW w:w="2442" w:type="dxa"/>
          </w:tcPr>
          <w:p w14:paraId="602D263D" w14:textId="166A86EE" w:rsidR="00ED6228" w:rsidRPr="00895F19" w:rsidRDefault="004B4780" w:rsidP="00ED6228">
            <w:pPr>
              <w:jc w:val="center"/>
              <w:rPr>
                <w:rFonts w:cs="Arial"/>
                <w:szCs w:val="20"/>
              </w:rPr>
            </w:pPr>
            <w:r w:rsidRPr="00895F19">
              <w:rPr>
                <w:rFonts w:cs="Arial"/>
                <w:szCs w:val="20"/>
              </w:rPr>
              <w:t>3.9%</w:t>
            </w:r>
          </w:p>
        </w:tc>
        <w:tc>
          <w:tcPr>
            <w:tcW w:w="2443" w:type="dxa"/>
          </w:tcPr>
          <w:p w14:paraId="3F20DFEE" w14:textId="666616B7" w:rsidR="00ED6228" w:rsidRPr="00895F19" w:rsidRDefault="004B4780" w:rsidP="00ED6228">
            <w:pPr>
              <w:jc w:val="center"/>
              <w:rPr>
                <w:rFonts w:cs="Arial"/>
                <w:szCs w:val="20"/>
              </w:rPr>
            </w:pPr>
            <w:r w:rsidRPr="00895F19">
              <w:rPr>
                <w:rFonts w:cs="Arial"/>
                <w:szCs w:val="20"/>
              </w:rPr>
              <w:t>4.2%</w:t>
            </w:r>
          </w:p>
        </w:tc>
      </w:tr>
      <w:tr w:rsidR="00ED6228" w:rsidRPr="00895F19" w14:paraId="5EA2ED88" w14:textId="77777777" w:rsidTr="00895F19">
        <w:trPr>
          <w:trHeight w:val="283"/>
          <w:jc w:val="center"/>
        </w:trPr>
        <w:tc>
          <w:tcPr>
            <w:tcW w:w="2442" w:type="dxa"/>
          </w:tcPr>
          <w:p w14:paraId="665ABFCA" w14:textId="378411ED" w:rsidR="00ED6228" w:rsidRPr="00895F19" w:rsidRDefault="00ED6228" w:rsidP="00ED6228">
            <w:pPr>
              <w:jc w:val="center"/>
              <w:rPr>
                <w:rFonts w:cs="Arial"/>
                <w:b/>
                <w:bCs/>
                <w:szCs w:val="20"/>
              </w:rPr>
            </w:pPr>
            <w:r w:rsidRPr="00895F19">
              <w:rPr>
                <w:rFonts w:cs="Arial"/>
                <w:b/>
                <w:bCs/>
                <w:szCs w:val="20"/>
              </w:rPr>
              <w:t>5 - 9</w:t>
            </w:r>
          </w:p>
        </w:tc>
        <w:tc>
          <w:tcPr>
            <w:tcW w:w="2442" w:type="dxa"/>
          </w:tcPr>
          <w:p w14:paraId="427C8D9C" w14:textId="2A5192A4" w:rsidR="00ED6228" w:rsidRPr="00895F19" w:rsidRDefault="004B4780" w:rsidP="00ED6228">
            <w:pPr>
              <w:jc w:val="center"/>
              <w:rPr>
                <w:rFonts w:cs="Arial"/>
                <w:szCs w:val="20"/>
              </w:rPr>
            </w:pPr>
            <w:r w:rsidRPr="00895F19">
              <w:rPr>
                <w:rFonts w:cs="Arial"/>
                <w:szCs w:val="20"/>
              </w:rPr>
              <w:t>2.0%</w:t>
            </w:r>
          </w:p>
        </w:tc>
        <w:tc>
          <w:tcPr>
            <w:tcW w:w="2442" w:type="dxa"/>
          </w:tcPr>
          <w:p w14:paraId="3F5182B9" w14:textId="32F92D85" w:rsidR="00ED6228" w:rsidRPr="00895F19" w:rsidRDefault="004B4780" w:rsidP="00ED6228">
            <w:pPr>
              <w:jc w:val="center"/>
              <w:rPr>
                <w:rFonts w:cs="Arial"/>
                <w:szCs w:val="20"/>
              </w:rPr>
            </w:pPr>
            <w:r w:rsidRPr="00895F19">
              <w:rPr>
                <w:rFonts w:cs="Arial"/>
                <w:szCs w:val="20"/>
              </w:rPr>
              <w:t>2.8%</w:t>
            </w:r>
          </w:p>
        </w:tc>
        <w:tc>
          <w:tcPr>
            <w:tcW w:w="2443" w:type="dxa"/>
          </w:tcPr>
          <w:p w14:paraId="3510C002" w14:textId="23D1B2D6" w:rsidR="00ED6228" w:rsidRPr="00895F19" w:rsidRDefault="004B4780" w:rsidP="00ED6228">
            <w:pPr>
              <w:jc w:val="center"/>
              <w:rPr>
                <w:rFonts w:cs="Arial"/>
                <w:szCs w:val="20"/>
              </w:rPr>
            </w:pPr>
            <w:r w:rsidRPr="00895F19">
              <w:rPr>
                <w:rFonts w:cs="Arial"/>
                <w:szCs w:val="20"/>
              </w:rPr>
              <w:t>3.2%</w:t>
            </w:r>
          </w:p>
        </w:tc>
      </w:tr>
      <w:tr w:rsidR="00ED6228" w:rsidRPr="00895F19" w14:paraId="7032338A" w14:textId="77777777" w:rsidTr="00895F19">
        <w:trPr>
          <w:trHeight w:val="283"/>
          <w:jc w:val="center"/>
        </w:trPr>
        <w:tc>
          <w:tcPr>
            <w:tcW w:w="2442" w:type="dxa"/>
          </w:tcPr>
          <w:p w14:paraId="2B7F6E52" w14:textId="453DAB31" w:rsidR="00ED6228" w:rsidRPr="00895F19" w:rsidRDefault="00ED6228" w:rsidP="00ED6228">
            <w:pPr>
              <w:jc w:val="center"/>
              <w:rPr>
                <w:rFonts w:cs="Arial"/>
                <w:b/>
                <w:bCs/>
                <w:szCs w:val="20"/>
              </w:rPr>
            </w:pPr>
            <w:r w:rsidRPr="00895F19">
              <w:rPr>
                <w:rFonts w:cs="Arial"/>
                <w:b/>
                <w:bCs/>
                <w:szCs w:val="20"/>
              </w:rPr>
              <w:t>10 - 14</w:t>
            </w:r>
          </w:p>
        </w:tc>
        <w:tc>
          <w:tcPr>
            <w:tcW w:w="2442" w:type="dxa"/>
          </w:tcPr>
          <w:p w14:paraId="52B8198D" w14:textId="3F14FFA0" w:rsidR="00ED6228" w:rsidRPr="00895F19" w:rsidRDefault="004B4780" w:rsidP="00ED6228">
            <w:pPr>
              <w:jc w:val="center"/>
              <w:rPr>
                <w:rFonts w:cs="Arial"/>
                <w:szCs w:val="20"/>
              </w:rPr>
            </w:pPr>
            <w:r w:rsidRPr="00895F19">
              <w:rPr>
                <w:rFonts w:cs="Arial"/>
                <w:szCs w:val="20"/>
              </w:rPr>
              <w:t>1.7%</w:t>
            </w:r>
          </w:p>
        </w:tc>
        <w:tc>
          <w:tcPr>
            <w:tcW w:w="2442" w:type="dxa"/>
          </w:tcPr>
          <w:p w14:paraId="7BB92749" w14:textId="239F692E" w:rsidR="00ED6228" w:rsidRPr="00895F19" w:rsidRDefault="004B4780" w:rsidP="00ED6228">
            <w:pPr>
              <w:jc w:val="center"/>
              <w:rPr>
                <w:rFonts w:cs="Arial"/>
                <w:szCs w:val="20"/>
              </w:rPr>
            </w:pPr>
            <w:r w:rsidRPr="00895F19">
              <w:rPr>
                <w:rFonts w:cs="Arial"/>
                <w:szCs w:val="20"/>
              </w:rPr>
              <w:t>1.3%</w:t>
            </w:r>
          </w:p>
        </w:tc>
        <w:tc>
          <w:tcPr>
            <w:tcW w:w="2443" w:type="dxa"/>
          </w:tcPr>
          <w:p w14:paraId="09251F66" w14:textId="12F6DEE5" w:rsidR="00ED6228" w:rsidRPr="00895F19" w:rsidRDefault="004B4780" w:rsidP="00ED6228">
            <w:pPr>
              <w:jc w:val="center"/>
              <w:rPr>
                <w:rFonts w:cs="Arial"/>
                <w:szCs w:val="20"/>
              </w:rPr>
            </w:pPr>
            <w:r w:rsidRPr="00895F19">
              <w:rPr>
                <w:rFonts w:cs="Arial"/>
                <w:szCs w:val="20"/>
              </w:rPr>
              <w:t>2.5%</w:t>
            </w:r>
          </w:p>
        </w:tc>
      </w:tr>
      <w:tr w:rsidR="00ED6228" w:rsidRPr="00895F19" w14:paraId="1FA7755D" w14:textId="77777777" w:rsidTr="00895F19">
        <w:trPr>
          <w:trHeight w:val="283"/>
          <w:jc w:val="center"/>
        </w:trPr>
        <w:tc>
          <w:tcPr>
            <w:tcW w:w="2442" w:type="dxa"/>
          </w:tcPr>
          <w:p w14:paraId="50F02AC5" w14:textId="41CF297F" w:rsidR="00ED6228" w:rsidRPr="00895F19" w:rsidRDefault="00ED6228" w:rsidP="00ED6228">
            <w:pPr>
              <w:jc w:val="center"/>
              <w:rPr>
                <w:rFonts w:cs="Arial"/>
                <w:b/>
                <w:bCs/>
                <w:szCs w:val="20"/>
              </w:rPr>
            </w:pPr>
            <w:r w:rsidRPr="00895F19">
              <w:rPr>
                <w:rFonts w:cs="Arial"/>
                <w:b/>
                <w:bCs/>
                <w:szCs w:val="20"/>
              </w:rPr>
              <w:t>15 - 19</w:t>
            </w:r>
          </w:p>
        </w:tc>
        <w:tc>
          <w:tcPr>
            <w:tcW w:w="2442" w:type="dxa"/>
          </w:tcPr>
          <w:p w14:paraId="28A5A84D" w14:textId="17CA185A" w:rsidR="00ED6228" w:rsidRPr="00895F19" w:rsidRDefault="004B4780" w:rsidP="00ED6228">
            <w:pPr>
              <w:jc w:val="center"/>
              <w:rPr>
                <w:rFonts w:cs="Arial"/>
                <w:szCs w:val="20"/>
              </w:rPr>
            </w:pPr>
            <w:r w:rsidRPr="00895F19">
              <w:rPr>
                <w:rFonts w:cs="Arial"/>
                <w:szCs w:val="20"/>
              </w:rPr>
              <w:t>4.8%</w:t>
            </w:r>
          </w:p>
        </w:tc>
        <w:tc>
          <w:tcPr>
            <w:tcW w:w="2442" w:type="dxa"/>
          </w:tcPr>
          <w:p w14:paraId="7636588D" w14:textId="3592CB33" w:rsidR="00ED6228" w:rsidRPr="00895F19" w:rsidRDefault="004B4780" w:rsidP="00ED6228">
            <w:pPr>
              <w:jc w:val="center"/>
              <w:rPr>
                <w:rFonts w:cs="Arial"/>
                <w:szCs w:val="20"/>
              </w:rPr>
            </w:pPr>
            <w:r w:rsidRPr="00895F19">
              <w:rPr>
                <w:rFonts w:cs="Arial"/>
                <w:szCs w:val="20"/>
              </w:rPr>
              <w:t>4.6%</w:t>
            </w:r>
          </w:p>
        </w:tc>
        <w:tc>
          <w:tcPr>
            <w:tcW w:w="2443" w:type="dxa"/>
          </w:tcPr>
          <w:p w14:paraId="1DF01D79" w14:textId="627739F2" w:rsidR="00ED6228" w:rsidRPr="00895F19" w:rsidRDefault="004B4780" w:rsidP="00ED6228">
            <w:pPr>
              <w:jc w:val="center"/>
              <w:rPr>
                <w:rFonts w:cs="Arial"/>
                <w:szCs w:val="20"/>
              </w:rPr>
            </w:pPr>
            <w:r w:rsidRPr="00895F19">
              <w:rPr>
                <w:rFonts w:cs="Arial"/>
                <w:szCs w:val="20"/>
              </w:rPr>
              <w:t>5.1%</w:t>
            </w:r>
          </w:p>
        </w:tc>
      </w:tr>
      <w:tr w:rsidR="00ED6228" w:rsidRPr="00895F19" w14:paraId="6B9C4907" w14:textId="77777777" w:rsidTr="00895F19">
        <w:trPr>
          <w:trHeight w:val="283"/>
          <w:jc w:val="center"/>
        </w:trPr>
        <w:tc>
          <w:tcPr>
            <w:tcW w:w="2442" w:type="dxa"/>
          </w:tcPr>
          <w:p w14:paraId="764E326B" w14:textId="4EEF65A4" w:rsidR="00ED6228" w:rsidRPr="00895F19" w:rsidRDefault="00ED6228" w:rsidP="00ED6228">
            <w:pPr>
              <w:jc w:val="center"/>
              <w:rPr>
                <w:rFonts w:cs="Arial"/>
                <w:b/>
                <w:bCs/>
                <w:szCs w:val="20"/>
              </w:rPr>
            </w:pPr>
            <w:r w:rsidRPr="00895F19">
              <w:rPr>
                <w:rFonts w:cs="Arial"/>
                <w:b/>
                <w:bCs/>
                <w:szCs w:val="20"/>
              </w:rPr>
              <w:t>20 - 24</w:t>
            </w:r>
          </w:p>
        </w:tc>
        <w:tc>
          <w:tcPr>
            <w:tcW w:w="2442" w:type="dxa"/>
          </w:tcPr>
          <w:p w14:paraId="30F13792" w14:textId="4D78365B" w:rsidR="00ED6228" w:rsidRPr="00895F19" w:rsidRDefault="004B4780" w:rsidP="00ED6228">
            <w:pPr>
              <w:jc w:val="center"/>
              <w:rPr>
                <w:rFonts w:cs="Arial"/>
                <w:szCs w:val="20"/>
              </w:rPr>
            </w:pPr>
            <w:r w:rsidRPr="00895F19">
              <w:rPr>
                <w:rFonts w:cs="Arial"/>
                <w:szCs w:val="20"/>
              </w:rPr>
              <w:t>18.2%</w:t>
            </w:r>
          </w:p>
        </w:tc>
        <w:tc>
          <w:tcPr>
            <w:tcW w:w="2442" w:type="dxa"/>
          </w:tcPr>
          <w:p w14:paraId="30EDA9E4" w14:textId="5B8A33ED" w:rsidR="00ED6228" w:rsidRPr="00895F19" w:rsidRDefault="004B4780" w:rsidP="00ED6228">
            <w:pPr>
              <w:jc w:val="center"/>
              <w:rPr>
                <w:rFonts w:cs="Arial"/>
                <w:szCs w:val="20"/>
              </w:rPr>
            </w:pPr>
            <w:r w:rsidRPr="00895F19">
              <w:rPr>
                <w:rFonts w:cs="Arial"/>
                <w:szCs w:val="20"/>
              </w:rPr>
              <w:t>17.0%</w:t>
            </w:r>
          </w:p>
        </w:tc>
        <w:tc>
          <w:tcPr>
            <w:tcW w:w="2443" w:type="dxa"/>
          </w:tcPr>
          <w:p w14:paraId="289B5F1B" w14:textId="7CBC64E2" w:rsidR="00ED6228" w:rsidRPr="00895F19" w:rsidRDefault="004B4780" w:rsidP="00ED6228">
            <w:pPr>
              <w:jc w:val="center"/>
              <w:rPr>
                <w:rFonts w:cs="Arial"/>
                <w:szCs w:val="20"/>
              </w:rPr>
            </w:pPr>
            <w:r w:rsidRPr="00895F19">
              <w:rPr>
                <w:rFonts w:cs="Arial"/>
                <w:szCs w:val="20"/>
              </w:rPr>
              <w:t>14.9%</w:t>
            </w:r>
          </w:p>
        </w:tc>
      </w:tr>
      <w:tr w:rsidR="00ED6228" w:rsidRPr="00895F19" w14:paraId="4844742B" w14:textId="77777777" w:rsidTr="00895F19">
        <w:trPr>
          <w:trHeight w:val="283"/>
          <w:jc w:val="center"/>
        </w:trPr>
        <w:tc>
          <w:tcPr>
            <w:tcW w:w="2442" w:type="dxa"/>
          </w:tcPr>
          <w:p w14:paraId="65AA708D" w14:textId="500DEBC0" w:rsidR="00ED6228" w:rsidRPr="00895F19" w:rsidRDefault="00ED6228" w:rsidP="00ED6228">
            <w:pPr>
              <w:jc w:val="center"/>
              <w:rPr>
                <w:rFonts w:cs="Arial"/>
                <w:b/>
                <w:bCs/>
                <w:szCs w:val="20"/>
              </w:rPr>
            </w:pPr>
            <w:r w:rsidRPr="00895F19">
              <w:rPr>
                <w:rFonts w:cs="Arial"/>
                <w:b/>
                <w:bCs/>
                <w:szCs w:val="20"/>
              </w:rPr>
              <w:t>25 - 29</w:t>
            </w:r>
          </w:p>
        </w:tc>
        <w:tc>
          <w:tcPr>
            <w:tcW w:w="2442" w:type="dxa"/>
          </w:tcPr>
          <w:p w14:paraId="56ACB759" w14:textId="58EB1457" w:rsidR="00ED6228" w:rsidRPr="00895F19" w:rsidRDefault="004B4780" w:rsidP="00ED6228">
            <w:pPr>
              <w:jc w:val="center"/>
              <w:rPr>
                <w:rFonts w:cs="Arial"/>
                <w:szCs w:val="20"/>
              </w:rPr>
            </w:pPr>
            <w:r w:rsidRPr="00895F19">
              <w:rPr>
                <w:rFonts w:cs="Arial"/>
                <w:szCs w:val="20"/>
              </w:rPr>
              <w:t>20.2%</w:t>
            </w:r>
          </w:p>
        </w:tc>
        <w:tc>
          <w:tcPr>
            <w:tcW w:w="2442" w:type="dxa"/>
          </w:tcPr>
          <w:p w14:paraId="3B02C147" w14:textId="5FF6E11D" w:rsidR="00ED6228" w:rsidRPr="00895F19" w:rsidRDefault="004B4780" w:rsidP="00ED6228">
            <w:pPr>
              <w:jc w:val="center"/>
              <w:rPr>
                <w:rFonts w:cs="Arial"/>
                <w:szCs w:val="20"/>
              </w:rPr>
            </w:pPr>
            <w:r w:rsidRPr="00895F19">
              <w:rPr>
                <w:rFonts w:cs="Arial"/>
                <w:szCs w:val="20"/>
              </w:rPr>
              <w:t>19.1%</w:t>
            </w:r>
          </w:p>
        </w:tc>
        <w:tc>
          <w:tcPr>
            <w:tcW w:w="2443" w:type="dxa"/>
          </w:tcPr>
          <w:p w14:paraId="73BD8281" w14:textId="1D270375" w:rsidR="00ED6228" w:rsidRPr="00895F19" w:rsidRDefault="004B4780" w:rsidP="00ED6228">
            <w:pPr>
              <w:jc w:val="center"/>
              <w:rPr>
                <w:rFonts w:cs="Arial"/>
                <w:szCs w:val="20"/>
              </w:rPr>
            </w:pPr>
            <w:r w:rsidRPr="00895F19">
              <w:rPr>
                <w:rFonts w:cs="Arial"/>
                <w:szCs w:val="20"/>
              </w:rPr>
              <w:t>18.6%</w:t>
            </w:r>
          </w:p>
        </w:tc>
      </w:tr>
      <w:tr w:rsidR="00ED6228" w:rsidRPr="00895F19" w14:paraId="250B1055" w14:textId="77777777" w:rsidTr="00895F19">
        <w:trPr>
          <w:trHeight w:val="283"/>
          <w:jc w:val="center"/>
        </w:trPr>
        <w:tc>
          <w:tcPr>
            <w:tcW w:w="2442" w:type="dxa"/>
          </w:tcPr>
          <w:p w14:paraId="05295F48" w14:textId="79B19323" w:rsidR="00ED6228" w:rsidRPr="00895F19" w:rsidRDefault="00ED6228" w:rsidP="00ED6228">
            <w:pPr>
              <w:jc w:val="center"/>
              <w:rPr>
                <w:rFonts w:cs="Arial"/>
                <w:b/>
                <w:bCs/>
                <w:szCs w:val="20"/>
              </w:rPr>
            </w:pPr>
            <w:r w:rsidRPr="00895F19">
              <w:rPr>
                <w:rFonts w:cs="Arial"/>
                <w:b/>
                <w:bCs/>
                <w:szCs w:val="20"/>
              </w:rPr>
              <w:t>30 - 34</w:t>
            </w:r>
          </w:p>
        </w:tc>
        <w:tc>
          <w:tcPr>
            <w:tcW w:w="2442" w:type="dxa"/>
          </w:tcPr>
          <w:p w14:paraId="1F38EF7A" w14:textId="577A910A" w:rsidR="00ED6228" w:rsidRPr="00895F19" w:rsidRDefault="004B4780" w:rsidP="00ED6228">
            <w:pPr>
              <w:jc w:val="center"/>
              <w:rPr>
                <w:rFonts w:cs="Arial"/>
                <w:szCs w:val="20"/>
              </w:rPr>
            </w:pPr>
            <w:r w:rsidRPr="00895F19">
              <w:rPr>
                <w:rFonts w:cs="Arial"/>
                <w:szCs w:val="20"/>
              </w:rPr>
              <w:t>15.5%</w:t>
            </w:r>
          </w:p>
        </w:tc>
        <w:tc>
          <w:tcPr>
            <w:tcW w:w="2442" w:type="dxa"/>
          </w:tcPr>
          <w:p w14:paraId="6647D623" w14:textId="30D7879E" w:rsidR="00ED6228" w:rsidRPr="00895F19" w:rsidRDefault="004B4780" w:rsidP="00ED6228">
            <w:pPr>
              <w:jc w:val="center"/>
              <w:rPr>
                <w:rFonts w:cs="Arial"/>
                <w:szCs w:val="20"/>
              </w:rPr>
            </w:pPr>
            <w:r w:rsidRPr="00895F19">
              <w:rPr>
                <w:rFonts w:cs="Arial"/>
                <w:szCs w:val="20"/>
              </w:rPr>
              <w:t>14.9%</w:t>
            </w:r>
          </w:p>
        </w:tc>
        <w:tc>
          <w:tcPr>
            <w:tcW w:w="2443" w:type="dxa"/>
          </w:tcPr>
          <w:p w14:paraId="6CEEED1B" w14:textId="5A20A144" w:rsidR="00ED6228" w:rsidRPr="00895F19" w:rsidRDefault="004B4780" w:rsidP="00ED6228">
            <w:pPr>
              <w:jc w:val="center"/>
              <w:rPr>
                <w:rFonts w:cs="Arial"/>
                <w:szCs w:val="20"/>
              </w:rPr>
            </w:pPr>
            <w:r w:rsidRPr="00895F19">
              <w:rPr>
                <w:rFonts w:cs="Arial"/>
                <w:szCs w:val="20"/>
              </w:rPr>
              <w:t>14.6%</w:t>
            </w:r>
          </w:p>
        </w:tc>
      </w:tr>
      <w:tr w:rsidR="00ED6228" w:rsidRPr="00895F19" w14:paraId="0D18089E" w14:textId="77777777" w:rsidTr="00895F19">
        <w:trPr>
          <w:trHeight w:val="283"/>
          <w:jc w:val="center"/>
        </w:trPr>
        <w:tc>
          <w:tcPr>
            <w:tcW w:w="2442" w:type="dxa"/>
          </w:tcPr>
          <w:p w14:paraId="0AD9541D" w14:textId="61107C34" w:rsidR="00ED6228" w:rsidRPr="00895F19" w:rsidRDefault="00ED6228" w:rsidP="00ED6228">
            <w:pPr>
              <w:jc w:val="center"/>
              <w:rPr>
                <w:rFonts w:cs="Arial"/>
                <w:b/>
                <w:bCs/>
                <w:szCs w:val="20"/>
              </w:rPr>
            </w:pPr>
            <w:r w:rsidRPr="00895F19">
              <w:rPr>
                <w:rFonts w:cs="Arial"/>
                <w:b/>
                <w:bCs/>
                <w:szCs w:val="20"/>
              </w:rPr>
              <w:lastRenderedPageBreak/>
              <w:t>35 – 39</w:t>
            </w:r>
          </w:p>
        </w:tc>
        <w:tc>
          <w:tcPr>
            <w:tcW w:w="2442" w:type="dxa"/>
          </w:tcPr>
          <w:p w14:paraId="4E7C8C91" w14:textId="141B01E7" w:rsidR="00ED6228" w:rsidRPr="00895F19" w:rsidRDefault="004B4780" w:rsidP="00ED6228">
            <w:pPr>
              <w:jc w:val="center"/>
              <w:rPr>
                <w:rFonts w:cs="Arial"/>
                <w:szCs w:val="20"/>
              </w:rPr>
            </w:pPr>
            <w:r w:rsidRPr="00895F19">
              <w:rPr>
                <w:rFonts w:cs="Arial"/>
                <w:szCs w:val="20"/>
              </w:rPr>
              <w:t>9.4%</w:t>
            </w:r>
          </w:p>
        </w:tc>
        <w:tc>
          <w:tcPr>
            <w:tcW w:w="2442" w:type="dxa"/>
          </w:tcPr>
          <w:p w14:paraId="1B296637" w14:textId="6B24C984" w:rsidR="00ED6228" w:rsidRPr="00895F19" w:rsidRDefault="004B4780" w:rsidP="00ED6228">
            <w:pPr>
              <w:jc w:val="center"/>
              <w:rPr>
                <w:rFonts w:cs="Arial"/>
                <w:szCs w:val="20"/>
              </w:rPr>
            </w:pPr>
            <w:r w:rsidRPr="00895F19">
              <w:rPr>
                <w:rFonts w:cs="Arial"/>
                <w:szCs w:val="20"/>
              </w:rPr>
              <w:t>10.0%</w:t>
            </w:r>
          </w:p>
        </w:tc>
        <w:tc>
          <w:tcPr>
            <w:tcW w:w="2443" w:type="dxa"/>
          </w:tcPr>
          <w:p w14:paraId="1E430B5F" w14:textId="2AE97B01" w:rsidR="00ED6228" w:rsidRPr="00895F19" w:rsidRDefault="004B4780" w:rsidP="00ED6228">
            <w:pPr>
              <w:jc w:val="center"/>
              <w:rPr>
                <w:rFonts w:cs="Arial"/>
                <w:szCs w:val="20"/>
              </w:rPr>
            </w:pPr>
            <w:r w:rsidRPr="00895F19">
              <w:rPr>
                <w:rFonts w:cs="Arial"/>
                <w:szCs w:val="20"/>
              </w:rPr>
              <w:t>9.2%</w:t>
            </w:r>
          </w:p>
        </w:tc>
      </w:tr>
      <w:tr w:rsidR="00ED6228" w:rsidRPr="00895F19" w14:paraId="030B28F6" w14:textId="77777777" w:rsidTr="00895F19">
        <w:trPr>
          <w:trHeight w:val="283"/>
          <w:jc w:val="center"/>
        </w:trPr>
        <w:tc>
          <w:tcPr>
            <w:tcW w:w="2442" w:type="dxa"/>
          </w:tcPr>
          <w:p w14:paraId="63DFCD1E" w14:textId="423417A8" w:rsidR="00ED6228" w:rsidRPr="00895F19" w:rsidRDefault="00ED6228" w:rsidP="00ED6228">
            <w:pPr>
              <w:jc w:val="center"/>
              <w:rPr>
                <w:rFonts w:cs="Arial"/>
                <w:b/>
                <w:bCs/>
                <w:szCs w:val="20"/>
              </w:rPr>
            </w:pPr>
            <w:r w:rsidRPr="00895F19">
              <w:rPr>
                <w:rFonts w:cs="Arial"/>
                <w:b/>
                <w:bCs/>
                <w:szCs w:val="20"/>
              </w:rPr>
              <w:t>40 – 44</w:t>
            </w:r>
          </w:p>
        </w:tc>
        <w:tc>
          <w:tcPr>
            <w:tcW w:w="2442" w:type="dxa"/>
          </w:tcPr>
          <w:p w14:paraId="1BCCF3FB" w14:textId="7D53BB8B" w:rsidR="00ED6228" w:rsidRPr="00895F19" w:rsidRDefault="004B4780" w:rsidP="00ED6228">
            <w:pPr>
              <w:jc w:val="center"/>
              <w:rPr>
                <w:rFonts w:cs="Arial"/>
                <w:szCs w:val="20"/>
              </w:rPr>
            </w:pPr>
            <w:r w:rsidRPr="00895F19">
              <w:rPr>
                <w:rFonts w:cs="Arial"/>
                <w:szCs w:val="20"/>
              </w:rPr>
              <w:t>5.6%</w:t>
            </w:r>
          </w:p>
        </w:tc>
        <w:tc>
          <w:tcPr>
            <w:tcW w:w="2442" w:type="dxa"/>
          </w:tcPr>
          <w:p w14:paraId="20B8B63B" w14:textId="104EC799" w:rsidR="00ED6228" w:rsidRPr="00895F19" w:rsidRDefault="004B4780" w:rsidP="00ED6228">
            <w:pPr>
              <w:jc w:val="center"/>
              <w:rPr>
                <w:rFonts w:cs="Arial"/>
                <w:szCs w:val="20"/>
              </w:rPr>
            </w:pPr>
            <w:r w:rsidRPr="00895F19">
              <w:rPr>
                <w:rFonts w:cs="Arial"/>
                <w:szCs w:val="20"/>
              </w:rPr>
              <w:t>7.6%</w:t>
            </w:r>
          </w:p>
        </w:tc>
        <w:tc>
          <w:tcPr>
            <w:tcW w:w="2443" w:type="dxa"/>
          </w:tcPr>
          <w:p w14:paraId="6933CB4D" w14:textId="55940750" w:rsidR="00ED6228" w:rsidRPr="00895F19" w:rsidRDefault="004B4780" w:rsidP="00ED6228">
            <w:pPr>
              <w:jc w:val="center"/>
              <w:rPr>
                <w:rFonts w:cs="Arial"/>
                <w:szCs w:val="20"/>
              </w:rPr>
            </w:pPr>
            <w:r w:rsidRPr="00895F19">
              <w:rPr>
                <w:rFonts w:cs="Arial"/>
                <w:szCs w:val="20"/>
              </w:rPr>
              <w:t>7.5%</w:t>
            </w:r>
          </w:p>
        </w:tc>
      </w:tr>
      <w:tr w:rsidR="00ED6228" w:rsidRPr="00895F19" w14:paraId="4BC012D8" w14:textId="77777777" w:rsidTr="00895F19">
        <w:trPr>
          <w:trHeight w:val="283"/>
          <w:jc w:val="center"/>
        </w:trPr>
        <w:tc>
          <w:tcPr>
            <w:tcW w:w="2442" w:type="dxa"/>
          </w:tcPr>
          <w:p w14:paraId="44CE5A54" w14:textId="13A21EB3" w:rsidR="00ED6228" w:rsidRPr="00895F19" w:rsidRDefault="00ED6228" w:rsidP="00ED6228">
            <w:pPr>
              <w:jc w:val="center"/>
              <w:rPr>
                <w:rFonts w:cs="Arial"/>
                <w:b/>
                <w:bCs/>
                <w:szCs w:val="20"/>
              </w:rPr>
            </w:pPr>
            <w:r w:rsidRPr="00895F19">
              <w:rPr>
                <w:rFonts w:cs="Arial"/>
                <w:b/>
                <w:bCs/>
                <w:szCs w:val="20"/>
              </w:rPr>
              <w:t>45 – 49</w:t>
            </w:r>
          </w:p>
        </w:tc>
        <w:tc>
          <w:tcPr>
            <w:tcW w:w="2442" w:type="dxa"/>
          </w:tcPr>
          <w:p w14:paraId="3B6C298C" w14:textId="394BF50D" w:rsidR="00ED6228" w:rsidRPr="00895F19" w:rsidRDefault="004B4780" w:rsidP="00ED6228">
            <w:pPr>
              <w:jc w:val="center"/>
              <w:rPr>
                <w:rFonts w:cs="Arial"/>
                <w:szCs w:val="20"/>
              </w:rPr>
            </w:pPr>
            <w:r w:rsidRPr="00895F19">
              <w:rPr>
                <w:rFonts w:cs="Arial"/>
                <w:szCs w:val="20"/>
              </w:rPr>
              <w:t>4.1%</w:t>
            </w:r>
          </w:p>
        </w:tc>
        <w:tc>
          <w:tcPr>
            <w:tcW w:w="2442" w:type="dxa"/>
          </w:tcPr>
          <w:p w14:paraId="3F82C251" w14:textId="3204BD9A" w:rsidR="00ED6228" w:rsidRPr="00895F19" w:rsidRDefault="004B4780" w:rsidP="00ED6228">
            <w:pPr>
              <w:jc w:val="center"/>
              <w:rPr>
                <w:rFonts w:cs="Arial"/>
                <w:szCs w:val="20"/>
              </w:rPr>
            </w:pPr>
            <w:r w:rsidRPr="00895F19">
              <w:rPr>
                <w:rFonts w:cs="Arial"/>
                <w:szCs w:val="20"/>
              </w:rPr>
              <w:t>4.3%</w:t>
            </w:r>
          </w:p>
        </w:tc>
        <w:tc>
          <w:tcPr>
            <w:tcW w:w="2443" w:type="dxa"/>
          </w:tcPr>
          <w:p w14:paraId="16656AD4" w14:textId="60A5D973" w:rsidR="00ED6228" w:rsidRPr="00895F19" w:rsidRDefault="004B4780" w:rsidP="00ED6228">
            <w:pPr>
              <w:jc w:val="center"/>
              <w:rPr>
                <w:rFonts w:cs="Arial"/>
                <w:szCs w:val="20"/>
              </w:rPr>
            </w:pPr>
            <w:r w:rsidRPr="00895F19">
              <w:rPr>
                <w:rFonts w:cs="Arial"/>
                <w:szCs w:val="20"/>
              </w:rPr>
              <w:t>5.2%</w:t>
            </w:r>
          </w:p>
        </w:tc>
      </w:tr>
      <w:tr w:rsidR="00ED6228" w:rsidRPr="00895F19" w14:paraId="60D75AE9" w14:textId="77777777" w:rsidTr="00895F19">
        <w:trPr>
          <w:trHeight w:val="283"/>
          <w:jc w:val="center"/>
        </w:trPr>
        <w:tc>
          <w:tcPr>
            <w:tcW w:w="2442" w:type="dxa"/>
          </w:tcPr>
          <w:p w14:paraId="23825440" w14:textId="4577226C" w:rsidR="00ED6228" w:rsidRPr="00895F19" w:rsidRDefault="00ED6228" w:rsidP="00ED6228">
            <w:pPr>
              <w:jc w:val="center"/>
              <w:rPr>
                <w:rFonts w:cs="Arial"/>
                <w:b/>
                <w:bCs/>
                <w:szCs w:val="20"/>
              </w:rPr>
            </w:pPr>
            <w:r w:rsidRPr="00895F19">
              <w:rPr>
                <w:rFonts w:cs="Arial"/>
                <w:b/>
                <w:bCs/>
                <w:szCs w:val="20"/>
              </w:rPr>
              <w:t>50 – 54</w:t>
            </w:r>
          </w:p>
        </w:tc>
        <w:tc>
          <w:tcPr>
            <w:tcW w:w="2442" w:type="dxa"/>
          </w:tcPr>
          <w:p w14:paraId="59E6D0D3" w14:textId="7AEA9A87" w:rsidR="00ED6228" w:rsidRPr="00895F19" w:rsidRDefault="004B4780" w:rsidP="00ED6228">
            <w:pPr>
              <w:jc w:val="center"/>
              <w:rPr>
                <w:rFonts w:cs="Arial"/>
                <w:szCs w:val="20"/>
              </w:rPr>
            </w:pPr>
            <w:r w:rsidRPr="00895F19">
              <w:rPr>
                <w:rFonts w:cs="Arial"/>
                <w:szCs w:val="20"/>
              </w:rPr>
              <w:t>3.5%</w:t>
            </w:r>
          </w:p>
        </w:tc>
        <w:tc>
          <w:tcPr>
            <w:tcW w:w="2442" w:type="dxa"/>
          </w:tcPr>
          <w:p w14:paraId="06E603A0" w14:textId="1537283A" w:rsidR="00ED6228" w:rsidRPr="00895F19" w:rsidRDefault="004B4780" w:rsidP="00ED6228">
            <w:pPr>
              <w:jc w:val="center"/>
              <w:rPr>
                <w:rFonts w:cs="Arial"/>
                <w:szCs w:val="20"/>
              </w:rPr>
            </w:pPr>
            <w:r w:rsidRPr="00895F19">
              <w:rPr>
                <w:rFonts w:cs="Arial"/>
                <w:szCs w:val="20"/>
              </w:rPr>
              <w:t>2.9%</w:t>
            </w:r>
          </w:p>
        </w:tc>
        <w:tc>
          <w:tcPr>
            <w:tcW w:w="2443" w:type="dxa"/>
          </w:tcPr>
          <w:p w14:paraId="4125C3DA" w14:textId="00CD5797" w:rsidR="00ED6228" w:rsidRPr="00895F19" w:rsidRDefault="004B4780" w:rsidP="00ED6228">
            <w:pPr>
              <w:jc w:val="center"/>
              <w:rPr>
                <w:rFonts w:cs="Arial"/>
                <w:szCs w:val="20"/>
              </w:rPr>
            </w:pPr>
            <w:r w:rsidRPr="00895F19">
              <w:rPr>
                <w:rFonts w:cs="Arial"/>
                <w:szCs w:val="20"/>
              </w:rPr>
              <w:t>4.3%</w:t>
            </w:r>
          </w:p>
        </w:tc>
      </w:tr>
      <w:tr w:rsidR="00ED6228" w:rsidRPr="00895F19" w14:paraId="382DA1F1" w14:textId="77777777" w:rsidTr="00895F19">
        <w:trPr>
          <w:trHeight w:val="283"/>
          <w:jc w:val="center"/>
        </w:trPr>
        <w:tc>
          <w:tcPr>
            <w:tcW w:w="2442" w:type="dxa"/>
          </w:tcPr>
          <w:p w14:paraId="4572D9BD" w14:textId="2AF955EE" w:rsidR="00ED6228" w:rsidRPr="00895F19" w:rsidRDefault="00ED6228" w:rsidP="00ED6228">
            <w:pPr>
              <w:jc w:val="center"/>
              <w:rPr>
                <w:rFonts w:cs="Arial"/>
                <w:b/>
                <w:bCs/>
                <w:szCs w:val="20"/>
              </w:rPr>
            </w:pPr>
            <w:r w:rsidRPr="00895F19">
              <w:rPr>
                <w:rFonts w:cs="Arial"/>
                <w:b/>
                <w:bCs/>
                <w:szCs w:val="20"/>
              </w:rPr>
              <w:t>55 – 59</w:t>
            </w:r>
          </w:p>
        </w:tc>
        <w:tc>
          <w:tcPr>
            <w:tcW w:w="2442" w:type="dxa"/>
          </w:tcPr>
          <w:p w14:paraId="621812CE" w14:textId="000F043A" w:rsidR="00ED6228" w:rsidRPr="00895F19" w:rsidRDefault="004B4780" w:rsidP="00ED6228">
            <w:pPr>
              <w:jc w:val="center"/>
              <w:rPr>
                <w:rFonts w:cs="Arial"/>
                <w:szCs w:val="20"/>
              </w:rPr>
            </w:pPr>
            <w:r w:rsidRPr="00895F19">
              <w:rPr>
                <w:rFonts w:cs="Arial"/>
                <w:szCs w:val="20"/>
              </w:rPr>
              <w:t>3.0%</w:t>
            </w:r>
          </w:p>
        </w:tc>
        <w:tc>
          <w:tcPr>
            <w:tcW w:w="2442" w:type="dxa"/>
          </w:tcPr>
          <w:p w14:paraId="50965F4C" w14:textId="05DB59D4" w:rsidR="00ED6228" w:rsidRPr="00895F19" w:rsidRDefault="004B4780" w:rsidP="00ED6228">
            <w:pPr>
              <w:jc w:val="center"/>
              <w:rPr>
                <w:rFonts w:cs="Arial"/>
                <w:szCs w:val="20"/>
              </w:rPr>
            </w:pPr>
            <w:r w:rsidRPr="00895F19">
              <w:rPr>
                <w:rFonts w:cs="Arial"/>
                <w:szCs w:val="20"/>
              </w:rPr>
              <w:t>2.7%</w:t>
            </w:r>
          </w:p>
        </w:tc>
        <w:tc>
          <w:tcPr>
            <w:tcW w:w="2443" w:type="dxa"/>
          </w:tcPr>
          <w:p w14:paraId="33D2C71E" w14:textId="4A8802A3" w:rsidR="00ED6228" w:rsidRPr="00895F19" w:rsidRDefault="004B4780" w:rsidP="00ED6228">
            <w:pPr>
              <w:jc w:val="center"/>
              <w:rPr>
                <w:rFonts w:cs="Arial"/>
                <w:szCs w:val="20"/>
              </w:rPr>
            </w:pPr>
            <w:r w:rsidRPr="00895F19">
              <w:rPr>
                <w:rFonts w:cs="Arial"/>
                <w:szCs w:val="20"/>
              </w:rPr>
              <w:t>2.7%</w:t>
            </w:r>
          </w:p>
        </w:tc>
      </w:tr>
      <w:tr w:rsidR="00ED6228" w:rsidRPr="00895F19" w14:paraId="44E3548D" w14:textId="77777777" w:rsidTr="00895F19">
        <w:trPr>
          <w:trHeight w:val="283"/>
          <w:jc w:val="center"/>
        </w:trPr>
        <w:tc>
          <w:tcPr>
            <w:tcW w:w="2442" w:type="dxa"/>
          </w:tcPr>
          <w:p w14:paraId="61BB1139" w14:textId="3D33DF19" w:rsidR="00ED6228" w:rsidRPr="00895F19" w:rsidRDefault="00ED6228" w:rsidP="00ED6228">
            <w:pPr>
              <w:jc w:val="center"/>
              <w:rPr>
                <w:rFonts w:cs="Arial"/>
                <w:b/>
                <w:bCs/>
                <w:szCs w:val="20"/>
              </w:rPr>
            </w:pPr>
            <w:r w:rsidRPr="00895F19">
              <w:rPr>
                <w:rFonts w:cs="Arial"/>
                <w:b/>
                <w:bCs/>
                <w:szCs w:val="20"/>
              </w:rPr>
              <w:t>60 – 64</w:t>
            </w:r>
          </w:p>
        </w:tc>
        <w:tc>
          <w:tcPr>
            <w:tcW w:w="2442" w:type="dxa"/>
          </w:tcPr>
          <w:p w14:paraId="609091FE" w14:textId="03366145" w:rsidR="00ED6228" w:rsidRPr="00895F19" w:rsidRDefault="004B4780" w:rsidP="00ED6228">
            <w:pPr>
              <w:jc w:val="center"/>
              <w:rPr>
                <w:rFonts w:cs="Arial"/>
                <w:szCs w:val="20"/>
              </w:rPr>
            </w:pPr>
            <w:r w:rsidRPr="00895F19">
              <w:rPr>
                <w:rFonts w:cs="Arial"/>
                <w:szCs w:val="20"/>
              </w:rPr>
              <w:t>2.6%</w:t>
            </w:r>
          </w:p>
        </w:tc>
        <w:tc>
          <w:tcPr>
            <w:tcW w:w="2442" w:type="dxa"/>
          </w:tcPr>
          <w:p w14:paraId="253DB8C2" w14:textId="4B11C16D" w:rsidR="00ED6228" w:rsidRPr="00895F19" w:rsidRDefault="004B4780" w:rsidP="00ED6228">
            <w:pPr>
              <w:jc w:val="center"/>
              <w:rPr>
                <w:rFonts w:cs="Arial"/>
                <w:szCs w:val="20"/>
              </w:rPr>
            </w:pPr>
            <w:r w:rsidRPr="00895F19">
              <w:rPr>
                <w:rFonts w:cs="Arial"/>
                <w:szCs w:val="20"/>
              </w:rPr>
              <w:t>2.1%</w:t>
            </w:r>
          </w:p>
        </w:tc>
        <w:tc>
          <w:tcPr>
            <w:tcW w:w="2443" w:type="dxa"/>
          </w:tcPr>
          <w:p w14:paraId="4BE5AB24" w14:textId="6DF426F9" w:rsidR="00ED6228" w:rsidRPr="00895F19" w:rsidRDefault="004B4780" w:rsidP="00ED6228">
            <w:pPr>
              <w:jc w:val="center"/>
              <w:rPr>
                <w:rFonts w:cs="Arial"/>
                <w:szCs w:val="20"/>
              </w:rPr>
            </w:pPr>
            <w:r w:rsidRPr="00895F19">
              <w:rPr>
                <w:rFonts w:cs="Arial"/>
                <w:szCs w:val="20"/>
              </w:rPr>
              <w:t>1.8%</w:t>
            </w:r>
          </w:p>
        </w:tc>
      </w:tr>
      <w:tr w:rsidR="00ED6228" w:rsidRPr="00895F19" w14:paraId="1AECE100" w14:textId="77777777" w:rsidTr="00895F19">
        <w:trPr>
          <w:trHeight w:val="283"/>
          <w:jc w:val="center"/>
        </w:trPr>
        <w:tc>
          <w:tcPr>
            <w:tcW w:w="2442" w:type="dxa"/>
          </w:tcPr>
          <w:p w14:paraId="439DD042" w14:textId="60C8546F" w:rsidR="00ED6228" w:rsidRPr="00895F19" w:rsidRDefault="00EB404F" w:rsidP="00ED6228">
            <w:pPr>
              <w:jc w:val="center"/>
              <w:rPr>
                <w:rFonts w:cs="Arial"/>
                <w:b/>
                <w:bCs/>
                <w:szCs w:val="20"/>
              </w:rPr>
            </w:pPr>
            <w:r w:rsidRPr="00895F19">
              <w:rPr>
                <w:rFonts w:cs="Arial"/>
                <w:b/>
                <w:bCs/>
                <w:szCs w:val="20"/>
              </w:rPr>
              <w:t>65 - 69</w:t>
            </w:r>
          </w:p>
        </w:tc>
        <w:tc>
          <w:tcPr>
            <w:tcW w:w="2442" w:type="dxa"/>
          </w:tcPr>
          <w:p w14:paraId="184B50E4" w14:textId="583E5268" w:rsidR="00ED6228" w:rsidRPr="00895F19" w:rsidRDefault="004B4780" w:rsidP="00ED6228">
            <w:pPr>
              <w:jc w:val="center"/>
              <w:rPr>
                <w:rFonts w:cs="Arial"/>
                <w:szCs w:val="20"/>
              </w:rPr>
            </w:pPr>
            <w:r w:rsidRPr="00895F19">
              <w:rPr>
                <w:rFonts w:cs="Arial"/>
                <w:szCs w:val="20"/>
              </w:rPr>
              <w:t>2.1%</w:t>
            </w:r>
          </w:p>
        </w:tc>
        <w:tc>
          <w:tcPr>
            <w:tcW w:w="2442" w:type="dxa"/>
          </w:tcPr>
          <w:p w14:paraId="1C6AF74C" w14:textId="69EC3E6A" w:rsidR="00ED6228" w:rsidRPr="00895F19" w:rsidRDefault="004B4780" w:rsidP="00ED6228">
            <w:pPr>
              <w:jc w:val="center"/>
              <w:rPr>
                <w:rFonts w:cs="Arial"/>
                <w:szCs w:val="20"/>
              </w:rPr>
            </w:pPr>
            <w:r w:rsidRPr="00895F19">
              <w:rPr>
                <w:rFonts w:cs="Arial"/>
                <w:szCs w:val="20"/>
              </w:rPr>
              <w:t>1.8%</w:t>
            </w:r>
          </w:p>
        </w:tc>
        <w:tc>
          <w:tcPr>
            <w:tcW w:w="2443" w:type="dxa"/>
          </w:tcPr>
          <w:p w14:paraId="4E9DE87D" w14:textId="434CA21E" w:rsidR="00ED6228" w:rsidRPr="00895F19" w:rsidRDefault="004B4780" w:rsidP="00ED6228">
            <w:pPr>
              <w:jc w:val="center"/>
              <w:rPr>
                <w:rFonts w:cs="Arial"/>
                <w:szCs w:val="20"/>
              </w:rPr>
            </w:pPr>
            <w:r w:rsidRPr="00895F19">
              <w:rPr>
                <w:rFonts w:cs="Arial"/>
                <w:szCs w:val="20"/>
              </w:rPr>
              <w:t>1.6%</w:t>
            </w:r>
          </w:p>
        </w:tc>
      </w:tr>
      <w:tr w:rsidR="00ED6228" w:rsidRPr="00895F19" w14:paraId="2D44C4FF" w14:textId="77777777" w:rsidTr="00895F19">
        <w:trPr>
          <w:trHeight w:val="283"/>
          <w:jc w:val="center"/>
        </w:trPr>
        <w:tc>
          <w:tcPr>
            <w:tcW w:w="2442" w:type="dxa"/>
          </w:tcPr>
          <w:p w14:paraId="0298DA95" w14:textId="2B28B789" w:rsidR="00ED6228" w:rsidRPr="00895F19" w:rsidRDefault="00EB404F" w:rsidP="00ED6228">
            <w:pPr>
              <w:jc w:val="center"/>
              <w:rPr>
                <w:rFonts w:cs="Arial"/>
                <w:b/>
                <w:bCs/>
                <w:szCs w:val="20"/>
              </w:rPr>
            </w:pPr>
            <w:r w:rsidRPr="00895F19">
              <w:rPr>
                <w:rFonts w:cs="Arial"/>
                <w:b/>
                <w:bCs/>
                <w:szCs w:val="20"/>
              </w:rPr>
              <w:t>70 - 74</w:t>
            </w:r>
          </w:p>
        </w:tc>
        <w:tc>
          <w:tcPr>
            <w:tcW w:w="2442" w:type="dxa"/>
          </w:tcPr>
          <w:p w14:paraId="3D062B38" w14:textId="27236929" w:rsidR="00ED6228" w:rsidRPr="00895F19" w:rsidRDefault="004B4780" w:rsidP="00ED6228">
            <w:pPr>
              <w:jc w:val="center"/>
              <w:rPr>
                <w:rFonts w:cs="Arial"/>
                <w:szCs w:val="20"/>
              </w:rPr>
            </w:pPr>
            <w:r w:rsidRPr="00895F19">
              <w:rPr>
                <w:rFonts w:cs="Arial"/>
                <w:szCs w:val="20"/>
              </w:rPr>
              <w:t>1.8%</w:t>
            </w:r>
          </w:p>
        </w:tc>
        <w:tc>
          <w:tcPr>
            <w:tcW w:w="2442" w:type="dxa"/>
          </w:tcPr>
          <w:p w14:paraId="30B4D9D1" w14:textId="14861F04" w:rsidR="00ED6228" w:rsidRPr="00895F19" w:rsidRDefault="004B4780" w:rsidP="00ED6228">
            <w:pPr>
              <w:jc w:val="center"/>
              <w:rPr>
                <w:rFonts w:cs="Arial"/>
                <w:szCs w:val="20"/>
              </w:rPr>
            </w:pPr>
            <w:r w:rsidRPr="00895F19">
              <w:rPr>
                <w:rFonts w:cs="Arial"/>
                <w:szCs w:val="20"/>
              </w:rPr>
              <w:t>1.7%</w:t>
            </w:r>
          </w:p>
        </w:tc>
        <w:tc>
          <w:tcPr>
            <w:tcW w:w="2443" w:type="dxa"/>
          </w:tcPr>
          <w:p w14:paraId="2514E292" w14:textId="0879CA25" w:rsidR="00ED6228" w:rsidRPr="00895F19" w:rsidRDefault="004B4780" w:rsidP="00ED6228">
            <w:pPr>
              <w:jc w:val="center"/>
              <w:rPr>
                <w:rFonts w:cs="Arial"/>
                <w:szCs w:val="20"/>
              </w:rPr>
            </w:pPr>
            <w:r w:rsidRPr="00895F19">
              <w:rPr>
                <w:rFonts w:cs="Arial"/>
                <w:szCs w:val="20"/>
              </w:rPr>
              <w:t>1.4%</w:t>
            </w:r>
          </w:p>
        </w:tc>
      </w:tr>
      <w:tr w:rsidR="004B4780" w:rsidRPr="00895F19" w14:paraId="47AD8CB5" w14:textId="77777777" w:rsidTr="00895F19">
        <w:trPr>
          <w:trHeight w:val="283"/>
          <w:jc w:val="center"/>
        </w:trPr>
        <w:tc>
          <w:tcPr>
            <w:tcW w:w="2442" w:type="dxa"/>
          </w:tcPr>
          <w:p w14:paraId="6CE02CD1" w14:textId="0B953D93" w:rsidR="004B4780" w:rsidRPr="00895F19" w:rsidRDefault="004B4780" w:rsidP="00ED6228">
            <w:pPr>
              <w:jc w:val="center"/>
              <w:rPr>
                <w:rFonts w:cs="Arial"/>
                <w:b/>
                <w:bCs/>
                <w:szCs w:val="20"/>
              </w:rPr>
            </w:pPr>
            <w:r w:rsidRPr="00895F19">
              <w:rPr>
                <w:rFonts w:cs="Arial"/>
                <w:b/>
                <w:bCs/>
                <w:szCs w:val="20"/>
              </w:rPr>
              <w:t>75 – 79</w:t>
            </w:r>
          </w:p>
        </w:tc>
        <w:tc>
          <w:tcPr>
            <w:tcW w:w="2442" w:type="dxa"/>
          </w:tcPr>
          <w:p w14:paraId="6F244B6E" w14:textId="78609D1D" w:rsidR="004B4780" w:rsidRPr="00895F19" w:rsidRDefault="004B4780" w:rsidP="00ED6228">
            <w:pPr>
              <w:jc w:val="center"/>
              <w:rPr>
                <w:rFonts w:cs="Arial"/>
                <w:szCs w:val="20"/>
              </w:rPr>
            </w:pPr>
            <w:r w:rsidRPr="00895F19">
              <w:rPr>
                <w:rFonts w:cs="Arial"/>
                <w:szCs w:val="20"/>
              </w:rPr>
              <w:t>1.3%</w:t>
            </w:r>
          </w:p>
        </w:tc>
        <w:tc>
          <w:tcPr>
            <w:tcW w:w="2442" w:type="dxa"/>
          </w:tcPr>
          <w:p w14:paraId="5E6E9E64" w14:textId="2D78585F" w:rsidR="004B4780" w:rsidRPr="00895F19" w:rsidRDefault="004B4780" w:rsidP="00ED6228">
            <w:pPr>
              <w:jc w:val="center"/>
              <w:rPr>
                <w:rFonts w:cs="Arial"/>
                <w:szCs w:val="20"/>
              </w:rPr>
            </w:pPr>
            <w:r w:rsidRPr="00895F19">
              <w:rPr>
                <w:rFonts w:cs="Arial"/>
                <w:szCs w:val="20"/>
              </w:rPr>
              <w:t>1.3%</w:t>
            </w:r>
          </w:p>
        </w:tc>
        <w:tc>
          <w:tcPr>
            <w:tcW w:w="2443" w:type="dxa"/>
          </w:tcPr>
          <w:p w14:paraId="54BF3DAA" w14:textId="1ADC1762" w:rsidR="004B4780" w:rsidRPr="00895F19" w:rsidRDefault="004B4780" w:rsidP="00ED6228">
            <w:pPr>
              <w:jc w:val="center"/>
              <w:rPr>
                <w:rFonts w:cs="Arial"/>
                <w:szCs w:val="20"/>
              </w:rPr>
            </w:pPr>
            <w:r w:rsidRPr="00895F19">
              <w:rPr>
                <w:rFonts w:cs="Arial"/>
                <w:szCs w:val="20"/>
              </w:rPr>
              <w:t>1.3%</w:t>
            </w:r>
          </w:p>
        </w:tc>
      </w:tr>
      <w:tr w:rsidR="004B4780" w:rsidRPr="00895F19" w14:paraId="2BBABD99" w14:textId="77777777" w:rsidTr="00895F19">
        <w:trPr>
          <w:trHeight w:val="283"/>
          <w:jc w:val="center"/>
        </w:trPr>
        <w:tc>
          <w:tcPr>
            <w:tcW w:w="2442" w:type="dxa"/>
          </w:tcPr>
          <w:p w14:paraId="7758DB88" w14:textId="40E23C23" w:rsidR="004B4780" w:rsidRPr="00895F19" w:rsidRDefault="004B4780" w:rsidP="00ED6228">
            <w:pPr>
              <w:jc w:val="center"/>
              <w:rPr>
                <w:rFonts w:cs="Arial"/>
                <w:b/>
                <w:bCs/>
                <w:szCs w:val="20"/>
              </w:rPr>
            </w:pPr>
            <w:r w:rsidRPr="00895F19">
              <w:rPr>
                <w:rFonts w:cs="Arial"/>
                <w:b/>
                <w:bCs/>
                <w:szCs w:val="20"/>
              </w:rPr>
              <w:t>80 – 84</w:t>
            </w:r>
          </w:p>
        </w:tc>
        <w:tc>
          <w:tcPr>
            <w:tcW w:w="2442" w:type="dxa"/>
          </w:tcPr>
          <w:p w14:paraId="26EAE466" w14:textId="7CE311A5" w:rsidR="004B4780" w:rsidRPr="00895F19" w:rsidRDefault="004B4780" w:rsidP="00ED6228">
            <w:pPr>
              <w:jc w:val="center"/>
              <w:rPr>
                <w:rFonts w:cs="Arial"/>
                <w:szCs w:val="20"/>
              </w:rPr>
            </w:pPr>
            <w:r w:rsidRPr="00895F19">
              <w:rPr>
                <w:rFonts w:cs="Arial"/>
                <w:szCs w:val="20"/>
              </w:rPr>
              <w:t>0.8%</w:t>
            </w:r>
          </w:p>
        </w:tc>
        <w:tc>
          <w:tcPr>
            <w:tcW w:w="2442" w:type="dxa"/>
          </w:tcPr>
          <w:p w14:paraId="1C48D76D" w14:textId="2E28DEAE" w:rsidR="004B4780" w:rsidRPr="00895F19" w:rsidRDefault="004B4780" w:rsidP="00ED6228">
            <w:pPr>
              <w:jc w:val="center"/>
              <w:rPr>
                <w:rFonts w:cs="Arial"/>
                <w:szCs w:val="20"/>
              </w:rPr>
            </w:pPr>
            <w:r w:rsidRPr="00895F19">
              <w:rPr>
                <w:rFonts w:cs="Arial"/>
                <w:szCs w:val="20"/>
              </w:rPr>
              <w:t>1.0%</w:t>
            </w:r>
          </w:p>
        </w:tc>
        <w:tc>
          <w:tcPr>
            <w:tcW w:w="2443" w:type="dxa"/>
          </w:tcPr>
          <w:p w14:paraId="317D372E" w14:textId="23FC231F" w:rsidR="004B4780" w:rsidRPr="00895F19" w:rsidRDefault="004B4780" w:rsidP="00ED6228">
            <w:pPr>
              <w:jc w:val="center"/>
              <w:rPr>
                <w:rFonts w:cs="Arial"/>
                <w:szCs w:val="20"/>
              </w:rPr>
            </w:pPr>
            <w:r w:rsidRPr="00895F19">
              <w:rPr>
                <w:rFonts w:cs="Arial"/>
                <w:szCs w:val="20"/>
              </w:rPr>
              <w:t>1.1%</w:t>
            </w:r>
          </w:p>
        </w:tc>
      </w:tr>
      <w:tr w:rsidR="004B4780" w:rsidRPr="00895F19" w14:paraId="0F6F4E03" w14:textId="77777777" w:rsidTr="00895F19">
        <w:trPr>
          <w:trHeight w:val="283"/>
          <w:jc w:val="center"/>
        </w:trPr>
        <w:tc>
          <w:tcPr>
            <w:tcW w:w="2442" w:type="dxa"/>
          </w:tcPr>
          <w:p w14:paraId="29EB253B" w14:textId="3DA417D9" w:rsidR="004B4780" w:rsidRPr="00895F19" w:rsidRDefault="004B4780" w:rsidP="00ED6228">
            <w:pPr>
              <w:jc w:val="center"/>
              <w:rPr>
                <w:rFonts w:cs="Arial"/>
                <w:b/>
                <w:bCs/>
                <w:szCs w:val="20"/>
              </w:rPr>
            </w:pPr>
            <w:r w:rsidRPr="00895F19">
              <w:rPr>
                <w:rFonts w:cs="Arial"/>
                <w:b/>
                <w:bCs/>
                <w:szCs w:val="20"/>
              </w:rPr>
              <w:t>85 +</w:t>
            </w:r>
          </w:p>
        </w:tc>
        <w:tc>
          <w:tcPr>
            <w:tcW w:w="2442" w:type="dxa"/>
          </w:tcPr>
          <w:p w14:paraId="3D001323" w14:textId="70F376E0" w:rsidR="004B4780" w:rsidRPr="00895F19" w:rsidRDefault="004B4780" w:rsidP="00ED6228">
            <w:pPr>
              <w:jc w:val="center"/>
              <w:rPr>
                <w:rFonts w:cs="Arial"/>
                <w:szCs w:val="20"/>
              </w:rPr>
            </w:pPr>
            <w:r w:rsidRPr="00895F19">
              <w:rPr>
                <w:rFonts w:cs="Arial"/>
                <w:szCs w:val="20"/>
              </w:rPr>
              <w:t>0.8%</w:t>
            </w:r>
          </w:p>
        </w:tc>
        <w:tc>
          <w:tcPr>
            <w:tcW w:w="2442" w:type="dxa"/>
          </w:tcPr>
          <w:p w14:paraId="46EB033A" w14:textId="47245C05" w:rsidR="004B4780" w:rsidRPr="00895F19" w:rsidRDefault="004B4780" w:rsidP="00ED6228">
            <w:pPr>
              <w:jc w:val="center"/>
              <w:rPr>
                <w:rFonts w:cs="Arial"/>
                <w:szCs w:val="20"/>
              </w:rPr>
            </w:pPr>
            <w:r w:rsidRPr="00895F19">
              <w:rPr>
                <w:rFonts w:cs="Arial"/>
                <w:szCs w:val="20"/>
              </w:rPr>
              <w:t>0.8%</w:t>
            </w:r>
          </w:p>
        </w:tc>
        <w:tc>
          <w:tcPr>
            <w:tcW w:w="2443" w:type="dxa"/>
          </w:tcPr>
          <w:p w14:paraId="40E795EC" w14:textId="073C00EC" w:rsidR="004B4780" w:rsidRPr="00895F19" w:rsidRDefault="004B4780" w:rsidP="00ED6228">
            <w:pPr>
              <w:jc w:val="center"/>
              <w:rPr>
                <w:rFonts w:cs="Arial"/>
                <w:szCs w:val="20"/>
              </w:rPr>
            </w:pPr>
            <w:r w:rsidRPr="00895F19">
              <w:rPr>
                <w:rFonts w:cs="Arial"/>
                <w:szCs w:val="20"/>
              </w:rPr>
              <w:t>1.0%</w:t>
            </w:r>
          </w:p>
        </w:tc>
      </w:tr>
    </w:tbl>
    <w:p w14:paraId="64EAF493" w14:textId="50D7C4DC" w:rsidR="00113E6E" w:rsidRDefault="00113E6E" w:rsidP="00461A52">
      <w:pPr>
        <w:spacing w:before="120"/>
        <w:jc w:val="center"/>
        <w:rPr>
          <w:sz w:val="16"/>
          <w:szCs w:val="16"/>
        </w:rPr>
      </w:pPr>
      <w:r w:rsidRPr="4A450472">
        <w:rPr>
          <w:sz w:val="16"/>
          <w:szCs w:val="16"/>
        </w:rPr>
        <w:t xml:space="preserve">Figure </w:t>
      </w:r>
      <w:r w:rsidR="0D886AD5" w:rsidRPr="4A450472">
        <w:rPr>
          <w:sz w:val="16"/>
          <w:szCs w:val="16"/>
        </w:rPr>
        <w:t>3</w:t>
      </w:r>
      <w:r w:rsidRPr="4A450472">
        <w:rPr>
          <w:sz w:val="16"/>
          <w:szCs w:val="16"/>
        </w:rPr>
        <w:t xml:space="preserve">: Percentage of population growth between 2023-2043 </w:t>
      </w:r>
      <w:r w:rsidR="001F787E">
        <w:rPr>
          <w:sz w:val="16"/>
          <w:szCs w:val="16"/>
        </w:rPr>
        <w:t>by</w:t>
      </w:r>
      <w:r w:rsidRPr="4A450472">
        <w:rPr>
          <w:sz w:val="16"/>
          <w:szCs w:val="16"/>
        </w:rPr>
        <w:t xml:space="preserve"> neighbourhood</w:t>
      </w:r>
      <w:r w:rsidR="004B4780">
        <w:rPr>
          <w:sz w:val="16"/>
          <w:szCs w:val="16"/>
        </w:rPr>
        <w:t>. Table</w:t>
      </w:r>
      <w:r w:rsidRPr="4A450472">
        <w:rPr>
          <w:sz w:val="16"/>
          <w:szCs w:val="16"/>
        </w:rPr>
        <w:t xml:space="preserve"> </w:t>
      </w:r>
      <w:r w:rsidR="004B4780">
        <w:rPr>
          <w:sz w:val="16"/>
          <w:szCs w:val="16"/>
        </w:rPr>
        <w:t>shows rounded figures.</w:t>
      </w:r>
      <w:r w:rsidR="00461A52">
        <w:rPr>
          <w:sz w:val="16"/>
          <w:szCs w:val="16"/>
        </w:rPr>
        <w:br/>
      </w:r>
    </w:p>
    <w:tbl>
      <w:tblPr>
        <w:tblStyle w:val="TableGrid"/>
        <w:tblW w:w="0" w:type="auto"/>
        <w:jc w:val="center"/>
        <w:tblLook w:val="04A0" w:firstRow="1" w:lastRow="0" w:firstColumn="1" w:lastColumn="0" w:noHBand="0" w:noVBand="1"/>
      </w:tblPr>
      <w:tblGrid>
        <w:gridCol w:w="2442"/>
        <w:gridCol w:w="2442"/>
        <w:gridCol w:w="2442"/>
        <w:gridCol w:w="2443"/>
      </w:tblGrid>
      <w:tr w:rsidR="00905CA3" w:rsidRPr="00ED6228" w14:paraId="7761BDF5" w14:textId="77777777" w:rsidTr="00553466">
        <w:trPr>
          <w:trHeight w:val="20"/>
          <w:jc w:val="center"/>
        </w:trPr>
        <w:tc>
          <w:tcPr>
            <w:tcW w:w="2442" w:type="dxa"/>
          </w:tcPr>
          <w:p w14:paraId="11173B53" w14:textId="77777777" w:rsidR="00905CA3" w:rsidRPr="00ED6228" w:rsidRDefault="00905CA3" w:rsidP="00553466">
            <w:pPr>
              <w:jc w:val="center"/>
              <w:rPr>
                <w:b/>
                <w:bCs/>
              </w:rPr>
            </w:pPr>
            <w:r>
              <w:rPr>
                <w:b/>
                <w:bCs/>
              </w:rPr>
              <w:t>Age Group</w:t>
            </w:r>
          </w:p>
        </w:tc>
        <w:tc>
          <w:tcPr>
            <w:tcW w:w="2442" w:type="dxa"/>
          </w:tcPr>
          <w:p w14:paraId="434BA356" w14:textId="77777777" w:rsidR="00905CA3" w:rsidRPr="00ED6228" w:rsidRDefault="00905CA3" w:rsidP="00553466">
            <w:pPr>
              <w:jc w:val="center"/>
              <w:rPr>
                <w:b/>
                <w:bCs/>
              </w:rPr>
            </w:pPr>
            <w:r w:rsidRPr="00ED6228">
              <w:rPr>
                <w:b/>
                <w:bCs/>
              </w:rPr>
              <w:t>2023</w:t>
            </w:r>
          </w:p>
        </w:tc>
        <w:tc>
          <w:tcPr>
            <w:tcW w:w="2442" w:type="dxa"/>
          </w:tcPr>
          <w:p w14:paraId="47C5FF52" w14:textId="77777777" w:rsidR="00905CA3" w:rsidRPr="00ED6228" w:rsidRDefault="00905CA3" w:rsidP="00553466">
            <w:pPr>
              <w:jc w:val="center"/>
              <w:rPr>
                <w:b/>
                <w:bCs/>
              </w:rPr>
            </w:pPr>
            <w:r w:rsidRPr="00ED6228">
              <w:rPr>
                <w:b/>
                <w:bCs/>
              </w:rPr>
              <w:t>2033</w:t>
            </w:r>
          </w:p>
        </w:tc>
        <w:tc>
          <w:tcPr>
            <w:tcW w:w="2443" w:type="dxa"/>
          </w:tcPr>
          <w:p w14:paraId="11E0C7E8" w14:textId="77777777" w:rsidR="00905CA3" w:rsidRPr="00ED6228" w:rsidRDefault="00905CA3" w:rsidP="00553466">
            <w:pPr>
              <w:jc w:val="center"/>
              <w:rPr>
                <w:b/>
                <w:bCs/>
              </w:rPr>
            </w:pPr>
            <w:r w:rsidRPr="00ED6228">
              <w:rPr>
                <w:b/>
                <w:bCs/>
              </w:rPr>
              <w:t>2043</w:t>
            </w:r>
          </w:p>
        </w:tc>
      </w:tr>
      <w:tr w:rsidR="00905CA3" w:rsidRPr="00ED6228" w14:paraId="2B0E0AE4" w14:textId="77777777" w:rsidTr="00553466">
        <w:trPr>
          <w:trHeight w:val="340"/>
          <w:jc w:val="center"/>
        </w:trPr>
        <w:tc>
          <w:tcPr>
            <w:tcW w:w="2442" w:type="dxa"/>
          </w:tcPr>
          <w:p w14:paraId="7BC1666C" w14:textId="77777777" w:rsidR="00905CA3" w:rsidRPr="00ED6228" w:rsidRDefault="00905CA3" w:rsidP="00553466">
            <w:pPr>
              <w:jc w:val="center"/>
              <w:rPr>
                <w:b/>
                <w:bCs/>
              </w:rPr>
            </w:pPr>
            <w:r w:rsidRPr="00ED6228">
              <w:rPr>
                <w:b/>
                <w:bCs/>
              </w:rPr>
              <w:t>0 - 4</w:t>
            </w:r>
          </w:p>
        </w:tc>
        <w:tc>
          <w:tcPr>
            <w:tcW w:w="2442" w:type="dxa"/>
          </w:tcPr>
          <w:p w14:paraId="45833857" w14:textId="1B19E1CE" w:rsidR="00905CA3" w:rsidRPr="00ED6228" w:rsidRDefault="00905CA3" w:rsidP="00553466">
            <w:pPr>
              <w:jc w:val="center"/>
            </w:pPr>
            <w:r>
              <w:t>28,600</w:t>
            </w:r>
          </w:p>
        </w:tc>
        <w:tc>
          <w:tcPr>
            <w:tcW w:w="2442" w:type="dxa"/>
          </w:tcPr>
          <w:p w14:paraId="56154C3A" w14:textId="1C9F7F52" w:rsidR="00905CA3" w:rsidRPr="00ED6228" w:rsidRDefault="00905CA3" w:rsidP="00553466">
            <w:pPr>
              <w:jc w:val="center"/>
            </w:pPr>
            <w:r>
              <w:t>59,500</w:t>
            </w:r>
          </w:p>
        </w:tc>
        <w:tc>
          <w:tcPr>
            <w:tcW w:w="2443" w:type="dxa"/>
          </w:tcPr>
          <w:p w14:paraId="0A1A391F" w14:textId="6688C771" w:rsidR="00905CA3" w:rsidRPr="00ED6228" w:rsidRDefault="00905CA3" w:rsidP="00553466">
            <w:pPr>
              <w:jc w:val="center"/>
            </w:pPr>
            <w:r>
              <w:t>76,000</w:t>
            </w:r>
          </w:p>
        </w:tc>
      </w:tr>
      <w:tr w:rsidR="00905CA3" w:rsidRPr="00ED6228" w14:paraId="1FBD8A89" w14:textId="77777777" w:rsidTr="00553466">
        <w:trPr>
          <w:trHeight w:val="340"/>
          <w:jc w:val="center"/>
        </w:trPr>
        <w:tc>
          <w:tcPr>
            <w:tcW w:w="2442" w:type="dxa"/>
          </w:tcPr>
          <w:p w14:paraId="54C4A23F" w14:textId="77777777" w:rsidR="00905CA3" w:rsidRPr="00ED6228" w:rsidRDefault="00905CA3" w:rsidP="00553466">
            <w:pPr>
              <w:jc w:val="center"/>
              <w:rPr>
                <w:b/>
                <w:bCs/>
              </w:rPr>
            </w:pPr>
            <w:r w:rsidRPr="00ED6228">
              <w:rPr>
                <w:b/>
                <w:bCs/>
              </w:rPr>
              <w:t>5 - 9</w:t>
            </w:r>
          </w:p>
        </w:tc>
        <w:tc>
          <w:tcPr>
            <w:tcW w:w="2442" w:type="dxa"/>
          </w:tcPr>
          <w:p w14:paraId="1691276D" w14:textId="54FA935B" w:rsidR="00905CA3" w:rsidRPr="00ED6228" w:rsidRDefault="00905CA3" w:rsidP="00553466">
            <w:pPr>
              <w:jc w:val="center"/>
            </w:pPr>
            <w:r>
              <w:t>20,900</w:t>
            </w:r>
          </w:p>
        </w:tc>
        <w:tc>
          <w:tcPr>
            <w:tcW w:w="2442" w:type="dxa"/>
          </w:tcPr>
          <w:p w14:paraId="59A24096" w14:textId="15A668EF" w:rsidR="00905CA3" w:rsidRPr="00ED6228" w:rsidRDefault="00905CA3" w:rsidP="00553466">
            <w:pPr>
              <w:jc w:val="center"/>
            </w:pPr>
            <w:r>
              <w:t>42,000</w:t>
            </w:r>
          </w:p>
        </w:tc>
        <w:tc>
          <w:tcPr>
            <w:tcW w:w="2443" w:type="dxa"/>
          </w:tcPr>
          <w:p w14:paraId="409498FA" w14:textId="4672F13C" w:rsidR="00905CA3" w:rsidRPr="00ED6228" w:rsidRDefault="00905CA3" w:rsidP="00553466">
            <w:pPr>
              <w:jc w:val="center"/>
            </w:pPr>
            <w:r>
              <w:t>58,700</w:t>
            </w:r>
          </w:p>
        </w:tc>
      </w:tr>
      <w:tr w:rsidR="00905CA3" w:rsidRPr="00ED6228" w14:paraId="4E0A1E1F" w14:textId="77777777" w:rsidTr="00553466">
        <w:trPr>
          <w:trHeight w:val="340"/>
          <w:jc w:val="center"/>
        </w:trPr>
        <w:tc>
          <w:tcPr>
            <w:tcW w:w="2442" w:type="dxa"/>
          </w:tcPr>
          <w:p w14:paraId="457869D5" w14:textId="77777777" w:rsidR="00905CA3" w:rsidRPr="00ED6228" w:rsidRDefault="00905CA3" w:rsidP="00553466">
            <w:pPr>
              <w:jc w:val="center"/>
              <w:rPr>
                <w:b/>
                <w:bCs/>
              </w:rPr>
            </w:pPr>
            <w:r w:rsidRPr="00ED6228">
              <w:rPr>
                <w:b/>
                <w:bCs/>
              </w:rPr>
              <w:t>10 - 14</w:t>
            </w:r>
          </w:p>
        </w:tc>
        <w:tc>
          <w:tcPr>
            <w:tcW w:w="2442" w:type="dxa"/>
          </w:tcPr>
          <w:p w14:paraId="3780F5D5" w14:textId="687F7431" w:rsidR="00905CA3" w:rsidRPr="00ED6228" w:rsidRDefault="00905CA3" w:rsidP="00553466">
            <w:pPr>
              <w:jc w:val="center"/>
            </w:pPr>
            <w:r>
              <w:t>17,700</w:t>
            </w:r>
          </w:p>
        </w:tc>
        <w:tc>
          <w:tcPr>
            <w:tcW w:w="2442" w:type="dxa"/>
          </w:tcPr>
          <w:p w14:paraId="6963C3F8" w14:textId="0A567DA9" w:rsidR="00905CA3" w:rsidRPr="00ED6228" w:rsidRDefault="00905CA3" w:rsidP="00553466">
            <w:pPr>
              <w:jc w:val="center"/>
            </w:pPr>
            <w:r>
              <w:t>19,200</w:t>
            </w:r>
          </w:p>
        </w:tc>
        <w:tc>
          <w:tcPr>
            <w:tcW w:w="2443" w:type="dxa"/>
          </w:tcPr>
          <w:p w14:paraId="3361E7E5" w14:textId="20746C49" w:rsidR="00905CA3" w:rsidRPr="00ED6228" w:rsidRDefault="00905CA3" w:rsidP="00553466">
            <w:pPr>
              <w:jc w:val="center"/>
            </w:pPr>
            <w:r>
              <w:t>45,500</w:t>
            </w:r>
          </w:p>
        </w:tc>
      </w:tr>
      <w:tr w:rsidR="00905CA3" w:rsidRPr="00ED6228" w14:paraId="7FBADE32" w14:textId="77777777" w:rsidTr="00553466">
        <w:trPr>
          <w:trHeight w:val="340"/>
          <w:jc w:val="center"/>
        </w:trPr>
        <w:tc>
          <w:tcPr>
            <w:tcW w:w="2442" w:type="dxa"/>
          </w:tcPr>
          <w:p w14:paraId="7532749C" w14:textId="77777777" w:rsidR="00905CA3" w:rsidRPr="00ED6228" w:rsidRDefault="00905CA3" w:rsidP="00553466">
            <w:pPr>
              <w:jc w:val="center"/>
              <w:rPr>
                <w:b/>
                <w:bCs/>
              </w:rPr>
            </w:pPr>
            <w:r w:rsidRPr="00ED6228">
              <w:rPr>
                <w:b/>
                <w:bCs/>
              </w:rPr>
              <w:t>15 - 19</w:t>
            </w:r>
          </w:p>
        </w:tc>
        <w:tc>
          <w:tcPr>
            <w:tcW w:w="2442" w:type="dxa"/>
          </w:tcPr>
          <w:p w14:paraId="2BB06D59" w14:textId="384952AC" w:rsidR="00905CA3" w:rsidRPr="00ED6228" w:rsidRDefault="00905CA3" w:rsidP="00553466">
            <w:pPr>
              <w:jc w:val="center"/>
            </w:pPr>
            <w:r>
              <w:t>50,700</w:t>
            </w:r>
          </w:p>
        </w:tc>
        <w:tc>
          <w:tcPr>
            <w:tcW w:w="2442" w:type="dxa"/>
          </w:tcPr>
          <w:p w14:paraId="2A5FBFBB" w14:textId="1828A145" w:rsidR="00905CA3" w:rsidRPr="00ED6228" w:rsidRDefault="00905CA3" w:rsidP="00553466">
            <w:pPr>
              <w:jc w:val="center"/>
            </w:pPr>
            <w:r>
              <w:t>69,000</w:t>
            </w:r>
          </w:p>
        </w:tc>
        <w:tc>
          <w:tcPr>
            <w:tcW w:w="2443" w:type="dxa"/>
          </w:tcPr>
          <w:p w14:paraId="364B3EF4" w14:textId="64992084" w:rsidR="00905CA3" w:rsidRPr="00ED6228" w:rsidRDefault="00905CA3" w:rsidP="00553466">
            <w:pPr>
              <w:jc w:val="center"/>
            </w:pPr>
            <w:r>
              <w:t>90,100</w:t>
            </w:r>
          </w:p>
        </w:tc>
      </w:tr>
      <w:tr w:rsidR="00905CA3" w:rsidRPr="00ED6228" w14:paraId="19C1C61D" w14:textId="77777777" w:rsidTr="00553466">
        <w:trPr>
          <w:trHeight w:val="340"/>
          <w:jc w:val="center"/>
        </w:trPr>
        <w:tc>
          <w:tcPr>
            <w:tcW w:w="2442" w:type="dxa"/>
          </w:tcPr>
          <w:p w14:paraId="3EEB0FE9" w14:textId="77777777" w:rsidR="00905CA3" w:rsidRPr="00ED6228" w:rsidRDefault="00905CA3" w:rsidP="00553466">
            <w:pPr>
              <w:jc w:val="center"/>
              <w:rPr>
                <w:b/>
                <w:bCs/>
              </w:rPr>
            </w:pPr>
            <w:r w:rsidRPr="00ED6228">
              <w:rPr>
                <w:b/>
                <w:bCs/>
              </w:rPr>
              <w:t>20 - 24</w:t>
            </w:r>
          </w:p>
        </w:tc>
        <w:tc>
          <w:tcPr>
            <w:tcW w:w="2442" w:type="dxa"/>
          </w:tcPr>
          <w:p w14:paraId="5ACE3F46" w14:textId="21D2F355" w:rsidR="00905CA3" w:rsidRPr="00ED6228" w:rsidRDefault="00905CA3" w:rsidP="00553466">
            <w:pPr>
              <w:jc w:val="center"/>
            </w:pPr>
            <w:r>
              <w:t>193,600</w:t>
            </w:r>
          </w:p>
        </w:tc>
        <w:tc>
          <w:tcPr>
            <w:tcW w:w="2442" w:type="dxa"/>
          </w:tcPr>
          <w:p w14:paraId="355E5445" w14:textId="6143F1CD" w:rsidR="00905CA3" w:rsidRPr="00ED6228" w:rsidRDefault="00905CA3" w:rsidP="00553466">
            <w:pPr>
              <w:jc w:val="center"/>
            </w:pPr>
            <w:r>
              <w:t>256,900</w:t>
            </w:r>
          </w:p>
        </w:tc>
        <w:tc>
          <w:tcPr>
            <w:tcW w:w="2443" w:type="dxa"/>
          </w:tcPr>
          <w:p w14:paraId="7ED3ADDC" w14:textId="49D6CA1F" w:rsidR="00905CA3" w:rsidRPr="00ED6228" w:rsidRDefault="00905CA3" w:rsidP="00553466">
            <w:pPr>
              <w:jc w:val="center"/>
            </w:pPr>
            <w:r>
              <w:t>265,600</w:t>
            </w:r>
          </w:p>
        </w:tc>
      </w:tr>
      <w:tr w:rsidR="00905CA3" w:rsidRPr="00ED6228" w14:paraId="3C688441" w14:textId="77777777" w:rsidTr="00553466">
        <w:trPr>
          <w:trHeight w:val="340"/>
          <w:jc w:val="center"/>
        </w:trPr>
        <w:tc>
          <w:tcPr>
            <w:tcW w:w="2442" w:type="dxa"/>
          </w:tcPr>
          <w:p w14:paraId="39D9FD4F" w14:textId="77777777" w:rsidR="00905CA3" w:rsidRPr="00ED6228" w:rsidRDefault="00905CA3" w:rsidP="00553466">
            <w:pPr>
              <w:jc w:val="center"/>
              <w:rPr>
                <w:b/>
                <w:bCs/>
              </w:rPr>
            </w:pPr>
            <w:r w:rsidRPr="00ED6228">
              <w:rPr>
                <w:b/>
                <w:bCs/>
              </w:rPr>
              <w:t>25 - 29</w:t>
            </w:r>
          </w:p>
        </w:tc>
        <w:tc>
          <w:tcPr>
            <w:tcW w:w="2442" w:type="dxa"/>
          </w:tcPr>
          <w:p w14:paraId="7AD79111" w14:textId="20289F28" w:rsidR="00905CA3" w:rsidRPr="00ED6228" w:rsidRDefault="00905CA3" w:rsidP="00553466">
            <w:pPr>
              <w:jc w:val="center"/>
            </w:pPr>
            <w:r>
              <w:t>214,600</w:t>
            </w:r>
          </w:p>
        </w:tc>
        <w:tc>
          <w:tcPr>
            <w:tcW w:w="2442" w:type="dxa"/>
          </w:tcPr>
          <w:p w14:paraId="3AE5436B" w14:textId="3A9221C8" w:rsidR="00905CA3" w:rsidRPr="00ED6228" w:rsidRDefault="00905CA3" w:rsidP="00553466">
            <w:pPr>
              <w:jc w:val="center"/>
            </w:pPr>
            <w:r>
              <w:t>291,700</w:t>
            </w:r>
          </w:p>
        </w:tc>
        <w:tc>
          <w:tcPr>
            <w:tcW w:w="2443" w:type="dxa"/>
          </w:tcPr>
          <w:p w14:paraId="08583EA9" w14:textId="1246AE7C" w:rsidR="00905CA3" w:rsidRPr="00ED6228" w:rsidRDefault="00905CA3" w:rsidP="00553466">
            <w:pPr>
              <w:jc w:val="center"/>
            </w:pPr>
            <w:r>
              <w:t>333,000</w:t>
            </w:r>
          </w:p>
        </w:tc>
      </w:tr>
      <w:tr w:rsidR="00905CA3" w:rsidRPr="00ED6228" w14:paraId="6A3C1536" w14:textId="77777777" w:rsidTr="00553466">
        <w:trPr>
          <w:trHeight w:val="57"/>
          <w:jc w:val="center"/>
        </w:trPr>
        <w:tc>
          <w:tcPr>
            <w:tcW w:w="2442" w:type="dxa"/>
          </w:tcPr>
          <w:p w14:paraId="10A6878F" w14:textId="77777777" w:rsidR="00905CA3" w:rsidRPr="00ED6228" w:rsidRDefault="00905CA3" w:rsidP="00553466">
            <w:pPr>
              <w:jc w:val="center"/>
              <w:rPr>
                <w:b/>
                <w:bCs/>
              </w:rPr>
            </w:pPr>
            <w:r w:rsidRPr="00ED6228">
              <w:rPr>
                <w:b/>
                <w:bCs/>
              </w:rPr>
              <w:t>30 - 34</w:t>
            </w:r>
          </w:p>
        </w:tc>
        <w:tc>
          <w:tcPr>
            <w:tcW w:w="2442" w:type="dxa"/>
          </w:tcPr>
          <w:p w14:paraId="5FAB3989" w14:textId="2E58EC39" w:rsidR="00905CA3" w:rsidRPr="00ED6228" w:rsidRDefault="00905CA3" w:rsidP="00553466">
            <w:pPr>
              <w:jc w:val="center"/>
            </w:pPr>
            <w:r>
              <w:t>165,000</w:t>
            </w:r>
          </w:p>
        </w:tc>
        <w:tc>
          <w:tcPr>
            <w:tcW w:w="2442" w:type="dxa"/>
          </w:tcPr>
          <w:p w14:paraId="46CB2CA3" w14:textId="382333A9" w:rsidR="00905CA3" w:rsidRPr="00ED6228" w:rsidRDefault="00905CA3" w:rsidP="00553466">
            <w:pPr>
              <w:jc w:val="center"/>
            </w:pPr>
            <w:r>
              <w:t>227,300</w:t>
            </w:r>
          </w:p>
        </w:tc>
        <w:tc>
          <w:tcPr>
            <w:tcW w:w="2443" w:type="dxa"/>
          </w:tcPr>
          <w:p w14:paraId="7B7C4A52" w14:textId="2D0685F8" w:rsidR="00905CA3" w:rsidRPr="00ED6228" w:rsidRDefault="00905CA3" w:rsidP="00553466">
            <w:pPr>
              <w:jc w:val="center"/>
            </w:pPr>
            <w:r>
              <w:t>264,100</w:t>
            </w:r>
          </w:p>
        </w:tc>
      </w:tr>
      <w:tr w:rsidR="00905CA3" w:rsidRPr="00ED6228" w14:paraId="5934A677" w14:textId="77777777" w:rsidTr="00553466">
        <w:trPr>
          <w:trHeight w:val="57"/>
          <w:jc w:val="center"/>
        </w:trPr>
        <w:tc>
          <w:tcPr>
            <w:tcW w:w="2442" w:type="dxa"/>
          </w:tcPr>
          <w:p w14:paraId="1E06A856" w14:textId="77777777" w:rsidR="00905CA3" w:rsidRPr="00ED6228" w:rsidRDefault="00905CA3" w:rsidP="00553466">
            <w:pPr>
              <w:jc w:val="center"/>
              <w:rPr>
                <w:b/>
                <w:bCs/>
              </w:rPr>
            </w:pPr>
            <w:r>
              <w:rPr>
                <w:b/>
                <w:bCs/>
              </w:rPr>
              <w:t>35 – 39</w:t>
            </w:r>
          </w:p>
        </w:tc>
        <w:tc>
          <w:tcPr>
            <w:tcW w:w="2442" w:type="dxa"/>
          </w:tcPr>
          <w:p w14:paraId="0074BE6B" w14:textId="43641860" w:rsidR="00905CA3" w:rsidRPr="00ED6228" w:rsidRDefault="00905CA3" w:rsidP="00553466">
            <w:pPr>
              <w:jc w:val="center"/>
            </w:pPr>
            <w:r>
              <w:t>100,100</w:t>
            </w:r>
          </w:p>
        </w:tc>
        <w:tc>
          <w:tcPr>
            <w:tcW w:w="2442" w:type="dxa"/>
          </w:tcPr>
          <w:p w14:paraId="19B9B3D0" w14:textId="55AE6A7A" w:rsidR="00905CA3" w:rsidRPr="00ED6228" w:rsidRDefault="00905CA3" w:rsidP="00553466">
            <w:pPr>
              <w:jc w:val="center"/>
            </w:pPr>
            <w:r>
              <w:t>152,000</w:t>
            </w:r>
          </w:p>
        </w:tc>
        <w:tc>
          <w:tcPr>
            <w:tcW w:w="2443" w:type="dxa"/>
          </w:tcPr>
          <w:p w14:paraId="0433FB19" w14:textId="0B271816" w:rsidR="00905CA3" w:rsidRPr="00ED6228" w:rsidRDefault="00905CA3" w:rsidP="00553466">
            <w:pPr>
              <w:jc w:val="center"/>
            </w:pPr>
            <w:r>
              <w:t>171,000</w:t>
            </w:r>
          </w:p>
        </w:tc>
      </w:tr>
      <w:tr w:rsidR="00905CA3" w:rsidRPr="00ED6228" w14:paraId="7C7080A9" w14:textId="77777777" w:rsidTr="00553466">
        <w:trPr>
          <w:trHeight w:val="57"/>
          <w:jc w:val="center"/>
        </w:trPr>
        <w:tc>
          <w:tcPr>
            <w:tcW w:w="2442" w:type="dxa"/>
          </w:tcPr>
          <w:p w14:paraId="53E30426" w14:textId="77777777" w:rsidR="00905CA3" w:rsidRPr="00ED6228" w:rsidRDefault="00905CA3" w:rsidP="00553466">
            <w:pPr>
              <w:jc w:val="center"/>
              <w:rPr>
                <w:b/>
                <w:bCs/>
              </w:rPr>
            </w:pPr>
            <w:r>
              <w:rPr>
                <w:b/>
                <w:bCs/>
              </w:rPr>
              <w:t>40 – 44</w:t>
            </w:r>
          </w:p>
        </w:tc>
        <w:tc>
          <w:tcPr>
            <w:tcW w:w="2442" w:type="dxa"/>
          </w:tcPr>
          <w:p w14:paraId="472310F4" w14:textId="2B56F893" w:rsidR="00905CA3" w:rsidRPr="00ED6228" w:rsidRDefault="00905CA3" w:rsidP="00553466">
            <w:pPr>
              <w:jc w:val="center"/>
            </w:pPr>
            <w:r>
              <w:t>60,000</w:t>
            </w:r>
          </w:p>
        </w:tc>
        <w:tc>
          <w:tcPr>
            <w:tcW w:w="2442" w:type="dxa"/>
          </w:tcPr>
          <w:p w14:paraId="274E30BE" w14:textId="3E8ED42F" w:rsidR="00905CA3" w:rsidRPr="00ED6228" w:rsidRDefault="00905CA3" w:rsidP="00553466">
            <w:pPr>
              <w:jc w:val="center"/>
            </w:pPr>
            <w:r>
              <w:t>113,200</w:t>
            </w:r>
          </w:p>
        </w:tc>
        <w:tc>
          <w:tcPr>
            <w:tcW w:w="2443" w:type="dxa"/>
          </w:tcPr>
          <w:p w14:paraId="7DB0A32A" w14:textId="372CFE99" w:rsidR="00905CA3" w:rsidRPr="00ED6228" w:rsidRDefault="00905CA3" w:rsidP="00553466">
            <w:pPr>
              <w:jc w:val="center"/>
            </w:pPr>
            <w:r>
              <w:t>137,000</w:t>
            </w:r>
          </w:p>
        </w:tc>
      </w:tr>
      <w:tr w:rsidR="00905CA3" w:rsidRPr="00ED6228" w14:paraId="1750BE5D" w14:textId="77777777" w:rsidTr="00553466">
        <w:trPr>
          <w:trHeight w:val="57"/>
          <w:jc w:val="center"/>
        </w:trPr>
        <w:tc>
          <w:tcPr>
            <w:tcW w:w="2442" w:type="dxa"/>
          </w:tcPr>
          <w:p w14:paraId="0304BDB9" w14:textId="77777777" w:rsidR="00905CA3" w:rsidRPr="00ED6228" w:rsidRDefault="00905CA3" w:rsidP="00553466">
            <w:pPr>
              <w:jc w:val="center"/>
              <w:rPr>
                <w:b/>
                <w:bCs/>
              </w:rPr>
            </w:pPr>
            <w:r>
              <w:rPr>
                <w:b/>
                <w:bCs/>
              </w:rPr>
              <w:lastRenderedPageBreak/>
              <w:t>45 – 49</w:t>
            </w:r>
          </w:p>
        </w:tc>
        <w:tc>
          <w:tcPr>
            <w:tcW w:w="2442" w:type="dxa"/>
          </w:tcPr>
          <w:p w14:paraId="67EF0C17" w14:textId="0B21EF05" w:rsidR="00905CA3" w:rsidRPr="00ED6228" w:rsidRDefault="00905CA3" w:rsidP="00553466">
            <w:pPr>
              <w:jc w:val="center"/>
            </w:pPr>
            <w:r>
              <w:t>43,400</w:t>
            </w:r>
          </w:p>
        </w:tc>
        <w:tc>
          <w:tcPr>
            <w:tcW w:w="2442" w:type="dxa"/>
          </w:tcPr>
          <w:p w14:paraId="58AFBCCD" w14:textId="5AEFDA65" w:rsidR="00905CA3" w:rsidRPr="00ED6228" w:rsidRDefault="00905CA3" w:rsidP="00553466">
            <w:pPr>
              <w:jc w:val="center"/>
            </w:pPr>
            <w:r>
              <w:t>63,600</w:t>
            </w:r>
          </w:p>
        </w:tc>
        <w:tc>
          <w:tcPr>
            <w:tcW w:w="2443" w:type="dxa"/>
          </w:tcPr>
          <w:p w14:paraId="68EAEB46" w14:textId="5F654583" w:rsidR="00905CA3" w:rsidRPr="00ED6228" w:rsidRDefault="00461A52" w:rsidP="00553466">
            <w:pPr>
              <w:jc w:val="center"/>
            </w:pPr>
            <w:r>
              <w:t>93,000</w:t>
            </w:r>
          </w:p>
        </w:tc>
      </w:tr>
      <w:tr w:rsidR="00905CA3" w:rsidRPr="00ED6228" w14:paraId="2BF998C8" w14:textId="77777777" w:rsidTr="00553466">
        <w:trPr>
          <w:trHeight w:val="57"/>
          <w:jc w:val="center"/>
        </w:trPr>
        <w:tc>
          <w:tcPr>
            <w:tcW w:w="2442" w:type="dxa"/>
          </w:tcPr>
          <w:p w14:paraId="0FA3B8C6" w14:textId="77777777" w:rsidR="00905CA3" w:rsidRPr="00ED6228" w:rsidRDefault="00905CA3" w:rsidP="00553466">
            <w:pPr>
              <w:jc w:val="center"/>
              <w:rPr>
                <w:b/>
                <w:bCs/>
              </w:rPr>
            </w:pPr>
            <w:r>
              <w:rPr>
                <w:b/>
                <w:bCs/>
              </w:rPr>
              <w:t>50 – 54</w:t>
            </w:r>
          </w:p>
        </w:tc>
        <w:tc>
          <w:tcPr>
            <w:tcW w:w="2442" w:type="dxa"/>
          </w:tcPr>
          <w:p w14:paraId="16F4463E" w14:textId="4E532C21" w:rsidR="00905CA3" w:rsidRPr="00ED6228" w:rsidRDefault="00905CA3" w:rsidP="00553466">
            <w:pPr>
              <w:jc w:val="center"/>
            </w:pPr>
            <w:r>
              <w:t>36,700</w:t>
            </w:r>
          </w:p>
        </w:tc>
        <w:tc>
          <w:tcPr>
            <w:tcW w:w="2442" w:type="dxa"/>
          </w:tcPr>
          <w:p w14:paraId="343788D9" w14:textId="06272258" w:rsidR="00905CA3" w:rsidRPr="00ED6228" w:rsidRDefault="00905CA3" w:rsidP="00553466">
            <w:pPr>
              <w:jc w:val="center"/>
            </w:pPr>
            <w:r>
              <w:t>43,400</w:t>
            </w:r>
          </w:p>
        </w:tc>
        <w:tc>
          <w:tcPr>
            <w:tcW w:w="2443" w:type="dxa"/>
          </w:tcPr>
          <w:p w14:paraId="5189BBE1" w14:textId="309DE782" w:rsidR="00905CA3" w:rsidRPr="00ED6228" w:rsidRDefault="00461A52" w:rsidP="00553466">
            <w:pPr>
              <w:jc w:val="center"/>
            </w:pPr>
            <w:r>
              <w:t>74,600</w:t>
            </w:r>
          </w:p>
        </w:tc>
      </w:tr>
      <w:tr w:rsidR="00905CA3" w:rsidRPr="00ED6228" w14:paraId="1F6318CE" w14:textId="77777777" w:rsidTr="00553466">
        <w:trPr>
          <w:trHeight w:val="57"/>
          <w:jc w:val="center"/>
        </w:trPr>
        <w:tc>
          <w:tcPr>
            <w:tcW w:w="2442" w:type="dxa"/>
          </w:tcPr>
          <w:p w14:paraId="2166F5AB" w14:textId="77777777" w:rsidR="00905CA3" w:rsidRPr="00ED6228" w:rsidRDefault="00905CA3" w:rsidP="00553466">
            <w:pPr>
              <w:jc w:val="center"/>
              <w:rPr>
                <w:b/>
                <w:bCs/>
              </w:rPr>
            </w:pPr>
            <w:r>
              <w:rPr>
                <w:b/>
                <w:bCs/>
              </w:rPr>
              <w:t>55 – 59</w:t>
            </w:r>
          </w:p>
        </w:tc>
        <w:tc>
          <w:tcPr>
            <w:tcW w:w="2442" w:type="dxa"/>
          </w:tcPr>
          <w:p w14:paraId="05EB5FC4" w14:textId="191D7D9D" w:rsidR="00905CA3" w:rsidRPr="00ED6228" w:rsidRDefault="00905CA3" w:rsidP="00553466">
            <w:pPr>
              <w:jc w:val="center"/>
            </w:pPr>
            <w:r>
              <w:t>31,800</w:t>
            </w:r>
          </w:p>
        </w:tc>
        <w:tc>
          <w:tcPr>
            <w:tcW w:w="2442" w:type="dxa"/>
          </w:tcPr>
          <w:p w14:paraId="31C58FFC" w14:textId="7B78E0EC" w:rsidR="00905CA3" w:rsidRPr="00ED6228" w:rsidRDefault="00905CA3" w:rsidP="00553466">
            <w:pPr>
              <w:jc w:val="center"/>
            </w:pPr>
            <w:r>
              <w:t>39,400</w:t>
            </w:r>
          </w:p>
        </w:tc>
        <w:tc>
          <w:tcPr>
            <w:tcW w:w="2443" w:type="dxa"/>
          </w:tcPr>
          <w:p w14:paraId="03318FB7" w14:textId="7EB18F9F" w:rsidR="00905CA3" w:rsidRPr="00ED6228" w:rsidRDefault="00461A52" w:rsidP="00553466">
            <w:pPr>
              <w:jc w:val="center"/>
            </w:pPr>
            <w:r>
              <w:t>46,100</w:t>
            </w:r>
          </w:p>
        </w:tc>
      </w:tr>
      <w:tr w:rsidR="00905CA3" w:rsidRPr="00ED6228" w14:paraId="4932FEC6" w14:textId="77777777" w:rsidTr="00553466">
        <w:trPr>
          <w:trHeight w:val="57"/>
          <w:jc w:val="center"/>
        </w:trPr>
        <w:tc>
          <w:tcPr>
            <w:tcW w:w="2442" w:type="dxa"/>
          </w:tcPr>
          <w:p w14:paraId="37BB4897" w14:textId="77777777" w:rsidR="00905CA3" w:rsidRPr="00ED6228" w:rsidRDefault="00905CA3" w:rsidP="00553466">
            <w:pPr>
              <w:jc w:val="center"/>
              <w:rPr>
                <w:b/>
                <w:bCs/>
              </w:rPr>
            </w:pPr>
            <w:r>
              <w:rPr>
                <w:b/>
                <w:bCs/>
              </w:rPr>
              <w:t>60 – 64</w:t>
            </w:r>
          </w:p>
        </w:tc>
        <w:tc>
          <w:tcPr>
            <w:tcW w:w="2442" w:type="dxa"/>
          </w:tcPr>
          <w:p w14:paraId="26DCAAB7" w14:textId="316EE467" w:rsidR="00905CA3" w:rsidRPr="00ED6228" w:rsidRDefault="00905CA3" w:rsidP="00553466">
            <w:pPr>
              <w:jc w:val="center"/>
            </w:pPr>
            <w:r>
              <w:t>28,000</w:t>
            </w:r>
          </w:p>
        </w:tc>
        <w:tc>
          <w:tcPr>
            <w:tcW w:w="2442" w:type="dxa"/>
          </w:tcPr>
          <w:p w14:paraId="7A8DEA7F" w14:textId="5BE9C377" w:rsidR="00905CA3" w:rsidRPr="00ED6228" w:rsidRDefault="00905CA3" w:rsidP="00553466">
            <w:pPr>
              <w:jc w:val="center"/>
            </w:pPr>
            <w:r>
              <w:t>30,900</w:t>
            </w:r>
          </w:p>
        </w:tc>
        <w:tc>
          <w:tcPr>
            <w:tcW w:w="2443" w:type="dxa"/>
          </w:tcPr>
          <w:p w14:paraId="3169F6EF" w14:textId="4681F032" w:rsidR="00905CA3" w:rsidRPr="00ED6228" w:rsidRDefault="00461A52" w:rsidP="00553466">
            <w:pPr>
              <w:jc w:val="center"/>
            </w:pPr>
            <w:r>
              <w:t>30,600</w:t>
            </w:r>
          </w:p>
        </w:tc>
      </w:tr>
      <w:tr w:rsidR="00905CA3" w:rsidRPr="00ED6228" w14:paraId="54C952BC" w14:textId="77777777" w:rsidTr="00553466">
        <w:trPr>
          <w:trHeight w:val="57"/>
          <w:jc w:val="center"/>
        </w:trPr>
        <w:tc>
          <w:tcPr>
            <w:tcW w:w="2442" w:type="dxa"/>
          </w:tcPr>
          <w:p w14:paraId="4464C480" w14:textId="77777777" w:rsidR="00905CA3" w:rsidRPr="00ED6228" w:rsidRDefault="00905CA3" w:rsidP="00553466">
            <w:pPr>
              <w:jc w:val="center"/>
              <w:rPr>
                <w:b/>
                <w:bCs/>
              </w:rPr>
            </w:pPr>
            <w:r>
              <w:rPr>
                <w:b/>
                <w:bCs/>
              </w:rPr>
              <w:t>65 - 69</w:t>
            </w:r>
          </w:p>
        </w:tc>
        <w:tc>
          <w:tcPr>
            <w:tcW w:w="2442" w:type="dxa"/>
          </w:tcPr>
          <w:p w14:paraId="68D342C8" w14:textId="7965D5F7" w:rsidR="00905CA3" w:rsidRPr="00ED6228" w:rsidRDefault="00905CA3" w:rsidP="00553466">
            <w:pPr>
              <w:jc w:val="center"/>
            </w:pPr>
            <w:r>
              <w:t>22,700</w:t>
            </w:r>
          </w:p>
        </w:tc>
        <w:tc>
          <w:tcPr>
            <w:tcW w:w="2442" w:type="dxa"/>
          </w:tcPr>
          <w:p w14:paraId="0BB5DC29" w14:textId="7B829F6D" w:rsidR="00905CA3" w:rsidRPr="00ED6228" w:rsidRDefault="00905CA3" w:rsidP="00553466">
            <w:pPr>
              <w:jc w:val="center"/>
            </w:pPr>
            <w:r>
              <w:t>26,297</w:t>
            </w:r>
          </w:p>
        </w:tc>
        <w:tc>
          <w:tcPr>
            <w:tcW w:w="2443" w:type="dxa"/>
          </w:tcPr>
          <w:p w14:paraId="5ACBBAC7" w14:textId="6FEE32F6" w:rsidR="00905CA3" w:rsidRPr="00ED6228" w:rsidRDefault="00461A52" w:rsidP="00553466">
            <w:pPr>
              <w:jc w:val="center"/>
            </w:pPr>
            <w:r>
              <w:t>27,400</w:t>
            </w:r>
          </w:p>
        </w:tc>
      </w:tr>
      <w:tr w:rsidR="00905CA3" w:rsidRPr="00ED6228" w14:paraId="4844319F" w14:textId="77777777" w:rsidTr="00553466">
        <w:trPr>
          <w:trHeight w:val="57"/>
          <w:jc w:val="center"/>
        </w:trPr>
        <w:tc>
          <w:tcPr>
            <w:tcW w:w="2442" w:type="dxa"/>
          </w:tcPr>
          <w:p w14:paraId="4A77EC75" w14:textId="77777777" w:rsidR="00905CA3" w:rsidRPr="00ED6228" w:rsidRDefault="00905CA3" w:rsidP="00553466">
            <w:pPr>
              <w:jc w:val="center"/>
              <w:rPr>
                <w:b/>
                <w:bCs/>
              </w:rPr>
            </w:pPr>
            <w:r>
              <w:rPr>
                <w:b/>
                <w:bCs/>
              </w:rPr>
              <w:t>70 - 74</w:t>
            </w:r>
          </w:p>
        </w:tc>
        <w:tc>
          <w:tcPr>
            <w:tcW w:w="2442" w:type="dxa"/>
          </w:tcPr>
          <w:p w14:paraId="75B72F80" w14:textId="63D97CA7" w:rsidR="00905CA3" w:rsidRPr="00ED6228" w:rsidRDefault="00905CA3" w:rsidP="00553466">
            <w:pPr>
              <w:jc w:val="center"/>
            </w:pPr>
            <w:r>
              <w:t>19,400</w:t>
            </w:r>
          </w:p>
        </w:tc>
        <w:tc>
          <w:tcPr>
            <w:tcW w:w="2442" w:type="dxa"/>
          </w:tcPr>
          <w:p w14:paraId="0FA62A07" w14:textId="320403D7" w:rsidR="00905CA3" w:rsidRPr="00ED6228" w:rsidRDefault="00905CA3" w:rsidP="00553466">
            <w:pPr>
              <w:jc w:val="center"/>
            </w:pPr>
            <w:r>
              <w:t>25,200</w:t>
            </w:r>
          </w:p>
        </w:tc>
        <w:tc>
          <w:tcPr>
            <w:tcW w:w="2443" w:type="dxa"/>
          </w:tcPr>
          <w:p w14:paraId="74A71100" w14:textId="5078B2AE" w:rsidR="00905CA3" w:rsidRPr="00ED6228" w:rsidRDefault="00461A52" w:rsidP="00553466">
            <w:pPr>
              <w:jc w:val="center"/>
            </w:pPr>
            <w:r>
              <w:t>25,300</w:t>
            </w:r>
          </w:p>
        </w:tc>
      </w:tr>
      <w:tr w:rsidR="00905CA3" w:rsidRPr="00ED6228" w14:paraId="5C63EC25" w14:textId="77777777" w:rsidTr="00553466">
        <w:trPr>
          <w:trHeight w:val="57"/>
          <w:jc w:val="center"/>
        </w:trPr>
        <w:tc>
          <w:tcPr>
            <w:tcW w:w="2442" w:type="dxa"/>
          </w:tcPr>
          <w:p w14:paraId="7B308E14" w14:textId="77777777" w:rsidR="00905CA3" w:rsidRDefault="00905CA3" w:rsidP="00553466">
            <w:pPr>
              <w:jc w:val="center"/>
              <w:rPr>
                <w:b/>
                <w:bCs/>
              </w:rPr>
            </w:pPr>
            <w:r>
              <w:rPr>
                <w:b/>
                <w:bCs/>
              </w:rPr>
              <w:t>75 – 79</w:t>
            </w:r>
          </w:p>
        </w:tc>
        <w:tc>
          <w:tcPr>
            <w:tcW w:w="2442" w:type="dxa"/>
          </w:tcPr>
          <w:p w14:paraId="10C795FF" w14:textId="0B62D474" w:rsidR="00905CA3" w:rsidRPr="00ED6228" w:rsidRDefault="00905CA3" w:rsidP="00553466">
            <w:pPr>
              <w:jc w:val="center"/>
            </w:pPr>
            <w:r>
              <w:t>14,059</w:t>
            </w:r>
          </w:p>
        </w:tc>
        <w:tc>
          <w:tcPr>
            <w:tcW w:w="2442" w:type="dxa"/>
          </w:tcPr>
          <w:p w14:paraId="53D20D82" w14:textId="075C75F4" w:rsidR="00905CA3" w:rsidRPr="00ED6228" w:rsidRDefault="00905CA3" w:rsidP="00553466">
            <w:pPr>
              <w:jc w:val="center"/>
            </w:pPr>
            <w:r>
              <w:t>19,900</w:t>
            </w:r>
          </w:p>
        </w:tc>
        <w:tc>
          <w:tcPr>
            <w:tcW w:w="2443" w:type="dxa"/>
          </w:tcPr>
          <w:p w14:paraId="3C5D2512" w14:textId="47690EBD" w:rsidR="00905CA3" w:rsidRPr="00ED6228" w:rsidRDefault="00461A52" w:rsidP="00553466">
            <w:pPr>
              <w:jc w:val="center"/>
            </w:pPr>
            <w:r>
              <w:t>22,400</w:t>
            </w:r>
          </w:p>
        </w:tc>
      </w:tr>
      <w:tr w:rsidR="00905CA3" w:rsidRPr="00ED6228" w14:paraId="2335D68C" w14:textId="77777777" w:rsidTr="00553466">
        <w:trPr>
          <w:trHeight w:val="57"/>
          <w:jc w:val="center"/>
        </w:trPr>
        <w:tc>
          <w:tcPr>
            <w:tcW w:w="2442" w:type="dxa"/>
          </w:tcPr>
          <w:p w14:paraId="006721A9" w14:textId="77777777" w:rsidR="00905CA3" w:rsidRDefault="00905CA3" w:rsidP="00553466">
            <w:pPr>
              <w:jc w:val="center"/>
              <w:rPr>
                <w:b/>
                <w:bCs/>
              </w:rPr>
            </w:pPr>
            <w:r>
              <w:rPr>
                <w:b/>
                <w:bCs/>
              </w:rPr>
              <w:t>80 – 84</w:t>
            </w:r>
          </w:p>
        </w:tc>
        <w:tc>
          <w:tcPr>
            <w:tcW w:w="2442" w:type="dxa"/>
          </w:tcPr>
          <w:p w14:paraId="0F82F82F" w14:textId="7D286A51" w:rsidR="00905CA3" w:rsidRPr="00ED6228" w:rsidRDefault="00905CA3" w:rsidP="00553466">
            <w:pPr>
              <w:jc w:val="center"/>
            </w:pPr>
            <w:r>
              <w:t>9,000</w:t>
            </w:r>
          </w:p>
        </w:tc>
        <w:tc>
          <w:tcPr>
            <w:tcW w:w="2442" w:type="dxa"/>
          </w:tcPr>
          <w:p w14:paraId="2E77E7DC" w14:textId="4A3AF14A" w:rsidR="00905CA3" w:rsidRPr="00ED6228" w:rsidRDefault="00905CA3" w:rsidP="00553466">
            <w:pPr>
              <w:jc w:val="center"/>
            </w:pPr>
            <w:r>
              <w:t>15,100</w:t>
            </w:r>
          </w:p>
        </w:tc>
        <w:tc>
          <w:tcPr>
            <w:tcW w:w="2443" w:type="dxa"/>
          </w:tcPr>
          <w:p w14:paraId="4906C163" w14:textId="23A6FD14" w:rsidR="00905CA3" w:rsidRPr="00ED6228" w:rsidRDefault="00461A52" w:rsidP="00461A52">
            <w:pPr>
              <w:jc w:val="center"/>
            </w:pPr>
            <w:r>
              <w:t>18,900</w:t>
            </w:r>
          </w:p>
        </w:tc>
      </w:tr>
      <w:tr w:rsidR="00905CA3" w:rsidRPr="00ED6228" w14:paraId="3E83D18E" w14:textId="77777777" w:rsidTr="00553466">
        <w:trPr>
          <w:trHeight w:val="57"/>
          <w:jc w:val="center"/>
        </w:trPr>
        <w:tc>
          <w:tcPr>
            <w:tcW w:w="2442" w:type="dxa"/>
          </w:tcPr>
          <w:p w14:paraId="63747BB2" w14:textId="77777777" w:rsidR="00905CA3" w:rsidRDefault="00905CA3" w:rsidP="00553466">
            <w:pPr>
              <w:jc w:val="center"/>
              <w:rPr>
                <w:b/>
                <w:bCs/>
              </w:rPr>
            </w:pPr>
            <w:r>
              <w:rPr>
                <w:b/>
                <w:bCs/>
              </w:rPr>
              <w:t>85 +</w:t>
            </w:r>
          </w:p>
        </w:tc>
        <w:tc>
          <w:tcPr>
            <w:tcW w:w="2442" w:type="dxa"/>
          </w:tcPr>
          <w:p w14:paraId="06BA3668" w14:textId="322D2770" w:rsidR="00905CA3" w:rsidRPr="00ED6228" w:rsidRDefault="00905CA3" w:rsidP="00553466">
            <w:pPr>
              <w:jc w:val="center"/>
            </w:pPr>
            <w:r>
              <w:t>8,200</w:t>
            </w:r>
          </w:p>
        </w:tc>
        <w:tc>
          <w:tcPr>
            <w:tcW w:w="2442" w:type="dxa"/>
          </w:tcPr>
          <w:p w14:paraId="30C5E5FC" w14:textId="6C7CA049" w:rsidR="00905CA3" w:rsidRPr="00ED6228" w:rsidRDefault="00905CA3" w:rsidP="00553466">
            <w:pPr>
              <w:jc w:val="center"/>
            </w:pPr>
            <w:r>
              <w:t>12,100</w:t>
            </w:r>
          </w:p>
        </w:tc>
        <w:tc>
          <w:tcPr>
            <w:tcW w:w="2443" w:type="dxa"/>
          </w:tcPr>
          <w:p w14:paraId="3314C2D9" w14:textId="3761CB00" w:rsidR="00905CA3" w:rsidRPr="00ED6228" w:rsidRDefault="00461A52" w:rsidP="00553466">
            <w:pPr>
              <w:jc w:val="center"/>
            </w:pPr>
            <w:r>
              <w:t>17,500</w:t>
            </w:r>
          </w:p>
        </w:tc>
      </w:tr>
    </w:tbl>
    <w:p w14:paraId="0842F4B5" w14:textId="7AD17739" w:rsidR="00113E6E" w:rsidRPr="00475FD1" w:rsidRDefault="1C8F5AAE" w:rsidP="00461A52">
      <w:pPr>
        <w:spacing w:before="120"/>
        <w:jc w:val="center"/>
        <w:rPr>
          <w:sz w:val="16"/>
          <w:szCs w:val="16"/>
        </w:rPr>
      </w:pPr>
      <w:r w:rsidRPr="4A450472">
        <w:rPr>
          <w:sz w:val="16"/>
          <w:szCs w:val="16"/>
        </w:rPr>
        <w:t xml:space="preserve">Figure 4: </w:t>
      </w:r>
      <w:r w:rsidR="49664DC7" w:rsidRPr="4A450472">
        <w:rPr>
          <w:sz w:val="16"/>
          <w:szCs w:val="16"/>
        </w:rPr>
        <w:t>Number of persons per 5-year age group from 2023-2043</w:t>
      </w:r>
      <w:r w:rsidR="00461A52">
        <w:rPr>
          <w:sz w:val="16"/>
          <w:szCs w:val="16"/>
        </w:rPr>
        <w:t>. Table shows rounded figures.</w:t>
      </w:r>
    </w:p>
    <w:p w14:paraId="58A19551" w14:textId="49C92EFC" w:rsidR="00113E6E" w:rsidRPr="00475FD1" w:rsidRDefault="00113E6E" w:rsidP="4A450472">
      <w:pPr>
        <w:rPr>
          <w:b/>
          <w:bCs/>
          <w:color w:val="5B9BD5" w:themeColor="accent1"/>
        </w:rPr>
      </w:pPr>
    </w:p>
    <w:p w14:paraId="03D3E29F" w14:textId="40A9B54E" w:rsidR="00421147" w:rsidRDefault="005939CE" w:rsidP="00421147">
      <w:pPr>
        <w:pStyle w:val="Heading2"/>
        <w:rPr>
          <w:rFonts w:hint="eastAsia"/>
        </w:rPr>
      </w:pPr>
      <w:bookmarkStart w:id="14" w:name="_Toc180519446"/>
      <w:r w:rsidRPr="00723D69">
        <w:t xml:space="preserve">Jobs </w:t>
      </w:r>
      <w:r w:rsidR="00421147">
        <w:t>by industry</w:t>
      </w:r>
      <w:bookmarkEnd w:id="14"/>
    </w:p>
    <w:p w14:paraId="5EA6CA44" w14:textId="78DDC962" w:rsidR="005939CE" w:rsidRPr="00AF2FD0" w:rsidRDefault="001F787E" w:rsidP="00E57B1C">
      <w:pPr>
        <w:pStyle w:val="ListParagraph"/>
        <w:numPr>
          <w:ilvl w:val="0"/>
          <w:numId w:val="48"/>
        </w:numPr>
        <w:ind w:left="714" w:hanging="357"/>
      </w:pPr>
      <w:r>
        <w:t>The fastest growing industries will be</w:t>
      </w:r>
      <w:r w:rsidR="00C14D31" w:rsidRPr="00AF2FD0">
        <w:t xml:space="preserve"> b</w:t>
      </w:r>
      <w:r w:rsidR="003A5674" w:rsidRPr="00AF2FD0">
        <w:t>usiness services</w:t>
      </w:r>
      <w:r>
        <w:t xml:space="preserve"> (25%)</w:t>
      </w:r>
      <w:r w:rsidR="003A5674" w:rsidRPr="00AF2FD0">
        <w:t>, health care and social assistance</w:t>
      </w:r>
      <w:r>
        <w:t xml:space="preserve"> (15%)</w:t>
      </w:r>
      <w:r w:rsidR="003A5674" w:rsidRPr="00AF2FD0">
        <w:t>,</w:t>
      </w:r>
      <w:r w:rsidR="00AF2FD0" w:rsidRPr="00AF2FD0">
        <w:t xml:space="preserve"> food and beverage services</w:t>
      </w:r>
      <w:r>
        <w:t xml:space="preserve"> (10%)</w:t>
      </w:r>
      <w:r w:rsidR="003A5674" w:rsidRPr="00AF2FD0">
        <w:t xml:space="preserve"> and education and training</w:t>
      </w:r>
      <w:r>
        <w:t xml:space="preserve"> (9%). Collectively</w:t>
      </w:r>
      <w:r w:rsidR="003A5674" w:rsidRPr="00AF2FD0">
        <w:t xml:space="preserve"> representing </w:t>
      </w:r>
      <w:r w:rsidR="00AF2FD0" w:rsidRPr="00AF2FD0">
        <w:t>60</w:t>
      </w:r>
      <w:r w:rsidR="00230CC9" w:rsidRPr="00AF2FD0">
        <w:t xml:space="preserve"> </w:t>
      </w:r>
      <w:r w:rsidR="003A5674" w:rsidRPr="00AF2FD0">
        <w:t xml:space="preserve">per cent of all employment growth </w:t>
      </w:r>
      <w:r w:rsidR="00AF2FD0">
        <w:t xml:space="preserve">across the municipality </w:t>
      </w:r>
      <w:r w:rsidR="003A5674" w:rsidRPr="00AF2FD0">
        <w:t>between 202</w:t>
      </w:r>
      <w:r w:rsidR="00AF2FD0" w:rsidRPr="00AF2FD0">
        <w:t>3</w:t>
      </w:r>
      <w:r w:rsidR="003A5674" w:rsidRPr="00AF2FD0">
        <w:t xml:space="preserve"> and 204</w:t>
      </w:r>
      <w:r w:rsidR="00AF2FD0" w:rsidRPr="00AF2FD0">
        <w:t>3</w:t>
      </w:r>
      <w:r w:rsidR="003A5674" w:rsidRPr="00AF2FD0">
        <w:t xml:space="preserve">. </w:t>
      </w:r>
    </w:p>
    <w:p w14:paraId="2E4C69B5" w14:textId="2985A28D" w:rsidR="003A5674" w:rsidRDefault="00723D69" w:rsidP="00F642C8">
      <w:pPr>
        <w:pStyle w:val="ListParagraph"/>
        <w:numPr>
          <w:ilvl w:val="0"/>
          <w:numId w:val="48"/>
        </w:numPr>
        <w:spacing w:after="240"/>
        <w:ind w:left="714" w:hanging="357"/>
      </w:pPr>
      <w:r w:rsidRPr="00723D69">
        <w:t>Education</w:t>
      </w:r>
      <w:r w:rsidR="00AF2FD0" w:rsidRPr="00723D69">
        <w:t xml:space="preserve"> and training, retail trade and health care and social assistance </w:t>
      </w:r>
      <w:r w:rsidRPr="00723D69">
        <w:t>will have the biggest average growth across all sectors, ma</w:t>
      </w:r>
      <w:r w:rsidR="001F787E">
        <w:t>king</w:t>
      </w:r>
      <w:r w:rsidRPr="00723D69">
        <w:t xml:space="preserve"> up of 66, 62 and 57 per cent respectively across the next 20 years, contributing to 56,000 additional jobs. Manufacturing </w:t>
      </w:r>
      <w:r>
        <w:t>is</w:t>
      </w:r>
      <w:r w:rsidRPr="00723D69">
        <w:t xml:space="preserve"> the only industry expected to decline by </w:t>
      </w:r>
      <w:r w:rsidR="001F787E">
        <w:t>nine</w:t>
      </w:r>
      <w:r w:rsidRPr="00723D69">
        <w:t xml:space="preserve"> per cent in the </w:t>
      </w:r>
      <w:r>
        <w:t>same time frame</w:t>
      </w:r>
      <w:r w:rsidRPr="00723D69">
        <w:t xml:space="preserve">. </w:t>
      </w:r>
      <w:r w:rsidR="00AF2FD0" w:rsidRPr="00723D69">
        <w:t xml:space="preserve"> </w:t>
      </w:r>
    </w:p>
    <w:p w14:paraId="7DD09CB4" w14:textId="1A9B8254" w:rsidR="001D2AD9" w:rsidRDefault="001D2AD9" w:rsidP="4A450472">
      <w:pPr>
        <w:pStyle w:val="ListParagraph"/>
        <w:spacing w:after="240"/>
        <w:ind w:left="714" w:hanging="357"/>
      </w:pPr>
      <w:r>
        <w:t xml:space="preserve">Like the population, employment has recovered to pre-COVID levels, and the </w:t>
      </w:r>
      <w:proofErr w:type="gramStart"/>
      <w:r>
        <w:t>City</w:t>
      </w:r>
      <w:proofErr w:type="gramEnd"/>
      <w:r>
        <w:t xml:space="preserve"> is expected to add 1</w:t>
      </w:r>
      <w:r w:rsidR="76303CE6">
        <w:t>62,6</w:t>
      </w:r>
      <w:r>
        <w:t>00 ‘on-site’ jobs (at 3</w:t>
      </w:r>
      <w:r w:rsidR="5DADB16E">
        <w:t>2</w:t>
      </w:r>
      <w:r>
        <w:t xml:space="preserve"> per cent of growth) between 2023 and 2043 reaching a total of 675,</w:t>
      </w:r>
      <w:r w:rsidR="14A54B13">
        <w:t>2</w:t>
      </w:r>
      <w:r>
        <w:t xml:space="preserve">00 jobs. Looking more broadly at jobs in the </w:t>
      </w:r>
      <w:proofErr w:type="gramStart"/>
      <w:r>
        <w:t>City</w:t>
      </w:r>
      <w:proofErr w:type="gramEnd"/>
      <w:r>
        <w:t xml:space="preserve"> (including home-based, no fixed place of work and construction jobs) in the municipality is expected to add 22</w:t>
      </w:r>
      <w:r w:rsidR="02FB7241">
        <w:t>3</w:t>
      </w:r>
      <w:r>
        <w:t>,</w:t>
      </w:r>
      <w:r w:rsidR="34610CB3">
        <w:t>5</w:t>
      </w:r>
      <w:r>
        <w:t xml:space="preserve">00 jobs to reach 845,000 total jobs. </w:t>
      </w:r>
    </w:p>
    <w:p w14:paraId="070D48C7" w14:textId="06B9CC60" w:rsidR="001D2AD9" w:rsidRDefault="001D2AD9" w:rsidP="00F642C8">
      <w:pPr>
        <w:pStyle w:val="ListParagraph"/>
        <w:numPr>
          <w:ilvl w:val="0"/>
          <w:numId w:val="48"/>
        </w:numPr>
        <w:spacing w:after="240"/>
        <w:ind w:left="714" w:hanging="357"/>
      </w:pPr>
      <w:r>
        <w:t>Over the next</w:t>
      </w:r>
      <w:r w:rsidR="001F787E">
        <w:t xml:space="preserve"> two</w:t>
      </w:r>
      <w:r>
        <w:t xml:space="preserve"> decades, ‘on-site’ jobs will grow at 1.4 per cent annually and broader jobs across the </w:t>
      </w:r>
      <w:proofErr w:type="gramStart"/>
      <w:r>
        <w:t>City</w:t>
      </w:r>
      <w:proofErr w:type="gramEnd"/>
      <w:r>
        <w:t xml:space="preserve"> at 1.6 per cent annually. </w:t>
      </w:r>
    </w:p>
    <w:tbl>
      <w:tblPr>
        <w:tblStyle w:val="TableGrid"/>
        <w:tblW w:w="0" w:type="auto"/>
        <w:tblInd w:w="357" w:type="dxa"/>
        <w:tblLook w:val="04A0" w:firstRow="1" w:lastRow="0" w:firstColumn="1" w:lastColumn="0" w:noHBand="0" w:noVBand="1"/>
      </w:tblPr>
      <w:tblGrid>
        <w:gridCol w:w="1266"/>
        <w:gridCol w:w="1374"/>
        <w:gridCol w:w="1459"/>
        <w:gridCol w:w="1337"/>
        <w:gridCol w:w="1373"/>
        <w:gridCol w:w="1293"/>
        <w:gridCol w:w="1310"/>
      </w:tblGrid>
      <w:tr w:rsidR="00D3349E" w14:paraId="64532039" w14:textId="77777777" w:rsidTr="003475CA">
        <w:tc>
          <w:tcPr>
            <w:tcW w:w="1395" w:type="dxa"/>
          </w:tcPr>
          <w:p w14:paraId="23310492" w14:textId="0DDBBDED" w:rsidR="003475CA" w:rsidRPr="006B6DD2" w:rsidRDefault="00D3349E" w:rsidP="001D2AD9">
            <w:pPr>
              <w:rPr>
                <w:b/>
                <w:bCs/>
              </w:rPr>
            </w:pPr>
            <w:r w:rsidRPr="006B6DD2">
              <w:rPr>
                <w:b/>
                <w:bCs/>
              </w:rPr>
              <w:t>Year</w:t>
            </w:r>
          </w:p>
        </w:tc>
        <w:tc>
          <w:tcPr>
            <w:tcW w:w="1395" w:type="dxa"/>
          </w:tcPr>
          <w:p w14:paraId="2A890A04" w14:textId="1B56C18F" w:rsidR="003475CA" w:rsidRPr="006B6DD2" w:rsidRDefault="001552DC" w:rsidP="001D2AD9">
            <w:pPr>
              <w:rPr>
                <w:b/>
                <w:bCs/>
              </w:rPr>
            </w:pPr>
            <w:r w:rsidRPr="006B6DD2">
              <w:rPr>
                <w:b/>
                <w:bCs/>
              </w:rPr>
              <w:t>Commercial</w:t>
            </w:r>
          </w:p>
        </w:tc>
        <w:tc>
          <w:tcPr>
            <w:tcW w:w="1395" w:type="dxa"/>
          </w:tcPr>
          <w:p w14:paraId="6651FF09" w14:textId="7E4908AD" w:rsidR="003475CA" w:rsidRPr="006B6DD2" w:rsidRDefault="00D3349E" w:rsidP="001D2AD9">
            <w:pPr>
              <w:rPr>
                <w:b/>
                <w:bCs/>
              </w:rPr>
            </w:pPr>
            <w:r w:rsidRPr="006B6DD2">
              <w:rPr>
                <w:b/>
                <w:bCs/>
              </w:rPr>
              <w:t>Entertainment</w:t>
            </w:r>
          </w:p>
        </w:tc>
        <w:tc>
          <w:tcPr>
            <w:tcW w:w="1396" w:type="dxa"/>
          </w:tcPr>
          <w:p w14:paraId="72B1F653" w14:textId="0103CD2D" w:rsidR="003475CA" w:rsidRPr="006B6DD2" w:rsidRDefault="00D3349E" w:rsidP="001D2AD9">
            <w:pPr>
              <w:rPr>
                <w:b/>
                <w:bCs/>
              </w:rPr>
            </w:pPr>
            <w:r w:rsidRPr="006B6DD2">
              <w:rPr>
                <w:b/>
                <w:bCs/>
              </w:rPr>
              <w:t>Industrial</w:t>
            </w:r>
          </w:p>
        </w:tc>
        <w:tc>
          <w:tcPr>
            <w:tcW w:w="1396" w:type="dxa"/>
          </w:tcPr>
          <w:p w14:paraId="3043CA3C" w14:textId="701BB361" w:rsidR="003475CA" w:rsidRPr="006B6DD2" w:rsidRDefault="00D3349E" w:rsidP="001D2AD9">
            <w:pPr>
              <w:rPr>
                <w:b/>
                <w:bCs/>
              </w:rPr>
            </w:pPr>
            <w:r w:rsidRPr="006B6DD2">
              <w:rPr>
                <w:b/>
                <w:bCs/>
              </w:rPr>
              <w:t>Institutional</w:t>
            </w:r>
          </w:p>
        </w:tc>
        <w:tc>
          <w:tcPr>
            <w:tcW w:w="1396" w:type="dxa"/>
          </w:tcPr>
          <w:p w14:paraId="33B231D8" w14:textId="7FBC6E49" w:rsidR="003475CA" w:rsidRPr="006B6DD2" w:rsidRDefault="00D3349E" w:rsidP="001D2AD9">
            <w:pPr>
              <w:rPr>
                <w:b/>
                <w:bCs/>
              </w:rPr>
            </w:pPr>
            <w:r w:rsidRPr="006B6DD2">
              <w:rPr>
                <w:b/>
                <w:bCs/>
              </w:rPr>
              <w:t>Retail</w:t>
            </w:r>
          </w:p>
        </w:tc>
        <w:tc>
          <w:tcPr>
            <w:tcW w:w="1396" w:type="dxa"/>
          </w:tcPr>
          <w:p w14:paraId="562F0156" w14:textId="5EC182ED" w:rsidR="003475CA" w:rsidRPr="006B6DD2" w:rsidRDefault="00D3349E" w:rsidP="001D2AD9">
            <w:pPr>
              <w:rPr>
                <w:b/>
                <w:bCs/>
              </w:rPr>
            </w:pPr>
            <w:r w:rsidRPr="006B6DD2">
              <w:rPr>
                <w:b/>
                <w:bCs/>
              </w:rPr>
              <w:t>Total</w:t>
            </w:r>
          </w:p>
        </w:tc>
      </w:tr>
      <w:tr w:rsidR="00D3349E" w14:paraId="0E5E7F0E" w14:textId="77777777" w:rsidTr="003475CA">
        <w:tc>
          <w:tcPr>
            <w:tcW w:w="1395" w:type="dxa"/>
          </w:tcPr>
          <w:p w14:paraId="64081EB2" w14:textId="09A6A4B9" w:rsidR="003475CA" w:rsidRPr="006B6DD2" w:rsidRDefault="00D3349E" w:rsidP="001D2AD9">
            <w:pPr>
              <w:rPr>
                <w:b/>
                <w:bCs/>
              </w:rPr>
            </w:pPr>
            <w:r w:rsidRPr="006B6DD2">
              <w:rPr>
                <w:b/>
                <w:bCs/>
              </w:rPr>
              <w:t>2023</w:t>
            </w:r>
          </w:p>
        </w:tc>
        <w:tc>
          <w:tcPr>
            <w:tcW w:w="1395" w:type="dxa"/>
          </w:tcPr>
          <w:p w14:paraId="268E7366" w14:textId="6ECE9CE6" w:rsidR="003475CA" w:rsidRDefault="00D3349E" w:rsidP="001D2AD9">
            <w:r>
              <w:t>370,300</w:t>
            </w:r>
          </w:p>
        </w:tc>
        <w:tc>
          <w:tcPr>
            <w:tcW w:w="1395" w:type="dxa"/>
          </w:tcPr>
          <w:p w14:paraId="41EDD6A3" w14:textId="57232735" w:rsidR="003475CA" w:rsidRDefault="00D3349E" w:rsidP="001D2AD9">
            <w:r>
              <w:t>46,900</w:t>
            </w:r>
          </w:p>
        </w:tc>
        <w:tc>
          <w:tcPr>
            <w:tcW w:w="1396" w:type="dxa"/>
          </w:tcPr>
          <w:p w14:paraId="5C500919" w14:textId="73C468E1" w:rsidR="003475CA" w:rsidRDefault="00D3349E" w:rsidP="001D2AD9">
            <w:r>
              <w:t>94,500</w:t>
            </w:r>
          </w:p>
        </w:tc>
        <w:tc>
          <w:tcPr>
            <w:tcW w:w="1396" w:type="dxa"/>
          </w:tcPr>
          <w:p w14:paraId="0579F4C7" w14:textId="64819DE3" w:rsidR="003475CA" w:rsidRDefault="00D3349E" w:rsidP="001D2AD9">
            <w:r>
              <w:t>86,900</w:t>
            </w:r>
          </w:p>
        </w:tc>
        <w:tc>
          <w:tcPr>
            <w:tcW w:w="1396" w:type="dxa"/>
          </w:tcPr>
          <w:p w14:paraId="32B030F7" w14:textId="0F152B29" w:rsidR="003475CA" w:rsidRDefault="00D3349E" w:rsidP="001D2AD9">
            <w:r>
              <w:t>23,400</w:t>
            </w:r>
          </w:p>
        </w:tc>
        <w:tc>
          <w:tcPr>
            <w:tcW w:w="1396" w:type="dxa"/>
          </w:tcPr>
          <w:p w14:paraId="2C532FD3" w14:textId="45E833F6" w:rsidR="003475CA" w:rsidRDefault="00D3349E" w:rsidP="001D2AD9">
            <w:r>
              <w:t>622,000</w:t>
            </w:r>
          </w:p>
        </w:tc>
      </w:tr>
      <w:tr w:rsidR="00D3349E" w14:paraId="3F085AD6" w14:textId="77777777" w:rsidTr="003475CA">
        <w:tc>
          <w:tcPr>
            <w:tcW w:w="1395" w:type="dxa"/>
          </w:tcPr>
          <w:p w14:paraId="5A3D07E9" w14:textId="220155DC" w:rsidR="003475CA" w:rsidRPr="006B6DD2" w:rsidRDefault="00D3349E" w:rsidP="001D2AD9">
            <w:pPr>
              <w:rPr>
                <w:b/>
                <w:bCs/>
              </w:rPr>
            </w:pPr>
            <w:r w:rsidRPr="006B6DD2">
              <w:rPr>
                <w:b/>
                <w:bCs/>
              </w:rPr>
              <w:t>2024</w:t>
            </w:r>
          </w:p>
        </w:tc>
        <w:tc>
          <w:tcPr>
            <w:tcW w:w="1395" w:type="dxa"/>
          </w:tcPr>
          <w:p w14:paraId="72656EF3" w14:textId="134362EA" w:rsidR="003475CA" w:rsidRDefault="00D3349E" w:rsidP="001D2AD9">
            <w:r>
              <w:t>382,300</w:t>
            </w:r>
          </w:p>
        </w:tc>
        <w:tc>
          <w:tcPr>
            <w:tcW w:w="1395" w:type="dxa"/>
          </w:tcPr>
          <w:p w14:paraId="385E6367" w14:textId="52F92E56" w:rsidR="003475CA" w:rsidRDefault="00D3349E" w:rsidP="001D2AD9">
            <w:r>
              <w:t>51,400</w:t>
            </w:r>
          </w:p>
        </w:tc>
        <w:tc>
          <w:tcPr>
            <w:tcW w:w="1396" w:type="dxa"/>
          </w:tcPr>
          <w:p w14:paraId="18183B77" w14:textId="511BE50D" w:rsidR="003475CA" w:rsidRDefault="00D3349E" w:rsidP="001D2AD9">
            <w:r>
              <w:t>96,300</w:t>
            </w:r>
          </w:p>
        </w:tc>
        <w:tc>
          <w:tcPr>
            <w:tcW w:w="1396" w:type="dxa"/>
          </w:tcPr>
          <w:p w14:paraId="74ADFDEC" w14:textId="0DCB738E" w:rsidR="003475CA" w:rsidRDefault="00D3349E" w:rsidP="001D2AD9">
            <w:r>
              <w:t>92,000</w:t>
            </w:r>
          </w:p>
        </w:tc>
        <w:tc>
          <w:tcPr>
            <w:tcW w:w="1396" w:type="dxa"/>
          </w:tcPr>
          <w:p w14:paraId="51F341B1" w14:textId="3400BB0F" w:rsidR="003475CA" w:rsidRDefault="00D3349E" w:rsidP="001D2AD9">
            <w:r>
              <w:t>24,500</w:t>
            </w:r>
          </w:p>
        </w:tc>
        <w:tc>
          <w:tcPr>
            <w:tcW w:w="1396" w:type="dxa"/>
          </w:tcPr>
          <w:p w14:paraId="7C2BFFFC" w14:textId="19362BCA" w:rsidR="003475CA" w:rsidRDefault="00D3349E" w:rsidP="001D2AD9">
            <w:r>
              <w:t>646,600</w:t>
            </w:r>
          </w:p>
        </w:tc>
      </w:tr>
      <w:tr w:rsidR="00D3349E" w14:paraId="06B397B0" w14:textId="77777777" w:rsidTr="003475CA">
        <w:tc>
          <w:tcPr>
            <w:tcW w:w="1395" w:type="dxa"/>
          </w:tcPr>
          <w:p w14:paraId="3E9199FC" w14:textId="579D45FF" w:rsidR="003475CA" w:rsidRPr="006B6DD2" w:rsidRDefault="00D3349E" w:rsidP="001D2AD9">
            <w:pPr>
              <w:rPr>
                <w:b/>
                <w:bCs/>
              </w:rPr>
            </w:pPr>
            <w:r w:rsidRPr="006B6DD2">
              <w:rPr>
                <w:b/>
                <w:bCs/>
              </w:rPr>
              <w:t>2025</w:t>
            </w:r>
          </w:p>
        </w:tc>
        <w:tc>
          <w:tcPr>
            <w:tcW w:w="1395" w:type="dxa"/>
          </w:tcPr>
          <w:p w14:paraId="72CD3501" w14:textId="4802AB8F" w:rsidR="003475CA" w:rsidRDefault="00D3349E" w:rsidP="001D2AD9">
            <w:r>
              <w:t>387,300</w:t>
            </w:r>
          </w:p>
        </w:tc>
        <w:tc>
          <w:tcPr>
            <w:tcW w:w="1395" w:type="dxa"/>
          </w:tcPr>
          <w:p w14:paraId="45776D1C" w14:textId="272A8AA7" w:rsidR="003475CA" w:rsidRDefault="00D3349E" w:rsidP="001D2AD9">
            <w:r>
              <w:t>53,900</w:t>
            </w:r>
          </w:p>
        </w:tc>
        <w:tc>
          <w:tcPr>
            <w:tcW w:w="1396" w:type="dxa"/>
          </w:tcPr>
          <w:p w14:paraId="11A1ADDB" w14:textId="0AF894DF" w:rsidR="003475CA" w:rsidRDefault="00D3349E" w:rsidP="001D2AD9">
            <w:r>
              <w:t>97,600</w:t>
            </w:r>
          </w:p>
        </w:tc>
        <w:tc>
          <w:tcPr>
            <w:tcW w:w="1396" w:type="dxa"/>
          </w:tcPr>
          <w:p w14:paraId="02976681" w14:textId="686A565B" w:rsidR="003475CA" w:rsidRDefault="00D3349E" w:rsidP="001D2AD9">
            <w:r>
              <w:t>96,800</w:t>
            </w:r>
          </w:p>
        </w:tc>
        <w:tc>
          <w:tcPr>
            <w:tcW w:w="1396" w:type="dxa"/>
          </w:tcPr>
          <w:p w14:paraId="05442255" w14:textId="54233426" w:rsidR="003475CA" w:rsidRDefault="00D3349E" w:rsidP="001D2AD9">
            <w:r>
              <w:t>25,500</w:t>
            </w:r>
          </w:p>
        </w:tc>
        <w:tc>
          <w:tcPr>
            <w:tcW w:w="1396" w:type="dxa"/>
          </w:tcPr>
          <w:p w14:paraId="21E5C497" w14:textId="32C35612" w:rsidR="003475CA" w:rsidRDefault="00D3349E" w:rsidP="001D2AD9">
            <w:r>
              <w:t>661,200</w:t>
            </w:r>
          </w:p>
        </w:tc>
      </w:tr>
      <w:tr w:rsidR="00D3349E" w14:paraId="2C8ACC20" w14:textId="77777777" w:rsidTr="003475CA">
        <w:tc>
          <w:tcPr>
            <w:tcW w:w="1395" w:type="dxa"/>
          </w:tcPr>
          <w:p w14:paraId="32CEE011" w14:textId="542F6D79" w:rsidR="003475CA" w:rsidRPr="006B6DD2" w:rsidRDefault="00D3349E" w:rsidP="001D2AD9">
            <w:pPr>
              <w:rPr>
                <w:b/>
                <w:bCs/>
              </w:rPr>
            </w:pPr>
            <w:r w:rsidRPr="006B6DD2">
              <w:rPr>
                <w:b/>
                <w:bCs/>
              </w:rPr>
              <w:lastRenderedPageBreak/>
              <w:t>2026</w:t>
            </w:r>
          </w:p>
        </w:tc>
        <w:tc>
          <w:tcPr>
            <w:tcW w:w="1395" w:type="dxa"/>
          </w:tcPr>
          <w:p w14:paraId="4576B2F2" w14:textId="4AA69A25" w:rsidR="003475CA" w:rsidRDefault="00D3349E" w:rsidP="001D2AD9">
            <w:r>
              <w:t>393,800</w:t>
            </w:r>
          </w:p>
        </w:tc>
        <w:tc>
          <w:tcPr>
            <w:tcW w:w="1395" w:type="dxa"/>
          </w:tcPr>
          <w:p w14:paraId="75BBCA09" w14:textId="4B0275D4" w:rsidR="003475CA" w:rsidRDefault="00D3349E" w:rsidP="001D2AD9">
            <w:r>
              <w:t>55,700</w:t>
            </w:r>
          </w:p>
        </w:tc>
        <w:tc>
          <w:tcPr>
            <w:tcW w:w="1396" w:type="dxa"/>
          </w:tcPr>
          <w:p w14:paraId="4042B4CE" w14:textId="17102993" w:rsidR="003475CA" w:rsidRDefault="00D3349E" w:rsidP="001D2AD9">
            <w:r>
              <w:t>98,900</w:t>
            </w:r>
          </w:p>
        </w:tc>
        <w:tc>
          <w:tcPr>
            <w:tcW w:w="1396" w:type="dxa"/>
          </w:tcPr>
          <w:p w14:paraId="5A1F0E4A" w14:textId="32FDFD0F" w:rsidR="003475CA" w:rsidRDefault="00D3349E" w:rsidP="001D2AD9">
            <w:r>
              <w:t>100,800</w:t>
            </w:r>
          </w:p>
        </w:tc>
        <w:tc>
          <w:tcPr>
            <w:tcW w:w="1396" w:type="dxa"/>
          </w:tcPr>
          <w:p w14:paraId="74740359" w14:textId="27C235B1" w:rsidR="003475CA" w:rsidRDefault="00D3349E" w:rsidP="001D2AD9">
            <w:r>
              <w:t>26,800</w:t>
            </w:r>
          </w:p>
        </w:tc>
        <w:tc>
          <w:tcPr>
            <w:tcW w:w="1396" w:type="dxa"/>
          </w:tcPr>
          <w:p w14:paraId="21B15EB3" w14:textId="31CD50A4" w:rsidR="003475CA" w:rsidRDefault="00D3349E" w:rsidP="001D2AD9">
            <w:r>
              <w:t>676,000</w:t>
            </w:r>
          </w:p>
        </w:tc>
      </w:tr>
      <w:tr w:rsidR="00D3349E" w14:paraId="33C9E83D" w14:textId="77777777" w:rsidTr="003475CA">
        <w:tc>
          <w:tcPr>
            <w:tcW w:w="1395" w:type="dxa"/>
          </w:tcPr>
          <w:p w14:paraId="63C5ABF5" w14:textId="0922116F" w:rsidR="003475CA" w:rsidRPr="006B6DD2" w:rsidRDefault="00D3349E" w:rsidP="001D2AD9">
            <w:pPr>
              <w:rPr>
                <w:b/>
                <w:bCs/>
              </w:rPr>
            </w:pPr>
            <w:r w:rsidRPr="006B6DD2">
              <w:rPr>
                <w:b/>
                <w:bCs/>
              </w:rPr>
              <w:t>2027</w:t>
            </w:r>
          </w:p>
        </w:tc>
        <w:tc>
          <w:tcPr>
            <w:tcW w:w="1395" w:type="dxa"/>
          </w:tcPr>
          <w:p w14:paraId="3162C905" w14:textId="03C699BC" w:rsidR="003475CA" w:rsidRDefault="00D3349E" w:rsidP="001D2AD9">
            <w:r>
              <w:t>401,000</w:t>
            </w:r>
          </w:p>
        </w:tc>
        <w:tc>
          <w:tcPr>
            <w:tcW w:w="1395" w:type="dxa"/>
          </w:tcPr>
          <w:p w14:paraId="35C697B0" w14:textId="448AFA19" w:rsidR="003475CA" w:rsidRDefault="00D3349E" w:rsidP="001D2AD9">
            <w:r>
              <w:t>56,800</w:t>
            </w:r>
          </w:p>
        </w:tc>
        <w:tc>
          <w:tcPr>
            <w:tcW w:w="1396" w:type="dxa"/>
          </w:tcPr>
          <w:p w14:paraId="1EB610BC" w14:textId="625092F1" w:rsidR="003475CA" w:rsidRDefault="00D3349E" w:rsidP="001D2AD9">
            <w:r>
              <w:t>99,900</w:t>
            </w:r>
          </w:p>
        </w:tc>
        <w:tc>
          <w:tcPr>
            <w:tcW w:w="1396" w:type="dxa"/>
          </w:tcPr>
          <w:p w14:paraId="49ACAEF3" w14:textId="0CA5A4AD" w:rsidR="003475CA" w:rsidRDefault="00D3349E" w:rsidP="001D2AD9">
            <w:r>
              <w:t>103,500</w:t>
            </w:r>
          </w:p>
        </w:tc>
        <w:tc>
          <w:tcPr>
            <w:tcW w:w="1396" w:type="dxa"/>
          </w:tcPr>
          <w:p w14:paraId="00C07207" w14:textId="0257E5A1" w:rsidR="003475CA" w:rsidRDefault="00D3349E" w:rsidP="001D2AD9">
            <w:r>
              <w:t>28,100</w:t>
            </w:r>
          </w:p>
        </w:tc>
        <w:tc>
          <w:tcPr>
            <w:tcW w:w="1396" w:type="dxa"/>
          </w:tcPr>
          <w:p w14:paraId="71E33089" w14:textId="550022EF" w:rsidR="003475CA" w:rsidRDefault="00D3349E" w:rsidP="001D2AD9">
            <w:r>
              <w:t>689,300</w:t>
            </w:r>
          </w:p>
        </w:tc>
      </w:tr>
      <w:tr w:rsidR="00D3349E" w14:paraId="3C2401A2" w14:textId="77777777" w:rsidTr="003475CA">
        <w:tc>
          <w:tcPr>
            <w:tcW w:w="1395" w:type="dxa"/>
          </w:tcPr>
          <w:p w14:paraId="63DF43E6" w14:textId="723149AD" w:rsidR="003475CA" w:rsidRPr="006B6DD2" w:rsidRDefault="00D3349E" w:rsidP="001D2AD9">
            <w:pPr>
              <w:rPr>
                <w:b/>
                <w:bCs/>
              </w:rPr>
            </w:pPr>
            <w:r w:rsidRPr="006B6DD2">
              <w:rPr>
                <w:b/>
                <w:bCs/>
              </w:rPr>
              <w:t>2028</w:t>
            </w:r>
          </w:p>
        </w:tc>
        <w:tc>
          <w:tcPr>
            <w:tcW w:w="1395" w:type="dxa"/>
          </w:tcPr>
          <w:p w14:paraId="073CC34C" w14:textId="19EDEBF3" w:rsidR="003475CA" w:rsidRDefault="00D3349E" w:rsidP="001D2AD9">
            <w:r>
              <w:t>409,000</w:t>
            </w:r>
          </w:p>
        </w:tc>
        <w:tc>
          <w:tcPr>
            <w:tcW w:w="1395" w:type="dxa"/>
          </w:tcPr>
          <w:p w14:paraId="411CEDEF" w14:textId="732E0787" w:rsidR="003475CA" w:rsidRDefault="00D3349E" w:rsidP="001D2AD9">
            <w:r>
              <w:t>57,900</w:t>
            </w:r>
          </w:p>
        </w:tc>
        <w:tc>
          <w:tcPr>
            <w:tcW w:w="1396" w:type="dxa"/>
          </w:tcPr>
          <w:p w14:paraId="0DE0D3ED" w14:textId="0DED3E1C" w:rsidR="003475CA" w:rsidRDefault="00D3349E" w:rsidP="001D2AD9">
            <w:r>
              <w:t>100,800</w:t>
            </w:r>
          </w:p>
        </w:tc>
        <w:tc>
          <w:tcPr>
            <w:tcW w:w="1396" w:type="dxa"/>
          </w:tcPr>
          <w:p w14:paraId="052EE65F" w14:textId="3ECF3788" w:rsidR="003475CA" w:rsidRDefault="00D3349E" w:rsidP="001D2AD9">
            <w:r>
              <w:t>106,600</w:t>
            </w:r>
          </w:p>
        </w:tc>
        <w:tc>
          <w:tcPr>
            <w:tcW w:w="1396" w:type="dxa"/>
          </w:tcPr>
          <w:p w14:paraId="7348719F" w14:textId="797A455B" w:rsidR="003475CA" w:rsidRDefault="00D3349E" w:rsidP="001D2AD9">
            <w:r>
              <w:t>29,300</w:t>
            </w:r>
          </w:p>
        </w:tc>
        <w:tc>
          <w:tcPr>
            <w:tcW w:w="1396" w:type="dxa"/>
          </w:tcPr>
          <w:p w14:paraId="3D3BD9EC" w14:textId="0686AFAD" w:rsidR="003475CA" w:rsidRDefault="00D3349E" w:rsidP="001D2AD9">
            <w:r>
              <w:t>703,600</w:t>
            </w:r>
          </w:p>
        </w:tc>
      </w:tr>
      <w:tr w:rsidR="00D3349E" w14:paraId="7272A663" w14:textId="77777777" w:rsidTr="003475CA">
        <w:tc>
          <w:tcPr>
            <w:tcW w:w="1395" w:type="dxa"/>
          </w:tcPr>
          <w:p w14:paraId="4C5F87F5" w14:textId="708329B2" w:rsidR="003475CA" w:rsidRPr="006B6DD2" w:rsidRDefault="00D3349E" w:rsidP="001D2AD9">
            <w:pPr>
              <w:rPr>
                <w:b/>
                <w:bCs/>
              </w:rPr>
            </w:pPr>
            <w:r w:rsidRPr="006B6DD2">
              <w:rPr>
                <w:b/>
                <w:bCs/>
              </w:rPr>
              <w:t>2029</w:t>
            </w:r>
          </w:p>
        </w:tc>
        <w:tc>
          <w:tcPr>
            <w:tcW w:w="1395" w:type="dxa"/>
          </w:tcPr>
          <w:p w14:paraId="07EF8F42" w14:textId="4602DAEA" w:rsidR="003475CA" w:rsidRDefault="00D3349E" w:rsidP="001D2AD9">
            <w:r>
              <w:t>416,100</w:t>
            </w:r>
          </w:p>
        </w:tc>
        <w:tc>
          <w:tcPr>
            <w:tcW w:w="1395" w:type="dxa"/>
          </w:tcPr>
          <w:p w14:paraId="0C5794DF" w14:textId="38B2944D" w:rsidR="003475CA" w:rsidRDefault="00D3349E" w:rsidP="001D2AD9">
            <w:r>
              <w:t>59,100</w:t>
            </w:r>
          </w:p>
        </w:tc>
        <w:tc>
          <w:tcPr>
            <w:tcW w:w="1396" w:type="dxa"/>
          </w:tcPr>
          <w:p w14:paraId="16F6E3D7" w14:textId="7A84E5D3" w:rsidR="003475CA" w:rsidRDefault="00D3349E" w:rsidP="001D2AD9">
            <w:r>
              <w:t>101,700</w:t>
            </w:r>
          </w:p>
        </w:tc>
        <w:tc>
          <w:tcPr>
            <w:tcW w:w="1396" w:type="dxa"/>
          </w:tcPr>
          <w:p w14:paraId="188F64C2" w14:textId="6C3CF8FD" w:rsidR="003475CA" w:rsidRDefault="00D3349E" w:rsidP="001D2AD9">
            <w:r>
              <w:t>109,400</w:t>
            </w:r>
          </w:p>
        </w:tc>
        <w:tc>
          <w:tcPr>
            <w:tcW w:w="1396" w:type="dxa"/>
          </w:tcPr>
          <w:p w14:paraId="50191C0D" w14:textId="758FD7D7" w:rsidR="003475CA" w:rsidRDefault="00D3349E" w:rsidP="001D2AD9">
            <w:r>
              <w:t>30,200</w:t>
            </w:r>
          </w:p>
        </w:tc>
        <w:tc>
          <w:tcPr>
            <w:tcW w:w="1396" w:type="dxa"/>
          </w:tcPr>
          <w:p w14:paraId="6E55F3B0" w14:textId="0D7623E8" w:rsidR="003475CA" w:rsidRDefault="00D3349E" w:rsidP="001D2AD9">
            <w:r>
              <w:t>716,500</w:t>
            </w:r>
          </w:p>
        </w:tc>
      </w:tr>
      <w:tr w:rsidR="00D3349E" w14:paraId="0DE9CE53" w14:textId="77777777" w:rsidTr="003475CA">
        <w:tc>
          <w:tcPr>
            <w:tcW w:w="1395" w:type="dxa"/>
          </w:tcPr>
          <w:p w14:paraId="10CADF5F" w14:textId="4499CA7B" w:rsidR="00D3349E" w:rsidRPr="006B6DD2" w:rsidRDefault="00D3349E" w:rsidP="001D2AD9">
            <w:pPr>
              <w:rPr>
                <w:b/>
                <w:bCs/>
              </w:rPr>
            </w:pPr>
            <w:r w:rsidRPr="006B6DD2">
              <w:rPr>
                <w:b/>
                <w:bCs/>
              </w:rPr>
              <w:t>2030</w:t>
            </w:r>
          </w:p>
        </w:tc>
        <w:tc>
          <w:tcPr>
            <w:tcW w:w="1395" w:type="dxa"/>
          </w:tcPr>
          <w:p w14:paraId="51E7F0BD" w14:textId="6B1E2471" w:rsidR="00D3349E" w:rsidRDefault="00D3349E" w:rsidP="001D2AD9">
            <w:r>
              <w:t>423,300</w:t>
            </w:r>
          </w:p>
        </w:tc>
        <w:tc>
          <w:tcPr>
            <w:tcW w:w="1395" w:type="dxa"/>
          </w:tcPr>
          <w:p w14:paraId="4A0B6976" w14:textId="2E01DF5C" w:rsidR="00D3349E" w:rsidRDefault="00D3349E" w:rsidP="001D2AD9">
            <w:r>
              <w:t>60,300</w:t>
            </w:r>
          </w:p>
        </w:tc>
        <w:tc>
          <w:tcPr>
            <w:tcW w:w="1396" w:type="dxa"/>
          </w:tcPr>
          <w:p w14:paraId="32D9B5CD" w14:textId="04C78CA2" w:rsidR="00D3349E" w:rsidRDefault="00D3349E" w:rsidP="001D2AD9">
            <w:r>
              <w:t>102,600</w:t>
            </w:r>
          </w:p>
        </w:tc>
        <w:tc>
          <w:tcPr>
            <w:tcW w:w="1396" w:type="dxa"/>
          </w:tcPr>
          <w:p w14:paraId="65203C75" w14:textId="6D27449F" w:rsidR="00D3349E" w:rsidRDefault="00D3349E" w:rsidP="001D2AD9">
            <w:r>
              <w:t>112,500</w:t>
            </w:r>
          </w:p>
        </w:tc>
        <w:tc>
          <w:tcPr>
            <w:tcW w:w="1396" w:type="dxa"/>
          </w:tcPr>
          <w:p w14:paraId="20BC3D2E" w14:textId="3435F942" w:rsidR="00D3349E" w:rsidRDefault="00D3349E" w:rsidP="001D2AD9">
            <w:r>
              <w:t>31,000</w:t>
            </w:r>
          </w:p>
        </w:tc>
        <w:tc>
          <w:tcPr>
            <w:tcW w:w="1396" w:type="dxa"/>
          </w:tcPr>
          <w:p w14:paraId="7083DE08" w14:textId="265F5DD4" w:rsidR="00D3349E" w:rsidRDefault="00D3349E" w:rsidP="001D2AD9">
            <w:r>
              <w:t>729,700</w:t>
            </w:r>
          </w:p>
        </w:tc>
      </w:tr>
      <w:tr w:rsidR="00D3349E" w14:paraId="21FAFECE" w14:textId="77777777" w:rsidTr="003475CA">
        <w:tc>
          <w:tcPr>
            <w:tcW w:w="1395" w:type="dxa"/>
          </w:tcPr>
          <w:p w14:paraId="72DC18CF" w14:textId="6AEE5F00" w:rsidR="00D3349E" w:rsidRPr="006B6DD2" w:rsidRDefault="00D3349E" w:rsidP="001D2AD9">
            <w:pPr>
              <w:rPr>
                <w:b/>
                <w:bCs/>
              </w:rPr>
            </w:pPr>
            <w:r w:rsidRPr="006B6DD2">
              <w:rPr>
                <w:b/>
                <w:bCs/>
              </w:rPr>
              <w:t>2031</w:t>
            </w:r>
          </w:p>
        </w:tc>
        <w:tc>
          <w:tcPr>
            <w:tcW w:w="1395" w:type="dxa"/>
          </w:tcPr>
          <w:p w14:paraId="00B0AC9F" w14:textId="7044F90D" w:rsidR="00D3349E" w:rsidRDefault="00D3349E" w:rsidP="001D2AD9">
            <w:r>
              <w:t>430,300</w:t>
            </w:r>
          </w:p>
        </w:tc>
        <w:tc>
          <w:tcPr>
            <w:tcW w:w="1395" w:type="dxa"/>
          </w:tcPr>
          <w:p w14:paraId="14DB0723" w14:textId="6D86BBD2" w:rsidR="00D3349E" w:rsidRDefault="00D3349E" w:rsidP="001D2AD9">
            <w:r>
              <w:t>61,300</w:t>
            </w:r>
          </w:p>
        </w:tc>
        <w:tc>
          <w:tcPr>
            <w:tcW w:w="1396" w:type="dxa"/>
          </w:tcPr>
          <w:p w14:paraId="31AD861C" w14:textId="25F34CEB" w:rsidR="00D3349E" w:rsidRDefault="00D3349E" w:rsidP="001D2AD9">
            <w:r>
              <w:t>103,300</w:t>
            </w:r>
          </w:p>
        </w:tc>
        <w:tc>
          <w:tcPr>
            <w:tcW w:w="1396" w:type="dxa"/>
          </w:tcPr>
          <w:p w14:paraId="68FEAE95" w14:textId="57D7D1D0" w:rsidR="00D3349E" w:rsidRDefault="00D3349E" w:rsidP="001D2AD9">
            <w:r>
              <w:t>115,400</w:t>
            </w:r>
          </w:p>
        </w:tc>
        <w:tc>
          <w:tcPr>
            <w:tcW w:w="1396" w:type="dxa"/>
          </w:tcPr>
          <w:p w14:paraId="0D7C7A7D" w14:textId="3A1E3C42" w:rsidR="00D3349E" w:rsidRDefault="00D3349E" w:rsidP="001D2AD9">
            <w:r>
              <w:t>31,600</w:t>
            </w:r>
          </w:p>
        </w:tc>
        <w:tc>
          <w:tcPr>
            <w:tcW w:w="1396" w:type="dxa"/>
          </w:tcPr>
          <w:p w14:paraId="7B73BBDD" w14:textId="6550A2B7" w:rsidR="00D3349E" w:rsidRDefault="00D3349E" w:rsidP="001D2AD9">
            <w:r>
              <w:t>742,000</w:t>
            </w:r>
          </w:p>
        </w:tc>
      </w:tr>
      <w:tr w:rsidR="00D3349E" w14:paraId="4CA9700B" w14:textId="77777777" w:rsidTr="003475CA">
        <w:tc>
          <w:tcPr>
            <w:tcW w:w="1395" w:type="dxa"/>
          </w:tcPr>
          <w:p w14:paraId="1E554BF5" w14:textId="40F2E0C0" w:rsidR="00D3349E" w:rsidRPr="006B6DD2" w:rsidRDefault="00D3349E" w:rsidP="001D2AD9">
            <w:pPr>
              <w:rPr>
                <w:b/>
                <w:bCs/>
              </w:rPr>
            </w:pPr>
            <w:r w:rsidRPr="006B6DD2">
              <w:rPr>
                <w:b/>
                <w:bCs/>
              </w:rPr>
              <w:t>2032</w:t>
            </w:r>
          </w:p>
        </w:tc>
        <w:tc>
          <w:tcPr>
            <w:tcW w:w="1395" w:type="dxa"/>
          </w:tcPr>
          <w:p w14:paraId="494FBE3C" w14:textId="1A26348E" w:rsidR="00D3349E" w:rsidRDefault="00D3349E" w:rsidP="001D2AD9">
            <w:r>
              <w:t>436,500</w:t>
            </w:r>
          </w:p>
        </w:tc>
        <w:tc>
          <w:tcPr>
            <w:tcW w:w="1395" w:type="dxa"/>
          </w:tcPr>
          <w:p w14:paraId="1341E189" w14:textId="410C36D1" w:rsidR="00D3349E" w:rsidRDefault="00D3349E" w:rsidP="001D2AD9">
            <w:r>
              <w:t>62,100</w:t>
            </w:r>
          </w:p>
        </w:tc>
        <w:tc>
          <w:tcPr>
            <w:tcW w:w="1396" w:type="dxa"/>
          </w:tcPr>
          <w:p w14:paraId="61760129" w14:textId="65F90B36" w:rsidR="00D3349E" w:rsidRDefault="00D3349E" w:rsidP="001D2AD9">
            <w:r>
              <w:t>104,100</w:t>
            </w:r>
          </w:p>
        </w:tc>
        <w:tc>
          <w:tcPr>
            <w:tcW w:w="1396" w:type="dxa"/>
          </w:tcPr>
          <w:p w14:paraId="07176B2C" w14:textId="59E552FF" w:rsidR="00D3349E" w:rsidRDefault="00D3349E" w:rsidP="001D2AD9">
            <w:r>
              <w:t>118,100</w:t>
            </w:r>
          </w:p>
        </w:tc>
        <w:tc>
          <w:tcPr>
            <w:tcW w:w="1396" w:type="dxa"/>
          </w:tcPr>
          <w:p w14:paraId="28773254" w14:textId="0F4980A3" w:rsidR="00D3349E" w:rsidRDefault="00D3349E" w:rsidP="001D2AD9">
            <w:r>
              <w:t>32,300</w:t>
            </w:r>
          </w:p>
        </w:tc>
        <w:tc>
          <w:tcPr>
            <w:tcW w:w="1396" w:type="dxa"/>
          </w:tcPr>
          <w:p w14:paraId="7FD294F5" w14:textId="1CECB075" w:rsidR="00D3349E" w:rsidRDefault="00D3349E" w:rsidP="001D2AD9">
            <w:r>
              <w:t>753,200</w:t>
            </w:r>
          </w:p>
        </w:tc>
      </w:tr>
      <w:tr w:rsidR="00D3349E" w14:paraId="0829B80E" w14:textId="77777777" w:rsidTr="003475CA">
        <w:tc>
          <w:tcPr>
            <w:tcW w:w="1395" w:type="dxa"/>
          </w:tcPr>
          <w:p w14:paraId="53B16A3E" w14:textId="559F62F8" w:rsidR="00D3349E" w:rsidRPr="006B6DD2" w:rsidRDefault="00D3349E" w:rsidP="001D2AD9">
            <w:pPr>
              <w:rPr>
                <w:b/>
                <w:bCs/>
              </w:rPr>
            </w:pPr>
            <w:r w:rsidRPr="006B6DD2">
              <w:rPr>
                <w:b/>
                <w:bCs/>
              </w:rPr>
              <w:t>2033</w:t>
            </w:r>
          </w:p>
        </w:tc>
        <w:tc>
          <w:tcPr>
            <w:tcW w:w="1395" w:type="dxa"/>
          </w:tcPr>
          <w:p w14:paraId="5845C0F6" w14:textId="08D4135C" w:rsidR="00D3349E" w:rsidRDefault="00D3349E" w:rsidP="001D2AD9">
            <w:r>
              <w:t>442,400</w:t>
            </w:r>
          </w:p>
        </w:tc>
        <w:tc>
          <w:tcPr>
            <w:tcW w:w="1395" w:type="dxa"/>
          </w:tcPr>
          <w:p w14:paraId="0708818D" w14:textId="66FDA898" w:rsidR="00D3349E" w:rsidRDefault="00D3349E" w:rsidP="001D2AD9">
            <w:r>
              <w:t>62,800</w:t>
            </w:r>
          </w:p>
        </w:tc>
        <w:tc>
          <w:tcPr>
            <w:tcW w:w="1396" w:type="dxa"/>
          </w:tcPr>
          <w:p w14:paraId="6C5EAC14" w14:textId="0AE403D9" w:rsidR="00D3349E" w:rsidRDefault="00D3349E" w:rsidP="001D2AD9">
            <w:r>
              <w:t>104,700</w:t>
            </w:r>
          </w:p>
        </w:tc>
        <w:tc>
          <w:tcPr>
            <w:tcW w:w="1396" w:type="dxa"/>
          </w:tcPr>
          <w:p w14:paraId="06FC5B67" w14:textId="7895AB5F" w:rsidR="00D3349E" w:rsidRDefault="00D3349E" w:rsidP="001D2AD9">
            <w:r>
              <w:t>120,600</w:t>
            </w:r>
          </w:p>
        </w:tc>
        <w:tc>
          <w:tcPr>
            <w:tcW w:w="1396" w:type="dxa"/>
          </w:tcPr>
          <w:p w14:paraId="1A4B33B2" w14:textId="00D68B59" w:rsidR="00D3349E" w:rsidRDefault="00D3349E" w:rsidP="001D2AD9">
            <w:r>
              <w:t>33,000</w:t>
            </w:r>
          </w:p>
        </w:tc>
        <w:tc>
          <w:tcPr>
            <w:tcW w:w="1396" w:type="dxa"/>
          </w:tcPr>
          <w:p w14:paraId="520AECC2" w14:textId="65AFA6F2" w:rsidR="00D3349E" w:rsidRDefault="00D3349E" w:rsidP="001D2AD9">
            <w:r>
              <w:t>763,500</w:t>
            </w:r>
          </w:p>
        </w:tc>
      </w:tr>
      <w:tr w:rsidR="00D3349E" w14:paraId="55E2873E" w14:textId="77777777" w:rsidTr="003475CA">
        <w:tc>
          <w:tcPr>
            <w:tcW w:w="1395" w:type="dxa"/>
          </w:tcPr>
          <w:p w14:paraId="059F78EA" w14:textId="1A467842" w:rsidR="00D3349E" w:rsidRPr="006B6DD2" w:rsidRDefault="00D3349E" w:rsidP="001D2AD9">
            <w:pPr>
              <w:rPr>
                <w:b/>
                <w:bCs/>
              </w:rPr>
            </w:pPr>
            <w:r w:rsidRPr="006B6DD2">
              <w:rPr>
                <w:b/>
                <w:bCs/>
              </w:rPr>
              <w:t>2034</w:t>
            </w:r>
          </w:p>
        </w:tc>
        <w:tc>
          <w:tcPr>
            <w:tcW w:w="1395" w:type="dxa"/>
          </w:tcPr>
          <w:p w14:paraId="51EE5810" w14:textId="1494AA3D" w:rsidR="00D3349E" w:rsidRDefault="00D3349E" w:rsidP="001D2AD9">
            <w:r>
              <w:t>447,900</w:t>
            </w:r>
          </w:p>
        </w:tc>
        <w:tc>
          <w:tcPr>
            <w:tcW w:w="1395" w:type="dxa"/>
          </w:tcPr>
          <w:p w14:paraId="3FB53A59" w14:textId="262477AD" w:rsidR="00D3349E" w:rsidRDefault="00D3349E" w:rsidP="001D2AD9">
            <w:r>
              <w:t>63,400</w:t>
            </w:r>
          </w:p>
        </w:tc>
        <w:tc>
          <w:tcPr>
            <w:tcW w:w="1396" w:type="dxa"/>
          </w:tcPr>
          <w:p w14:paraId="268C4EB0" w14:textId="27BC9490" w:rsidR="00D3349E" w:rsidRDefault="00D3349E" w:rsidP="001D2AD9">
            <w:r>
              <w:t>105,300</w:t>
            </w:r>
          </w:p>
        </w:tc>
        <w:tc>
          <w:tcPr>
            <w:tcW w:w="1396" w:type="dxa"/>
          </w:tcPr>
          <w:p w14:paraId="6FB36E0E" w14:textId="7DB8225A" w:rsidR="00D3349E" w:rsidRDefault="00D3349E" w:rsidP="001D2AD9">
            <w:r>
              <w:t>122,900</w:t>
            </w:r>
          </w:p>
        </w:tc>
        <w:tc>
          <w:tcPr>
            <w:tcW w:w="1396" w:type="dxa"/>
          </w:tcPr>
          <w:p w14:paraId="51921129" w14:textId="30F52094" w:rsidR="00D3349E" w:rsidRDefault="00D3349E" w:rsidP="001D2AD9">
            <w:r>
              <w:t>33,600</w:t>
            </w:r>
          </w:p>
        </w:tc>
        <w:tc>
          <w:tcPr>
            <w:tcW w:w="1396" w:type="dxa"/>
          </w:tcPr>
          <w:p w14:paraId="6BA93852" w14:textId="1DBEB118" w:rsidR="00D3349E" w:rsidRDefault="00D3349E" w:rsidP="001D2AD9">
            <w:r>
              <w:t>773,000</w:t>
            </w:r>
          </w:p>
        </w:tc>
      </w:tr>
      <w:tr w:rsidR="00D3349E" w14:paraId="4F986C9E" w14:textId="77777777" w:rsidTr="003475CA">
        <w:tc>
          <w:tcPr>
            <w:tcW w:w="1395" w:type="dxa"/>
          </w:tcPr>
          <w:p w14:paraId="54F99D4E" w14:textId="016FB9E9" w:rsidR="00D3349E" w:rsidRPr="006B6DD2" w:rsidRDefault="00D3349E" w:rsidP="001D2AD9">
            <w:pPr>
              <w:rPr>
                <w:b/>
                <w:bCs/>
              </w:rPr>
            </w:pPr>
            <w:r w:rsidRPr="006B6DD2">
              <w:rPr>
                <w:b/>
                <w:bCs/>
              </w:rPr>
              <w:t>2035</w:t>
            </w:r>
          </w:p>
        </w:tc>
        <w:tc>
          <w:tcPr>
            <w:tcW w:w="1395" w:type="dxa"/>
          </w:tcPr>
          <w:p w14:paraId="0714ACE1" w14:textId="32390AAA" w:rsidR="00D3349E" w:rsidRDefault="00D3349E" w:rsidP="001D2AD9">
            <w:r>
              <w:t>453,300</w:t>
            </w:r>
          </w:p>
        </w:tc>
        <w:tc>
          <w:tcPr>
            <w:tcW w:w="1395" w:type="dxa"/>
          </w:tcPr>
          <w:p w14:paraId="3F38EAA9" w14:textId="39E35E09" w:rsidR="00D3349E" w:rsidRDefault="00D3349E" w:rsidP="001D2AD9">
            <w:r>
              <w:t>64,100</w:t>
            </w:r>
          </w:p>
        </w:tc>
        <w:tc>
          <w:tcPr>
            <w:tcW w:w="1396" w:type="dxa"/>
          </w:tcPr>
          <w:p w14:paraId="058F34B5" w14:textId="7537BF2E" w:rsidR="00D3349E" w:rsidRDefault="00D3349E" w:rsidP="001D2AD9">
            <w:r>
              <w:t>105,800</w:t>
            </w:r>
          </w:p>
        </w:tc>
        <w:tc>
          <w:tcPr>
            <w:tcW w:w="1396" w:type="dxa"/>
          </w:tcPr>
          <w:p w14:paraId="61E5B907" w14:textId="7E69A56F" w:rsidR="00D3349E" w:rsidRDefault="00D3349E" w:rsidP="001D2AD9">
            <w:r>
              <w:t>125,200</w:t>
            </w:r>
          </w:p>
        </w:tc>
        <w:tc>
          <w:tcPr>
            <w:tcW w:w="1396" w:type="dxa"/>
          </w:tcPr>
          <w:p w14:paraId="44F82100" w14:textId="0C945ECF" w:rsidR="00D3349E" w:rsidRDefault="00D3349E" w:rsidP="001D2AD9">
            <w:r>
              <w:t>34,100</w:t>
            </w:r>
          </w:p>
        </w:tc>
        <w:tc>
          <w:tcPr>
            <w:tcW w:w="1396" w:type="dxa"/>
          </w:tcPr>
          <w:p w14:paraId="7E16E692" w14:textId="4B2F1D39" w:rsidR="00D3349E" w:rsidRDefault="00D3349E" w:rsidP="001D2AD9">
            <w:r>
              <w:t>782,400</w:t>
            </w:r>
          </w:p>
        </w:tc>
      </w:tr>
      <w:tr w:rsidR="00D3349E" w14:paraId="38FC6E67" w14:textId="77777777" w:rsidTr="00895F19">
        <w:trPr>
          <w:trHeight w:val="300"/>
        </w:trPr>
        <w:tc>
          <w:tcPr>
            <w:tcW w:w="1395" w:type="dxa"/>
          </w:tcPr>
          <w:p w14:paraId="6DE1862A" w14:textId="2A3F7FDD" w:rsidR="00D3349E" w:rsidRPr="006B6DD2" w:rsidRDefault="00D3349E" w:rsidP="001D2AD9">
            <w:pPr>
              <w:rPr>
                <w:b/>
                <w:bCs/>
              </w:rPr>
            </w:pPr>
            <w:r w:rsidRPr="006B6DD2">
              <w:rPr>
                <w:b/>
                <w:bCs/>
              </w:rPr>
              <w:t>2036</w:t>
            </w:r>
          </w:p>
        </w:tc>
        <w:tc>
          <w:tcPr>
            <w:tcW w:w="1395" w:type="dxa"/>
          </w:tcPr>
          <w:p w14:paraId="7FE4DBEF" w14:textId="1C5057CE" w:rsidR="00D3349E" w:rsidRDefault="00D3349E" w:rsidP="001D2AD9">
            <w:r>
              <w:t>458,800</w:t>
            </w:r>
          </w:p>
        </w:tc>
        <w:tc>
          <w:tcPr>
            <w:tcW w:w="1395" w:type="dxa"/>
          </w:tcPr>
          <w:p w14:paraId="09D66892" w14:textId="0A71D693" w:rsidR="00D3349E" w:rsidRDefault="00D3349E" w:rsidP="001D2AD9">
            <w:r>
              <w:t>64,700</w:t>
            </w:r>
          </w:p>
        </w:tc>
        <w:tc>
          <w:tcPr>
            <w:tcW w:w="1396" w:type="dxa"/>
          </w:tcPr>
          <w:p w14:paraId="01766F8D" w14:textId="41E1034F" w:rsidR="00D3349E" w:rsidRDefault="00D3349E" w:rsidP="001D2AD9">
            <w:r>
              <w:t>106,400</w:t>
            </w:r>
          </w:p>
        </w:tc>
        <w:tc>
          <w:tcPr>
            <w:tcW w:w="1396" w:type="dxa"/>
          </w:tcPr>
          <w:p w14:paraId="37A224C7" w14:textId="4DAB3491" w:rsidR="00D3349E" w:rsidRDefault="00D3349E" w:rsidP="001D2AD9">
            <w:r>
              <w:t>127,400</w:t>
            </w:r>
          </w:p>
        </w:tc>
        <w:tc>
          <w:tcPr>
            <w:tcW w:w="1396" w:type="dxa"/>
          </w:tcPr>
          <w:p w14:paraId="6269B4BE" w14:textId="7CE47770" w:rsidR="00D3349E" w:rsidRDefault="00D3349E" w:rsidP="001D2AD9">
            <w:r>
              <w:t>34,700</w:t>
            </w:r>
          </w:p>
        </w:tc>
        <w:tc>
          <w:tcPr>
            <w:tcW w:w="1396" w:type="dxa"/>
          </w:tcPr>
          <w:p w14:paraId="0C47C926" w14:textId="2C54E0BA" w:rsidR="00D3349E" w:rsidRDefault="00D3349E" w:rsidP="001D2AD9">
            <w:r>
              <w:t>792,000</w:t>
            </w:r>
          </w:p>
        </w:tc>
      </w:tr>
      <w:tr w:rsidR="00D3349E" w14:paraId="6FA119F1" w14:textId="77777777" w:rsidTr="003475CA">
        <w:tc>
          <w:tcPr>
            <w:tcW w:w="1395" w:type="dxa"/>
          </w:tcPr>
          <w:p w14:paraId="2573BA97" w14:textId="78692054" w:rsidR="00D3349E" w:rsidRPr="006B6DD2" w:rsidRDefault="00D3349E" w:rsidP="001D2AD9">
            <w:pPr>
              <w:rPr>
                <w:b/>
                <w:bCs/>
              </w:rPr>
            </w:pPr>
            <w:r w:rsidRPr="006B6DD2">
              <w:rPr>
                <w:b/>
                <w:bCs/>
              </w:rPr>
              <w:t>2037</w:t>
            </w:r>
          </w:p>
        </w:tc>
        <w:tc>
          <w:tcPr>
            <w:tcW w:w="1395" w:type="dxa"/>
          </w:tcPr>
          <w:p w14:paraId="63C9E7FA" w14:textId="689D90A1" w:rsidR="00D3349E" w:rsidRDefault="00CA70B1" w:rsidP="001D2AD9">
            <w:r>
              <w:t>463,600</w:t>
            </w:r>
          </w:p>
        </w:tc>
        <w:tc>
          <w:tcPr>
            <w:tcW w:w="1395" w:type="dxa"/>
          </w:tcPr>
          <w:p w14:paraId="53D559B4" w14:textId="3380B01B" w:rsidR="00D3349E" w:rsidRDefault="00CA70B1" w:rsidP="001D2AD9">
            <w:r>
              <w:t>65,300</w:t>
            </w:r>
          </w:p>
        </w:tc>
        <w:tc>
          <w:tcPr>
            <w:tcW w:w="1396" w:type="dxa"/>
          </w:tcPr>
          <w:p w14:paraId="3ADF4035" w14:textId="4C05176E" w:rsidR="00D3349E" w:rsidRDefault="00CA70B1" w:rsidP="001D2AD9">
            <w:r>
              <w:t>106,700</w:t>
            </w:r>
          </w:p>
        </w:tc>
        <w:tc>
          <w:tcPr>
            <w:tcW w:w="1396" w:type="dxa"/>
          </w:tcPr>
          <w:p w14:paraId="21AF07B9" w14:textId="7A0DD70E" w:rsidR="00D3349E" w:rsidRDefault="00CA70B1" w:rsidP="001D2AD9">
            <w:r>
              <w:t>129,300</w:t>
            </w:r>
          </w:p>
        </w:tc>
        <w:tc>
          <w:tcPr>
            <w:tcW w:w="1396" w:type="dxa"/>
          </w:tcPr>
          <w:p w14:paraId="52C80F36" w14:textId="53307113" w:rsidR="00D3349E" w:rsidRDefault="00CA70B1" w:rsidP="001D2AD9">
            <w:r>
              <w:t>35,100</w:t>
            </w:r>
          </w:p>
        </w:tc>
        <w:tc>
          <w:tcPr>
            <w:tcW w:w="1396" w:type="dxa"/>
          </w:tcPr>
          <w:p w14:paraId="5FFC5DA3" w14:textId="2F9A1927" w:rsidR="00D3349E" w:rsidRDefault="00CA70B1" w:rsidP="001D2AD9">
            <w:r>
              <w:t>800,100</w:t>
            </w:r>
          </w:p>
        </w:tc>
      </w:tr>
      <w:tr w:rsidR="00D3349E" w14:paraId="58CBFCDD" w14:textId="77777777" w:rsidTr="003475CA">
        <w:tc>
          <w:tcPr>
            <w:tcW w:w="1395" w:type="dxa"/>
          </w:tcPr>
          <w:p w14:paraId="54043A5B" w14:textId="28029B34" w:rsidR="00D3349E" w:rsidRPr="006B6DD2" w:rsidRDefault="00D3349E" w:rsidP="001D2AD9">
            <w:pPr>
              <w:rPr>
                <w:b/>
                <w:bCs/>
              </w:rPr>
            </w:pPr>
            <w:r w:rsidRPr="006B6DD2">
              <w:rPr>
                <w:b/>
                <w:bCs/>
              </w:rPr>
              <w:t>2038</w:t>
            </w:r>
          </w:p>
        </w:tc>
        <w:tc>
          <w:tcPr>
            <w:tcW w:w="1395" w:type="dxa"/>
          </w:tcPr>
          <w:p w14:paraId="413F8A2D" w14:textId="614C54D3" w:rsidR="00D3349E" w:rsidRDefault="00CA70B1" w:rsidP="001D2AD9">
            <w:r>
              <w:t>468,600</w:t>
            </w:r>
          </w:p>
        </w:tc>
        <w:tc>
          <w:tcPr>
            <w:tcW w:w="1395" w:type="dxa"/>
          </w:tcPr>
          <w:p w14:paraId="3DA4C760" w14:textId="505FCEFE" w:rsidR="00D3349E" w:rsidRDefault="00CA70B1" w:rsidP="001D2AD9">
            <w:r>
              <w:t>65,900</w:t>
            </w:r>
          </w:p>
        </w:tc>
        <w:tc>
          <w:tcPr>
            <w:tcW w:w="1396" w:type="dxa"/>
          </w:tcPr>
          <w:p w14:paraId="75817E58" w14:textId="34B34E41" w:rsidR="00D3349E" w:rsidRDefault="00CA70B1" w:rsidP="001D2AD9">
            <w:r>
              <w:t>107,100</w:t>
            </w:r>
          </w:p>
        </w:tc>
        <w:tc>
          <w:tcPr>
            <w:tcW w:w="1396" w:type="dxa"/>
          </w:tcPr>
          <w:p w14:paraId="03D8F952" w14:textId="1EF8A733" w:rsidR="00D3349E" w:rsidRDefault="00CA70B1" w:rsidP="001D2AD9">
            <w:r>
              <w:t>131,200</w:t>
            </w:r>
          </w:p>
        </w:tc>
        <w:tc>
          <w:tcPr>
            <w:tcW w:w="1396" w:type="dxa"/>
          </w:tcPr>
          <w:p w14:paraId="35E1824D" w14:textId="543F0442" w:rsidR="00D3349E" w:rsidRDefault="00CA70B1" w:rsidP="001D2AD9">
            <w:r>
              <w:t>35,500</w:t>
            </w:r>
          </w:p>
        </w:tc>
        <w:tc>
          <w:tcPr>
            <w:tcW w:w="1396" w:type="dxa"/>
          </w:tcPr>
          <w:p w14:paraId="275090B3" w14:textId="24860B21" w:rsidR="00D3349E" w:rsidRDefault="00CA70B1" w:rsidP="001D2AD9">
            <w:r>
              <w:t>808,300</w:t>
            </w:r>
          </w:p>
        </w:tc>
      </w:tr>
      <w:tr w:rsidR="00D3349E" w14:paraId="32561065" w14:textId="77777777" w:rsidTr="003475CA">
        <w:tc>
          <w:tcPr>
            <w:tcW w:w="1395" w:type="dxa"/>
          </w:tcPr>
          <w:p w14:paraId="43CEAFD2" w14:textId="316E87BB" w:rsidR="00D3349E" w:rsidRPr="006B6DD2" w:rsidRDefault="00D3349E" w:rsidP="001D2AD9">
            <w:pPr>
              <w:rPr>
                <w:b/>
                <w:bCs/>
              </w:rPr>
            </w:pPr>
            <w:r w:rsidRPr="006B6DD2">
              <w:rPr>
                <w:b/>
                <w:bCs/>
              </w:rPr>
              <w:t>2039</w:t>
            </w:r>
          </w:p>
        </w:tc>
        <w:tc>
          <w:tcPr>
            <w:tcW w:w="1395" w:type="dxa"/>
          </w:tcPr>
          <w:p w14:paraId="6B3BE8DF" w14:textId="30CBCCF6" w:rsidR="00D3349E" w:rsidRDefault="00CA70B1" w:rsidP="001D2AD9">
            <w:r>
              <w:t>473,300</w:t>
            </w:r>
          </w:p>
        </w:tc>
        <w:tc>
          <w:tcPr>
            <w:tcW w:w="1395" w:type="dxa"/>
          </w:tcPr>
          <w:p w14:paraId="7461AE31" w14:textId="56EE7865" w:rsidR="00D3349E" w:rsidRDefault="00CA70B1" w:rsidP="001D2AD9">
            <w:r>
              <w:t>66,400</w:t>
            </w:r>
          </w:p>
        </w:tc>
        <w:tc>
          <w:tcPr>
            <w:tcW w:w="1396" w:type="dxa"/>
          </w:tcPr>
          <w:p w14:paraId="62647F51" w14:textId="19F50756" w:rsidR="00D3349E" w:rsidRDefault="00CA70B1" w:rsidP="001D2AD9">
            <w:r>
              <w:t>107,500</w:t>
            </w:r>
          </w:p>
        </w:tc>
        <w:tc>
          <w:tcPr>
            <w:tcW w:w="1396" w:type="dxa"/>
          </w:tcPr>
          <w:p w14:paraId="44752775" w14:textId="2FC390F0" w:rsidR="00D3349E" w:rsidRDefault="00CA70B1" w:rsidP="001D2AD9">
            <w:r>
              <w:t>133,000</w:t>
            </w:r>
          </w:p>
        </w:tc>
        <w:tc>
          <w:tcPr>
            <w:tcW w:w="1396" w:type="dxa"/>
          </w:tcPr>
          <w:p w14:paraId="5D7795F5" w14:textId="4BD7DDD3" w:rsidR="00D3349E" w:rsidRDefault="00CA70B1" w:rsidP="001D2AD9">
            <w:r>
              <w:t>35,900</w:t>
            </w:r>
          </w:p>
        </w:tc>
        <w:tc>
          <w:tcPr>
            <w:tcW w:w="1396" w:type="dxa"/>
          </w:tcPr>
          <w:p w14:paraId="4FC0CBC4" w14:textId="606ED8FA" w:rsidR="00D3349E" w:rsidRDefault="00CA70B1" w:rsidP="001D2AD9">
            <w:r>
              <w:t>846,200</w:t>
            </w:r>
          </w:p>
        </w:tc>
      </w:tr>
      <w:tr w:rsidR="00D3349E" w14:paraId="5DCA3721" w14:textId="77777777" w:rsidTr="003475CA">
        <w:tc>
          <w:tcPr>
            <w:tcW w:w="1395" w:type="dxa"/>
          </w:tcPr>
          <w:p w14:paraId="1E27C7A4" w14:textId="6EE765DA" w:rsidR="00D3349E" w:rsidRPr="006B6DD2" w:rsidRDefault="00D3349E" w:rsidP="001D2AD9">
            <w:pPr>
              <w:rPr>
                <w:b/>
                <w:bCs/>
              </w:rPr>
            </w:pPr>
            <w:r w:rsidRPr="006B6DD2">
              <w:rPr>
                <w:b/>
                <w:bCs/>
              </w:rPr>
              <w:t>2040</w:t>
            </w:r>
          </w:p>
        </w:tc>
        <w:tc>
          <w:tcPr>
            <w:tcW w:w="1395" w:type="dxa"/>
          </w:tcPr>
          <w:p w14:paraId="7722908D" w14:textId="150777A6" w:rsidR="00D3349E" w:rsidRDefault="00CA70B1" w:rsidP="001D2AD9">
            <w:r>
              <w:t>478,200</w:t>
            </w:r>
          </w:p>
        </w:tc>
        <w:tc>
          <w:tcPr>
            <w:tcW w:w="1395" w:type="dxa"/>
          </w:tcPr>
          <w:p w14:paraId="04107759" w14:textId="69605B2D" w:rsidR="00D3349E" w:rsidRDefault="00CA70B1" w:rsidP="001D2AD9">
            <w:r>
              <w:t>67,000</w:t>
            </w:r>
          </w:p>
        </w:tc>
        <w:tc>
          <w:tcPr>
            <w:tcW w:w="1396" w:type="dxa"/>
          </w:tcPr>
          <w:p w14:paraId="06BF4A35" w14:textId="5E2EED1C" w:rsidR="00D3349E" w:rsidRDefault="00CA70B1" w:rsidP="001D2AD9">
            <w:r>
              <w:t>107,900</w:t>
            </w:r>
          </w:p>
        </w:tc>
        <w:tc>
          <w:tcPr>
            <w:tcW w:w="1396" w:type="dxa"/>
          </w:tcPr>
          <w:p w14:paraId="738E818F" w14:textId="534D4178" w:rsidR="00D3349E" w:rsidRDefault="00CA70B1" w:rsidP="001D2AD9">
            <w:r>
              <w:t>134,800</w:t>
            </w:r>
          </w:p>
        </w:tc>
        <w:tc>
          <w:tcPr>
            <w:tcW w:w="1396" w:type="dxa"/>
          </w:tcPr>
          <w:p w14:paraId="3D0D2E88" w14:textId="01BE9196" w:rsidR="00D3349E" w:rsidRDefault="00CA70B1" w:rsidP="001D2AD9">
            <w:r>
              <w:t>36,300</w:t>
            </w:r>
          </w:p>
        </w:tc>
        <w:tc>
          <w:tcPr>
            <w:tcW w:w="1396" w:type="dxa"/>
          </w:tcPr>
          <w:p w14:paraId="3DBEDA51" w14:textId="405B71DD" w:rsidR="00D3349E" w:rsidRDefault="00CA70B1" w:rsidP="001D2AD9">
            <w:r>
              <w:t>824,200</w:t>
            </w:r>
          </w:p>
        </w:tc>
      </w:tr>
      <w:tr w:rsidR="00D3349E" w14:paraId="79834048" w14:textId="77777777" w:rsidTr="003475CA">
        <w:tc>
          <w:tcPr>
            <w:tcW w:w="1395" w:type="dxa"/>
          </w:tcPr>
          <w:p w14:paraId="2AD21EF7" w14:textId="4C095C25" w:rsidR="00D3349E" w:rsidRPr="006B6DD2" w:rsidRDefault="00D3349E" w:rsidP="001D2AD9">
            <w:pPr>
              <w:rPr>
                <w:b/>
                <w:bCs/>
              </w:rPr>
            </w:pPr>
            <w:r w:rsidRPr="006B6DD2">
              <w:rPr>
                <w:b/>
                <w:bCs/>
              </w:rPr>
              <w:t>2041</w:t>
            </w:r>
          </w:p>
        </w:tc>
        <w:tc>
          <w:tcPr>
            <w:tcW w:w="1395" w:type="dxa"/>
          </w:tcPr>
          <w:p w14:paraId="59FAA6CC" w14:textId="3CCD1B37" w:rsidR="00D3349E" w:rsidRDefault="00CA70B1" w:rsidP="001D2AD9">
            <w:r>
              <w:t>483,100</w:t>
            </w:r>
          </w:p>
        </w:tc>
        <w:tc>
          <w:tcPr>
            <w:tcW w:w="1395" w:type="dxa"/>
          </w:tcPr>
          <w:p w14:paraId="7FDDBB5E" w14:textId="0984E06B" w:rsidR="00D3349E" w:rsidRDefault="00CA70B1" w:rsidP="001D2AD9">
            <w:r>
              <w:t>67,700</w:t>
            </w:r>
          </w:p>
        </w:tc>
        <w:tc>
          <w:tcPr>
            <w:tcW w:w="1396" w:type="dxa"/>
          </w:tcPr>
          <w:p w14:paraId="786A0E7D" w14:textId="52174C1A" w:rsidR="00D3349E" w:rsidRDefault="00CA70B1" w:rsidP="001D2AD9">
            <w:r>
              <w:t>108,300</w:t>
            </w:r>
          </w:p>
        </w:tc>
        <w:tc>
          <w:tcPr>
            <w:tcW w:w="1396" w:type="dxa"/>
          </w:tcPr>
          <w:p w14:paraId="17BACFAB" w14:textId="78A139B9" w:rsidR="00D3349E" w:rsidRDefault="00CA70B1" w:rsidP="001D2AD9">
            <w:r>
              <w:t>136,700</w:t>
            </w:r>
          </w:p>
        </w:tc>
        <w:tc>
          <w:tcPr>
            <w:tcW w:w="1396" w:type="dxa"/>
          </w:tcPr>
          <w:p w14:paraId="74BD8924" w14:textId="6A910013" w:rsidR="00D3349E" w:rsidRDefault="00CA70B1" w:rsidP="001D2AD9">
            <w:r>
              <w:t>36,700</w:t>
            </w:r>
          </w:p>
        </w:tc>
        <w:tc>
          <w:tcPr>
            <w:tcW w:w="1396" w:type="dxa"/>
          </w:tcPr>
          <w:p w14:paraId="264328DC" w14:textId="6ACF447A" w:rsidR="00D3349E" w:rsidRDefault="00CA70B1" w:rsidP="001D2AD9">
            <w:r>
              <w:t>832,500</w:t>
            </w:r>
          </w:p>
        </w:tc>
      </w:tr>
      <w:tr w:rsidR="00D3349E" w14:paraId="691D5CFA" w14:textId="77777777" w:rsidTr="003475CA">
        <w:tc>
          <w:tcPr>
            <w:tcW w:w="1395" w:type="dxa"/>
          </w:tcPr>
          <w:p w14:paraId="19F60D1C" w14:textId="6885F0D8" w:rsidR="00D3349E" w:rsidRPr="006B6DD2" w:rsidRDefault="00D3349E" w:rsidP="001D2AD9">
            <w:pPr>
              <w:rPr>
                <w:b/>
                <w:bCs/>
              </w:rPr>
            </w:pPr>
            <w:r w:rsidRPr="006B6DD2">
              <w:rPr>
                <w:b/>
                <w:bCs/>
              </w:rPr>
              <w:t>2042</w:t>
            </w:r>
          </w:p>
        </w:tc>
        <w:tc>
          <w:tcPr>
            <w:tcW w:w="1395" w:type="dxa"/>
          </w:tcPr>
          <w:p w14:paraId="0F61B91A" w14:textId="29F8548C" w:rsidR="00D3349E" w:rsidRDefault="00CA70B1" w:rsidP="001D2AD9">
            <w:r>
              <w:t>486,700</w:t>
            </w:r>
          </w:p>
        </w:tc>
        <w:tc>
          <w:tcPr>
            <w:tcW w:w="1395" w:type="dxa"/>
          </w:tcPr>
          <w:p w14:paraId="3306CA53" w14:textId="26B8E4FC" w:rsidR="00D3349E" w:rsidRDefault="00CA70B1" w:rsidP="001D2AD9">
            <w:r>
              <w:t>68,000</w:t>
            </w:r>
          </w:p>
        </w:tc>
        <w:tc>
          <w:tcPr>
            <w:tcW w:w="1396" w:type="dxa"/>
          </w:tcPr>
          <w:p w14:paraId="268CAE9E" w14:textId="1AF6C732" w:rsidR="00D3349E" w:rsidRDefault="00CA70B1" w:rsidP="001D2AD9">
            <w:r>
              <w:t>108,800</w:t>
            </w:r>
          </w:p>
        </w:tc>
        <w:tc>
          <w:tcPr>
            <w:tcW w:w="1396" w:type="dxa"/>
          </w:tcPr>
          <w:p w14:paraId="7E139C6A" w14:textId="6F32CD83" w:rsidR="00D3349E" w:rsidRDefault="00CA70B1" w:rsidP="001D2AD9">
            <w:r>
              <w:t>138,100</w:t>
            </w:r>
          </w:p>
        </w:tc>
        <w:tc>
          <w:tcPr>
            <w:tcW w:w="1396" w:type="dxa"/>
          </w:tcPr>
          <w:p w14:paraId="5164977A" w14:textId="62199AE4" w:rsidR="00D3349E" w:rsidRDefault="00CA70B1" w:rsidP="001D2AD9">
            <w:r>
              <w:t>37,300</w:t>
            </w:r>
          </w:p>
        </w:tc>
        <w:tc>
          <w:tcPr>
            <w:tcW w:w="1396" w:type="dxa"/>
          </w:tcPr>
          <w:p w14:paraId="1B13FEA9" w14:textId="58E095D7" w:rsidR="00D3349E" w:rsidRDefault="00CA70B1" w:rsidP="001D2AD9">
            <w:r>
              <w:t>838,900</w:t>
            </w:r>
          </w:p>
        </w:tc>
      </w:tr>
      <w:tr w:rsidR="00D3349E" w14:paraId="0FAF58C2" w14:textId="77777777" w:rsidTr="003475CA">
        <w:tc>
          <w:tcPr>
            <w:tcW w:w="1395" w:type="dxa"/>
          </w:tcPr>
          <w:p w14:paraId="72E04333" w14:textId="5A5E796B" w:rsidR="00D3349E" w:rsidRPr="006B6DD2" w:rsidRDefault="00D3349E" w:rsidP="001D2AD9">
            <w:pPr>
              <w:rPr>
                <w:b/>
                <w:bCs/>
              </w:rPr>
            </w:pPr>
            <w:r w:rsidRPr="006B6DD2">
              <w:rPr>
                <w:b/>
                <w:bCs/>
              </w:rPr>
              <w:t>2043</w:t>
            </w:r>
          </w:p>
        </w:tc>
        <w:tc>
          <w:tcPr>
            <w:tcW w:w="1395" w:type="dxa"/>
          </w:tcPr>
          <w:p w14:paraId="207EFFC7" w14:textId="50855828" w:rsidR="00D3349E" w:rsidRDefault="00CA70B1" w:rsidP="001D2AD9">
            <w:r>
              <w:t>490,400</w:t>
            </w:r>
          </w:p>
        </w:tc>
        <w:tc>
          <w:tcPr>
            <w:tcW w:w="1395" w:type="dxa"/>
          </w:tcPr>
          <w:p w14:paraId="43273FB2" w14:textId="340E5B6F" w:rsidR="00D3349E" w:rsidRDefault="00CA70B1" w:rsidP="001D2AD9">
            <w:r>
              <w:t>68,400</w:t>
            </w:r>
          </w:p>
        </w:tc>
        <w:tc>
          <w:tcPr>
            <w:tcW w:w="1396" w:type="dxa"/>
          </w:tcPr>
          <w:p w14:paraId="53C377AA" w14:textId="41D808BE" w:rsidR="00D3349E" w:rsidRDefault="00CA70B1" w:rsidP="001D2AD9">
            <w:r>
              <w:t>109,300</w:t>
            </w:r>
          </w:p>
        </w:tc>
        <w:tc>
          <w:tcPr>
            <w:tcW w:w="1396" w:type="dxa"/>
          </w:tcPr>
          <w:p w14:paraId="0CD29319" w14:textId="250113A9" w:rsidR="00D3349E" w:rsidRDefault="00CA70B1" w:rsidP="001D2AD9">
            <w:r>
              <w:t>139,400</w:t>
            </w:r>
          </w:p>
        </w:tc>
        <w:tc>
          <w:tcPr>
            <w:tcW w:w="1396" w:type="dxa"/>
          </w:tcPr>
          <w:p w14:paraId="0561CD80" w14:textId="714814F4" w:rsidR="00D3349E" w:rsidRDefault="00CA70B1" w:rsidP="001D2AD9">
            <w:r>
              <w:t>37,900</w:t>
            </w:r>
          </w:p>
        </w:tc>
        <w:tc>
          <w:tcPr>
            <w:tcW w:w="1396" w:type="dxa"/>
          </w:tcPr>
          <w:p w14:paraId="14154972" w14:textId="4A22023B" w:rsidR="00D3349E" w:rsidRDefault="00CA70B1" w:rsidP="001D2AD9">
            <w:r>
              <w:t>845,500</w:t>
            </w:r>
          </w:p>
        </w:tc>
      </w:tr>
    </w:tbl>
    <w:p w14:paraId="2C2954AC" w14:textId="64229AA5" w:rsidR="001D2AD9" w:rsidRPr="00174F23" w:rsidRDefault="001D2AD9" w:rsidP="00CA70B1">
      <w:pPr>
        <w:spacing w:before="120"/>
        <w:jc w:val="center"/>
        <w:rPr>
          <w:sz w:val="16"/>
          <w:szCs w:val="16"/>
        </w:rPr>
      </w:pPr>
      <w:r w:rsidRPr="4A450472">
        <w:rPr>
          <w:sz w:val="16"/>
          <w:szCs w:val="16"/>
        </w:rPr>
        <w:t xml:space="preserve">Figure </w:t>
      </w:r>
      <w:r w:rsidR="14F2C9B9" w:rsidRPr="4A450472">
        <w:rPr>
          <w:sz w:val="16"/>
          <w:szCs w:val="16"/>
        </w:rPr>
        <w:t>5</w:t>
      </w:r>
      <w:r w:rsidRPr="4A450472">
        <w:rPr>
          <w:sz w:val="16"/>
          <w:szCs w:val="16"/>
        </w:rPr>
        <w:t>: Percentage of population growth between 2023-2043 per neighbourhood</w:t>
      </w:r>
      <w:r w:rsidR="00CA70B1">
        <w:rPr>
          <w:sz w:val="16"/>
          <w:szCs w:val="16"/>
        </w:rPr>
        <w:t>. Table shows rounded figures.</w:t>
      </w:r>
    </w:p>
    <w:p w14:paraId="40EBABC4" w14:textId="77777777" w:rsidR="001D2AD9" w:rsidRPr="00723D69" w:rsidRDefault="001D2AD9" w:rsidP="001D2AD9">
      <w:pPr>
        <w:ind w:left="357"/>
      </w:pPr>
    </w:p>
    <w:p w14:paraId="0E58C6D3" w14:textId="77777777" w:rsidR="003E7B6C" w:rsidRPr="005A5A2A" w:rsidRDefault="003E7B6C" w:rsidP="001D104E">
      <w:pPr>
        <w:pStyle w:val="Heading2"/>
        <w:rPr>
          <w:rFonts w:hint="eastAsia"/>
        </w:rPr>
      </w:pPr>
      <w:bookmarkStart w:id="15" w:name="_Toc180519447"/>
      <w:r w:rsidRPr="005A5A2A">
        <w:t>Floor space</w:t>
      </w:r>
      <w:r w:rsidR="00664502" w:rsidRPr="005A5A2A">
        <w:t xml:space="preserve"> (</w:t>
      </w:r>
      <w:r w:rsidR="001916BF" w:rsidRPr="005A5A2A">
        <w:t>e</w:t>
      </w:r>
      <w:r w:rsidR="00664502" w:rsidRPr="005A5A2A">
        <w:t>mployment)</w:t>
      </w:r>
      <w:bookmarkEnd w:id="15"/>
    </w:p>
    <w:p w14:paraId="56C0816C" w14:textId="77777777" w:rsidR="003A5674" w:rsidRPr="005A5A2A" w:rsidRDefault="00537E40" w:rsidP="008E0C7D">
      <w:r w:rsidRPr="005A5A2A">
        <w:t>Notably e</w:t>
      </w:r>
      <w:r w:rsidR="003A5674" w:rsidRPr="005A5A2A">
        <w:t>mployment floor</w:t>
      </w:r>
      <w:r w:rsidR="00C14D31" w:rsidRPr="005A5A2A">
        <w:t xml:space="preserve"> </w:t>
      </w:r>
      <w:r w:rsidR="003A5674" w:rsidRPr="005A5A2A">
        <w:t>space demand</w:t>
      </w:r>
      <w:r w:rsidR="00C14D31" w:rsidRPr="005A5A2A">
        <w:t xml:space="preserve"> will grow</w:t>
      </w:r>
      <w:r w:rsidR="003A5674" w:rsidRPr="005A5A2A">
        <w:t xml:space="preserve"> at a slower rate than jobs. This is the result of declining floor</w:t>
      </w:r>
      <w:r w:rsidR="00C14D31" w:rsidRPr="005A5A2A">
        <w:t xml:space="preserve"> </w:t>
      </w:r>
      <w:r w:rsidR="003A5674" w:rsidRPr="005A5A2A">
        <w:t>space ratios which are driven by two factors:</w:t>
      </w:r>
    </w:p>
    <w:p w14:paraId="0DE9208D" w14:textId="1F11AB1F" w:rsidR="003A5674" w:rsidRPr="005A5A2A" w:rsidRDefault="001F787E" w:rsidP="00E57B1C">
      <w:pPr>
        <w:pStyle w:val="ListParagraph"/>
        <w:numPr>
          <w:ilvl w:val="0"/>
          <w:numId w:val="49"/>
        </w:numPr>
        <w:ind w:left="714" w:hanging="357"/>
      </w:pPr>
      <w:r>
        <w:t>a</w:t>
      </w:r>
      <w:r w:rsidRPr="005A5A2A">
        <w:t xml:space="preserve"> </w:t>
      </w:r>
      <w:r w:rsidR="003A5674" w:rsidRPr="005A5A2A">
        <w:t>changing industry composition towards sectors which have lower space requirements</w:t>
      </w:r>
      <w:r>
        <w:t>; and</w:t>
      </w:r>
    </w:p>
    <w:p w14:paraId="1A2D5D83" w14:textId="03DE8D65" w:rsidR="003A5674" w:rsidRPr="005A5A2A" w:rsidRDefault="001F787E" w:rsidP="002507F4">
      <w:pPr>
        <w:pStyle w:val="ListParagraph"/>
        <w:numPr>
          <w:ilvl w:val="0"/>
          <w:numId w:val="49"/>
        </w:numPr>
        <w:spacing w:after="200"/>
        <w:ind w:left="714" w:hanging="357"/>
      </w:pPr>
      <w:r>
        <w:lastRenderedPageBreak/>
        <w:t>m</w:t>
      </w:r>
      <w:r w:rsidR="003A5674" w:rsidRPr="005A5A2A">
        <w:t xml:space="preserve">ore intensive </w:t>
      </w:r>
      <w:r w:rsidR="001916BF" w:rsidRPr="005A5A2A">
        <w:t xml:space="preserve">existing </w:t>
      </w:r>
      <w:r w:rsidR="003A5674" w:rsidRPr="005A5A2A">
        <w:t xml:space="preserve">space use stemming from trends such as increasing remote work, </w:t>
      </w:r>
      <w:proofErr w:type="spellStart"/>
      <w:r w:rsidR="003A5674" w:rsidRPr="005A5A2A">
        <w:t>utilisation</w:t>
      </w:r>
      <w:proofErr w:type="spellEnd"/>
      <w:r w:rsidR="003A5674" w:rsidRPr="005A5A2A">
        <w:t xml:space="preserve"> over longer hours of the day, and more efficient processes (e.g., cloud vs paper storage).</w:t>
      </w:r>
    </w:p>
    <w:p w14:paraId="62F3A6C8" w14:textId="77777777" w:rsidR="00363025" w:rsidRPr="005A5A2A" w:rsidRDefault="00363025" w:rsidP="008E0C7D">
      <w:r w:rsidRPr="005A5A2A">
        <w:t>A list of industries an</w:t>
      </w:r>
      <w:r w:rsidR="008C23CF" w:rsidRPr="005A5A2A">
        <w:t>d</w:t>
      </w:r>
      <w:r w:rsidRPr="005A5A2A">
        <w:t xml:space="preserve"> space use categories is provided in Appendi</w:t>
      </w:r>
      <w:r w:rsidR="008C23CF" w:rsidRPr="005A5A2A">
        <w:t>ces</w:t>
      </w:r>
      <w:r w:rsidRPr="005A5A2A">
        <w:t xml:space="preserve"> 2</w:t>
      </w:r>
      <w:r w:rsidR="008C23CF" w:rsidRPr="005A5A2A">
        <w:t xml:space="preserve"> &amp; 3</w:t>
      </w:r>
      <w:r w:rsidRPr="005A5A2A">
        <w:t xml:space="preserve"> at the end of this document.</w:t>
      </w:r>
    </w:p>
    <w:p w14:paraId="206DFFD0" w14:textId="77777777" w:rsidR="00FF7F13" w:rsidRPr="00CC3614" w:rsidRDefault="00390B3A" w:rsidP="008E0C7D">
      <w:pPr>
        <w:pStyle w:val="Heading1"/>
        <w:rPr>
          <w:rFonts w:hint="eastAsia"/>
        </w:rPr>
      </w:pPr>
      <w:bookmarkStart w:id="16" w:name="_Toc180519448"/>
      <w:r w:rsidRPr="00CC3614">
        <w:t>Method</w:t>
      </w:r>
      <w:bookmarkEnd w:id="16"/>
    </w:p>
    <w:p w14:paraId="2A41EE9B" w14:textId="0BE319F6" w:rsidR="00E71B94" w:rsidRPr="00CC3614" w:rsidRDefault="007949CF" w:rsidP="008E0C7D">
      <w:r w:rsidRPr="00CC3614">
        <w:t xml:space="preserve">Forecasts were </w:t>
      </w:r>
      <w:r w:rsidR="005432C1" w:rsidRPr="00CC3614">
        <w:t xml:space="preserve">prepared </w:t>
      </w:r>
      <w:r w:rsidRPr="00CC3614">
        <w:t xml:space="preserve">by SGS Economics and Planning (SGS) </w:t>
      </w:r>
      <w:r w:rsidR="001F787E">
        <w:t>between</w:t>
      </w:r>
      <w:r w:rsidR="001F787E" w:rsidRPr="00CC3614">
        <w:t xml:space="preserve"> </w:t>
      </w:r>
      <w:r w:rsidR="006068C6" w:rsidRPr="00CC3614">
        <w:t>January 2024 to August 2024</w:t>
      </w:r>
      <w:r w:rsidR="00873506" w:rsidRPr="00CC3614">
        <w:t xml:space="preserve">.  </w:t>
      </w:r>
      <w:r w:rsidR="00E71B94" w:rsidRPr="00CC3614">
        <w:t>A combined top-down (i.e., macroeconomic trends and drivers) and bottom-up (i.e., development supply and local attractiveness factors) approach was used to forecast all variables in an integrated environment.</w:t>
      </w:r>
    </w:p>
    <w:p w14:paraId="139AB5A3" w14:textId="77777777" w:rsidR="00E71B94" w:rsidRPr="00CC3614" w:rsidRDefault="00E71B94" w:rsidP="008E0C7D">
      <w:r w:rsidRPr="00CC3614">
        <w:t>Below summarises the overall forecasting approach</w:t>
      </w:r>
      <w:r w:rsidR="005479A8" w:rsidRPr="00CC3614">
        <w:t>:</w:t>
      </w:r>
    </w:p>
    <w:p w14:paraId="46A4C76E" w14:textId="0F89D343" w:rsidR="00E71B94" w:rsidRPr="00500963" w:rsidRDefault="005479A8" w:rsidP="009042E8">
      <w:pPr>
        <w:pStyle w:val="ListParagraph"/>
        <w:numPr>
          <w:ilvl w:val="0"/>
          <w:numId w:val="32"/>
        </w:numPr>
      </w:pPr>
      <w:r w:rsidRPr="006068C6">
        <w:t xml:space="preserve">The </w:t>
      </w:r>
      <w:r w:rsidR="00E71B94" w:rsidRPr="006068C6">
        <w:t xml:space="preserve">City of Melbourne </w:t>
      </w:r>
      <w:r w:rsidR="00B61D4E" w:rsidRPr="006068C6">
        <w:t>Census of Land Use and Employment (</w:t>
      </w:r>
      <w:r w:rsidR="00E71B94" w:rsidRPr="006068C6">
        <w:t>CLUE</w:t>
      </w:r>
      <w:r w:rsidR="00B61D4E" w:rsidRPr="006068C6">
        <w:t>)</w:t>
      </w:r>
      <w:r w:rsidR="00E71B94" w:rsidRPr="006068C6">
        <w:t xml:space="preserve"> data, along with A</w:t>
      </w:r>
      <w:r w:rsidR="001916BF" w:rsidRPr="006068C6">
        <w:t xml:space="preserve">ustralian </w:t>
      </w:r>
      <w:r w:rsidR="00E71B94" w:rsidRPr="006068C6">
        <w:t>B</w:t>
      </w:r>
      <w:r w:rsidR="001916BF" w:rsidRPr="006068C6">
        <w:t>ureau of Statistics Census and regional Estimated Resident Population (ERP) data</w:t>
      </w:r>
      <w:r w:rsidR="00E71B94" w:rsidRPr="006068C6">
        <w:t xml:space="preserve">, are used to determine a base year </w:t>
      </w:r>
      <w:r w:rsidR="00E71B94" w:rsidRPr="00500963">
        <w:t xml:space="preserve">estimate for all variables and to model trends in </w:t>
      </w:r>
      <w:r w:rsidR="00F568BB" w:rsidRPr="00500963">
        <w:t>floor space</w:t>
      </w:r>
      <w:r w:rsidR="00E71B94" w:rsidRPr="00500963">
        <w:t xml:space="preserve"> type preferences and usage.</w:t>
      </w:r>
      <w:r w:rsidR="004B76A3" w:rsidRPr="00500963">
        <w:t xml:space="preserve"> </w:t>
      </w:r>
      <w:r w:rsidR="009042E8" w:rsidRPr="00500963">
        <w:t>Specifically, CLUE 20</w:t>
      </w:r>
      <w:r w:rsidR="00306BA6" w:rsidRPr="00500963">
        <w:t>2</w:t>
      </w:r>
      <w:r w:rsidR="006068C6" w:rsidRPr="00500963">
        <w:t>2 and 2023</w:t>
      </w:r>
      <w:r w:rsidR="009042E8" w:rsidRPr="00500963">
        <w:t xml:space="preserve"> and ERP </w:t>
      </w:r>
      <w:r w:rsidR="006068C6" w:rsidRPr="00500963">
        <w:t xml:space="preserve">2022 data, current </w:t>
      </w:r>
      <w:proofErr w:type="gramStart"/>
      <w:r w:rsidR="006068C6" w:rsidRPr="00500963">
        <w:t>at</w:t>
      </w:r>
      <w:proofErr w:type="gramEnd"/>
      <w:r w:rsidR="009042E8" w:rsidRPr="00500963">
        <w:t xml:space="preserve"> 30 </w:t>
      </w:r>
      <w:r w:rsidR="00500963" w:rsidRPr="00500963">
        <w:t>May</w:t>
      </w:r>
      <w:r w:rsidR="009042E8" w:rsidRPr="00500963">
        <w:t xml:space="preserve"> 202</w:t>
      </w:r>
      <w:r w:rsidR="00500963" w:rsidRPr="00500963">
        <w:t xml:space="preserve">4, </w:t>
      </w:r>
      <w:r w:rsidR="009042E8" w:rsidRPr="00500963">
        <w:t>were used for the base year (202</w:t>
      </w:r>
      <w:r w:rsidR="00500963" w:rsidRPr="00500963">
        <w:t>3</w:t>
      </w:r>
      <w:r w:rsidR="009042E8" w:rsidRPr="00500963">
        <w:t>) estimates. Note these may be superseded by updated data after the release of this publication.</w:t>
      </w:r>
    </w:p>
    <w:p w14:paraId="77787483" w14:textId="77777777" w:rsidR="00E71B94" w:rsidRPr="00500963" w:rsidRDefault="00E71B94" w:rsidP="008E0C7D">
      <w:pPr>
        <w:pStyle w:val="ListParagraph"/>
        <w:numPr>
          <w:ilvl w:val="0"/>
          <w:numId w:val="32"/>
        </w:numPr>
      </w:pPr>
      <w:r w:rsidRPr="00500963">
        <w:t>Macroeconomic forecasts of population demographics and employment by industry, are forecast through a population cohort-component model and SGS’ State-wide employment model.</w:t>
      </w:r>
    </w:p>
    <w:p w14:paraId="1241EF40" w14:textId="77777777" w:rsidR="00E71B94" w:rsidRPr="00500963" w:rsidRDefault="00E71B94" w:rsidP="008E0C7D">
      <w:pPr>
        <w:pStyle w:val="ListParagraph"/>
        <w:numPr>
          <w:ilvl w:val="0"/>
          <w:numId w:val="32"/>
        </w:numPr>
      </w:pPr>
      <w:r w:rsidRPr="00500963">
        <w:t>Development capacity and known redevelopment, at a building level, is estimated using data from the City of Melbourne’s Development Activity Model (DAM) and Development Capacity Model (DCM). For renewal areas, this is supplemented with structure plan guidance on future development controls and timing.</w:t>
      </w:r>
    </w:p>
    <w:p w14:paraId="44E1401E" w14:textId="77777777" w:rsidR="00E71B94" w:rsidRPr="00500963" w:rsidRDefault="00873506" w:rsidP="008E0C7D">
      <w:pPr>
        <w:pStyle w:val="ListParagraph"/>
        <w:numPr>
          <w:ilvl w:val="0"/>
          <w:numId w:val="32"/>
        </w:numPr>
      </w:pPr>
      <w:r w:rsidRPr="00500963">
        <w:t>Area</w:t>
      </w:r>
      <w:r w:rsidR="00E71B94" w:rsidRPr="00500963">
        <w:t xml:space="preserve"> development attractiveness is estimated through a range of datasets to proxy various factors that drive growth for different land use types. Base development trends are calibrated to historical attractiveness. This means if attractiveness did not change land use would continue to be distributed in line with past trends. However, as attractiveness changes (e.g., a new train station), so too do development patterns.</w:t>
      </w:r>
    </w:p>
    <w:p w14:paraId="7FEAB77E" w14:textId="77777777" w:rsidR="00873506" w:rsidRPr="00500963" w:rsidRDefault="00873506" w:rsidP="008E0C7D">
      <w:pPr>
        <w:pStyle w:val="ListParagraph"/>
        <w:numPr>
          <w:ilvl w:val="0"/>
          <w:numId w:val="32"/>
        </w:numPr>
      </w:pPr>
      <w:r w:rsidRPr="00500963">
        <w:t xml:space="preserve">A two-step allocation model distributes the LGA-level forecasts to areas. This process is driven by the estimated attractiveness of each area (to individual types of land use) and simultaneously considers both residential and employment </w:t>
      </w:r>
      <w:r w:rsidR="00F568BB" w:rsidRPr="00500963">
        <w:t>floor space</w:t>
      </w:r>
      <w:r w:rsidRPr="00500963">
        <w:t>. Capacity constraints also ensure that total development does not exceed plausible bounds.</w:t>
      </w:r>
    </w:p>
    <w:p w14:paraId="507BC8FE" w14:textId="77777777" w:rsidR="009F0AC1" w:rsidRPr="00500963" w:rsidRDefault="00F568BB" w:rsidP="008E0C7D">
      <w:pPr>
        <w:pStyle w:val="ListParagraph"/>
        <w:numPr>
          <w:ilvl w:val="0"/>
          <w:numId w:val="32"/>
        </w:numPr>
      </w:pPr>
      <w:r w:rsidRPr="00500963">
        <w:t>Floor space</w:t>
      </w:r>
      <w:r w:rsidR="00873506" w:rsidRPr="00500963">
        <w:t xml:space="preserve"> forecasts are translated to estimates of dwellings</w:t>
      </w:r>
      <w:r w:rsidR="008519B9" w:rsidRPr="00500963">
        <w:t>, population,</w:t>
      </w:r>
      <w:r w:rsidR="00873506" w:rsidRPr="00500963">
        <w:t xml:space="preserve"> and jobs which align with the LGA-wide estimates calculated previously, while also reflecting the expected industry composition of local areas, which is particularly relevant for renewal areas undergoing transformation.</w:t>
      </w:r>
    </w:p>
    <w:p w14:paraId="4428CAEC" w14:textId="77777777" w:rsidR="00F10CFA" w:rsidRPr="00721315" w:rsidRDefault="0033322C" w:rsidP="00537E40">
      <w:pPr>
        <w:pStyle w:val="Heading1"/>
        <w:rPr>
          <w:rFonts w:hint="eastAsia"/>
        </w:rPr>
      </w:pPr>
      <w:bookmarkStart w:id="17" w:name="_Toc180519449"/>
      <w:r w:rsidRPr="00721315">
        <w:t xml:space="preserve">Forecast </w:t>
      </w:r>
      <w:proofErr w:type="gramStart"/>
      <w:r w:rsidRPr="00721315">
        <w:t>a</w:t>
      </w:r>
      <w:r w:rsidR="00953D3C" w:rsidRPr="00721315">
        <w:t>s</w:t>
      </w:r>
      <w:r w:rsidR="00F10CFA" w:rsidRPr="00721315">
        <w:t>sumptions</w:t>
      </w:r>
      <w:bookmarkEnd w:id="17"/>
      <w:proofErr w:type="gramEnd"/>
    </w:p>
    <w:p w14:paraId="4576A070" w14:textId="77777777" w:rsidR="00004B46" w:rsidRPr="00721315" w:rsidRDefault="00004B46" w:rsidP="001D104E">
      <w:pPr>
        <w:pStyle w:val="Heading2"/>
        <w:rPr>
          <w:rFonts w:hint="eastAsia"/>
        </w:rPr>
      </w:pPr>
      <w:bookmarkStart w:id="18" w:name="_Toc180519450"/>
      <w:r w:rsidRPr="00721315">
        <w:t>Victoria and Greater Melbourne</w:t>
      </w:r>
      <w:r w:rsidR="00F568BB" w:rsidRPr="00721315">
        <w:t xml:space="preserve"> context</w:t>
      </w:r>
      <w:bookmarkEnd w:id="18"/>
    </w:p>
    <w:p w14:paraId="58F2DD67" w14:textId="7D3A7156" w:rsidR="008920ED" w:rsidRPr="00A32237" w:rsidRDefault="008920ED" w:rsidP="00A32237">
      <w:pPr>
        <w:rPr>
          <w:lang w:val="en-US"/>
        </w:rPr>
      </w:pPr>
      <w:r w:rsidRPr="0098439B">
        <w:t xml:space="preserve">The resident population and employment </w:t>
      </w:r>
      <w:r w:rsidR="00000D7B" w:rsidRPr="0098439B">
        <w:t xml:space="preserve">within </w:t>
      </w:r>
      <w:r w:rsidRPr="0098439B">
        <w:t>the City of Melbourne are both strongly linked to the outcomes in Victoria and, more importantly, Greater Melbourne</w:t>
      </w:r>
      <w:r w:rsidRPr="00A32237">
        <w:t xml:space="preserve">. </w:t>
      </w:r>
      <w:r w:rsidR="00537E40" w:rsidRPr="00A32237">
        <w:t xml:space="preserve"> </w:t>
      </w:r>
      <w:r w:rsidRPr="00A32237">
        <w:t>At the macro level</w:t>
      </w:r>
      <w:r w:rsidR="00A32237" w:rsidRPr="00A32237">
        <w:t xml:space="preserve">, The City of Melbourne population forecasts are aligned to Victoria in Future 2023 (VIF23) state population forecasts (accessible here: </w:t>
      </w:r>
      <w:hyperlink r:id="rId13" w:history="1">
        <w:r w:rsidR="00A32237" w:rsidRPr="00A32237">
          <w:rPr>
            <w:rStyle w:val="Hyperlink"/>
            <w:color w:val="auto"/>
          </w:rPr>
          <w:t>Victoria in Future</w:t>
        </w:r>
      </w:hyperlink>
      <w:r w:rsidR="00A32237">
        <w:rPr>
          <w:rStyle w:val="FootnoteReference"/>
        </w:rPr>
        <w:footnoteReference w:id="2"/>
      </w:r>
      <w:r w:rsidR="00A32237" w:rsidRPr="00A32237">
        <w:t xml:space="preserve">). Key </w:t>
      </w:r>
      <w:r w:rsidRPr="00A32237">
        <w:t>assumptions underlying this include:</w:t>
      </w:r>
    </w:p>
    <w:p w14:paraId="17428D1B" w14:textId="113F7C81" w:rsidR="008920ED" w:rsidRPr="006B3964" w:rsidRDefault="008920ED" w:rsidP="008E0C7D">
      <w:pPr>
        <w:pStyle w:val="ListParagraph"/>
        <w:numPr>
          <w:ilvl w:val="0"/>
          <w:numId w:val="32"/>
        </w:numPr>
      </w:pPr>
      <w:r w:rsidRPr="006B3964">
        <w:lastRenderedPageBreak/>
        <w:t xml:space="preserve">Net overseas migration </w:t>
      </w:r>
      <w:r w:rsidR="00A32237" w:rsidRPr="006B3964">
        <w:t xml:space="preserve">will be the primary driver of growth into Victoria, contributing approximately 80,000 new residents to Victoria annually in the long term. </w:t>
      </w:r>
    </w:p>
    <w:p w14:paraId="53ABBFF6" w14:textId="602C273E" w:rsidR="006E1732" w:rsidRPr="006B3964" w:rsidRDefault="008920ED" w:rsidP="008920ED">
      <w:pPr>
        <w:pStyle w:val="ListParagraph"/>
        <w:numPr>
          <w:ilvl w:val="0"/>
          <w:numId w:val="32"/>
        </w:numPr>
      </w:pPr>
      <w:r w:rsidRPr="006B3964">
        <w:t xml:space="preserve">Net internal migration </w:t>
      </w:r>
      <w:r w:rsidR="00A32237" w:rsidRPr="006B3964">
        <w:t>is also assumed to remain stable into the long term, contributing approximately 5,000 additional residents to Victoria per year</w:t>
      </w:r>
      <w:r w:rsidR="006B3964" w:rsidRPr="006B3964">
        <w:t>.</w:t>
      </w:r>
    </w:p>
    <w:p w14:paraId="691681DE" w14:textId="5C9CCD63" w:rsidR="00A32237" w:rsidRPr="006B3964" w:rsidRDefault="006B3964" w:rsidP="008920ED">
      <w:pPr>
        <w:pStyle w:val="ListParagraph"/>
        <w:numPr>
          <w:ilvl w:val="0"/>
          <w:numId w:val="32"/>
        </w:numPr>
      </w:pPr>
      <w:r w:rsidRPr="006B3964">
        <w:t xml:space="preserve">VIF23 has assumed a total fertility rate (the number of children a woman is likely to have over her lifetime) of 1.5 into the long term (post 2036). </w:t>
      </w:r>
    </w:p>
    <w:p w14:paraId="01EE875E" w14:textId="6C284DE7" w:rsidR="006B3964" w:rsidRPr="006B3964" w:rsidRDefault="006B3964" w:rsidP="008920ED">
      <w:pPr>
        <w:pStyle w:val="ListParagraph"/>
        <w:numPr>
          <w:ilvl w:val="0"/>
          <w:numId w:val="32"/>
        </w:numPr>
      </w:pPr>
      <w:r w:rsidRPr="006B3964">
        <w:t xml:space="preserve">Assumptions around births and deaths used in the model are </w:t>
      </w:r>
      <w:r w:rsidRPr="006B3964">
        <w:rPr>
          <w:b/>
          <w:bCs/>
        </w:rPr>
        <w:t>not directly aligned to VIF23</w:t>
      </w:r>
      <w:r w:rsidRPr="006B3964">
        <w:t xml:space="preserve">, and instead </w:t>
      </w:r>
      <w:r w:rsidRPr="006B3964">
        <w:rPr>
          <w:b/>
          <w:bCs/>
        </w:rPr>
        <w:t>capture specific trends in the City of Melbourne</w:t>
      </w:r>
      <w:r w:rsidRPr="006B3964">
        <w:t xml:space="preserve">. Latest ABS data on fertility and mortality rates have been carried forward along the forecast horizon, with changes in the magnitude of births and deaths being driven by demographic changes in the </w:t>
      </w:r>
      <w:proofErr w:type="gramStart"/>
      <w:r w:rsidRPr="006B3964">
        <w:t>City</w:t>
      </w:r>
      <w:proofErr w:type="gramEnd"/>
      <w:r w:rsidRPr="006B3964">
        <w:t xml:space="preserve">. </w:t>
      </w:r>
    </w:p>
    <w:p w14:paraId="55F83B3A" w14:textId="7CFEC4E3" w:rsidR="001F787E" w:rsidRDefault="008920ED" w:rsidP="001F787E">
      <w:r w:rsidRPr="007F60BC">
        <w:t xml:space="preserve">The structure of the economy is forecast to alter over time, with a move towards </w:t>
      </w:r>
      <w:r w:rsidR="00345820" w:rsidRPr="007F60BC">
        <w:t xml:space="preserve">the </w:t>
      </w:r>
      <w:r w:rsidRPr="007F60BC">
        <w:t>knowledge economy. Past trends and forecast changes in the industrial composition of Greater Melbourne sets the broader context for the City of Melbourne</w:t>
      </w:r>
      <w:r w:rsidR="001F787E">
        <w:t>.</w:t>
      </w:r>
    </w:p>
    <w:p w14:paraId="4F3053CC" w14:textId="11743658" w:rsidR="008920ED" w:rsidRPr="009D3FB0" w:rsidRDefault="008920ED" w:rsidP="0055227E">
      <w:r w:rsidRPr="007F60BC">
        <w:t>Over the past decade, the provision of professional services in Greater Melbourne has provided the metropolis</w:t>
      </w:r>
      <w:r w:rsidR="001F787E">
        <w:t xml:space="preserve"> </w:t>
      </w:r>
      <w:r w:rsidRPr="007F60BC">
        <w:t xml:space="preserve">with a </w:t>
      </w:r>
      <w:r w:rsidRPr="009D3FB0">
        <w:t>clear competitive advantage. This trend will continue, with professional services increasing total share of employment.</w:t>
      </w:r>
      <w:r w:rsidR="001F787E">
        <w:t xml:space="preserve"> </w:t>
      </w:r>
      <w:r w:rsidRPr="009D3FB0">
        <w:t xml:space="preserve">Conversely, the past decades have seen an ongoing decline in the share of manufacturing </w:t>
      </w:r>
      <w:r w:rsidR="00004B46" w:rsidRPr="009D3FB0">
        <w:t>employment as</w:t>
      </w:r>
      <w:r w:rsidRPr="009D3FB0">
        <w:t xml:space="preserve"> it becomes more capital intensive and advanced/automated. Employment in this indus</w:t>
      </w:r>
      <w:r w:rsidR="00004B46" w:rsidRPr="009D3FB0">
        <w:t>try</w:t>
      </w:r>
      <w:r w:rsidR="001F787E">
        <w:t xml:space="preserve"> is forecast </w:t>
      </w:r>
      <w:r w:rsidR="00004B46" w:rsidRPr="009D3FB0">
        <w:t>to contract.</w:t>
      </w:r>
    </w:p>
    <w:p w14:paraId="77AD3D8D" w14:textId="325589D6" w:rsidR="00701FF0" w:rsidRPr="00537E40" w:rsidRDefault="008920ED" w:rsidP="0055227E">
      <w:r>
        <w:t>With an ageing population and increased research, expectations and awareness of health and wellbeing more broadly, the provision of health services will continue to grow and see a significant increase in the share of employment in the health care</w:t>
      </w:r>
      <w:r w:rsidR="00004B46">
        <w:t xml:space="preserve"> and social assistance sector</w:t>
      </w:r>
      <w:r>
        <w:t xml:space="preserve"> over the </w:t>
      </w:r>
      <w:r w:rsidR="00B6120B">
        <w:t>202</w:t>
      </w:r>
      <w:r w:rsidR="009D3FB0">
        <w:t>3</w:t>
      </w:r>
      <w:r w:rsidR="00B6120B">
        <w:t xml:space="preserve"> </w:t>
      </w:r>
      <w:r>
        <w:t xml:space="preserve">to </w:t>
      </w:r>
      <w:r w:rsidR="00B6120B">
        <w:t>204</w:t>
      </w:r>
      <w:r w:rsidR="009D3FB0">
        <w:t>3</w:t>
      </w:r>
      <w:r w:rsidR="00B6120B">
        <w:t xml:space="preserve"> </w:t>
      </w:r>
      <w:r>
        <w:t>period.</w:t>
      </w:r>
      <w:r w:rsidR="21D9E757">
        <w:t xml:space="preserve"> </w:t>
      </w:r>
    </w:p>
    <w:p w14:paraId="53F34B93" w14:textId="61868D5F" w:rsidR="00701FF0" w:rsidRPr="00537E40" w:rsidRDefault="003A061E" w:rsidP="00701FF0">
      <w:r>
        <w:t>More detail</w:t>
      </w:r>
      <w:r w:rsidR="00E90CEB">
        <w:t>ed</w:t>
      </w:r>
      <w:r>
        <w:t xml:space="preserve"> f</w:t>
      </w:r>
      <w:r w:rsidR="00004B46" w:rsidRPr="00B92D60">
        <w:t xml:space="preserve">orecasts results by single year and </w:t>
      </w:r>
      <w:hyperlink r:id="rId14" w:history="1">
        <w:r w:rsidR="007121A4" w:rsidRPr="00B92D60">
          <w:rPr>
            <w:rStyle w:val="Hyperlink"/>
          </w:rPr>
          <w:t xml:space="preserve">CLUE </w:t>
        </w:r>
        <w:r w:rsidR="00004B46" w:rsidRPr="00B92D60">
          <w:rPr>
            <w:rStyle w:val="Hyperlink"/>
          </w:rPr>
          <w:t>small areas</w:t>
        </w:r>
      </w:hyperlink>
      <w:r w:rsidR="001D104E" w:rsidRPr="001D104E">
        <w:rPr>
          <w:rStyle w:val="FootnoteReference"/>
        </w:rPr>
        <w:footnoteReference w:id="3"/>
      </w:r>
      <w:r w:rsidR="00004B46" w:rsidRPr="00B92D60">
        <w:t xml:space="preserve"> within the municipality are available on City of Melbourne’s</w:t>
      </w:r>
      <w:r w:rsidR="00701FF0" w:rsidRPr="00B92D60">
        <w:t xml:space="preserve"> </w:t>
      </w:r>
      <w:hyperlink r:id="rId15" w:history="1">
        <w:r w:rsidR="004F40C3">
          <w:rPr>
            <w:rStyle w:val="Hyperlink"/>
          </w:rPr>
          <w:t>Open Data Platform</w:t>
        </w:r>
      </w:hyperlink>
      <w:r w:rsidR="001D104E" w:rsidRPr="001D104E">
        <w:rPr>
          <w:rStyle w:val="FootnoteReference"/>
        </w:rPr>
        <w:footnoteReference w:id="4"/>
      </w:r>
      <w:r w:rsidR="00701FF0" w:rsidRPr="00B92D60">
        <w:t>.</w:t>
      </w:r>
    </w:p>
    <w:p w14:paraId="79CCAD17" w14:textId="77777777" w:rsidR="00701FF0" w:rsidRPr="00537E40" w:rsidRDefault="00701FF0" w:rsidP="00701FF0">
      <w:pPr>
        <w:pStyle w:val="Heading1"/>
        <w:rPr>
          <w:rFonts w:hint="eastAsia"/>
        </w:rPr>
      </w:pPr>
      <w:bookmarkStart w:id="19" w:name="_Toc180519451"/>
      <w:r w:rsidRPr="00537E40">
        <w:t>Acknowledgements</w:t>
      </w:r>
      <w:bookmarkEnd w:id="19"/>
    </w:p>
    <w:p w14:paraId="702F5A5D" w14:textId="77777777" w:rsidR="008E0C7D" w:rsidRDefault="007121A4" w:rsidP="001D104E">
      <w:r>
        <w:t>The content in this</w:t>
      </w:r>
      <w:r w:rsidR="00004B46">
        <w:t xml:space="preserve"> </w:t>
      </w:r>
      <w:r>
        <w:t>document</w:t>
      </w:r>
      <w:r w:rsidR="00004B46">
        <w:t xml:space="preserve"> </w:t>
      </w:r>
      <w:r>
        <w:t>was taken from reports provided by SGS Economics and Planning to the City of Melbourne</w:t>
      </w:r>
      <w:r w:rsidR="00145294">
        <w:t>.</w:t>
      </w:r>
    </w:p>
    <w:p w14:paraId="13436AE0" w14:textId="77777777" w:rsidR="00A47634" w:rsidRPr="00E90CEB" w:rsidRDefault="00A47634" w:rsidP="001D104E">
      <w:pPr>
        <w:pStyle w:val="Heading2"/>
        <w:rPr>
          <w:rFonts w:hint="eastAsia"/>
        </w:rPr>
      </w:pPr>
      <w:bookmarkStart w:id="20" w:name="_Toc180519452"/>
      <w:r w:rsidRPr="00E90CEB">
        <w:t>Disclaimer</w:t>
      </w:r>
      <w:bookmarkEnd w:id="20"/>
    </w:p>
    <w:p w14:paraId="27489426" w14:textId="77777777" w:rsidR="00A47634" w:rsidRDefault="00A47634" w:rsidP="00A47634">
      <w:r w:rsidRPr="00A47634">
        <w:t>This</w:t>
      </w:r>
      <w:r w:rsidRPr="00E90CEB">
        <w:t xml:space="preserve"> document</w:t>
      </w:r>
      <w:r w:rsidRPr="00A47634">
        <w:t xml:space="preserve"> is</w:t>
      </w:r>
      <w:r w:rsidRPr="00E90CEB">
        <w:t xml:space="preserve"> for information and communication purposes only. While care is taken to ensure the information is accurate and reliable, the City of Melbourne cannot guarantee this. Content may not be free from errors, omissions or inconsistencies.  It is recommended that users exercise care with its use.  The City of Melbourne takes no responsibility for inaccurate information and does not accept any liability whatsoever for any direct or indirect loss, damage or injury suffered as a result of reliance on this information.</w:t>
      </w:r>
    </w:p>
    <w:p w14:paraId="7D8D15A5" w14:textId="77777777" w:rsidR="00953D3C" w:rsidRPr="00E34073" w:rsidRDefault="00F568BB" w:rsidP="00E34073">
      <w:pPr>
        <w:pStyle w:val="Heading1"/>
        <w:rPr>
          <w:rFonts w:hint="eastAsia"/>
        </w:rPr>
      </w:pPr>
      <w:r>
        <w:rPr>
          <w:rFonts w:hint="eastAsia"/>
        </w:rPr>
        <w:br w:type="page"/>
      </w:r>
      <w:bookmarkStart w:id="21" w:name="_Toc180519453"/>
      <w:r w:rsidR="00B07612" w:rsidRPr="00721315">
        <w:lastRenderedPageBreak/>
        <w:t>Appendix</w:t>
      </w:r>
      <w:r w:rsidR="00B61D4E" w:rsidRPr="00721315">
        <w:t xml:space="preserve"> 1</w:t>
      </w:r>
      <w:r w:rsidR="00BF4912" w:rsidRPr="00721315">
        <w:t>: Accessible data t</w:t>
      </w:r>
      <w:r w:rsidR="00B07612" w:rsidRPr="00721315">
        <w:t>ables</w:t>
      </w:r>
      <w:bookmarkEnd w:id="21"/>
    </w:p>
    <w:p w14:paraId="16BF0816" w14:textId="49A2DA7D" w:rsidR="00145294" w:rsidRPr="00537E40" w:rsidRDefault="00145294" w:rsidP="110985B9">
      <w:pPr>
        <w:pStyle w:val="Heading2"/>
        <w:rPr>
          <w:rFonts w:hint="eastAsia"/>
        </w:rPr>
      </w:pPr>
      <w:bookmarkStart w:id="22" w:name="_Toc180519454"/>
      <w:r w:rsidRPr="009761D3">
        <w:t>Population</w:t>
      </w:r>
      <w:r w:rsidR="007121A4" w:rsidRPr="009761D3">
        <w:t xml:space="preserve"> by small area</w:t>
      </w:r>
      <w:r w:rsidRPr="009761D3">
        <w:t xml:space="preserve"> 202</w:t>
      </w:r>
      <w:r w:rsidR="006E1732" w:rsidRPr="009761D3">
        <w:t>3</w:t>
      </w:r>
      <w:r w:rsidRPr="009761D3">
        <w:t>, 203</w:t>
      </w:r>
      <w:r w:rsidR="006E1732" w:rsidRPr="009761D3">
        <w:t>3</w:t>
      </w:r>
      <w:r w:rsidRPr="009761D3">
        <w:t xml:space="preserve"> and 204</w:t>
      </w:r>
      <w:r w:rsidR="006E1732" w:rsidRPr="009761D3">
        <w:t>3</w:t>
      </w:r>
      <w:bookmarkEnd w:id="22"/>
    </w:p>
    <w:tbl>
      <w:tblPr>
        <w:tblW w:w="9694" w:type="dxa"/>
        <w:tblLayout w:type="fixed"/>
        <w:tblLook w:val="04A0" w:firstRow="1" w:lastRow="0" w:firstColumn="1" w:lastColumn="0" w:noHBand="0" w:noVBand="1"/>
      </w:tblPr>
      <w:tblGrid>
        <w:gridCol w:w="3061"/>
        <w:gridCol w:w="1187"/>
        <w:gridCol w:w="1276"/>
        <w:gridCol w:w="1275"/>
        <w:gridCol w:w="1418"/>
        <w:gridCol w:w="1477"/>
      </w:tblGrid>
      <w:tr w:rsidR="00E57B1C" w:rsidRPr="00537E40" w14:paraId="223AA6A5" w14:textId="77777777" w:rsidTr="4A450472">
        <w:trPr>
          <w:trHeight w:val="285"/>
        </w:trPr>
        <w:tc>
          <w:tcPr>
            <w:tcW w:w="3061"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hideMark/>
          </w:tcPr>
          <w:p w14:paraId="2B04EADB" w14:textId="77777777" w:rsidR="00E57B1C" w:rsidRPr="00B07612" w:rsidRDefault="00E57B1C" w:rsidP="007121A4">
            <w:pPr>
              <w:spacing w:after="0" w:line="240" w:lineRule="auto"/>
              <w:rPr>
                <w:rFonts w:eastAsia="Times New Roman" w:cs="Arial"/>
                <w:b/>
                <w:bCs/>
                <w:color w:val="000000"/>
                <w:szCs w:val="20"/>
                <w:lang w:eastAsia="en-AU"/>
              </w:rPr>
            </w:pPr>
            <w:r>
              <w:rPr>
                <w:rFonts w:eastAsia="Times New Roman" w:cs="Arial"/>
                <w:b/>
                <w:bCs/>
                <w:color w:val="000000"/>
                <w:szCs w:val="20"/>
                <w:lang w:eastAsia="en-AU"/>
              </w:rPr>
              <w:t>CLUE small area</w:t>
            </w:r>
          </w:p>
        </w:tc>
        <w:tc>
          <w:tcPr>
            <w:tcW w:w="11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48C51A" w14:textId="59068234" w:rsidR="00E57B1C" w:rsidRPr="00B07612" w:rsidRDefault="00E57B1C" w:rsidP="110985B9">
            <w:pPr>
              <w:spacing w:after="0" w:line="240" w:lineRule="auto"/>
              <w:jc w:val="center"/>
              <w:rPr>
                <w:rFonts w:eastAsia="Times New Roman" w:cs="Arial"/>
                <w:b/>
                <w:bCs/>
                <w:color w:val="000000"/>
                <w:lang w:eastAsia="en-AU"/>
              </w:rPr>
            </w:pPr>
            <w:r w:rsidRPr="110985B9">
              <w:rPr>
                <w:rFonts w:eastAsia="Times New Roman" w:cs="Arial"/>
                <w:b/>
                <w:bCs/>
                <w:color w:val="000000" w:themeColor="text1"/>
                <w:lang w:eastAsia="en-AU"/>
              </w:rPr>
              <w:t>202</w:t>
            </w:r>
            <w:r w:rsidR="006E1732">
              <w:rPr>
                <w:rFonts w:eastAsia="Times New Roman" w:cs="Arial"/>
                <w:b/>
                <w:bCs/>
                <w:color w:val="000000" w:themeColor="text1"/>
                <w:lang w:eastAsia="en-AU"/>
              </w:rPr>
              <w:t>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5CCF60" w14:textId="35A60BA1" w:rsidR="00E57B1C" w:rsidRPr="00B07612" w:rsidRDefault="00E57B1C" w:rsidP="110985B9">
            <w:pPr>
              <w:spacing w:after="0" w:line="240" w:lineRule="auto"/>
              <w:jc w:val="center"/>
              <w:rPr>
                <w:rFonts w:eastAsia="Times New Roman" w:cs="Arial"/>
                <w:b/>
                <w:bCs/>
                <w:color w:val="000000"/>
                <w:lang w:eastAsia="en-AU"/>
              </w:rPr>
            </w:pPr>
            <w:r w:rsidRPr="110985B9">
              <w:rPr>
                <w:rFonts w:eastAsia="Times New Roman" w:cs="Arial"/>
                <w:b/>
                <w:bCs/>
                <w:color w:val="000000" w:themeColor="text1"/>
                <w:lang w:eastAsia="en-AU"/>
              </w:rPr>
              <w:t>203</w:t>
            </w:r>
            <w:r w:rsidR="006E1732">
              <w:rPr>
                <w:rFonts w:eastAsia="Times New Roman" w:cs="Arial"/>
                <w:b/>
                <w:bCs/>
                <w:color w:val="000000" w:themeColor="text1"/>
                <w:lang w:eastAsia="en-AU"/>
              </w:rPr>
              <w:t>3</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5378AB" w14:textId="5F75396F" w:rsidR="00E57B1C" w:rsidRPr="00B07612" w:rsidRDefault="00E57B1C" w:rsidP="110985B9">
            <w:pPr>
              <w:spacing w:after="0" w:line="240" w:lineRule="auto"/>
              <w:jc w:val="center"/>
              <w:rPr>
                <w:rFonts w:eastAsia="Times New Roman" w:cs="Arial"/>
                <w:b/>
                <w:bCs/>
                <w:color w:val="000000"/>
                <w:lang w:eastAsia="en-AU"/>
              </w:rPr>
            </w:pPr>
            <w:r w:rsidRPr="110985B9">
              <w:rPr>
                <w:rFonts w:eastAsia="Times New Roman" w:cs="Arial"/>
                <w:b/>
                <w:bCs/>
                <w:color w:val="000000" w:themeColor="text1"/>
                <w:lang w:eastAsia="en-AU"/>
              </w:rPr>
              <w:t>204</w:t>
            </w:r>
            <w:r w:rsidR="006E1732">
              <w:rPr>
                <w:rFonts w:eastAsia="Times New Roman" w:cs="Arial"/>
                <w:b/>
                <w:bCs/>
                <w:color w:val="000000" w:themeColor="text1"/>
                <w:lang w:eastAsia="en-AU"/>
              </w:rPr>
              <w:t>3</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1BAAB1D" w14:textId="30420C0F" w:rsidR="00E57B1C" w:rsidRPr="00B07612" w:rsidRDefault="00E57B1C" w:rsidP="110985B9">
            <w:pPr>
              <w:spacing w:after="0" w:line="240" w:lineRule="auto"/>
              <w:jc w:val="center"/>
              <w:rPr>
                <w:rFonts w:eastAsia="Times New Roman" w:cs="Arial"/>
                <w:b/>
                <w:bCs/>
                <w:color w:val="000000"/>
                <w:lang w:eastAsia="en-AU"/>
              </w:rPr>
            </w:pPr>
            <w:r w:rsidRPr="110985B9">
              <w:rPr>
                <w:rFonts w:eastAsia="Times New Roman" w:cs="Arial"/>
                <w:b/>
                <w:bCs/>
                <w:color w:val="000000" w:themeColor="text1"/>
                <w:lang w:eastAsia="en-AU"/>
              </w:rPr>
              <w:t>Change 202</w:t>
            </w:r>
            <w:r w:rsidR="006E1732">
              <w:rPr>
                <w:rFonts w:eastAsia="Times New Roman" w:cs="Arial"/>
                <w:b/>
                <w:bCs/>
                <w:color w:val="000000" w:themeColor="text1"/>
                <w:lang w:eastAsia="en-AU"/>
              </w:rPr>
              <w:t>3</w:t>
            </w:r>
            <w:r w:rsidRPr="110985B9">
              <w:rPr>
                <w:rFonts w:eastAsia="Times New Roman" w:cs="Arial"/>
                <w:b/>
                <w:bCs/>
                <w:color w:val="000000" w:themeColor="text1"/>
                <w:lang w:eastAsia="en-AU"/>
              </w:rPr>
              <w:t>-204</w:t>
            </w:r>
            <w:r w:rsidR="006E1732">
              <w:rPr>
                <w:rFonts w:eastAsia="Times New Roman" w:cs="Arial"/>
                <w:b/>
                <w:bCs/>
                <w:color w:val="000000" w:themeColor="text1"/>
                <w:lang w:eastAsia="en-AU"/>
              </w:rPr>
              <w:t>3</w:t>
            </w:r>
          </w:p>
        </w:tc>
        <w:tc>
          <w:tcPr>
            <w:tcW w:w="1477" w:type="dxa"/>
            <w:tcBorders>
              <w:top w:val="single" w:sz="4" w:space="0" w:color="auto"/>
              <w:left w:val="nil"/>
              <w:bottom w:val="single" w:sz="4" w:space="0" w:color="auto"/>
              <w:right w:val="single" w:sz="4" w:space="0" w:color="auto"/>
            </w:tcBorders>
            <w:shd w:val="clear" w:color="auto" w:fill="auto"/>
            <w:vAlign w:val="center"/>
          </w:tcPr>
          <w:p w14:paraId="46718D81" w14:textId="1A55D96C" w:rsidR="00E57B1C" w:rsidRPr="00B07612" w:rsidRDefault="00E57B1C" w:rsidP="00E57B1C">
            <w:pPr>
              <w:spacing w:after="0" w:line="240" w:lineRule="auto"/>
              <w:jc w:val="center"/>
              <w:rPr>
                <w:rFonts w:eastAsia="Times New Roman" w:cs="Arial"/>
                <w:b/>
                <w:bCs/>
                <w:color w:val="000000"/>
                <w:szCs w:val="20"/>
                <w:lang w:eastAsia="en-AU"/>
              </w:rPr>
            </w:pPr>
            <w:r w:rsidRPr="00B07612">
              <w:rPr>
                <w:rFonts w:eastAsia="Times New Roman" w:cs="Arial"/>
                <w:b/>
                <w:bCs/>
                <w:color w:val="000000"/>
                <w:szCs w:val="20"/>
                <w:lang w:eastAsia="en-AU"/>
              </w:rPr>
              <w:t>Avg. Annual Growth Rate</w:t>
            </w:r>
            <w:r>
              <w:rPr>
                <w:rFonts w:eastAsia="Times New Roman" w:cs="Arial"/>
                <w:b/>
                <w:bCs/>
                <w:color w:val="000000"/>
                <w:szCs w:val="20"/>
                <w:lang w:eastAsia="en-AU"/>
              </w:rPr>
              <w:t xml:space="preserve"> 202</w:t>
            </w:r>
            <w:r w:rsidR="006E1732">
              <w:rPr>
                <w:rFonts w:eastAsia="Times New Roman" w:cs="Arial"/>
                <w:b/>
                <w:bCs/>
                <w:color w:val="000000"/>
                <w:szCs w:val="20"/>
                <w:lang w:eastAsia="en-AU"/>
              </w:rPr>
              <w:t>3</w:t>
            </w:r>
            <w:r>
              <w:rPr>
                <w:rFonts w:eastAsia="Times New Roman" w:cs="Arial"/>
                <w:b/>
                <w:bCs/>
                <w:color w:val="000000"/>
                <w:szCs w:val="20"/>
                <w:lang w:eastAsia="en-AU"/>
              </w:rPr>
              <w:t>-</w:t>
            </w:r>
            <w:r w:rsidR="006E1732">
              <w:rPr>
                <w:rFonts w:eastAsia="Times New Roman" w:cs="Arial"/>
                <w:b/>
                <w:bCs/>
                <w:color w:val="000000"/>
                <w:szCs w:val="20"/>
                <w:lang w:eastAsia="en-AU"/>
              </w:rPr>
              <w:t>2043</w:t>
            </w:r>
          </w:p>
        </w:tc>
      </w:tr>
      <w:tr w:rsidR="00787D57" w:rsidRPr="00537E40" w14:paraId="20D69735" w14:textId="77777777" w:rsidTr="4A450472">
        <w:trPr>
          <w:trHeight w:val="340"/>
        </w:trPr>
        <w:tc>
          <w:tcPr>
            <w:tcW w:w="3061" w:type="dxa"/>
            <w:tcBorders>
              <w:top w:val="nil"/>
              <w:left w:val="single" w:sz="4" w:space="0" w:color="auto"/>
              <w:bottom w:val="single" w:sz="4" w:space="0" w:color="auto"/>
              <w:right w:val="single" w:sz="4" w:space="0" w:color="auto"/>
            </w:tcBorders>
            <w:shd w:val="clear" w:color="auto" w:fill="auto"/>
            <w:noWrap/>
            <w:vAlign w:val="bottom"/>
          </w:tcPr>
          <w:p w14:paraId="7BCAC93A" w14:textId="102D3567" w:rsidR="00787D57" w:rsidRDefault="00787D57" w:rsidP="110985B9">
            <w:pPr>
              <w:spacing w:after="0" w:line="240" w:lineRule="auto"/>
              <w:rPr>
                <w:rFonts w:cs="Arial"/>
                <w:b/>
                <w:bCs/>
                <w:color w:val="000000"/>
              </w:rPr>
            </w:pPr>
            <w:r w:rsidRPr="110985B9">
              <w:rPr>
                <w:rFonts w:cs="Arial"/>
                <w:b/>
                <w:bCs/>
                <w:color w:val="000000" w:themeColor="text1"/>
              </w:rPr>
              <w:t>Carlton</w:t>
            </w:r>
          </w:p>
        </w:tc>
        <w:tc>
          <w:tcPr>
            <w:tcW w:w="1187" w:type="dxa"/>
            <w:tcBorders>
              <w:top w:val="nil"/>
              <w:left w:val="nil"/>
              <w:bottom w:val="single" w:sz="4" w:space="0" w:color="auto"/>
              <w:right w:val="single" w:sz="4" w:space="0" w:color="auto"/>
            </w:tcBorders>
            <w:shd w:val="clear" w:color="auto" w:fill="auto"/>
            <w:noWrap/>
            <w:vAlign w:val="center"/>
          </w:tcPr>
          <w:p w14:paraId="4D9E6AC3" w14:textId="7F2A1A6C" w:rsidR="00787D57" w:rsidRDefault="0081149A" w:rsidP="110985B9">
            <w:pPr>
              <w:spacing w:after="0" w:line="240" w:lineRule="auto"/>
              <w:jc w:val="right"/>
              <w:rPr>
                <w:rFonts w:cs="Arial"/>
                <w:color w:val="000000"/>
              </w:rPr>
            </w:pPr>
            <w:r>
              <w:rPr>
                <w:rFonts w:cs="Arial"/>
                <w:color w:val="000000" w:themeColor="text1"/>
              </w:rPr>
              <w:t>20,000</w:t>
            </w:r>
            <w:r w:rsidR="00787D57" w:rsidRPr="110985B9">
              <w:rPr>
                <w:rFonts w:cs="Arial"/>
                <w:color w:val="000000" w:themeColor="text1"/>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7BD88841" w14:textId="5F26F27E" w:rsidR="00787D57" w:rsidRDefault="0081149A" w:rsidP="110985B9">
            <w:pPr>
              <w:spacing w:after="0" w:line="240" w:lineRule="auto"/>
              <w:jc w:val="right"/>
              <w:rPr>
                <w:rFonts w:cs="Arial"/>
                <w:color w:val="000000"/>
              </w:rPr>
            </w:pPr>
            <w:r>
              <w:rPr>
                <w:rFonts w:cs="Arial"/>
                <w:color w:val="000000" w:themeColor="text1"/>
              </w:rPr>
              <w:t>28,000</w:t>
            </w:r>
            <w:r w:rsidR="00787D57" w:rsidRPr="110985B9">
              <w:rPr>
                <w:rFonts w:cs="Arial"/>
                <w:color w:val="000000" w:themeColor="text1"/>
              </w:rPr>
              <w:t xml:space="preserve"> </w:t>
            </w:r>
          </w:p>
        </w:tc>
        <w:tc>
          <w:tcPr>
            <w:tcW w:w="1275" w:type="dxa"/>
            <w:tcBorders>
              <w:top w:val="nil"/>
              <w:left w:val="nil"/>
              <w:bottom w:val="single" w:sz="4" w:space="0" w:color="auto"/>
              <w:right w:val="single" w:sz="4" w:space="0" w:color="auto"/>
            </w:tcBorders>
            <w:shd w:val="clear" w:color="auto" w:fill="auto"/>
            <w:noWrap/>
            <w:vAlign w:val="center"/>
          </w:tcPr>
          <w:p w14:paraId="231D0146" w14:textId="179D6B8D" w:rsidR="00787D57" w:rsidRDefault="0081149A" w:rsidP="110985B9">
            <w:pPr>
              <w:spacing w:after="0" w:line="240" w:lineRule="auto"/>
              <w:jc w:val="right"/>
              <w:rPr>
                <w:rFonts w:cs="Arial"/>
                <w:color w:val="000000"/>
              </w:rPr>
            </w:pPr>
            <w:r>
              <w:rPr>
                <w:rFonts w:cs="Arial"/>
                <w:color w:val="000000" w:themeColor="text1"/>
              </w:rPr>
              <w:t>28,300</w:t>
            </w:r>
            <w:r w:rsidR="00787D57" w:rsidRPr="110985B9">
              <w:rPr>
                <w:rFonts w:cs="Arial"/>
                <w:color w:val="000000" w:themeColor="text1"/>
              </w:rPr>
              <w:t xml:space="preserve"> </w:t>
            </w:r>
          </w:p>
        </w:tc>
        <w:tc>
          <w:tcPr>
            <w:tcW w:w="1418" w:type="dxa"/>
            <w:tcBorders>
              <w:top w:val="nil"/>
              <w:left w:val="nil"/>
              <w:bottom w:val="single" w:sz="4" w:space="0" w:color="auto"/>
              <w:right w:val="single" w:sz="4" w:space="0" w:color="auto"/>
            </w:tcBorders>
            <w:shd w:val="clear" w:color="auto" w:fill="auto"/>
            <w:noWrap/>
            <w:vAlign w:val="center"/>
          </w:tcPr>
          <w:p w14:paraId="2BB7F697" w14:textId="354844E0" w:rsidR="00787D57" w:rsidRDefault="002D7736" w:rsidP="110985B9">
            <w:pPr>
              <w:spacing w:after="0" w:line="240" w:lineRule="auto"/>
              <w:jc w:val="right"/>
              <w:rPr>
                <w:rFonts w:cs="Arial"/>
                <w:color w:val="000000"/>
              </w:rPr>
            </w:pPr>
            <w:r>
              <w:rPr>
                <w:rFonts w:cs="Arial"/>
                <w:color w:val="000000" w:themeColor="text1"/>
              </w:rPr>
              <w:t>8,300</w:t>
            </w:r>
            <w:r w:rsidR="00787D57" w:rsidRPr="110985B9">
              <w:rPr>
                <w:rFonts w:cs="Arial"/>
                <w:color w:val="000000" w:themeColor="text1"/>
              </w:rPr>
              <w:t xml:space="preserve"> </w:t>
            </w:r>
          </w:p>
        </w:tc>
        <w:tc>
          <w:tcPr>
            <w:tcW w:w="1477" w:type="dxa"/>
            <w:tcBorders>
              <w:top w:val="nil"/>
              <w:left w:val="nil"/>
              <w:bottom w:val="single" w:sz="4" w:space="0" w:color="auto"/>
              <w:right w:val="single" w:sz="4" w:space="0" w:color="auto"/>
            </w:tcBorders>
            <w:shd w:val="clear" w:color="auto" w:fill="auto"/>
            <w:noWrap/>
            <w:vAlign w:val="center"/>
          </w:tcPr>
          <w:p w14:paraId="2840F36B" w14:textId="5C72B25B" w:rsidR="00787D57" w:rsidRPr="006331DF" w:rsidRDefault="006331DF" w:rsidP="110985B9">
            <w:pPr>
              <w:spacing w:after="0" w:line="240" w:lineRule="auto"/>
              <w:jc w:val="right"/>
              <w:rPr>
                <w:rFonts w:cs="Arial"/>
                <w:color w:val="000000"/>
              </w:rPr>
            </w:pPr>
            <w:r w:rsidRPr="006331DF">
              <w:rPr>
                <w:rFonts w:cs="Arial"/>
                <w:color w:val="000000" w:themeColor="text1"/>
              </w:rPr>
              <w:t>1.8</w:t>
            </w:r>
            <w:r w:rsidR="00787D57" w:rsidRPr="006331DF">
              <w:rPr>
                <w:rFonts w:cs="Arial"/>
                <w:color w:val="000000" w:themeColor="text1"/>
              </w:rPr>
              <w:t>%</w:t>
            </w:r>
          </w:p>
        </w:tc>
      </w:tr>
      <w:tr w:rsidR="00787D57" w:rsidRPr="00537E40" w14:paraId="6FEC9000" w14:textId="77777777" w:rsidTr="4A450472">
        <w:trPr>
          <w:trHeight w:val="340"/>
        </w:trPr>
        <w:tc>
          <w:tcPr>
            <w:tcW w:w="3061" w:type="dxa"/>
            <w:tcBorders>
              <w:top w:val="nil"/>
              <w:left w:val="single" w:sz="4" w:space="0" w:color="auto"/>
              <w:bottom w:val="single" w:sz="4" w:space="0" w:color="auto"/>
              <w:right w:val="single" w:sz="4" w:space="0" w:color="auto"/>
            </w:tcBorders>
            <w:shd w:val="clear" w:color="auto" w:fill="auto"/>
            <w:noWrap/>
            <w:vAlign w:val="bottom"/>
          </w:tcPr>
          <w:p w14:paraId="05D970E1" w14:textId="6691178E" w:rsidR="00787D57" w:rsidRDefault="00787D57" w:rsidP="110985B9">
            <w:pPr>
              <w:spacing w:after="0" w:line="240" w:lineRule="auto"/>
              <w:rPr>
                <w:rFonts w:cs="Arial"/>
                <w:b/>
                <w:bCs/>
                <w:color w:val="000000"/>
              </w:rPr>
            </w:pPr>
            <w:r w:rsidRPr="110985B9">
              <w:rPr>
                <w:rFonts w:cs="Arial"/>
                <w:b/>
                <w:bCs/>
                <w:color w:val="000000" w:themeColor="text1"/>
              </w:rPr>
              <w:t>Docklands</w:t>
            </w:r>
          </w:p>
        </w:tc>
        <w:tc>
          <w:tcPr>
            <w:tcW w:w="1187" w:type="dxa"/>
            <w:tcBorders>
              <w:top w:val="nil"/>
              <w:left w:val="nil"/>
              <w:bottom w:val="single" w:sz="4" w:space="0" w:color="auto"/>
              <w:right w:val="single" w:sz="4" w:space="0" w:color="auto"/>
            </w:tcBorders>
            <w:shd w:val="clear" w:color="auto" w:fill="auto"/>
            <w:noWrap/>
            <w:vAlign w:val="center"/>
          </w:tcPr>
          <w:p w14:paraId="5793D876" w14:textId="4B7F421A" w:rsidR="00787D57" w:rsidRDefault="0081149A" w:rsidP="110985B9">
            <w:pPr>
              <w:spacing w:after="0" w:line="240" w:lineRule="auto"/>
              <w:jc w:val="right"/>
              <w:rPr>
                <w:rFonts w:cs="Arial"/>
                <w:color w:val="000000"/>
              </w:rPr>
            </w:pPr>
            <w:r>
              <w:rPr>
                <w:rFonts w:cs="Arial"/>
                <w:color w:val="000000" w:themeColor="text1"/>
              </w:rPr>
              <w:t>18,200</w:t>
            </w:r>
            <w:r w:rsidR="00787D57" w:rsidRPr="110985B9">
              <w:rPr>
                <w:rFonts w:cs="Arial"/>
                <w:color w:val="000000" w:themeColor="text1"/>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05896BEE" w14:textId="4AED048C" w:rsidR="00787D57" w:rsidRDefault="0081149A" w:rsidP="110985B9">
            <w:pPr>
              <w:spacing w:after="0" w:line="240" w:lineRule="auto"/>
              <w:jc w:val="right"/>
              <w:rPr>
                <w:rFonts w:cs="Arial"/>
                <w:color w:val="000000"/>
              </w:rPr>
            </w:pPr>
            <w:r>
              <w:rPr>
                <w:rFonts w:cs="Arial"/>
                <w:color w:val="000000" w:themeColor="text1"/>
              </w:rPr>
              <w:t>25,500</w:t>
            </w:r>
            <w:r w:rsidR="00787D57" w:rsidRPr="110985B9">
              <w:rPr>
                <w:rFonts w:cs="Arial"/>
                <w:color w:val="000000" w:themeColor="text1"/>
              </w:rPr>
              <w:t xml:space="preserve"> </w:t>
            </w:r>
          </w:p>
        </w:tc>
        <w:tc>
          <w:tcPr>
            <w:tcW w:w="1275" w:type="dxa"/>
            <w:tcBorders>
              <w:top w:val="nil"/>
              <w:left w:val="nil"/>
              <w:bottom w:val="single" w:sz="4" w:space="0" w:color="auto"/>
              <w:right w:val="single" w:sz="4" w:space="0" w:color="auto"/>
            </w:tcBorders>
            <w:shd w:val="clear" w:color="auto" w:fill="auto"/>
            <w:noWrap/>
            <w:vAlign w:val="center"/>
          </w:tcPr>
          <w:p w14:paraId="57ED5B5E" w14:textId="5407EAD0" w:rsidR="00787D57" w:rsidRDefault="0081149A" w:rsidP="110985B9">
            <w:pPr>
              <w:spacing w:after="0" w:line="240" w:lineRule="auto"/>
              <w:jc w:val="right"/>
              <w:rPr>
                <w:rFonts w:cs="Arial"/>
                <w:color w:val="000000"/>
              </w:rPr>
            </w:pPr>
            <w:r>
              <w:rPr>
                <w:rFonts w:cs="Arial"/>
                <w:color w:val="000000" w:themeColor="text1"/>
              </w:rPr>
              <w:t>30,900</w:t>
            </w:r>
            <w:r w:rsidR="00787D57" w:rsidRPr="110985B9">
              <w:rPr>
                <w:rFonts w:cs="Arial"/>
                <w:color w:val="000000" w:themeColor="text1"/>
              </w:rPr>
              <w:t xml:space="preserve"> </w:t>
            </w:r>
          </w:p>
        </w:tc>
        <w:tc>
          <w:tcPr>
            <w:tcW w:w="1418" w:type="dxa"/>
            <w:tcBorders>
              <w:top w:val="nil"/>
              <w:left w:val="nil"/>
              <w:bottom w:val="single" w:sz="4" w:space="0" w:color="auto"/>
              <w:right w:val="single" w:sz="4" w:space="0" w:color="auto"/>
            </w:tcBorders>
            <w:shd w:val="clear" w:color="auto" w:fill="auto"/>
            <w:noWrap/>
            <w:vAlign w:val="center"/>
          </w:tcPr>
          <w:p w14:paraId="3FB06568" w14:textId="619650B2" w:rsidR="00787D57" w:rsidRDefault="002D7736" w:rsidP="110985B9">
            <w:pPr>
              <w:spacing w:after="0" w:line="240" w:lineRule="auto"/>
              <w:jc w:val="right"/>
              <w:rPr>
                <w:rFonts w:cs="Arial"/>
                <w:color w:val="000000"/>
              </w:rPr>
            </w:pPr>
            <w:r>
              <w:rPr>
                <w:rFonts w:cs="Arial"/>
                <w:color w:val="000000" w:themeColor="text1"/>
              </w:rPr>
              <w:t>12,700</w:t>
            </w:r>
            <w:r w:rsidR="00787D57" w:rsidRPr="110985B9">
              <w:rPr>
                <w:rFonts w:cs="Arial"/>
                <w:color w:val="000000" w:themeColor="text1"/>
              </w:rPr>
              <w:t xml:space="preserve"> </w:t>
            </w:r>
          </w:p>
        </w:tc>
        <w:tc>
          <w:tcPr>
            <w:tcW w:w="1477" w:type="dxa"/>
            <w:tcBorders>
              <w:top w:val="nil"/>
              <w:left w:val="nil"/>
              <w:bottom w:val="single" w:sz="4" w:space="0" w:color="auto"/>
              <w:right w:val="single" w:sz="4" w:space="0" w:color="auto"/>
            </w:tcBorders>
            <w:shd w:val="clear" w:color="auto" w:fill="auto"/>
            <w:noWrap/>
            <w:vAlign w:val="center"/>
          </w:tcPr>
          <w:p w14:paraId="02EE6A9E" w14:textId="00FA621F" w:rsidR="00787D57" w:rsidRPr="006331DF" w:rsidRDefault="006331DF" w:rsidP="110985B9">
            <w:pPr>
              <w:spacing w:after="0" w:line="240" w:lineRule="auto"/>
              <w:jc w:val="right"/>
              <w:rPr>
                <w:rFonts w:cs="Arial"/>
                <w:color w:val="000000"/>
              </w:rPr>
            </w:pPr>
            <w:r w:rsidRPr="006331DF">
              <w:rPr>
                <w:rFonts w:cs="Arial"/>
                <w:color w:val="000000" w:themeColor="text1"/>
              </w:rPr>
              <w:t>2.7</w:t>
            </w:r>
            <w:r w:rsidR="00787D57" w:rsidRPr="006331DF">
              <w:rPr>
                <w:rFonts w:cs="Arial"/>
                <w:color w:val="000000" w:themeColor="text1"/>
              </w:rPr>
              <w:t>%</w:t>
            </w:r>
          </w:p>
        </w:tc>
      </w:tr>
      <w:tr w:rsidR="00787D57" w:rsidRPr="00537E40" w14:paraId="563B237C" w14:textId="77777777" w:rsidTr="4A450472">
        <w:trPr>
          <w:trHeight w:val="340"/>
        </w:trPr>
        <w:tc>
          <w:tcPr>
            <w:tcW w:w="3061" w:type="dxa"/>
            <w:tcBorders>
              <w:top w:val="nil"/>
              <w:left w:val="single" w:sz="4" w:space="0" w:color="auto"/>
              <w:bottom w:val="single" w:sz="4" w:space="0" w:color="auto"/>
              <w:right w:val="single" w:sz="4" w:space="0" w:color="auto"/>
            </w:tcBorders>
            <w:shd w:val="clear" w:color="auto" w:fill="auto"/>
            <w:noWrap/>
            <w:vAlign w:val="bottom"/>
          </w:tcPr>
          <w:p w14:paraId="3E48204B" w14:textId="063C8861" w:rsidR="00787D57" w:rsidRDefault="00787D57" w:rsidP="110985B9">
            <w:pPr>
              <w:spacing w:after="0" w:line="240" w:lineRule="auto"/>
              <w:rPr>
                <w:rFonts w:cs="Arial"/>
                <w:b/>
                <w:bCs/>
                <w:color w:val="000000"/>
              </w:rPr>
            </w:pPr>
            <w:r w:rsidRPr="110985B9">
              <w:rPr>
                <w:rFonts w:cs="Arial"/>
                <w:b/>
                <w:bCs/>
                <w:color w:val="000000" w:themeColor="text1"/>
              </w:rPr>
              <w:t>East Melbourne</w:t>
            </w:r>
          </w:p>
        </w:tc>
        <w:tc>
          <w:tcPr>
            <w:tcW w:w="1187" w:type="dxa"/>
            <w:tcBorders>
              <w:top w:val="nil"/>
              <w:left w:val="nil"/>
              <w:bottom w:val="single" w:sz="4" w:space="0" w:color="auto"/>
              <w:right w:val="single" w:sz="4" w:space="0" w:color="auto"/>
            </w:tcBorders>
            <w:shd w:val="clear" w:color="auto" w:fill="auto"/>
            <w:noWrap/>
            <w:vAlign w:val="center"/>
          </w:tcPr>
          <w:p w14:paraId="698AF461" w14:textId="0BA17583" w:rsidR="00787D57" w:rsidRDefault="0081149A" w:rsidP="110985B9">
            <w:pPr>
              <w:spacing w:after="0" w:line="240" w:lineRule="auto"/>
              <w:jc w:val="right"/>
              <w:rPr>
                <w:rFonts w:cs="Arial"/>
                <w:color w:val="000000"/>
              </w:rPr>
            </w:pPr>
            <w:r>
              <w:rPr>
                <w:rFonts w:cs="Arial"/>
                <w:color w:val="000000" w:themeColor="text1"/>
              </w:rPr>
              <w:t>5,400</w:t>
            </w:r>
            <w:r w:rsidR="00787D57" w:rsidRPr="110985B9">
              <w:rPr>
                <w:rFonts w:cs="Arial"/>
                <w:color w:val="000000" w:themeColor="text1"/>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3562E88D" w14:textId="067E044C" w:rsidR="00787D57" w:rsidRDefault="0081149A" w:rsidP="110985B9">
            <w:pPr>
              <w:spacing w:after="0" w:line="240" w:lineRule="auto"/>
              <w:jc w:val="right"/>
              <w:rPr>
                <w:rFonts w:cs="Arial"/>
                <w:color w:val="000000"/>
              </w:rPr>
            </w:pPr>
            <w:r>
              <w:rPr>
                <w:rFonts w:cs="Arial"/>
                <w:color w:val="000000" w:themeColor="text1"/>
              </w:rPr>
              <w:t>7,400</w:t>
            </w:r>
            <w:r w:rsidR="00787D57" w:rsidRPr="110985B9">
              <w:rPr>
                <w:rFonts w:cs="Arial"/>
                <w:color w:val="000000" w:themeColor="text1"/>
              </w:rPr>
              <w:t xml:space="preserve"> </w:t>
            </w:r>
          </w:p>
        </w:tc>
        <w:tc>
          <w:tcPr>
            <w:tcW w:w="1275" w:type="dxa"/>
            <w:tcBorders>
              <w:top w:val="nil"/>
              <w:left w:val="nil"/>
              <w:bottom w:val="single" w:sz="4" w:space="0" w:color="auto"/>
              <w:right w:val="single" w:sz="4" w:space="0" w:color="auto"/>
            </w:tcBorders>
            <w:shd w:val="clear" w:color="auto" w:fill="auto"/>
            <w:noWrap/>
            <w:vAlign w:val="center"/>
          </w:tcPr>
          <w:p w14:paraId="0781488E" w14:textId="33B14BDB" w:rsidR="00787D57" w:rsidRDefault="0081149A" w:rsidP="110985B9">
            <w:pPr>
              <w:spacing w:after="0" w:line="240" w:lineRule="auto"/>
              <w:jc w:val="right"/>
              <w:rPr>
                <w:rFonts w:cs="Arial"/>
                <w:color w:val="000000"/>
              </w:rPr>
            </w:pPr>
            <w:r>
              <w:rPr>
                <w:rFonts w:cs="Arial"/>
                <w:color w:val="000000" w:themeColor="text1"/>
              </w:rPr>
              <w:t>7,500</w:t>
            </w:r>
            <w:r w:rsidR="00787D57" w:rsidRPr="110985B9">
              <w:rPr>
                <w:rFonts w:cs="Arial"/>
                <w:color w:val="000000" w:themeColor="text1"/>
              </w:rPr>
              <w:t xml:space="preserve"> </w:t>
            </w:r>
          </w:p>
        </w:tc>
        <w:tc>
          <w:tcPr>
            <w:tcW w:w="1418" w:type="dxa"/>
            <w:tcBorders>
              <w:top w:val="nil"/>
              <w:left w:val="nil"/>
              <w:bottom w:val="single" w:sz="4" w:space="0" w:color="auto"/>
              <w:right w:val="single" w:sz="4" w:space="0" w:color="auto"/>
            </w:tcBorders>
            <w:shd w:val="clear" w:color="auto" w:fill="auto"/>
            <w:noWrap/>
            <w:vAlign w:val="center"/>
          </w:tcPr>
          <w:p w14:paraId="4835ADB4" w14:textId="5228EBA1" w:rsidR="00787D57" w:rsidRDefault="002D7736" w:rsidP="110985B9">
            <w:pPr>
              <w:spacing w:after="0" w:line="240" w:lineRule="auto"/>
              <w:jc w:val="right"/>
              <w:rPr>
                <w:rFonts w:cs="Arial"/>
                <w:color w:val="000000"/>
              </w:rPr>
            </w:pPr>
            <w:r>
              <w:rPr>
                <w:rFonts w:cs="Arial"/>
                <w:color w:val="000000" w:themeColor="text1"/>
              </w:rPr>
              <w:t>2,100</w:t>
            </w:r>
            <w:r w:rsidR="00787D57" w:rsidRPr="110985B9">
              <w:rPr>
                <w:rFonts w:cs="Arial"/>
                <w:color w:val="000000" w:themeColor="text1"/>
              </w:rPr>
              <w:t xml:space="preserve"> </w:t>
            </w:r>
          </w:p>
        </w:tc>
        <w:tc>
          <w:tcPr>
            <w:tcW w:w="1477" w:type="dxa"/>
            <w:tcBorders>
              <w:top w:val="nil"/>
              <w:left w:val="nil"/>
              <w:bottom w:val="single" w:sz="4" w:space="0" w:color="auto"/>
              <w:right w:val="single" w:sz="4" w:space="0" w:color="auto"/>
            </w:tcBorders>
            <w:shd w:val="clear" w:color="auto" w:fill="auto"/>
            <w:noWrap/>
            <w:vAlign w:val="center"/>
          </w:tcPr>
          <w:p w14:paraId="7F1FE7AB" w14:textId="48B96B19" w:rsidR="00787D57" w:rsidRPr="006331DF" w:rsidRDefault="006331DF" w:rsidP="110985B9">
            <w:pPr>
              <w:spacing w:after="0" w:line="240" w:lineRule="auto"/>
              <w:jc w:val="right"/>
              <w:rPr>
                <w:rFonts w:cs="Arial"/>
                <w:color w:val="000000"/>
              </w:rPr>
            </w:pPr>
            <w:r w:rsidRPr="006331DF">
              <w:rPr>
                <w:rFonts w:cs="Arial"/>
                <w:color w:val="000000" w:themeColor="text1"/>
              </w:rPr>
              <w:t>1.7</w:t>
            </w:r>
            <w:r w:rsidR="00787D57" w:rsidRPr="006331DF">
              <w:rPr>
                <w:rFonts w:cs="Arial"/>
                <w:color w:val="000000" w:themeColor="text1"/>
              </w:rPr>
              <w:t>%</w:t>
            </w:r>
          </w:p>
        </w:tc>
      </w:tr>
      <w:tr w:rsidR="00787D57" w:rsidRPr="00537E40" w14:paraId="1BF7C3DB" w14:textId="77777777" w:rsidTr="4A450472">
        <w:trPr>
          <w:trHeight w:val="340"/>
        </w:trPr>
        <w:tc>
          <w:tcPr>
            <w:tcW w:w="3061" w:type="dxa"/>
            <w:tcBorders>
              <w:top w:val="nil"/>
              <w:left w:val="single" w:sz="4" w:space="0" w:color="auto"/>
              <w:bottom w:val="single" w:sz="4" w:space="0" w:color="auto"/>
              <w:right w:val="single" w:sz="4" w:space="0" w:color="auto"/>
            </w:tcBorders>
            <w:shd w:val="clear" w:color="auto" w:fill="auto"/>
            <w:noWrap/>
            <w:vAlign w:val="bottom"/>
          </w:tcPr>
          <w:p w14:paraId="7D7B52AD" w14:textId="38DCD13F" w:rsidR="00787D57" w:rsidRDefault="00787D57" w:rsidP="110985B9">
            <w:pPr>
              <w:spacing w:after="0" w:line="240" w:lineRule="auto"/>
              <w:rPr>
                <w:rFonts w:cs="Arial"/>
                <w:b/>
                <w:bCs/>
                <w:color w:val="000000"/>
              </w:rPr>
            </w:pPr>
            <w:r w:rsidRPr="110985B9">
              <w:rPr>
                <w:rFonts w:cs="Arial"/>
                <w:b/>
                <w:bCs/>
                <w:color w:val="000000" w:themeColor="text1"/>
              </w:rPr>
              <w:t>Kensington</w:t>
            </w:r>
          </w:p>
        </w:tc>
        <w:tc>
          <w:tcPr>
            <w:tcW w:w="1187" w:type="dxa"/>
            <w:tcBorders>
              <w:top w:val="nil"/>
              <w:left w:val="nil"/>
              <w:bottom w:val="single" w:sz="4" w:space="0" w:color="auto"/>
              <w:right w:val="single" w:sz="4" w:space="0" w:color="auto"/>
            </w:tcBorders>
            <w:shd w:val="clear" w:color="auto" w:fill="auto"/>
            <w:noWrap/>
            <w:vAlign w:val="center"/>
          </w:tcPr>
          <w:p w14:paraId="49A7A932" w14:textId="07BB2A04" w:rsidR="00787D57" w:rsidRDefault="0081149A" w:rsidP="110985B9">
            <w:pPr>
              <w:spacing w:after="0" w:line="240" w:lineRule="auto"/>
              <w:jc w:val="right"/>
              <w:rPr>
                <w:rFonts w:cs="Arial"/>
                <w:color w:val="000000"/>
              </w:rPr>
            </w:pPr>
            <w:r>
              <w:rPr>
                <w:rFonts w:cs="Arial"/>
                <w:color w:val="000000" w:themeColor="text1"/>
              </w:rPr>
              <w:t>12,300</w:t>
            </w:r>
            <w:r w:rsidR="00787D57" w:rsidRPr="110985B9">
              <w:rPr>
                <w:rFonts w:cs="Arial"/>
                <w:color w:val="000000" w:themeColor="text1"/>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22FEDED3" w14:textId="1097BEAB" w:rsidR="00787D57" w:rsidRDefault="0081149A" w:rsidP="110985B9">
            <w:pPr>
              <w:spacing w:after="0" w:line="240" w:lineRule="auto"/>
              <w:jc w:val="right"/>
              <w:rPr>
                <w:rFonts w:cs="Arial"/>
                <w:color w:val="000000"/>
              </w:rPr>
            </w:pPr>
            <w:r>
              <w:rPr>
                <w:rFonts w:cs="Arial"/>
                <w:color w:val="000000" w:themeColor="text1"/>
              </w:rPr>
              <w:t>16,300</w:t>
            </w:r>
            <w:r w:rsidR="00787D57" w:rsidRPr="110985B9">
              <w:rPr>
                <w:rFonts w:cs="Arial"/>
                <w:color w:val="000000" w:themeColor="text1"/>
              </w:rPr>
              <w:t xml:space="preserve"> </w:t>
            </w:r>
          </w:p>
        </w:tc>
        <w:tc>
          <w:tcPr>
            <w:tcW w:w="1275" w:type="dxa"/>
            <w:tcBorders>
              <w:top w:val="nil"/>
              <w:left w:val="nil"/>
              <w:bottom w:val="single" w:sz="4" w:space="0" w:color="auto"/>
              <w:right w:val="single" w:sz="4" w:space="0" w:color="auto"/>
            </w:tcBorders>
            <w:shd w:val="clear" w:color="auto" w:fill="auto"/>
            <w:noWrap/>
            <w:vAlign w:val="center"/>
          </w:tcPr>
          <w:p w14:paraId="2161CCF8" w14:textId="403E86AA" w:rsidR="00787D57" w:rsidRDefault="0081149A" w:rsidP="110985B9">
            <w:pPr>
              <w:spacing w:after="0" w:line="240" w:lineRule="auto"/>
              <w:jc w:val="right"/>
              <w:rPr>
                <w:rFonts w:cs="Arial"/>
                <w:color w:val="000000"/>
              </w:rPr>
            </w:pPr>
            <w:r>
              <w:rPr>
                <w:rFonts w:cs="Arial"/>
                <w:color w:val="000000" w:themeColor="text1"/>
              </w:rPr>
              <w:t>20,100</w:t>
            </w:r>
            <w:r w:rsidR="00787D57" w:rsidRPr="110985B9">
              <w:rPr>
                <w:rFonts w:cs="Arial"/>
                <w:color w:val="000000" w:themeColor="text1"/>
              </w:rPr>
              <w:t xml:space="preserve"> </w:t>
            </w:r>
          </w:p>
        </w:tc>
        <w:tc>
          <w:tcPr>
            <w:tcW w:w="1418" w:type="dxa"/>
            <w:tcBorders>
              <w:top w:val="nil"/>
              <w:left w:val="nil"/>
              <w:bottom w:val="single" w:sz="4" w:space="0" w:color="auto"/>
              <w:right w:val="single" w:sz="4" w:space="0" w:color="auto"/>
            </w:tcBorders>
            <w:shd w:val="clear" w:color="auto" w:fill="auto"/>
            <w:noWrap/>
            <w:vAlign w:val="center"/>
          </w:tcPr>
          <w:p w14:paraId="64EF2D73" w14:textId="6E7F9CD3" w:rsidR="00787D57" w:rsidRDefault="002D7736" w:rsidP="110985B9">
            <w:pPr>
              <w:spacing w:after="0" w:line="240" w:lineRule="auto"/>
              <w:jc w:val="right"/>
              <w:rPr>
                <w:rFonts w:cs="Arial"/>
                <w:color w:val="000000"/>
              </w:rPr>
            </w:pPr>
            <w:r>
              <w:rPr>
                <w:rFonts w:cs="Arial"/>
                <w:color w:val="000000" w:themeColor="text1"/>
              </w:rPr>
              <w:t>7,800</w:t>
            </w:r>
            <w:r w:rsidR="00787D57" w:rsidRPr="110985B9">
              <w:rPr>
                <w:rFonts w:cs="Arial"/>
                <w:color w:val="000000" w:themeColor="text1"/>
              </w:rPr>
              <w:t xml:space="preserve"> </w:t>
            </w:r>
          </w:p>
        </w:tc>
        <w:tc>
          <w:tcPr>
            <w:tcW w:w="1477" w:type="dxa"/>
            <w:tcBorders>
              <w:top w:val="nil"/>
              <w:left w:val="nil"/>
              <w:bottom w:val="single" w:sz="4" w:space="0" w:color="auto"/>
              <w:right w:val="single" w:sz="4" w:space="0" w:color="auto"/>
            </w:tcBorders>
            <w:shd w:val="clear" w:color="auto" w:fill="auto"/>
            <w:noWrap/>
            <w:vAlign w:val="center"/>
          </w:tcPr>
          <w:p w14:paraId="2BF54A45" w14:textId="384776D3" w:rsidR="00787D57" w:rsidRPr="006331DF" w:rsidRDefault="00787D57" w:rsidP="110985B9">
            <w:pPr>
              <w:spacing w:after="0" w:line="240" w:lineRule="auto"/>
              <w:jc w:val="right"/>
              <w:rPr>
                <w:rFonts w:cs="Arial"/>
                <w:color w:val="000000"/>
              </w:rPr>
            </w:pPr>
            <w:r w:rsidRPr="006331DF">
              <w:rPr>
                <w:rFonts w:cs="Arial"/>
                <w:color w:val="000000" w:themeColor="text1"/>
              </w:rPr>
              <w:t>2.</w:t>
            </w:r>
            <w:r w:rsidR="006331DF" w:rsidRPr="006331DF">
              <w:rPr>
                <w:rFonts w:cs="Arial"/>
                <w:color w:val="000000" w:themeColor="text1"/>
              </w:rPr>
              <w:t>5</w:t>
            </w:r>
            <w:r w:rsidRPr="006331DF">
              <w:rPr>
                <w:rFonts w:cs="Arial"/>
                <w:color w:val="000000" w:themeColor="text1"/>
              </w:rPr>
              <w:t>%</w:t>
            </w:r>
          </w:p>
        </w:tc>
      </w:tr>
      <w:tr w:rsidR="00787D57" w:rsidRPr="00537E40" w14:paraId="17CEE41B" w14:textId="77777777" w:rsidTr="4A450472">
        <w:trPr>
          <w:trHeight w:val="340"/>
        </w:trPr>
        <w:tc>
          <w:tcPr>
            <w:tcW w:w="3061" w:type="dxa"/>
            <w:tcBorders>
              <w:top w:val="nil"/>
              <w:left w:val="single" w:sz="4" w:space="0" w:color="auto"/>
              <w:bottom w:val="single" w:sz="4" w:space="0" w:color="auto"/>
              <w:right w:val="single" w:sz="4" w:space="0" w:color="auto"/>
            </w:tcBorders>
            <w:shd w:val="clear" w:color="auto" w:fill="auto"/>
            <w:noWrap/>
            <w:vAlign w:val="bottom"/>
          </w:tcPr>
          <w:p w14:paraId="0E260D6D" w14:textId="51EB63EF" w:rsidR="00787D57" w:rsidRDefault="00787D57" w:rsidP="110985B9">
            <w:pPr>
              <w:spacing w:after="0" w:line="240" w:lineRule="auto"/>
              <w:rPr>
                <w:rFonts w:cs="Arial"/>
                <w:b/>
                <w:bCs/>
                <w:color w:val="000000"/>
              </w:rPr>
            </w:pPr>
            <w:r w:rsidRPr="110985B9">
              <w:rPr>
                <w:rFonts w:cs="Arial"/>
                <w:b/>
                <w:bCs/>
                <w:color w:val="000000" w:themeColor="text1"/>
              </w:rPr>
              <w:t>Melbourne (CBD)</w:t>
            </w:r>
          </w:p>
        </w:tc>
        <w:tc>
          <w:tcPr>
            <w:tcW w:w="1187" w:type="dxa"/>
            <w:tcBorders>
              <w:top w:val="nil"/>
              <w:left w:val="nil"/>
              <w:bottom w:val="single" w:sz="4" w:space="0" w:color="auto"/>
              <w:right w:val="single" w:sz="4" w:space="0" w:color="auto"/>
            </w:tcBorders>
            <w:shd w:val="clear" w:color="auto" w:fill="auto"/>
            <w:noWrap/>
            <w:vAlign w:val="center"/>
          </w:tcPr>
          <w:p w14:paraId="73918FBA" w14:textId="4386D0EC" w:rsidR="00787D57" w:rsidRPr="002D7736" w:rsidRDefault="0081149A" w:rsidP="110985B9">
            <w:pPr>
              <w:spacing w:after="0" w:line="240" w:lineRule="auto"/>
              <w:jc w:val="right"/>
              <w:rPr>
                <w:rFonts w:cs="Arial"/>
                <w:color w:val="000000"/>
              </w:rPr>
            </w:pPr>
            <w:r w:rsidRPr="002D7736">
              <w:rPr>
                <w:rFonts w:cs="Arial"/>
                <w:color w:val="000000" w:themeColor="text1"/>
              </w:rPr>
              <w:t>51,800</w:t>
            </w:r>
            <w:r w:rsidR="00787D57" w:rsidRPr="002D7736">
              <w:rPr>
                <w:rFonts w:cs="Arial"/>
                <w:color w:val="000000" w:themeColor="text1"/>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141F6008" w14:textId="4547E098" w:rsidR="00787D57" w:rsidRPr="002D7736" w:rsidRDefault="0081149A" w:rsidP="110985B9">
            <w:pPr>
              <w:spacing w:after="0" w:line="240" w:lineRule="auto"/>
              <w:jc w:val="right"/>
              <w:rPr>
                <w:rFonts w:cs="Arial"/>
                <w:color w:val="000000"/>
              </w:rPr>
            </w:pPr>
            <w:r w:rsidRPr="002D7736">
              <w:rPr>
                <w:rFonts w:cs="Arial"/>
                <w:color w:val="000000" w:themeColor="text1"/>
              </w:rPr>
              <w:t>71,500</w:t>
            </w:r>
            <w:r w:rsidR="00787D57" w:rsidRPr="002D7736">
              <w:rPr>
                <w:rFonts w:cs="Arial"/>
                <w:color w:val="000000" w:themeColor="text1"/>
              </w:rPr>
              <w:t xml:space="preserve"> </w:t>
            </w:r>
          </w:p>
        </w:tc>
        <w:tc>
          <w:tcPr>
            <w:tcW w:w="1275" w:type="dxa"/>
            <w:tcBorders>
              <w:top w:val="nil"/>
              <w:left w:val="nil"/>
              <w:bottom w:val="single" w:sz="4" w:space="0" w:color="auto"/>
              <w:right w:val="single" w:sz="4" w:space="0" w:color="auto"/>
            </w:tcBorders>
            <w:shd w:val="clear" w:color="auto" w:fill="auto"/>
            <w:noWrap/>
            <w:vAlign w:val="center"/>
          </w:tcPr>
          <w:p w14:paraId="7C32C9C1" w14:textId="5CE8E2A2" w:rsidR="00787D57" w:rsidRPr="002D7736" w:rsidRDefault="0081149A" w:rsidP="110985B9">
            <w:pPr>
              <w:spacing w:after="0" w:line="240" w:lineRule="auto"/>
              <w:jc w:val="right"/>
              <w:rPr>
                <w:rFonts w:cs="Arial"/>
                <w:color w:val="000000"/>
              </w:rPr>
            </w:pPr>
            <w:r w:rsidRPr="002D7736">
              <w:rPr>
                <w:rFonts w:cs="Arial"/>
                <w:color w:val="000000" w:themeColor="text1"/>
              </w:rPr>
              <w:t>84,400</w:t>
            </w:r>
            <w:r w:rsidR="00787D57" w:rsidRPr="002D7736">
              <w:rPr>
                <w:rFonts w:cs="Arial"/>
                <w:color w:val="000000" w:themeColor="text1"/>
              </w:rPr>
              <w:t xml:space="preserve"> </w:t>
            </w:r>
          </w:p>
        </w:tc>
        <w:tc>
          <w:tcPr>
            <w:tcW w:w="1418" w:type="dxa"/>
            <w:tcBorders>
              <w:top w:val="nil"/>
              <w:left w:val="nil"/>
              <w:bottom w:val="single" w:sz="4" w:space="0" w:color="auto"/>
              <w:right w:val="single" w:sz="4" w:space="0" w:color="auto"/>
            </w:tcBorders>
            <w:shd w:val="clear" w:color="auto" w:fill="auto"/>
            <w:noWrap/>
            <w:vAlign w:val="center"/>
          </w:tcPr>
          <w:p w14:paraId="1ECA67DA" w14:textId="44C58EA9" w:rsidR="00787D57" w:rsidRPr="002D7736" w:rsidRDefault="1713E73F" w:rsidP="110985B9">
            <w:pPr>
              <w:spacing w:after="0" w:line="240" w:lineRule="auto"/>
              <w:jc w:val="right"/>
              <w:rPr>
                <w:rFonts w:cs="Arial"/>
                <w:color w:val="000000"/>
                <w:highlight w:val="yellow"/>
              </w:rPr>
            </w:pPr>
            <w:r w:rsidRPr="4A450472">
              <w:rPr>
                <w:rFonts w:cs="Arial"/>
                <w:color w:val="000000" w:themeColor="text1"/>
              </w:rPr>
              <w:t>32,600</w:t>
            </w:r>
            <w:r w:rsidR="00787D57" w:rsidRPr="4A450472">
              <w:rPr>
                <w:rFonts w:cs="Arial"/>
                <w:color w:val="000000" w:themeColor="text1"/>
              </w:rPr>
              <w:t xml:space="preserve"> </w:t>
            </w:r>
          </w:p>
        </w:tc>
        <w:tc>
          <w:tcPr>
            <w:tcW w:w="1477" w:type="dxa"/>
            <w:tcBorders>
              <w:top w:val="nil"/>
              <w:left w:val="nil"/>
              <w:bottom w:val="single" w:sz="4" w:space="0" w:color="auto"/>
              <w:right w:val="single" w:sz="4" w:space="0" w:color="auto"/>
            </w:tcBorders>
            <w:shd w:val="clear" w:color="auto" w:fill="auto"/>
            <w:noWrap/>
            <w:vAlign w:val="center"/>
          </w:tcPr>
          <w:p w14:paraId="231E75F7" w14:textId="2F80FF26" w:rsidR="00787D57" w:rsidRPr="006331DF" w:rsidRDefault="006331DF" w:rsidP="110985B9">
            <w:pPr>
              <w:spacing w:after="0" w:line="240" w:lineRule="auto"/>
              <w:jc w:val="right"/>
              <w:rPr>
                <w:rFonts w:cs="Arial"/>
                <w:color w:val="000000"/>
              </w:rPr>
            </w:pPr>
            <w:r w:rsidRPr="006331DF">
              <w:rPr>
                <w:rFonts w:cs="Arial"/>
                <w:color w:val="000000" w:themeColor="text1"/>
              </w:rPr>
              <w:t>2.5</w:t>
            </w:r>
            <w:r w:rsidR="00787D57" w:rsidRPr="006331DF">
              <w:rPr>
                <w:rFonts w:cs="Arial"/>
                <w:color w:val="000000" w:themeColor="text1"/>
              </w:rPr>
              <w:t>%</w:t>
            </w:r>
          </w:p>
        </w:tc>
      </w:tr>
      <w:tr w:rsidR="00787D57" w:rsidRPr="00537E40" w14:paraId="0DE4CA27" w14:textId="77777777" w:rsidTr="4A450472">
        <w:trPr>
          <w:trHeight w:val="340"/>
        </w:trPr>
        <w:tc>
          <w:tcPr>
            <w:tcW w:w="3061" w:type="dxa"/>
            <w:tcBorders>
              <w:top w:val="nil"/>
              <w:left w:val="single" w:sz="4" w:space="0" w:color="auto"/>
              <w:bottom w:val="single" w:sz="4" w:space="0" w:color="auto"/>
              <w:right w:val="single" w:sz="4" w:space="0" w:color="auto"/>
            </w:tcBorders>
            <w:shd w:val="clear" w:color="auto" w:fill="auto"/>
            <w:noWrap/>
            <w:vAlign w:val="bottom"/>
          </w:tcPr>
          <w:p w14:paraId="4043EB3A" w14:textId="5CBF7E1C" w:rsidR="00787D57" w:rsidRDefault="00787D57" w:rsidP="110985B9">
            <w:pPr>
              <w:spacing w:after="0" w:line="240" w:lineRule="auto"/>
              <w:rPr>
                <w:rFonts w:cs="Arial"/>
                <w:b/>
                <w:bCs/>
                <w:color w:val="000000"/>
              </w:rPr>
            </w:pPr>
            <w:r w:rsidRPr="110985B9">
              <w:rPr>
                <w:rFonts w:cs="Arial"/>
                <w:b/>
                <w:bCs/>
                <w:color w:val="000000" w:themeColor="text1"/>
              </w:rPr>
              <w:t>Melbourne (Remainder)</w:t>
            </w:r>
          </w:p>
        </w:tc>
        <w:tc>
          <w:tcPr>
            <w:tcW w:w="1187" w:type="dxa"/>
            <w:tcBorders>
              <w:top w:val="nil"/>
              <w:left w:val="nil"/>
              <w:bottom w:val="single" w:sz="4" w:space="0" w:color="auto"/>
              <w:right w:val="single" w:sz="4" w:space="0" w:color="auto"/>
            </w:tcBorders>
            <w:shd w:val="clear" w:color="auto" w:fill="auto"/>
            <w:noWrap/>
            <w:vAlign w:val="center"/>
          </w:tcPr>
          <w:p w14:paraId="73E5750D" w14:textId="7B0E9B0C" w:rsidR="00787D57" w:rsidRPr="002D7736" w:rsidRDefault="00787D57" w:rsidP="110985B9">
            <w:pPr>
              <w:spacing w:after="0" w:line="240" w:lineRule="auto"/>
              <w:jc w:val="right"/>
              <w:rPr>
                <w:rFonts w:cs="Arial"/>
                <w:color w:val="000000"/>
              </w:rPr>
            </w:pPr>
            <w:r w:rsidRPr="002D7736">
              <w:rPr>
                <w:rFonts w:cs="Arial"/>
                <w:color w:val="000000" w:themeColor="text1"/>
              </w:rPr>
              <w:t>3,</w:t>
            </w:r>
            <w:r w:rsidR="002D7736" w:rsidRPr="002D7736">
              <w:rPr>
                <w:rFonts w:cs="Arial"/>
                <w:color w:val="000000" w:themeColor="text1"/>
              </w:rPr>
              <w:t>200</w:t>
            </w:r>
            <w:r w:rsidRPr="002D7736">
              <w:rPr>
                <w:rFonts w:cs="Arial"/>
                <w:color w:val="000000" w:themeColor="text1"/>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0C0E7116" w14:textId="1B035E5D" w:rsidR="00787D57" w:rsidRPr="002D7736" w:rsidRDefault="002D7736" w:rsidP="110985B9">
            <w:pPr>
              <w:spacing w:after="0" w:line="240" w:lineRule="auto"/>
              <w:jc w:val="right"/>
              <w:rPr>
                <w:rFonts w:cs="Arial"/>
                <w:color w:val="000000"/>
              </w:rPr>
            </w:pPr>
            <w:r w:rsidRPr="002D7736">
              <w:rPr>
                <w:rFonts w:cs="Arial"/>
                <w:color w:val="000000" w:themeColor="text1"/>
              </w:rPr>
              <w:t>4,300</w:t>
            </w:r>
            <w:r w:rsidR="00787D57" w:rsidRPr="002D7736">
              <w:rPr>
                <w:rFonts w:cs="Arial"/>
                <w:color w:val="000000" w:themeColor="text1"/>
              </w:rPr>
              <w:t xml:space="preserve"> </w:t>
            </w:r>
          </w:p>
        </w:tc>
        <w:tc>
          <w:tcPr>
            <w:tcW w:w="1275" w:type="dxa"/>
            <w:tcBorders>
              <w:top w:val="nil"/>
              <w:left w:val="nil"/>
              <w:bottom w:val="single" w:sz="4" w:space="0" w:color="auto"/>
              <w:right w:val="single" w:sz="4" w:space="0" w:color="auto"/>
            </w:tcBorders>
            <w:shd w:val="clear" w:color="auto" w:fill="auto"/>
            <w:noWrap/>
            <w:vAlign w:val="center"/>
          </w:tcPr>
          <w:p w14:paraId="469BA9BC" w14:textId="6445C73F" w:rsidR="00787D57" w:rsidRPr="002D7736" w:rsidRDefault="002D7736" w:rsidP="110985B9">
            <w:pPr>
              <w:spacing w:after="0" w:line="240" w:lineRule="auto"/>
              <w:jc w:val="right"/>
              <w:rPr>
                <w:rFonts w:cs="Arial"/>
                <w:color w:val="000000"/>
              </w:rPr>
            </w:pPr>
            <w:r w:rsidRPr="002D7736">
              <w:rPr>
                <w:rFonts w:cs="Arial"/>
                <w:color w:val="000000" w:themeColor="text1"/>
              </w:rPr>
              <w:t>4,300</w:t>
            </w:r>
            <w:r w:rsidR="00787D57" w:rsidRPr="002D7736">
              <w:rPr>
                <w:rFonts w:cs="Arial"/>
                <w:color w:val="000000" w:themeColor="text1"/>
              </w:rPr>
              <w:t xml:space="preserve"> </w:t>
            </w:r>
          </w:p>
        </w:tc>
        <w:tc>
          <w:tcPr>
            <w:tcW w:w="1418" w:type="dxa"/>
            <w:tcBorders>
              <w:top w:val="nil"/>
              <w:left w:val="nil"/>
              <w:bottom w:val="single" w:sz="4" w:space="0" w:color="auto"/>
              <w:right w:val="single" w:sz="4" w:space="0" w:color="auto"/>
            </w:tcBorders>
            <w:shd w:val="clear" w:color="auto" w:fill="auto"/>
            <w:noWrap/>
            <w:vAlign w:val="center"/>
          </w:tcPr>
          <w:p w14:paraId="4A0CA6C7" w14:textId="26AEE1FE" w:rsidR="00787D57" w:rsidRPr="00442B4F" w:rsidRDefault="002D7736" w:rsidP="110985B9">
            <w:pPr>
              <w:spacing w:after="0" w:line="240" w:lineRule="auto"/>
              <w:jc w:val="right"/>
              <w:rPr>
                <w:rFonts w:cs="Arial"/>
                <w:color w:val="000000"/>
              </w:rPr>
            </w:pPr>
            <w:r w:rsidRPr="00442B4F">
              <w:rPr>
                <w:rFonts w:cs="Arial"/>
                <w:color w:val="000000" w:themeColor="text1"/>
              </w:rPr>
              <w:t>1,100</w:t>
            </w:r>
            <w:r w:rsidR="00787D57" w:rsidRPr="00442B4F">
              <w:rPr>
                <w:rFonts w:cs="Arial"/>
                <w:color w:val="000000" w:themeColor="text1"/>
              </w:rPr>
              <w:t xml:space="preserve"> </w:t>
            </w:r>
          </w:p>
        </w:tc>
        <w:tc>
          <w:tcPr>
            <w:tcW w:w="1477" w:type="dxa"/>
            <w:tcBorders>
              <w:top w:val="nil"/>
              <w:left w:val="nil"/>
              <w:bottom w:val="single" w:sz="4" w:space="0" w:color="auto"/>
              <w:right w:val="single" w:sz="4" w:space="0" w:color="auto"/>
            </w:tcBorders>
            <w:shd w:val="clear" w:color="auto" w:fill="auto"/>
            <w:noWrap/>
            <w:vAlign w:val="center"/>
          </w:tcPr>
          <w:p w14:paraId="70BACBC8" w14:textId="0ABC926B" w:rsidR="00787D57" w:rsidRPr="006331DF" w:rsidRDefault="006331DF" w:rsidP="110985B9">
            <w:pPr>
              <w:spacing w:after="0" w:line="240" w:lineRule="auto"/>
              <w:jc w:val="right"/>
              <w:rPr>
                <w:rFonts w:cs="Arial"/>
                <w:color w:val="000000"/>
              </w:rPr>
            </w:pPr>
            <w:r w:rsidRPr="006331DF">
              <w:rPr>
                <w:rFonts w:cs="Arial"/>
                <w:color w:val="000000" w:themeColor="text1"/>
              </w:rPr>
              <w:t>1.5</w:t>
            </w:r>
            <w:r w:rsidR="00787D57" w:rsidRPr="006331DF">
              <w:rPr>
                <w:rFonts w:cs="Arial"/>
                <w:color w:val="000000" w:themeColor="text1"/>
              </w:rPr>
              <w:t>%</w:t>
            </w:r>
          </w:p>
        </w:tc>
      </w:tr>
      <w:tr w:rsidR="00787D57" w:rsidRPr="00537E40" w14:paraId="5F7E526D" w14:textId="77777777" w:rsidTr="4A450472">
        <w:trPr>
          <w:trHeight w:val="340"/>
        </w:trPr>
        <w:tc>
          <w:tcPr>
            <w:tcW w:w="3061" w:type="dxa"/>
            <w:tcBorders>
              <w:top w:val="nil"/>
              <w:left w:val="single" w:sz="4" w:space="0" w:color="auto"/>
              <w:bottom w:val="single" w:sz="4" w:space="0" w:color="auto"/>
              <w:right w:val="single" w:sz="4" w:space="0" w:color="auto"/>
            </w:tcBorders>
            <w:shd w:val="clear" w:color="auto" w:fill="auto"/>
            <w:noWrap/>
            <w:vAlign w:val="bottom"/>
          </w:tcPr>
          <w:p w14:paraId="6FEF2A19" w14:textId="22E60253" w:rsidR="00787D57" w:rsidRDefault="00787D57" w:rsidP="110985B9">
            <w:pPr>
              <w:spacing w:after="0" w:line="240" w:lineRule="auto"/>
              <w:rPr>
                <w:rFonts w:cs="Arial"/>
                <w:b/>
                <w:bCs/>
                <w:color w:val="000000"/>
              </w:rPr>
            </w:pPr>
            <w:r w:rsidRPr="110985B9">
              <w:rPr>
                <w:rFonts w:cs="Arial"/>
                <w:b/>
                <w:bCs/>
                <w:color w:val="000000" w:themeColor="text1"/>
              </w:rPr>
              <w:t>North Melbourne</w:t>
            </w:r>
          </w:p>
        </w:tc>
        <w:tc>
          <w:tcPr>
            <w:tcW w:w="1187" w:type="dxa"/>
            <w:tcBorders>
              <w:top w:val="nil"/>
              <w:left w:val="nil"/>
              <w:bottom w:val="single" w:sz="4" w:space="0" w:color="auto"/>
              <w:right w:val="single" w:sz="4" w:space="0" w:color="auto"/>
            </w:tcBorders>
            <w:shd w:val="clear" w:color="auto" w:fill="auto"/>
            <w:noWrap/>
            <w:vAlign w:val="center"/>
          </w:tcPr>
          <w:p w14:paraId="134F050D" w14:textId="67115EA9" w:rsidR="00787D57" w:rsidRPr="002D7736" w:rsidRDefault="002D7736" w:rsidP="110985B9">
            <w:pPr>
              <w:spacing w:after="0" w:line="240" w:lineRule="auto"/>
              <w:jc w:val="right"/>
              <w:rPr>
                <w:rFonts w:cs="Arial"/>
                <w:color w:val="000000"/>
              </w:rPr>
            </w:pPr>
            <w:r w:rsidRPr="002D7736">
              <w:rPr>
                <w:rFonts w:cs="Arial"/>
                <w:color w:val="000000" w:themeColor="text1"/>
              </w:rPr>
              <w:t>17,700</w:t>
            </w:r>
            <w:r w:rsidR="00787D57" w:rsidRPr="002D7736">
              <w:rPr>
                <w:rFonts w:cs="Arial"/>
                <w:color w:val="000000" w:themeColor="text1"/>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5662DC60" w14:textId="34559B76" w:rsidR="00787D57" w:rsidRPr="002D7736" w:rsidRDefault="002D7736" w:rsidP="110985B9">
            <w:pPr>
              <w:spacing w:after="0" w:line="240" w:lineRule="auto"/>
              <w:jc w:val="right"/>
              <w:rPr>
                <w:rFonts w:cs="Arial"/>
                <w:color w:val="000000"/>
              </w:rPr>
            </w:pPr>
            <w:r w:rsidRPr="002D7736">
              <w:rPr>
                <w:rFonts w:cs="Arial"/>
                <w:color w:val="000000" w:themeColor="text1"/>
              </w:rPr>
              <w:t>24,900</w:t>
            </w:r>
            <w:r w:rsidR="00787D57" w:rsidRPr="002D7736">
              <w:rPr>
                <w:rFonts w:cs="Arial"/>
                <w:color w:val="000000" w:themeColor="text1"/>
              </w:rPr>
              <w:t xml:space="preserve"> </w:t>
            </w:r>
          </w:p>
        </w:tc>
        <w:tc>
          <w:tcPr>
            <w:tcW w:w="1275" w:type="dxa"/>
            <w:tcBorders>
              <w:top w:val="nil"/>
              <w:left w:val="nil"/>
              <w:bottom w:val="single" w:sz="4" w:space="0" w:color="auto"/>
              <w:right w:val="single" w:sz="4" w:space="0" w:color="auto"/>
            </w:tcBorders>
            <w:shd w:val="clear" w:color="auto" w:fill="auto"/>
            <w:noWrap/>
            <w:vAlign w:val="center"/>
          </w:tcPr>
          <w:p w14:paraId="518A0994" w14:textId="25EA2C4C" w:rsidR="00787D57" w:rsidRPr="002D7736" w:rsidRDefault="002D7736" w:rsidP="110985B9">
            <w:pPr>
              <w:spacing w:after="0" w:line="240" w:lineRule="auto"/>
              <w:jc w:val="right"/>
              <w:rPr>
                <w:rFonts w:cs="Arial"/>
                <w:color w:val="000000"/>
              </w:rPr>
            </w:pPr>
            <w:r w:rsidRPr="002D7736">
              <w:rPr>
                <w:rFonts w:cs="Arial"/>
                <w:color w:val="000000" w:themeColor="text1"/>
              </w:rPr>
              <w:t>35,800</w:t>
            </w:r>
            <w:r w:rsidR="00787D57" w:rsidRPr="002D7736">
              <w:rPr>
                <w:rFonts w:cs="Arial"/>
                <w:color w:val="000000" w:themeColor="text1"/>
              </w:rPr>
              <w:t xml:space="preserve"> </w:t>
            </w:r>
          </w:p>
        </w:tc>
        <w:tc>
          <w:tcPr>
            <w:tcW w:w="1418" w:type="dxa"/>
            <w:tcBorders>
              <w:top w:val="nil"/>
              <w:left w:val="nil"/>
              <w:bottom w:val="single" w:sz="4" w:space="0" w:color="auto"/>
              <w:right w:val="single" w:sz="4" w:space="0" w:color="auto"/>
            </w:tcBorders>
            <w:shd w:val="clear" w:color="auto" w:fill="auto"/>
            <w:noWrap/>
            <w:vAlign w:val="center"/>
          </w:tcPr>
          <w:p w14:paraId="674D5961" w14:textId="439E5878" w:rsidR="00787D57" w:rsidRPr="00442B4F" w:rsidRDefault="002D7736" w:rsidP="110985B9">
            <w:pPr>
              <w:spacing w:after="0" w:line="240" w:lineRule="auto"/>
              <w:jc w:val="right"/>
              <w:rPr>
                <w:rFonts w:cs="Arial"/>
                <w:color w:val="000000"/>
              </w:rPr>
            </w:pPr>
            <w:r w:rsidRPr="00442B4F">
              <w:rPr>
                <w:rFonts w:cs="Arial"/>
                <w:color w:val="000000" w:themeColor="text1"/>
              </w:rPr>
              <w:t>18,100</w:t>
            </w:r>
            <w:r w:rsidR="00787D57" w:rsidRPr="00442B4F">
              <w:rPr>
                <w:rFonts w:cs="Arial"/>
                <w:color w:val="000000" w:themeColor="text1"/>
              </w:rPr>
              <w:t xml:space="preserve"> </w:t>
            </w:r>
          </w:p>
        </w:tc>
        <w:tc>
          <w:tcPr>
            <w:tcW w:w="1477" w:type="dxa"/>
            <w:tcBorders>
              <w:top w:val="nil"/>
              <w:left w:val="nil"/>
              <w:bottom w:val="single" w:sz="4" w:space="0" w:color="auto"/>
              <w:right w:val="single" w:sz="4" w:space="0" w:color="auto"/>
            </w:tcBorders>
            <w:shd w:val="clear" w:color="auto" w:fill="auto"/>
            <w:noWrap/>
            <w:vAlign w:val="center"/>
          </w:tcPr>
          <w:p w14:paraId="26AAC3AB" w14:textId="3B29B77A" w:rsidR="00787D57" w:rsidRPr="006331DF" w:rsidRDefault="006331DF" w:rsidP="110985B9">
            <w:pPr>
              <w:spacing w:after="0" w:line="240" w:lineRule="auto"/>
              <w:jc w:val="right"/>
              <w:rPr>
                <w:rFonts w:cs="Arial"/>
                <w:color w:val="000000"/>
              </w:rPr>
            </w:pPr>
            <w:r w:rsidRPr="006331DF">
              <w:rPr>
                <w:rFonts w:cs="Arial"/>
                <w:color w:val="000000" w:themeColor="text1"/>
              </w:rPr>
              <w:t>3.6</w:t>
            </w:r>
            <w:r w:rsidR="00787D57" w:rsidRPr="006331DF">
              <w:rPr>
                <w:rFonts w:cs="Arial"/>
                <w:color w:val="000000" w:themeColor="text1"/>
              </w:rPr>
              <w:t>%</w:t>
            </w:r>
          </w:p>
        </w:tc>
      </w:tr>
      <w:tr w:rsidR="00787D57" w:rsidRPr="00537E40" w14:paraId="073DD2DA" w14:textId="77777777" w:rsidTr="4A450472">
        <w:trPr>
          <w:trHeight w:val="340"/>
        </w:trPr>
        <w:tc>
          <w:tcPr>
            <w:tcW w:w="3061" w:type="dxa"/>
            <w:tcBorders>
              <w:top w:val="nil"/>
              <w:left w:val="single" w:sz="4" w:space="0" w:color="auto"/>
              <w:bottom w:val="single" w:sz="4" w:space="0" w:color="auto"/>
              <w:right w:val="single" w:sz="4" w:space="0" w:color="auto"/>
            </w:tcBorders>
            <w:shd w:val="clear" w:color="auto" w:fill="auto"/>
            <w:noWrap/>
            <w:vAlign w:val="bottom"/>
          </w:tcPr>
          <w:p w14:paraId="2F6C4CEC" w14:textId="00805BDF" w:rsidR="00787D57" w:rsidRDefault="00787D57" w:rsidP="110985B9">
            <w:pPr>
              <w:spacing w:after="0" w:line="240" w:lineRule="auto"/>
              <w:rPr>
                <w:rFonts w:cs="Arial"/>
                <w:b/>
                <w:bCs/>
                <w:color w:val="000000"/>
              </w:rPr>
            </w:pPr>
            <w:r w:rsidRPr="110985B9">
              <w:rPr>
                <w:rFonts w:cs="Arial"/>
                <w:b/>
                <w:bCs/>
                <w:color w:val="000000" w:themeColor="text1"/>
              </w:rPr>
              <w:t>Parkville</w:t>
            </w:r>
          </w:p>
        </w:tc>
        <w:tc>
          <w:tcPr>
            <w:tcW w:w="1187" w:type="dxa"/>
            <w:tcBorders>
              <w:top w:val="nil"/>
              <w:left w:val="nil"/>
              <w:bottom w:val="single" w:sz="4" w:space="0" w:color="auto"/>
              <w:right w:val="single" w:sz="4" w:space="0" w:color="auto"/>
            </w:tcBorders>
            <w:shd w:val="clear" w:color="auto" w:fill="auto"/>
            <w:noWrap/>
            <w:vAlign w:val="center"/>
          </w:tcPr>
          <w:p w14:paraId="09E7B807" w14:textId="1CE15EF1" w:rsidR="00787D57" w:rsidRPr="002D7736" w:rsidRDefault="002D7736" w:rsidP="110985B9">
            <w:pPr>
              <w:spacing w:after="0" w:line="240" w:lineRule="auto"/>
              <w:jc w:val="right"/>
              <w:rPr>
                <w:rFonts w:cs="Arial"/>
                <w:color w:val="000000"/>
              </w:rPr>
            </w:pPr>
            <w:r w:rsidRPr="002D7736">
              <w:rPr>
                <w:rFonts w:cs="Arial"/>
                <w:color w:val="000000" w:themeColor="text1"/>
              </w:rPr>
              <w:t>8,600</w:t>
            </w:r>
            <w:r w:rsidR="00787D57" w:rsidRPr="002D7736">
              <w:rPr>
                <w:rFonts w:cs="Arial"/>
                <w:color w:val="000000" w:themeColor="text1"/>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171544B5" w14:textId="0D8F4C91" w:rsidR="00787D57" w:rsidRPr="002D7736" w:rsidRDefault="00787D57" w:rsidP="110985B9">
            <w:pPr>
              <w:spacing w:after="0" w:line="240" w:lineRule="auto"/>
              <w:jc w:val="right"/>
              <w:rPr>
                <w:rFonts w:cs="Arial"/>
                <w:color w:val="000000"/>
              </w:rPr>
            </w:pPr>
            <w:r w:rsidRPr="002D7736">
              <w:rPr>
                <w:rFonts w:cs="Arial"/>
                <w:color w:val="000000" w:themeColor="text1"/>
              </w:rPr>
              <w:t>11,</w:t>
            </w:r>
            <w:r w:rsidR="002D7736" w:rsidRPr="002D7736">
              <w:rPr>
                <w:rFonts w:cs="Arial"/>
                <w:color w:val="000000" w:themeColor="text1"/>
              </w:rPr>
              <w:t>400</w:t>
            </w:r>
            <w:r w:rsidRPr="002D7736">
              <w:rPr>
                <w:rFonts w:cs="Arial"/>
                <w:color w:val="000000" w:themeColor="text1"/>
              </w:rPr>
              <w:t xml:space="preserve"> </w:t>
            </w:r>
          </w:p>
        </w:tc>
        <w:tc>
          <w:tcPr>
            <w:tcW w:w="1275" w:type="dxa"/>
            <w:tcBorders>
              <w:top w:val="nil"/>
              <w:left w:val="nil"/>
              <w:bottom w:val="single" w:sz="4" w:space="0" w:color="auto"/>
              <w:right w:val="single" w:sz="4" w:space="0" w:color="auto"/>
            </w:tcBorders>
            <w:shd w:val="clear" w:color="auto" w:fill="auto"/>
            <w:noWrap/>
            <w:vAlign w:val="center"/>
          </w:tcPr>
          <w:p w14:paraId="64A5CE70" w14:textId="0A3CF2A3" w:rsidR="00787D57" w:rsidRPr="002D7736" w:rsidRDefault="002D7736" w:rsidP="110985B9">
            <w:pPr>
              <w:spacing w:after="0" w:line="240" w:lineRule="auto"/>
              <w:jc w:val="right"/>
              <w:rPr>
                <w:rFonts w:cs="Arial"/>
                <w:color w:val="000000"/>
              </w:rPr>
            </w:pPr>
            <w:r w:rsidRPr="002D7736">
              <w:rPr>
                <w:rFonts w:cs="Arial"/>
                <w:color w:val="000000" w:themeColor="text1"/>
              </w:rPr>
              <w:t>12,200</w:t>
            </w:r>
            <w:r w:rsidR="00787D57" w:rsidRPr="002D7736">
              <w:rPr>
                <w:rFonts w:cs="Arial"/>
                <w:color w:val="000000" w:themeColor="text1"/>
              </w:rPr>
              <w:t xml:space="preserve"> </w:t>
            </w:r>
          </w:p>
        </w:tc>
        <w:tc>
          <w:tcPr>
            <w:tcW w:w="1418" w:type="dxa"/>
            <w:tcBorders>
              <w:top w:val="nil"/>
              <w:left w:val="nil"/>
              <w:bottom w:val="single" w:sz="4" w:space="0" w:color="auto"/>
              <w:right w:val="single" w:sz="4" w:space="0" w:color="auto"/>
            </w:tcBorders>
            <w:shd w:val="clear" w:color="auto" w:fill="auto"/>
            <w:noWrap/>
            <w:vAlign w:val="center"/>
          </w:tcPr>
          <w:p w14:paraId="56F32482" w14:textId="7E66BFC8" w:rsidR="00787D57" w:rsidRPr="00442B4F" w:rsidRDefault="002D7736" w:rsidP="110985B9">
            <w:pPr>
              <w:spacing w:after="0" w:line="240" w:lineRule="auto"/>
              <w:jc w:val="right"/>
              <w:rPr>
                <w:rFonts w:cs="Arial"/>
                <w:color w:val="000000"/>
              </w:rPr>
            </w:pPr>
            <w:r w:rsidRPr="00442B4F">
              <w:rPr>
                <w:rFonts w:cs="Arial"/>
                <w:color w:val="000000" w:themeColor="text1"/>
              </w:rPr>
              <w:t>3,600</w:t>
            </w:r>
            <w:r w:rsidR="00787D57" w:rsidRPr="00442B4F">
              <w:rPr>
                <w:rFonts w:cs="Arial"/>
                <w:color w:val="000000" w:themeColor="text1"/>
              </w:rPr>
              <w:t xml:space="preserve"> </w:t>
            </w:r>
          </w:p>
        </w:tc>
        <w:tc>
          <w:tcPr>
            <w:tcW w:w="1477" w:type="dxa"/>
            <w:tcBorders>
              <w:top w:val="nil"/>
              <w:left w:val="nil"/>
              <w:bottom w:val="single" w:sz="4" w:space="0" w:color="auto"/>
              <w:right w:val="single" w:sz="4" w:space="0" w:color="auto"/>
            </w:tcBorders>
            <w:shd w:val="clear" w:color="auto" w:fill="auto"/>
            <w:noWrap/>
            <w:vAlign w:val="center"/>
          </w:tcPr>
          <w:p w14:paraId="6C2E1DE6" w14:textId="05E00439" w:rsidR="00787D57" w:rsidRPr="006331DF" w:rsidRDefault="006331DF" w:rsidP="110985B9">
            <w:pPr>
              <w:spacing w:after="0" w:line="240" w:lineRule="auto"/>
              <w:jc w:val="right"/>
              <w:rPr>
                <w:rFonts w:cs="Arial"/>
                <w:color w:val="000000"/>
              </w:rPr>
            </w:pPr>
            <w:r w:rsidRPr="006331DF">
              <w:rPr>
                <w:rFonts w:cs="Arial"/>
                <w:color w:val="000000" w:themeColor="text1"/>
              </w:rPr>
              <w:t>1.8</w:t>
            </w:r>
            <w:r w:rsidR="00787D57" w:rsidRPr="006331DF">
              <w:rPr>
                <w:rFonts w:cs="Arial"/>
                <w:color w:val="000000" w:themeColor="text1"/>
              </w:rPr>
              <w:t>%</w:t>
            </w:r>
          </w:p>
        </w:tc>
      </w:tr>
      <w:tr w:rsidR="00787D57" w:rsidRPr="00537E40" w14:paraId="06922D70" w14:textId="77777777" w:rsidTr="4A450472">
        <w:trPr>
          <w:trHeight w:val="340"/>
        </w:trPr>
        <w:tc>
          <w:tcPr>
            <w:tcW w:w="3061" w:type="dxa"/>
            <w:tcBorders>
              <w:top w:val="nil"/>
              <w:left w:val="single" w:sz="4" w:space="0" w:color="auto"/>
              <w:bottom w:val="single" w:sz="4" w:space="0" w:color="auto"/>
              <w:right w:val="single" w:sz="4" w:space="0" w:color="auto"/>
            </w:tcBorders>
            <w:shd w:val="clear" w:color="auto" w:fill="auto"/>
            <w:noWrap/>
            <w:vAlign w:val="bottom"/>
          </w:tcPr>
          <w:p w14:paraId="5C0CBD26" w14:textId="106E6C37" w:rsidR="00787D57" w:rsidRDefault="00787D57" w:rsidP="110985B9">
            <w:pPr>
              <w:spacing w:after="0" w:line="240" w:lineRule="auto"/>
              <w:rPr>
                <w:rFonts w:cs="Arial"/>
                <w:b/>
                <w:bCs/>
                <w:color w:val="000000"/>
              </w:rPr>
            </w:pPr>
            <w:r w:rsidRPr="110985B9">
              <w:rPr>
                <w:rFonts w:cs="Arial"/>
                <w:b/>
                <w:bCs/>
                <w:color w:val="000000" w:themeColor="text1"/>
              </w:rPr>
              <w:t>Port Melbourne</w:t>
            </w:r>
          </w:p>
        </w:tc>
        <w:tc>
          <w:tcPr>
            <w:tcW w:w="1187" w:type="dxa"/>
            <w:tcBorders>
              <w:top w:val="nil"/>
              <w:left w:val="nil"/>
              <w:bottom w:val="single" w:sz="4" w:space="0" w:color="auto"/>
              <w:right w:val="single" w:sz="4" w:space="0" w:color="auto"/>
            </w:tcBorders>
            <w:shd w:val="clear" w:color="auto" w:fill="auto"/>
            <w:noWrap/>
            <w:vAlign w:val="center"/>
          </w:tcPr>
          <w:p w14:paraId="4EAD2970" w14:textId="75B99BEE" w:rsidR="00787D57" w:rsidRPr="002D7736" w:rsidRDefault="002D7736" w:rsidP="110985B9">
            <w:pPr>
              <w:spacing w:after="0" w:line="240" w:lineRule="auto"/>
              <w:jc w:val="right"/>
              <w:rPr>
                <w:rFonts w:cs="Arial"/>
                <w:color w:val="000000"/>
              </w:rPr>
            </w:pPr>
            <w:r w:rsidRPr="002D7736">
              <w:rPr>
                <w:rFonts w:cs="Arial"/>
                <w:color w:val="000000" w:themeColor="text1"/>
              </w:rPr>
              <w:t>12</w:t>
            </w:r>
            <w:r w:rsidR="00787D57" w:rsidRPr="002D7736">
              <w:rPr>
                <w:rFonts w:cs="Arial"/>
                <w:color w:val="000000" w:themeColor="text1"/>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7DE12CFB" w14:textId="15E82577" w:rsidR="00787D57" w:rsidRPr="002D7736" w:rsidRDefault="002D7736" w:rsidP="110985B9">
            <w:pPr>
              <w:spacing w:after="0" w:line="240" w:lineRule="auto"/>
              <w:jc w:val="right"/>
              <w:rPr>
                <w:rFonts w:cs="Arial"/>
                <w:color w:val="000000"/>
              </w:rPr>
            </w:pPr>
            <w:r w:rsidRPr="002D7736">
              <w:rPr>
                <w:rFonts w:cs="Arial"/>
                <w:color w:val="000000" w:themeColor="text1"/>
              </w:rPr>
              <w:t>160</w:t>
            </w:r>
            <w:r w:rsidR="00787D57" w:rsidRPr="002D7736">
              <w:rPr>
                <w:rFonts w:cs="Arial"/>
                <w:color w:val="000000" w:themeColor="text1"/>
              </w:rPr>
              <w:t xml:space="preserve"> </w:t>
            </w:r>
          </w:p>
        </w:tc>
        <w:tc>
          <w:tcPr>
            <w:tcW w:w="1275" w:type="dxa"/>
            <w:tcBorders>
              <w:top w:val="nil"/>
              <w:left w:val="nil"/>
              <w:bottom w:val="single" w:sz="4" w:space="0" w:color="auto"/>
              <w:right w:val="single" w:sz="4" w:space="0" w:color="auto"/>
            </w:tcBorders>
            <w:shd w:val="clear" w:color="auto" w:fill="auto"/>
            <w:noWrap/>
            <w:vAlign w:val="center"/>
          </w:tcPr>
          <w:p w14:paraId="1FC03D2A" w14:textId="3702D973" w:rsidR="00787D57" w:rsidRPr="002D7736" w:rsidRDefault="002D7736" w:rsidP="110985B9">
            <w:pPr>
              <w:spacing w:after="0" w:line="240" w:lineRule="auto"/>
              <w:jc w:val="right"/>
              <w:rPr>
                <w:rFonts w:cs="Arial"/>
                <w:color w:val="000000"/>
              </w:rPr>
            </w:pPr>
            <w:r w:rsidRPr="002D7736">
              <w:rPr>
                <w:rFonts w:cs="Arial"/>
                <w:color w:val="000000" w:themeColor="text1"/>
              </w:rPr>
              <w:t>1,900</w:t>
            </w:r>
            <w:r w:rsidR="00787D57" w:rsidRPr="002D7736">
              <w:rPr>
                <w:rFonts w:cs="Arial"/>
                <w:color w:val="000000" w:themeColor="text1"/>
              </w:rPr>
              <w:t xml:space="preserve"> </w:t>
            </w:r>
          </w:p>
        </w:tc>
        <w:tc>
          <w:tcPr>
            <w:tcW w:w="1418" w:type="dxa"/>
            <w:tcBorders>
              <w:top w:val="nil"/>
              <w:left w:val="nil"/>
              <w:bottom w:val="single" w:sz="4" w:space="0" w:color="auto"/>
              <w:right w:val="single" w:sz="4" w:space="0" w:color="auto"/>
            </w:tcBorders>
            <w:shd w:val="clear" w:color="auto" w:fill="auto"/>
            <w:noWrap/>
            <w:vAlign w:val="center"/>
          </w:tcPr>
          <w:p w14:paraId="240E53DE" w14:textId="4ACDAC79" w:rsidR="00787D57" w:rsidRPr="00442B4F" w:rsidRDefault="002D7736" w:rsidP="110985B9">
            <w:pPr>
              <w:spacing w:after="0" w:line="240" w:lineRule="auto"/>
              <w:jc w:val="right"/>
              <w:rPr>
                <w:rFonts w:cs="Arial"/>
                <w:color w:val="000000"/>
              </w:rPr>
            </w:pPr>
            <w:r w:rsidRPr="00442B4F">
              <w:rPr>
                <w:rFonts w:cs="Arial"/>
                <w:color w:val="000000" w:themeColor="text1"/>
              </w:rPr>
              <w:t>1,</w:t>
            </w:r>
            <w:r w:rsidR="00442B4F" w:rsidRPr="00442B4F">
              <w:rPr>
                <w:rFonts w:cs="Arial"/>
                <w:color w:val="000000" w:themeColor="text1"/>
              </w:rPr>
              <w:t>888</w:t>
            </w:r>
            <w:r w:rsidR="00787D57" w:rsidRPr="00442B4F">
              <w:rPr>
                <w:rFonts w:cs="Arial"/>
                <w:color w:val="000000" w:themeColor="text1"/>
              </w:rPr>
              <w:t xml:space="preserve"> </w:t>
            </w:r>
          </w:p>
        </w:tc>
        <w:tc>
          <w:tcPr>
            <w:tcW w:w="1477" w:type="dxa"/>
            <w:tcBorders>
              <w:top w:val="nil"/>
              <w:left w:val="nil"/>
              <w:bottom w:val="single" w:sz="4" w:space="0" w:color="auto"/>
              <w:right w:val="single" w:sz="4" w:space="0" w:color="auto"/>
            </w:tcBorders>
            <w:shd w:val="clear" w:color="auto" w:fill="auto"/>
            <w:noWrap/>
            <w:vAlign w:val="center"/>
          </w:tcPr>
          <w:p w14:paraId="14A4116E" w14:textId="5EEA94E1" w:rsidR="00787D57" w:rsidRPr="006331DF" w:rsidRDefault="006331DF" w:rsidP="110985B9">
            <w:pPr>
              <w:spacing w:after="0" w:line="240" w:lineRule="auto"/>
              <w:jc w:val="right"/>
              <w:rPr>
                <w:rFonts w:cs="Arial"/>
                <w:color w:val="000000"/>
              </w:rPr>
            </w:pPr>
            <w:r w:rsidRPr="006331DF">
              <w:rPr>
                <w:rFonts w:cs="Arial"/>
                <w:color w:val="000000" w:themeColor="text1"/>
              </w:rPr>
              <w:t>28.8</w:t>
            </w:r>
            <w:r w:rsidR="00787D57" w:rsidRPr="006331DF">
              <w:rPr>
                <w:rFonts w:cs="Arial"/>
                <w:color w:val="000000" w:themeColor="text1"/>
              </w:rPr>
              <w:t>%</w:t>
            </w:r>
          </w:p>
        </w:tc>
      </w:tr>
      <w:tr w:rsidR="00787D57" w:rsidRPr="00537E40" w14:paraId="705C9F40" w14:textId="77777777" w:rsidTr="4A450472">
        <w:trPr>
          <w:trHeight w:val="340"/>
        </w:trPr>
        <w:tc>
          <w:tcPr>
            <w:tcW w:w="3061" w:type="dxa"/>
            <w:tcBorders>
              <w:top w:val="nil"/>
              <w:left w:val="single" w:sz="4" w:space="0" w:color="auto"/>
              <w:bottom w:val="single" w:sz="4" w:space="0" w:color="auto"/>
              <w:right w:val="single" w:sz="4" w:space="0" w:color="auto"/>
            </w:tcBorders>
            <w:shd w:val="clear" w:color="auto" w:fill="auto"/>
            <w:noWrap/>
            <w:vAlign w:val="bottom"/>
          </w:tcPr>
          <w:p w14:paraId="67B11EE7" w14:textId="2605E308" w:rsidR="00787D57" w:rsidRDefault="00787D57" w:rsidP="110985B9">
            <w:pPr>
              <w:spacing w:after="0" w:line="240" w:lineRule="auto"/>
              <w:rPr>
                <w:rFonts w:cs="Arial"/>
                <w:b/>
                <w:bCs/>
                <w:color w:val="000000"/>
              </w:rPr>
            </w:pPr>
            <w:r w:rsidRPr="110985B9">
              <w:rPr>
                <w:rFonts w:cs="Arial"/>
                <w:b/>
                <w:bCs/>
                <w:color w:val="000000" w:themeColor="text1"/>
              </w:rPr>
              <w:t>South Yarra</w:t>
            </w:r>
          </w:p>
        </w:tc>
        <w:tc>
          <w:tcPr>
            <w:tcW w:w="1187" w:type="dxa"/>
            <w:tcBorders>
              <w:top w:val="nil"/>
              <w:left w:val="nil"/>
              <w:bottom w:val="single" w:sz="4" w:space="0" w:color="auto"/>
              <w:right w:val="single" w:sz="4" w:space="0" w:color="auto"/>
            </w:tcBorders>
            <w:shd w:val="clear" w:color="auto" w:fill="auto"/>
            <w:noWrap/>
            <w:vAlign w:val="center"/>
          </w:tcPr>
          <w:p w14:paraId="2E232AB9" w14:textId="16C1638F" w:rsidR="00787D57" w:rsidRPr="002D7736" w:rsidRDefault="002D7736" w:rsidP="110985B9">
            <w:pPr>
              <w:spacing w:after="0" w:line="240" w:lineRule="auto"/>
              <w:jc w:val="right"/>
              <w:rPr>
                <w:rFonts w:cs="Arial"/>
                <w:color w:val="000000"/>
              </w:rPr>
            </w:pPr>
            <w:r w:rsidRPr="002D7736">
              <w:rPr>
                <w:rFonts w:cs="Arial"/>
                <w:color w:val="000000" w:themeColor="text1"/>
              </w:rPr>
              <w:t>4,100</w:t>
            </w:r>
            <w:r w:rsidR="00787D57" w:rsidRPr="002D7736">
              <w:rPr>
                <w:rFonts w:cs="Arial"/>
                <w:color w:val="000000" w:themeColor="text1"/>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5BCAED38" w14:textId="4B2A43FD" w:rsidR="00787D57" w:rsidRPr="002D7736" w:rsidRDefault="002D7736" w:rsidP="110985B9">
            <w:pPr>
              <w:spacing w:after="0" w:line="240" w:lineRule="auto"/>
              <w:jc w:val="right"/>
              <w:rPr>
                <w:rFonts w:cs="Arial"/>
                <w:color w:val="000000"/>
              </w:rPr>
            </w:pPr>
            <w:r w:rsidRPr="002D7736">
              <w:rPr>
                <w:rFonts w:cs="Arial"/>
                <w:color w:val="000000" w:themeColor="text1"/>
              </w:rPr>
              <w:t>5,700</w:t>
            </w:r>
            <w:r w:rsidR="00787D57" w:rsidRPr="002D7736">
              <w:rPr>
                <w:rFonts w:cs="Arial"/>
                <w:color w:val="000000" w:themeColor="text1"/>
              </w:rPr>
              <w:t xml:space="preserve"> </w:t>
            </w:r>
          </w:p>
        </w:tc>
        <w:tc>
          <w:tcPr>
            <w:tcW w:w="1275" w:type="dxa"/>
            <w:tcBorders>
              <w:top w:val="nil"/>
              <w:left w:val="nil"/>
              <w:bottom w:val="single" w:sz="4" w:space="0" w:color="auto"/>
              <w:right w:val="single" w:sz="4" w:space="0" w:color="auto"/>
            </w:tcBorders>
            <w:shd w:val="clear" w:color="auto" w:fill="auto"/>
            <w:noWrap/>
            <w:vAlign w:val="center"/>
          </w:tcPr>
          <w:p w14:paraId="55296F36" w14:textId="280CD53D" w:rsidR="00787D57" w:rsidRPr="002D7736" w:rsidRDefault="002D7736" w:rsidP="110985B9">
            <w:pPr>
              <w:spacing w:after="0" w:line="240" w:lineRule="auto"/>
              <w:jc w:val="right"/>
              <w:rPr>
                <w:rFonts w:cs="Arial"/>
                <w:color w:val="000000"/>
              </w:rPr>
            </w:pPr>
            <w:r w:rsidRPr="002D7736">
              <w:rPr>
                <w:rFonts w:cs="Arial"/>
                <w:color w:val="000000" w:themeColor="text1"/>
              </w:rPr>
              <w:t>5,800</w:t>
            </w:r>
            <w:r w:rsidR="00787D57" w:rsidRPr="002D7736">
              <w:rPr>
                <w:rFonts w:cs="Arial"/>
                <w:color w:val="000000" w:themeColor="text1"/>
              </w:rPr>
              <w:t xml:space="preserve"> </w:t>
            </w:r>
          </w:p>
        </w:tc>
        <w:tc>
          <w:tcPr>
            <w:tcW w:w="1418" w:type="dxa"/>
            <w:tcBorders>
              <w:top w:val="nil"/>
              <w:left w:val="nil"/>
              <w:bottom w:val="single" w:sz="4" w:space="0" w:color="auto"/>
              <w:right w:val="single" w:sz="4" w:space="0" w:color="auto"/>
            </w:tcBorders>
            <w:shd w:val="clear" w:color="auto" w:fill="auto"/>
            <w:noWrap/>
            <w:vAlign w:val="center"/>
          </w:tcPr>
          <w:p w14:paraId="66040D51" w14:textId="1D2B229E" w:rsidR="00787D57" w:rsidRPr="00442B4F" w:rsidRDefault="00442B4F" w:rsidP="110985B9">
            <w:pPr>
              <w:spacing w:after="0" w:line="240" w:lineRule="auto"/>
              <w:jc w:val="right"/>
              <w:rPr>
                <w:rFonts w:cs="Arial"/>
                <w:color w:val="000000"/>
              </w:rPr>
            </w:pPr>
            <w:r w:rsidRPr="00442B4F">
              <w:rPr>
                <w:rFonts w:cs="Arial"/>
                <w:color w:val="000000" w:themeColor="text1"/>
              </w:rPr>
              <w:t>1,700</w:t>
            </w:r>
            <w:r w:rsidR="00787D57" w:rsidRPr="00442B4F">
              <w:rPr>
                <w:rFonts w:cs="Arial"/>
                <w:color w:val="000000" w:themeColor="text1"/>
              </w:rPr>
              <w:t xml:space="preserve"> </w:t>
            </w:r>
          </w:p>
        </w:tc>
        <w:tc>
          <w:tcPr>
            <w:tcW w:w="1477" w:type="dxa"/>
            <w:tcBorders>
              <w:top w:val="nil"/>
              <w:left w:val="nil"/>
              <w:bottom w:val="single" w:sz="4" w:space="0" w:color="auto"/>
              <w:right w:val="single" w:sz="4" w:space="0" w:color="auto"/>
            </w:tcBorders>
            <w:shd w:val="clear" w:color="auto" w:fill="auto"/>
            <w:noWrap/>
            <w:vAlign w:val="center"/>
          </w:tcPr>
          <w:p w14:paraId="20EFEA4F" w14:textId="5E28CDB2" w:rsidR="00787D57" w:rsidRPr="006331DF" w:rsidRDefault="006331DF" w:rsidP="110985B9">
            <w:pPr>
              <w:spacing w:after="0" w:line="240" w:lineRule="auto"/>
              <w:jc w:val="right"/>
              <w:rPr>
                <w:rFonts w:cs="Arial"/>
                <w:color w:val="000000"/>
              </w:rPr>
            </w:pPr>
            <w:r w:rsidRPr="006331DF">
              <w:rPr>
                <w:rFonts w:cs="Arial"/>
                <w:color w:val="000000" w:themeColor="text1"/>
              </w:rPr>
              <w:t>1.7</w:t>
            </w:r>
            <w:r w:rsidR="00787D57" w:rsidRPr="006331DF">
              <w:rPr>
                <w:rFonts w:cs="Arial"/>
                <w:color w:val="000000" w:themeColor="text1"/>
              </w:rPr>
              <w:t>%</w:t>
            </w:r>
          </w:p>
        </w:tc>
      </w:tr>
      <w:tr w:rsidR="00787D57" w:rsidRPr="00537E40" w14:paraId="536AE0A9" w14:textId="77777777" w:rsidTr="4A450472">
        <w:trPr>
          <w:trHeight w:val="340"/>
        </w:trPr>
        <w:tc>
          <w:tcPr>
            <w:tcW w:w="3061" w:type="dxa"/>
            <w:tcBorders>
              <w:top w:val="nil"/>
              <w:left w:val="single" w:sz="4" w:space="0" w:color="auto"/>
              <w:bottom w:val="single" w:sz="4" w:space="0" w:color="auto"/>
              <w:right w:val="single" w:sz="4" w:space="0" w:color="auto"/>
            </w:tcBorders>
            <w:shd w:val="clear" w:color="auto" w:fill="auto"/>
            <w:noWrap/>
            <w:vAlign w:val="bottom"/>
          </w:tcPr>
          <w:p w14:paraId="6C52D1F4" w14:textId="5CF8946A" w:rsidR="00787D57" w:rsidRDefault="00787D57" w:rsidP="110985B9">
            <w:pPr>
              <w:spacing w:after="0" w:line="240" w:lineRule="auto"/>
              <w:rPr>
                <w:rFonts w:cs="Arial"/>
                <w:b/>
                <w:bCs/>
                <w:color w:val="000000"/>
              </w:rPr>
            </w:pPr>
            <w:r w:rsidRPr="110985B9">
              <w:rPr>
                <w:rFonts w:cs="Arial"/>
                <w:b/>
                <w:bCs/>
                <w:color w:val="000000" w:themeColor="text1"/>
              </w:rPr>
              <w:t>Southbank</w:t>
            </w:r>
          </w:p>
        </w:tc>
        <w:tc>
          <w:tcPr>
            <w:tcW w:w="1187" w:type="dxa"/>
            <w:tcBorders>
              <w:top w:val="nil"/>
              <w:left w:val="nil"/>
              <w:bottom w:val="single" w:sz="4" w:space="0" w:color="auto"/>
              <w:right w:val="single" w:sz="4" w:space="0" w:color="auto"/>
            </w:tcBorders>
            <w:shd w:val="clear" w:color="auto" w:fill="auto"/>
            <w:noWrap/>
            <w:vAlign w:val="center"/>
          </w:tcPr>
          <w:p w14:paraId="77CF5E65" w14:textId="27D020E9" w:rsidR="00787D57" w:rsidRPr="002D7736" w:rsidRDefault="002D7736" w:rsidP="110985B9">
            <w:pPr>
              <w:spacing w:after="0" w:line="240" w:lineRule="auto"/>
              <w:jc w:val="right"/>
              <w:rPr>
                <w:rFonts w:cs="Arial"/>
                <w:color w:val="000000"/>
              </w:rPr>
            </w:pPr>
            <w:r w:rsidRPr="002D7736">
              <w:rPr>
                <w:rFonts w:cs="Arial"/>
                <w:color w:val="000000" w:themeColor="text1"/>
              </w:rPr>
              <w:t>26,500</w:t>
            </w:r>
            <w:r w:rsidR="00787D57" w:rsidRPr="002D7736">
              <w:rPr>
                <w:rFonts w:cs="Arial"/>
                <w:color w:val="000000" w:themeColor="text1"/>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7509FDD0" w14:textId="4547E098" w:rsidR="00787D57" w:rsidRPr="002D7736" w:rsidRDefault="002D7736" w:rsidP="110985B9">
            <w:pPr>
              <w:spacing w:after="0" w:line="240" w:lineRule="auto"/>
              <w:jc w:val="right"/>
              <w:rPr>
                <w:rFonts w:cs="Arial"/>
                <w:color w:val="000000"/>
              </w:rPr>
            </w:pPr>
            <w:r w:rsidRPr="002D7736">
              <w:rPr>
                <w:rFonts w:cs="Arial"/>
                <w:color w:val="000000" w:themeColor="text1"/>
              </w:rPr>
              <w:t>38,400</w:t>
            </w:r>
            <w:r w:rsidR="00787D57" w:rsidRPr="002D7736">
              <w:rPr>
                <w:rFonts w:cs="Arial"/>
                <w:color w:val="000000" w:themeColor="text1"/>
              </w:rPr>
              <w:t xml:space="preserve"> </w:t>
            </w:r>
          </w:p>
        </w:tc>
        <w:tc>
          <w:tcPr>
            <w:tcW w:w="1275" w:type="dxa"/>
            <w:tcBorders>
              <w:top w:val="nil"/>
              <w:left w:val="nil"/>
              <w:bottom w:val="single" w:sz="4" w:space="0" w:color="auto"/>
              <w:right w:val="single" w:sz="4" w:space="0" w:color="auto"/>
            </w:tcBorders>
            <w:shd w:val="clear" w:color="auto" w:fill="auto"/>
            <w:noWrap/>
            <w:vAlign w:val="center"/>
          </w:tcPr>
          <w:p w14:paraId="7C2D9965" w14:textId="4E5241C3" w:rsidR="00787D57" w:rsidRPr="002D7736" w:rsidRDefault="002D7736" w:rsidP="110985B9">
            <w:pPr>
              <w:spacing w:after="0" w:line="240" w:lineRule="auto"/>
              <w:jc w:val="right"/>
              <w:rPr>
                <w:rFonts w:cs="Arial"/>
                <w:color w:val="000000"/>
              </w:rPr>
            </w:pPr>
            <w:r w:rsidRPr="002D7736">
              <w:rPr>
                <w:rFonts w:cs="Arial"/>
                <w:color w:val="000000" w:themeColor="text1"/>
              </w:rPr>
              <w:t>44,500</w:t>
            </w:r>
            <w:r w:rsidR="00787D57" w:rsidRPr="002D7736">
              <w:rPr>
                <w:rFonts w:cs="Arial"/>
                <w:color w:val="000000" w:themeColor="text1"/>
              </w:rPr>
              <w:t xml:space="preserve"> </w:t>
            </w:r>
          </w:p>
        </w:tc>
        <w:tc>
          <w:tcPr>
            <w:tcW w:w="1418" w:type="dxa"/>
            <w:tcBorders>
              <w:top w:val="nil"/>
              <w:left w:val="nil"/>
              <w:bottom w:val="single" w:sz="4" w:space="0" w:color="auto"/>
              <w:right w:val="single" w:sz="4" w:space="0" w:color="auto"/>
            </w:tcBorders>
            <w:shd w:val="clear" w:color="auto" w:fill="auto"/>
            <w:noWrap/>
            <w:vAlign w:val="center"/>
          </w:tcPr>
          <w:p w14:paraId="00ADC493" w14:textId="024D8F76" w:rsidR="00787D57" w:rsidRPr="00442B4F" w:rsidRDefault="00442B4F" w:rsidP="110985B9">
            <w:pPr>
              <w:spacing w:after="0" w:line="240" w:lineRule="auto"/>
              <w:jc w:val="right"/>
              <w:rPr>
                <w:rFonts w:cs="Arial"/>
                <w:color w:val="000000"/>
              </w:rPr>
            </w:pPr>
            <w:r w:rsidRPr="00442B4F">
              <w:rPr>
                <w:rFonts w:cs="Arial"/>
                <w:color w:val="000000" w:themeColor="text1"/>
              </w:rPr>
              <w:t>18,000</w:t>
            </w:r>
            <w:r w:rsidR="00787D57" w:rsidRPr="00442B4F">
              <w:rPr>
                <w:rFonts w:cs="Arial"/>
                <w:color w:val="000000" w:themeColor="text1"/>
              </w:rPr>
              <w:t xml:space="preserve"> </w:t>
            </w:r>
          </w:p>
        </w:tc>
        <w:tc>
          <w:tcPr>
            <w:tcW w:w="1477" w:type="dxa"/>
            <w:tcBorders>
              <w:top w:val="nil"/>
              <w:left w:val="nil"/>
              <w:bottom w:val="single" w:sz="4" w:space="0" w:color="auto"/>
              <w:right w:val="single" w:sz="4" w:space="0" w:color="auto"/>
            </w:tcBorders>
            <w:shd w:val="clear" w:color="auto" w:fill="auto"/>
            <w:noWrap/>
            <w:vAlign w:val="center"/>
          </w:tcPr>
          <w:p w14:paraId="7952A06A" w14:textId="05BF8BF5" w:rsidR="00787D57" w:rsidRPr="006331DF" w:rsidRDefault="006331DF" w:rsidP="110985B9">
            <w:pPr>
              <w:spacing w:after="0" w:line="240" w:lineRule="auto"/>
              <w:jc w:val="right"/>
              <w:rPr>
                <w:rFonts w:cs="Arial"/>
                <w:color w:val="000000"/>
              </w:rPr>
            </w:pPr>
            <w:r w:rsidRPr="006331DF">
              <w:rPr>
                <w:rFonts w:cs="Arial"/>
                <w:color w:val="000000" w:themeColor="text1"/>
              </w:rPr>
              <w:t>2.6</w:t>
            </w:r>
            <w:r w:rsidR="00787D57" w:rsidRPr="006331DF">
              <w:rPr>
                <w:rFonts w:cs="Arial"/>
                <w:color w:val="000000" w:themeColor="text1"/>
              </w:rPr>
              <w:t>%</w:t>
            </w:r>
          </w:p>
        </w:tc>
      </w:tr>
      <w:tr w:rsidR="00787D57" w:rsidRPr="00537E40" w14:paraId="752A2693" w14:textId="77777777" w:rsidTr="4A450472">
        <w:trPr>
          <w:trHeight w:val="340"/>
        </w:trPr>
        <w:tc>
          <w:tcPr>
            <w:tcW w:w="3061" w:type="dxa"/>
            <w:tcBorders>
              <w:top w:val="nil"/>
              <w:left w:val="single" w:sz="4" w:space="0" w:color="auto"/>
              <w:bottom w:val="single" w:sz="4" w:space="0" w:color="auto"/>
              <w:right w:val="single" w:sz="4" w:space="0" w:color="auto"/>
            </w:tcBorders>
            <w:shd w:val="clear" w:color="auto" w:fill="auto"/>
            <w:noWrap/>
            <w:vAlign w:val="bottom"/>
          </w:tcPr>
          <w:p w14:paraId="11497475" w14:textId="4370FD87" w:rsidR="00787D57" w:rsidRDefault="00787D57" w:rsidP="110985B9">
            <w:pPr>
              <w:spacing w:after="0" w:line="240" w:lineRule="auto"/>
              <w:rPr>
                <w:rFonts w:cs="Arial"/>
                <w:b/>
                <w:bCs/>
                <w:color w:val="000000"/>
              </w:rPr>
            </w:pPr>
            <w:r w:rsidRPr="110985B9">
              <w:rPr>
                <w:rFonts w:cs="Arial"/>
                <w:b/>
                <w:bCs/>
                <w:color w:val="000000" w:themeColor="text1"/>
              </w:rPr>
              <w:t>West Melbourne (Industrial)</w:t>
            </w:r>
          </w:p>
        </w:tc>
        <w:tc>
          <w:tcPr>
            <w:tcW w:w="1187" w:type="dxa"/>
            <w:tcBorders>
              <w:top w:val="nil"/>
              <w:left w:val="nil"/>
              <w:bottom w:val="single" w:sz="4" w:space="0" w:color="auto"/>
              <w:right w:val="single" w:sz="4" w:space="0" w:color="auto"/>
            </w:tcBorders>
            <w:shd w:val="clear" w:color="auto" w:fill="auto"/>
            <w:noWrap/>
            <w:vAlign w:val="center"/>
          </w:tcPr>
          <w:p w14:paraId="5C3A785B" w14:textId="083CFB57" w:rsidR="00787D57" w:rsidRPr="002D7736" w:rsidRDefault="00787D57" w:rsidP="110985B9">
            <w:pPr>
              <w:spacing w:after="0" w:line="240" w:lineRule="auto"/>
              <w:jc w:val="right"/>
              <w:rPr>
                <w:rFonts w:cs="Arial"/>
                <w:color w:val="000000"/>
              </w:rPr>
            </w:pPr>
            <w:r w:rsidRPr="002D7736">
              <w:rPr>
                <w:rFonts w:cs="Arial"/>
                <w:color w:val="000000" w:themeColor="text1"/>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42D0E5C5" w14:textId="124E7F9D" w:rsidR="00787D57" w:rsidRPr="002D7736" w:rsidRDefault="00787D57" w:rsidP="110985B9">
            <w:pPr>
              <w:spacing w:after="0" w:line="240" w:lineRule="auto"/>
              <w:jc w:val="right"/>
              <w:rPr>
                <w:rFonts w:cs="Arial"/>
                <w:color w:val="000000"/>
              </w:rPr>
            </w:pPr>
            <w:r w:rsidRPr="002D7736">
              <w:rPr>
                <w:rFonts w:cs="Arial"/>
                <w:color w:val="000000" w:themeColor="text1"/>
              </w:rPr>
              <w:t xml:space="preserve">-   </w:t>
            </w:r>
          </w:p>
        </w:tc>
        <w:tc>
          <w:tcPr>
            <w:tcW w:w="1275" w:type="dxa"/>
            <w:tcBorders>
              <w:top w:val="nil"/>
              <w:left w:val="nil"/>
              <w:bottom w:val="single" w:sz="4" w:space="0" w:color="auto"/>
              <w:right w:val="single" w:sz="4" w:space="0" w:color="auto"/>
            </w:tcBorders>
            <w:shd w:val="clear" w:color="auto" w:fill="auto"/>
            <w:noWrap/>
            <w:vAlign w:val="center"/>
          </w:tcPr>
          <w:p w14:paraId="278BBF94" w14:textId="4EEBE829" w:rsidR="00787D57" w:rsidRPr="002D7736" w:rsidRDefault="00787D57" w:rsidP="110985B9">
            <w:pPr>
              <w:spacing w:after="0" w:line="240" w:lineRule="auto"/>
              <w:jc w:val="right"/>
              <w:rPr>
                <w:rFonts w:cs="Arial"/>
                <w:color w:val="000000"/>
              </w:rPr>
            </w:pPr>
            <w:r w:rsidRPr="002D7736">
              <w:rPr>
                <w:rFonts w:cs="Arial"/>
                <w:color w:val="000000" w:themeColor="text1"/>
              </w:rPr>
              <w:t xml:space="preserve">-   </w:t>
            </w:r>
          </w:p>
        </w:tc>
        <w:tc>
          <w:tcPr>
            <w:tcW w:w="1418" w:type="dxa"/>
            <w:tcBorders>
              <w:top w:val="nil"/>
              <w:left w:val="nil"/>
              <w:bottom w:val="single" w:sz="4" w:space="0" w:color="auto"/>
              <w:right w:val="single" w:sz="4" w:space="0" w:color="auto"/>
            </w:tcBorders>
            <w:shd w:val="clear" w:color="auto" w:fill="auto"/>
            <w:noWrap/>
            <w:vAlign w:val="center"/>
          </w:tcPr>
          <w:p w14:paraId="4FF5FDFA" w14:textId="3E3880E6" w:rsidR="00787D57" w:rsidRPr="00442B4F" w:rsidRDefault="00787D57" w:rsidP="110985B9">
            <w:pPr>
              <w:spacing w:after="0" w:line="240" w:lineRule="auto"/>
              <w:jc w:val="right"/>
              <w:rPr>
                <w:rFonts w:cs="Arial"/>
                <w:color w:val="000000"/>
              </w:rPr>
            </w:pPr>
            <w:r w:rsidRPr="00442B4F">
              <w:rPr>
                <w:rFonts w:cs="Arial"/>
                <w:color w:val="000000" w:themeColor="text1"/>
              </w:rPr>
              <w:t xml:space="preserve">                    -   </w:t>
            </w:r>
          </w:p>
        </w:tc>
        <w:tc>
          <w:tcPr>
            <w:tcW w:w="1477" w:type="dxa"/>
            <w:tcBorders>
              <w:top w:val="nil"/>
              <w:left w:val="nil"/>
              <w:bottom w:val="single" w:sz="4" w:space="0" w:color="auto"/>
              <w:right w:val="single" w:sz="4" w:space="0" w:color="auto"/>
            </w:tcBorders>
            <w:shd w:val="clear" w:color="auto" w:fill="auto"/>
            <w:noWrap/>
            <w:vAlign w:val="center"/>
          </w:tcPr>
          <w:p w14:paraId="0C983450" w14:textId="58896D3F" w:rsidR="00787D57" w:rsidRPr="006331DF" w:rsidRDefault="00787D57" w:rsidP="110985B9">
            <w:pPr>
              <w:spacing w:after="0" w:line="240" w:lineRule="auto"/>
              <w:jc w:val="right"/>
              <w:rPr>
                <w:rFonts w:cs="Arial"/>
                <w:color w:val="000000"/>
              </w:rPr>
            </w:pPr>
            <w:r w:rsidRPr="006331DF">
              <w:rPr>
                <w:rFonts w:cs="Arial"/>
                <w:color w:val="000000" w:themeColor="text1"/>
              </w:rPr>
              <w:t>0.0%</w:t>
            </w:r>
          </w:p>
        </w:tc>
      </w:tr>
      <w:tr w:rsidR="00787D57" w:rsidRPr="00537E40" w14:paraId="2D5FBE1A" w14:textId="77777777" w:rsidTr="4A450472">
        <w:trPr>
          <w:trHeight w:val="340"/>
        </w:trPr>
        <w:tc>
          <w:tcPr>
            <w:tcW w:w="3061" w:type="dxa"/>
            <w:tcBorders>
              <w:top w:val="nil"/>
              <w:left w:val="single" w:sz="4" w:space="0" w:color="auto"/>
              <w:bottom w:val="single" w:sz="4" w:space="0" w:color="auto"/>
              <w:right w:val="single" w:sz="4" w:space="0" w:color="auto"/>
            </w:tcBorders>
            <w:shd w:val="clear" w:color="auto" w:fill="auto"/>
            <w:noWrap/>
            <w:vAlign w:val="bottom"/>
          </w:tcPr>
          <w:p w14:paraId="719D8F1D" w14:textId="2C30CC78" w:rsidR="00787D57" w:rsidRDefault="00787D57" w:rsidP="110985B9">
            <w:pPr>
              <w:spacing w:after="0" w:line="240" w:lineRule="auto"/>
              <w:rPr>
                <w:rFonts w:cs="Arial"/>
                <w:b/>
                <w:bCs/>
                <w:color w:val="000000"/>
              </w:rPr>
            </w:pPr>
            <w:r w:rsidRPr="110985B9">
              <w:rPr>
                <w:rFonts w:cs="Arial"/>
                <w:b/>
                <w:bCs/>
                <w:color w:val="000000" w:themeColor="text1"/>
              </w:rPr>
              <w:t>West Melbourne (Residential)</w:t>
            </w:r>
          </w:p>
        </w:tc>
        <w:tc>
          <w:tcPr>
            <w:tcW w:w="1187" w:type="dxa"/>
            <w:tcBorders>
              <w:top w:val="nil"/>
              <w:left w:val="nil"/>
              <w:bottom w:val="single" w:sz="4" w:space="0" w:color="auto"/>
              <w:right w:val="single" w:sz="4" w:space="0" w:color="auto"/>
            </w:tcBorders>
            <w:shd w:val="clear" w:color="auto" w:fill="auto"/>
            <w:noWrap/>
            <w:vAlign w:val="center"/>
          </w:tcPr>
          <w:p w14:paraId="0DB08AC8" w14:textId="2742F8C9" w:rsidR="00787D57" w:rsidRPr="002D7736" w:rsidRDefault="002D7736" w:rsidP="110985B9">
            <w:pPr>
              <w:spacing w:after="0" w:line="240" w:lineRule="auto"/>
              <w:jc w:val="right"/>
              <w:rPr>
                <w:rFonts w:cs="Arial"/>
                <w:color w:val="000000"/>
              </w:rPr>
            </w:pPr>
            <w:r w:rsidRPr="002D7736">
              <w:rPr>
                <w:rFonts w:cs="Arial"/>
                <w:color w:val="000000" w:themeColor="text1"/>
              </w:rPr>
              <w:t>9,500</w:t>
            </w:r>
            <w:r w:rsidR="00787D57" w:rsidRPr="002D7736">
              <w:rPr>
                <w:rFonts w:cs="Arial"/>
                <w:color w:val="000000" w:themeColor="text1"/>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5CCD7551" w14:textId="0DF862D1" w:rsidR="00787D57" w:rsidRPr="002D7736" w:rsidRDefault="002D7736" w:rsidP="110985B9">
            <w:pPr>
              <w:spacing w:after="0" w:line="240" w:lineRule="auto"/>
              <w:jc w:val="right"/>
              <w:rPr>
                <w:rFonts w:cs="Arial"/>
                <w:color w:val="000000"/>
              </w:rPr>
            </w:pPr>
            <w:r w:rsidRPr="002D7736">
              <w:rPr>
                <w:rFonts w:cs="Arial"/>
                <w:color w:val="000000" w:themeColor="text1"/>
              </w:rPr>
              <w:t>13,200</w:t>
            </w:r>
            <w:r w:rsidR="00787D57" w:rsidRPr="002D7736">
              <w:rPr>
                <w:rFonts w:cs="Arial"/>
                <w:color w:val="000000" w:themeColor="text1"/>
              </w:rPr>
              <w:t xml:space="preserve"> </w:t>
            </w:r>
          </w:p>
        </w:tc>
        <w:tc>
          <w:tcPr>
            <w:tcW w:w="1275" w:type="dxa"/>
            <w:tcBorders>
              <w:top w:val="nil"/>
              <w:left w:val="nil"/>
              <w:bottom w:val="single" w:sz="4" w:space="0" w:color="auto"/>
              <w:right w:val="single" w:sz="4" w:space="0" w:color="auto"/>
            </w:tcBorders>
            <w:shd w:val="clear" w:color="auto" w:fill="auto"/>
            <w:noWrap/>
            <w:vAlign w:val="center"/>
          </w:tcPr>
          <w:p w14:paraId="2D9ACD0F" w14:textId="2C123288" w:rsidR="00787D57" w:rsidRPr="002D7736" w:rsidRDefault="002D7736" w:rsidP="110985B9">
            <w:pPr>
              <w:spacing w:after="0" w:line="240" w:lineRule="auto"/>
              <w:jc w:val="right"/>
              <w:rPr>
                <w:rFonts w:cs="Arial"/>
                <w:color w:val="000000"/>
              </w:rPr>
            </w:pPr>
            <w:r w:rsidRPr="002D7736">
              <w:rPr>
                <w:rFonts w:cs="Arial"/>
                <w:color w:val="000000" w:themeColor="text1"/>
              </w:rPr>
              <w:t>16,500</w:t>
            </w:r>
            <w:r w:rsidR="00787D57" w:rsidRPr="002D7736">
              <w:rPr>
                <w:rFonts w:cs="Arial"/>
                <w:color w:val="000000" w:themeColor="text1"/>
              </w:rPr>
              <w:t xml:space="preserve"> </w:t>
            </w:r>
          </w:p>
        </w:tc>
        <w:tc>
          <w:tcPr>
            <w:tcW w:w="1418" w:type="dxa"/>
            <w:tcBorders>
              <w:top w:val="nil"/>
              <w:left w:val="nil"/>
              <w:bottom w:val="single" w:sz="4" w:space="0" w:color="auto"/>
              <w:right w:val="single" w:sz="4" w:space="0" w:color="auto"/>
            </w:tcBorders>
            <w:shd w:val="clear" w:color="auto" w:fill="auto"/>
            <w:noWrap/>
            <w:vAlign w:val="center"/>
          </w:tcPr>
          <w:p w14:paraId="00C041DD" w14:textId="518BF214" w:rsidR="00787D57" w:rsidRPr="00442B4F" w:rsidRDefault="00442B4F" w:rsidP="110985B9">
            <w:pPr>
              <w:spacing w:after="0" w:line="240" w:lineRule="auto"/>
              <w:jc w:val="right"/>
              <w:rPr>
                <w:rFonts w:cs="Arial"/>
                <w:color w:val="000000"/>
              </w:rPr>
            </w:pPr>
            <w:r w:rsidRPr="00442B4F">
              <w:rPr>
                <w:rFonts w:cs="Arial"/>
                <w:color w:val="000000" w:themeColor="text1"/>
              </w:rPr>
              <w:t>7,000</w:t>
            </w:r>
            <w:r w:rsidR="00787D57" w:rsidRPr="00442B4F">
              <w:rPr>
                <w:rFonts w:cs="Arial"/>
                <w:color w:val="000000" w:themeColor="text1"/>
              </w:rPr>
              <w:t xml:space="preserve"> </w:t>
            </w:r>
          </w:p>
        </w:tc>
        <w:tc>
          <w:tcPr>
            <w:tcW w:w="1477" w:type="dxa"/>
            <w:tcBorders>
              <w:top w:val="nil"/>
              <w:left w:val="nil"/>
              <w:bottom w:val="single" w:sz="4" w:space="0" w:color="auto"/>
              <w:right w:val="single" w:sz="4" w:space="0" w:color="auto"/>
            </w:tcBorders>
            <w:shd w:val="clear" w:color="auto" w:fill="auto"/>
            <w:noWrap/>
            <w:vAlign w:val="center"/>
          </w:tcPr>
          <w:p w14:paraId="70D3B1CF" w14:textId="3E2BB8B6" w:rsidR="00787D57" w:rsidRPr="006331DF" w:rsidRDefault="006331DF" w:rsidP="110985B9">
            <w:pPr>
              <w:spacing w:after="0" w:line="240" w:lineRule="auto"/>
              <w:jc w:val="right"/>
              <w:rPr>
                <w:rFonts w:cs="Arial"/>
                <w:color w:val="000000"/>
              </w:rPr>
            </w:pPr>
            <w:r w:rsidRPr="006331DF">
              <w:rPr>
                <w:rFonts w:cs="Arial"/>
                <w:color w:val="000000" w:themeColor="text1"/>
              </w:rPr>
              <w:t>2.8</w:t>
            </w:r>
            <w:r w:rsidR="00787D57" w:rsidRPr="006331DF">
              <w:rPr>
                <w:rFonts w:cs="Arial"/>
                <w:color w:val="000000" w:themeColor="text1"/>
              </w:rPr>
              <w:t>%</w:t>
            </w:r>
          </w:p>
        </w:tc>
      </w:tr>
      <w:tr w:rsidR="00787D57" w:rsidRPr="00537E40" w14:paraId="7769ED7D" w14:textId="77777777" w:rsidTr="4A450472">
        <w:trPr>
          <w:trHeight w:val="340"/>
        </w:trPr>
        <w:tc>
          <w:tcPr>
            <w:tcW w:w="3061" w:type="dxa"/>
            <w:tcBorders>
              <w:top w:val="nil"/>
              <w:left w:val="single" w:sz="4" w:space="0" w:color="auto"/>
              <w:bottom w:val="single" w:sz="4" w:space="0" w:color="auto"/>
              <w:right w:val="single" w:sz="4" w:space="0" w:color="auto"/>
            </w:tcBorders>
            <w:shd w:val="clear" w:color="auto" w:fill="auto"/>
            <w:noWrap/>
            <w:vAlign w:val="center"/>
          </w:tcPr>
          <w:p w14:paraId="24DFEB3B" w14:textId="77777777" w:rsidR="00787D57" w:rsidRDefault="00787D57" w:rsidP="00787D57">
            <w:pPr>
              <w:spacing w:after="0"/>
              <w:rPr>
                <w:rFonts w:cs="Arial"/>
                <w:b/>
                <w:bCs/>
                <w:color w:val="000000"/>
                <w:szCs w:val="20"/>
              </w:rPr>
            </w:pPr>
            <w:r>
              <w:rPr>
                <w:rFonts w:cs="Arial"/>
                <w:b/>
                <w:bCs/>
                <w:color w:val="000000"/>
                <w:szCs w:val="20"/>
              </w:rPr>
              <w:t>Total (City of Melbourne)</w:t>
            </w:r>
          </w:p>
        </w:tc>
        <w:tc>
          <w:tcPr>
            <w:tcW w:w="1187" w:type="dxa"/>
            <w:tcBorders>
              <w:top w:val="nil"/>
              <w:left w:val="nil"/>
              <w:bottom w:val="single" w:sz="4" w:space="0" w:color="auto"/>
              <w:right w:val="single" w:sz="4" w:space="0" w:color="auto"/>
            </w:tcBorders>
            <w:shd w:val="clear" w:color="auto" w:fill="auto"/>
            <w:noWrap/>
            <w:vAlign w:val="center"/>
          </w:tcPr>
          <w:p w14:paraId="4D990D80" w14:textId="19250185" w:rsidR="00787D57" w:rsidRPr="007306D6" w:rsidRDefault="007306D6" w:rsidP="110985B9">
            <w:pPr>
              <w:spacing w:after="0" w:line="240" w:lineRule="auto"/>
              <w:jc w:val="right"/>
              <w:rPr>
                <w:rFonts w:cs="Arial"/>
                <w:b/>
                <w:bCs/>
                <w:color w:val="000000"/>
              </w:rPr>
            </w:pPr>
            <w:r w:rsidRPr="007306D6">
              <w:rPr>
                <w:rFonts w:cs="Arial"/>
                <w:b/>
                <w:bCs/>
                <w:color w:val="000000" w:themeColor="text1"/>
              </w:rPr>
              <w:t>177,400</w:t>
            </w:r>
            <w:r w:rsidR="00787D57" w:rsidRPr="007306D6">
              <w:rPr>
                <w:rFonts w:cs="Arial"/>
                <w:b/>
                <w:bCs/>
                <w:color w:val="000000" w:themeColor="text1"/>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5A552611" w14:textId="6CB37C91" w:rsidR="00787D57" w:rsidRPr="007306D6" w:rsidRDefault="007306D6" w:rsidP="110985B9">
            <w:pPr>
              <w:spacing w:after="0" w:line="240" w:lineRule="auto"/>
              <w:jc w:val="right"/>
              <w:rPr>
                <w:rFonts w:cs="Arial"/>
                <w:b/>
                <w:bCs/>
                <w:color w:val="000000"/>
              </w:rPr>
            </w:pPr>
            <w:r w:rsidRPr="007306D6">
              <w:rPr>
                <w:rFonts w:cs="Arial"/>
                <w:b/>
                <w:bCs/>
                <w:color w:val="000000" w:themeColor="text1"/>
              </w:rPr>
              <w:t>246,600</w:t>
            </w:r>
          </w:p>
        </w:tc>
        <w:tc>
          <w:tcPr>
            <w:tcW w:w="1275" w:type="dxa"/>
            <w:tcBorders>
              <w:top w:val="nil"/>
              <w:left w:val="nil"/>
              <w:bottom w:val="single" w:sz="4" w:space="0" w:color="auto"/>
              <w:right w:val="single" w:sz="4" w:space="0" w:color="auto"/>
            </w:tcBorders>
            <w:shd w:val="clear" w:color="auto" w:fill="auto"/>
            <w:noWrap/>
            <w:vAlign w:val="center"/>
          </w:tcPr>
          <w:p w14:paraId="18EA1AB9" w14:textId="51598CF4" w:rsidR="00787D57" w:rsidRPr="007306D6" w:rsidRDefault="007306D6" w:rsidP="110985B9">
            <w:pPr>
              <w:spacing w:after="0" w:line="240" w:lineRule="auto"/>
              <w:jc w:val="right"/>
              <w:rPr>
                <w:rFonts w:cs="Arial"/>
                <w:b/>
                <w:bCs/>
                <w:color w:val="000000"/>
              </w:rPr>
            </w:pPr>
            <w:r w:rsidRPr="007306D6">
              <w:rPr>
                <w:rFonts w:cs="Arial"/>
                <w:b/>
                <w:bCs/>
                <w:color w:val="000000" w:themeColor="text1"/>
              </w:rPr>
              <w:t>292,100</w:t>
            </w:r>
            <w:r w:rsidR="00787D57" w:rsidRPr="007306D6">
              <w:rPr>
                <w:rFonts w:cs="Arial"/>
                <w:b/>
                <w:bCs/>
                <w:color w:val="000000" w:themeColor="text1"/>
              </w:rPr>
              <w:t xml:space="preserve"> </w:t>
            </w:r>
          </w:p>
        </w:tc>
        <w:tc>
          <w:tcPr>
            <w:tcW w:w="1418" w:type="dxa"/>
            <w:tcBorders>
              <w:top w:val="nil"/>
              <w:left w:val="nil"/>
              <w:bottom w:val="single" w:sz="4" w:space="0" w:color="auto"/>
              <w:right w:val="single" w:sz="4" w:space="0" w:color="auto"/>
            </w:tcBorders>
            <w:shd w:val="clear" w:color="auto" w:fill="auto"/>
            <w:noWrap/>
            <w:vAlign w:val="center"/>
          </w:tcPr>
          <w:p w14:paraId="52ED85BA" w14:textId="0BB6FC9F" w:rsidR="00787D57" w:rsidRPr="007306D6" w:rsidRDefault="007306D6" w:rsidP="110985B9">
            <w:pPr>
              <w:spacing w:after="0" w:line="240" w:lineRule="auto"/>
              <w:jc w:val="right"/>
              <w:rPr>
                <w:rFonts w:cs="Arial"/>
                <w:b/>
                <w:bCs/>
                <w:color w:val="000000"/>
              </w:rPr>
            </w:pPr>
            <w:r w:rsidRPr="007306D6">
              <w:rPr>
                <w:rFonts w:cs="Arial"/>
                <w:b/>
                <w:bCs/>
                <w:color w:val="000000" w:themeColor="text1"/>
              </w:rPr>
              <w:t>114,700</w:t>
            </w:r>
            <w:r w:rsidR="00787D57" w:rsidRPr="007306D6">
              <w:rPr>
                <w:rFonts w:cs="Arial"/>
                <w:b/>
                <w:bCs/>
                <w:color w:val="000000" w:themeColor="text1"/>
              </w:rPr>
              <w:t xml:space="preserve"> </w:t>
            </w:r>
          </w:p>
        </w:tc>
        <w:tc>
          <w:tcPr>
            <w:tcW w:w="1477" w:type="dxa"/>
            <w:tcBorders>
              <w:top w:val="nil"/>
              <w:left w:val="nil"/>
              <w:bottom w:val="single" w:sz="4" w:space="0" w:color="auto"/>
              <w:right w:val="single" w:sz="4" w:space="0" w:color="auto"/>
            </w:tcBorders>
            <w:shd w:val="clear" w:color="auto" w:fill="auto"/>
            <w:noWrap/>
            <w:vAlign w:val="center"/>
          </w:tcPr>
          <w:p w14:paraId="256E1E10" w14:textId="349B001F" w:rsidR="00787D57" w:rsidRPr="007306D6" w:rsidRDefault="007306D6" w:rsidP="110985B9">
            <w:pPr>
              <w:spacing w:after="0" w:line="240" w:lineRule="auto"/>
              <w:jc w:val="right"/>
              <w:rPr>
                <w:rFonts w:cs="Arial"/>
                <w:b/>
                <w:bCs/>
                <w:color w:val="000000"/>
              </w:rPr>
            </w:pPr>
            <w:r w:rsidRPr="007306D6">
              <w:rPr>
                <w:rFonts w:cs="Arial"/>
                <w:b/>
                <w:bCs/>
                <w:color w:val="000000" w:themeColor="text1"/>
              </w:rPr>
              <w:t>2</w:t>
            </w:r>
            <w:r w:rsidR="00787D57" w:rsidRPr="007306D6">
              <w:rPr>
                <w:rFonts w:cs="Arial"/>
                <w:b/>
                <w:bCs/>
                <w:color w:val="000000" w:themeColor="text1"/>
              </w:rPr>
              <w:t>.5%</w:t>
            </w:r>
          </w:p>
        </w:tc>
      </w:tr>
    </w:tbl>
    <w:p w14:paraId="408F4AFB" w14:textId="191EE7A2" w:rsidR="007121A4" w:rsidRPr="00174F23" w:rsidRDefault="00145294" w:rsidP="110985B9">
      <w:pPr>
        <w:spacing w:before="120"/>
        <w:rPr>
          <w:sz w:val="16"/>
          <w:szCs w:val="16"/>
        </w:rPr>
      </w:pPr>
      <w:r w:rsidRPr="110985B9">
        <w:rPr>
          <w:sz w:val="16"/>
          <w:szCs w:val="16"/>
        </w:rPr>
        <w:t>Source: SGS Economics and Planning, 202</w:t>
      </w:r>
      <w:r w:rsidR="00946E92">
        <w:rPr>
          <w:sz w:val="16"/>
          <w:szCs w:val="16"/>
        </w:rPr>
        <w:t>4</w:t>
      </w:r>
      <w:r w:rsidR="00915EAC" w:rsidRPr="110985B9">
        <w:rPr>
          <w:sz w:val="16"/>
          <w:szCs w:val="16"/>
        </w:rPr>
        <w:t>.  Table shows rounded figures</w:t>
      </w:r>
      <w:r w:rsidR="00915EAC" w:rsidRPr="00174F23">
        <w:rPr>
          <w:sz w:val="16"/>
          <w:szCs w:val="16"/>
        </w:rPr>
        <w:t>.</w:t>
      </w:r>
    </w:p>
    <w:p w14:paraId="01063A47" w14:textId="5419D00B" w:rsidR="007121A4" w:rsidRPr="00537E40" w:rsidRDefault="007121A4" w:rsidP="001D104E">
      <w:pPr>
        <w:pStyle w:val="Heading2"/>
        <w:rPr>
          <w:rFonts w:hint="eastAsia"/>
        </w:rPr>
      </w:pPr>
      <w:bookmarkStart w:id="23" w:name="_Toc180519455"/>
      <w:r w:rsidRPr="00174F23">
        <w:t>Households by small area 202</w:t>
      </w:r>
      <w:r w:rsidR="009761D3" w:rsidRPr="00174F23">
        <w:t>3</w:t>
      </w:r>
      <w:r w:rsidRPr="00174F23">
        <w:t xml:space="preserve">, </w:t>
      </w:r>
      <w:r w:rsidR="00787D57" w:rsidRPr="00174F23">
        <w:t>203</w:t>
      </w:r>
      <w:r w:rsidR="009761D3" w:rsidRPr="00174F23">
        <w:t>3</w:t>
      </w:r>
      <w:r w:rsidR="00787D57" w:rsidRPr="00174F23">
        <w:t xml:space="preserve"> </w:t>
      </w:r>
      <w:r w:rsidRPr="00174F23">
        <w:t xml:space="preserve">and </w:t>
      </w:r>
      <w:r w:rsidR="00787D57" w:rsidRPr="00174F23">
        <w:t>204</w:t>
      </w:r>
      <w:r w:rsidR="009761D3" w:rsidRPr="00174F23">
        <w:t>3</w:t>
      </w:r>
      <w:bookmarkEnd w:id="23"/>
    </w:p>
    <w:tbl>
      <w:tblPr>
        <w:tblW w:w="9694" w:type="dxa"/>
        <w:tblLayout w:type="fixed"/>
        <w:tblLook w:val="04A0" w:firstRow="1" w:lastRow="0" w:firstColumn="1" w:lastColumn="0" w:noHBand="0" w:noVBand="1"/>
      </w:tblPr>
      <w:tblGrid>
        <w:gridCol w:w="3061"/>
        <w:gridCol w:w="1187"/>
        <w:gridCol w:w="1276"/>
        <w:gridCol w:w="1275"/>
        <w:gridCol w:w="1418"/>
        <w:gridCol w:w="1477"/>
      </w:tblGrid>
      <w:tr w:rsidR="00E57B1C" w:rsidRPr="00537E40" w14:paraId="1641B2F2" w14:textId="77777777" w:rsidTr="110985B9">
        <w:trPr>
          <w:trHeight w:val="285"/>
        </w:trPr>
        <w:tc>
          <w:tcPr>
            <w:tcW w:w="3061"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hideMark/>
          </w:tcPr>
          <w:p w14:paraId="1CBC724C" w14:textId="77777777" w:rsidR="00E57B1C" w:rsidRPr="00B07612" w:rsidRDefault="00E57B1C" w:rsidP="00E57B1C">
            <w:pPr>
              <w:spacing w:after="0" w:line="240" w:lineRule="auto"/>
              <w:rPr>
                <w:rFonts w:eastAsia="Times New Roman" w:cs="Arial"/>
                <w:b/>
                <w:bCs/>
                <w:color w:val="000000"/>
                <w:szCs w:val="20"/>
                <w:lang w:eastAsia="en-AU"/>
              </w:rPr>
            </w:pPr>
            <w:r>
              <w:rPr>
                <w:rFonts w:eastAsia="Times New Roman" w:cs="Arial"/>
                <w:b/>
                <w:bCs/>
                <w:color w:val="000000"/>
                <w:szCs w:val="20"/>
                <w:lang w:eastAsia="en-AU"/>
              </w:rPr>
              <w:t>CLUE small area</w:t>
            </w:r>
          </w:p>
        </w:tc>
        <w:tc>
          <w:tcPr>
            <w:tcW w:w="11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4A610A" w14:textId="1725BAD7" w:rsidR="00E57B1C" w:rsidRPr="00B07612" w:rsidRDefault="00787D57" w:rsidP="110985B9">
            <w:pPr>
              <w:spacing w:after="0" w:line="240" w:lineRule="auto"/>
              <w:jc w:val="center"/>
              <w:rPr>
                <w:rFonts w:eastAsia="Times New Roman" w:cs="Arial"/>
                <w:b/>
                <w:bCs/>
                <w:color w:val="000000"/>
                <w:lang w:eastAsia="en-AU"/>
              </w:rPr>
            </w:pPr>
            <w:r w:rsidRPr="110985B9">
              <w:rPr>
                <w:rFonts w:eastAsia="Times New Roman" w:cs="Arial"/>
                <w:b/>
                <w:bCs/>
                <w:color w:val="000000" w:themeColor="text1"/>
                <w:lang w:eastAsia="en-AU"/>
              </w:rPr>
              <w:t>202</w:t>
            </w:r>
            <w:r w:rsidR="009761D3">
              <w:rPr>
                <w:rFonts w:eastAsia="Times New Roman" w:cs="Arial"/>
                <w:b/>
                <w:bCs/>
                <w:color w:val="000000" w:themeColor="text1"/>
                <w:lang w:eastAsia="en-AU"/>
              </w:rPr>
              <w:t>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55FC1B" w14:textId="7649C0A1" w:rsidR="00E57B1C" w:rsidRPr="00B07612" w:rsidRDefault="00787D57" w:rsidP="110985B9">
            <w:pPr>
              <w:spacing w:after="0" w:line="240" w:lineRule="auto"/>
              <w:jc w:val="center"/>
              <w:rPr>
                <w:rFonts w:eastAsia="Times New Roman" w:cs="Arial"/>
                <w:b/>
                <w:bCs/>
                <w:color w:val="000000"/>
                <w:lang w:eastAsia="en-AU"/>
              </w:rPr>
            </w:pPr>
            <w:r w:rsidRPr="110985B9">
              <w:rPr>
                <w:rFonts w:eastAsia="Times New Roman" w:cs="Arial"/>
                <w:b/>
                <w:bCs/>
                <w:color w:val="000000" w:themeColor="text1"/>
                <w:lang w:eastAsia="en-AU"/>
              </w:rPr>
              <w:t>203</w:t>
            </w:r>
            <w:r w:rsidR="009761D3">
              <w:rPr>
                <w:rFonts w:eastAsia="Times New Roman" w:cs="Arial"/>
                <w:b/>
                <w:bCs/>
                <w:color w:val="000000" w:themeColor="text1"/>
                <w:lang w:eastAsia="en-AU"/>
              </w:rPr>
              <w:t>3</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72AC20" w14:textId="0AF7F00D" w:rsidR="00E57B1C" w:rsidRPr="00B07612" w:rsidRDefault="00787D57" w:rsidP="110985B9">
            <w:pPr>
              <w:spacing w:after="0" w:line="240" w:lineRule="auto"/>
              <w:jc w:val="center"/>
              <w:rPr>
                <w:rFonts w:eastAsia="Times New Roman" w:cs="Arial"/>
                <w:b/>
                <w:bCs/>
                <w:color w:val="000000"/>
                <w:lang w:eastAsia="en-AU"/>
              </w:rPr>
            </w:pPr>
            <w:r w:rsidRPr="110985B9">
              <w:rPr>
                <w:rFonts w:eastAsia="Times New Roman" w:cs="Arial"/>
                <w:b/>
                <w:bCs/>
                <w:color w:val="000000" w:themeColor="text1"/>
                <w:lang w:eastAsia="en-AU"/>
              </w:rPr>
              <w:t>204</w:t>
            </w:r>
            <w:r w:rsidR="009761D3">
              <w:rPr>
                <w:rFonts w:eastAsia="Times New Roman" w:cs="Arial"/>
                <w:b/>
                <w:bCs/>
                <w:color w:val="000000" w:themeColor="text1"/>
                <w:lang w:eastAsia="en-AU"/>
              </w:rPr>
              <w:t>3</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73D16FD4" w14:textId="609A49EA" w:rsidR="00E57B1C" w:rsidRPr="00B07612" w:rsidRDefault="00E57B1C" w:rsidP="110985B9">
            <w:pPr>
              <w:spacing w:after="0" w:line="240" w:lineRule="auto"/>
              <w:jc w:val="center"/>
              <w:rPr>
                <w:rFonts w:eastAsia="Times New Roman" w:cs="Arial"/>
                <w:b/>
                <w:bCs/>
                <w:color w:val="000000"/>
                <w:lang w:eastAsia="en-AU"/>
              </w:rPr>
            </w:pPr>
            <w:r w:rsidRPr="110985B9">
              <w:rPr>
                <w:rFonts w:eastAsia="Times New Roman" w:cs="Arial"/>
                <w:b/>
                <w:bCs/>
                <w:color w:val="000000" w:themeColor="text1"/>
                <w:lang w:eastAsia="en-AU"/>
              </w:rPr>
              <w:t xml:space="preserve">Change </w:t>
            </w:r>
            <w:r w:rsidR="00787D57" w:rsidRPr="110985B9">
              <w:rPr>
                <w:rFonts w:eastAsia="Times New Roman" w:cs="Arial"/>
                <w:b/>
                <w:bCs/>
                <w:color w:val="000000" w:themeColor="text1"/>
                <w:lang w:eastAsia="en-AU"/>
              </w:rPr>
              <w:t>202</w:t>
            </w:r>
            <w:r w:rsidR="009761D3">
              <w:rPr>
                <w:rFonts w:eastAsia="Times New Roman" w:cs="Arial"/>
                <w:b/>
                <w:bCs/>
                <w:color w:val="000000" w:themeColor="text1"/>
                <w:lang w:eastAsia="en-AU"/>
              </w:rPr>
              <w:t>3</w:t>
            </w:r>
            <w:r w:rsidRPr="110985B9">
              <w:rPr>
                <w:rFonts w:eastAsia="Times New Roman" w:cs="Arial"/>
                <w:b/>
                <w:bCs/>
                <w:color w:val="000000" w:themeColor="text1"/>
                <w:lang w:eastAsia="en-AU"/>
              </w:rPr>
              <w:t>-</w:t>
            </w:r>
            <w:r w:rsidR="00787D57" w:rsidRPr="110985B9">
              <w:rPr>
                <w:rFonts w:eastAsia="Times New Roman" w:cs="Arial"/>
                <w:b/>
                <w:bCs/>
                <w:color w:val="000000" w:themeColor="text1"/>
                <w:lang w:eastAsia="en-AU"/>
              </w:rPr>
              <w:t>204</w:t>
            </w:r>
            <w:r w:rsidR="009761D3">
              <w:rPr>
                <w:rFonts w:eastAsia="Times New Roman" w:cs="Arial"/>
                <w:b/>
                <w:bCs/>
                <w:color w:val="000000" w:themeColor="text1"/>
                <w:lang w:eastAsia="en-AU"/>
              </w:rPr>
              <w:t>3</w:t>
            </w:r>
          </w:p>
        </w:tc>
        <w:tc>
          <w:tcPr>
            <w:tcW w:w="1477" w:type="dxa"/>
            <w:tcBorders>
              <w:top w:val="single" w:sz="4" w:space="0" w:color="auto"/>
              <w:left w:val="nil"/>
              <w:bottom w:val="single" w:sz="4" w:space="0" w:color="auto"/>
              <w:right w:val="single" w:sz="4" w:space="0" w:color="auto"/>
            </w:tcBorders>
            <w:shd w:val="clear" w:color="auto" w:fill="auto"/>
            <w:vAlign w:val="center"/>
          </w:tcPr>
          <w:p w14:paraId="697B0306" w14:textId="1C662AC0" w:rsidR="00E57B1C" w:rsidRPr="00B07612" w:rsidRDefault="00E57B1C" w:rsidP="110985B9">
            <w:pPr>
              <w:spacing w:after="0" w:line="240" w:lineRule="auto"/>
              <w:jc w:val="center"/>
              <w:rPr>
                <w:rFonts w:eastAsia="Times New Roman" w:cs="Arial"/>
                <w:b/>
                <w:bCs/>
                <w:color w:val="000000"/>
                <w:lang w:eastAsia="en-AU"/>
              </w:rPr>
            </w:pPr>
            <w:r w:rsidRPr="110985B9">
              <w:rPr>
                <w:rFonts w:eastAsia="Times New Roman" w:cs="Arial"/>
                <w:b/>
                <w:bCs/>
                <w:color w:val="000000" w:themeColor="text1"/>
                <w:lang w:eastAsia="en-AU"/>
              </w:rPr>
              <w:t xml:space="preserve">Avg. Annual Growth Rate </w:t>
            </w:r>
            <w:r w:rsidR="00787D57" w:rsidRPr="110985B9">
              <w:rPr>
                <w:rFonts w:eastAsia="Times New Roman" w:cs="Arial"/>
                <w:b/>
                <w:bCs/>
                <w:color w:val="000000" w:themeColor="text1"/>
                <w:lang w:eastAsia="en-AU"/>
              </w:rPr>
              <w:t>202</w:t>
            </w:r>
            <w:r w:rsidR="009761D3">
              <w:rPr>
                <w:rFonts w:eastAsia="Times New Roman" w:cs="Arial"/>
                <w:b/>
                <w:bCs/>
                <w:color w:val="000000" w:themeColor="text1"/>
                <w:lang w:eastAsia="en-AU"/>
              </w:rPr>
              <w:t>3</w:t>
            </w:r>
            <w:r w:rsidRPr="110985B9">
              <w:rPr>
                <w:rFonts w:eastAsia="Times New Roman" w:cs="Arial"/>
                <w:b/>
                <w:bCs/>
                <w:color w:val="000000" w:themeColor="text1"/>
                <w:lang w:eastAsia="en-AU"/>
              </w:rPr>
              <w:t>-</w:t>
            </w:r>
            <w:r w:rsidR="00787D57" w:rsidRPr="110985B9">
              <w:rPr>
                <w:rFonts w:eastAsia="Times New Roman" w:cs="Arial"/>
                <w:b/>
                <w:bCs/>
                <w:color w:val="000000" w:themeColor="text1"/>
                <w:lang w:eastAsia="en-AU"/>
              </w:rPr>
              <w:t>204</w:t>
            </w:r>
            <w:r w:rsidR="009761D3">
              <w:rPr>
                <w:rFonts w:eastAsia="Times New Roman" w:cs="Arial"/>
                <w:b/>
                <w:bCs/>
                <w:color w:val="000000" w:themeColor="text1"/>
                <w:lang w:eastAsia="en-AU"/>
              </w:rPr>
              <w:t>3</w:t>
            </w:r>
          </w:p>
        </w:tc>
      </w:tr>
      <w:tr w:rsidR="00787D57" w:rsidRPr="00537E40" w14:paraId="28CA0107" w14:textId="77777777" w:rsidTr="0082290B">
        <w:trPr>
          <w:trHeight w:val="340"/>
        </w:trPr>
        <w:tc>
          <w:tcPr>
            <w:tcW w:w="3061" w:type="dxa"/>
            <w:tcBorders>
              <w:top w:val="nil"/>
              <w:left w:val="single" w:sz="4" w:space="0" w:color="auto"/>
              <w:bottom w:val="single" w:sz="4" w:space="0" w:color="auto"/>
              <w:right w:val="single" w:sz="4" w:space="0" w:color="auto"/>
            </w:tcBorders>
            <w:shd w:val="clear" w:color="auto" w:fill="auto"/>
            <w:noWrap/>
            <w:vAlign w:val="center"/>
          </w:tcPr>
          <w:p w14:paraId="60A0EF90" w14:textId="77777777" w:rsidR="00787D57" w:rsidRDefault="00787D57" w:rsidP="00787D57">
            <w:pPr>
              <w:spacing w:after="0" w:line="240" w:lineRule="auto"/>
              <w:rPr>
                <w:rFonts w:cs="Arial"/>
                <w:b/>
                <w:bCs/>
                <w:color w:val="000000"/>
                <w:szCs w:val="20"/>
                <w:lang w:eastAsia="en-AU"/>
              </w:rPr>
            </w:pPr>
            <w:r>
              <w:rPr>
                <w:rFonts w:cs="Arial"/>
                <w:b/>
                <w:bCs/>
                <w:color w:val="000000"/>
                <w:szCs w:val="20"/>
              </w:rPr>
              <w:t>Carlton</w:t>
            </w:r>
          </w:p>
        </w:tc>
        <w:tc>
          <w:tcPr>
            <w:tcW w:w="1187" w:type="dxa"/>
            <w:tcBorders>
              <w:top w:val="nil"/>
              <w:left w:val="nil"/>
              <w:bottom w:val="single" w:sz="4" w:space="0" w:color="auto"/>
              <w:right w:val="single" w:sz="4" w:space="0" w:color="auto"/>
            </w:tcBorders>
            <w:shd w:val="clear" w:color="auto" w:fill="auto"/>
            <w:noWrap/>
            <w:vAlign w:val="center"/>
          </w:tcPr>
          <w:p w14:paraId="40872CC9" w14:textId="6957B69F" w:rsidR="00787D57" w:rsidRPr="009761D3" w:rsidRDefault="009761D3" w:rsidP="110985B9">
            <w:pPr>
              <w:spacing w:after="0" w:line="240" w:lineRule="auto"/>
              <w:jc w:val="right"/>
              <w:rPr>
                <w:rFonts w:cs="Arial"/>
                <w:color w:val="000000"/>
              </w:rPr>
            </w:pPr>
            <w:r w:rsidRPr="009761D3">
              <w:rPr>
                <w:rFonts w:cs="Arial"/>
                <w:color w:val="000000" w:themeColor="text1"/>
              </w:rPr>
              <w:t>12,600</w:t>
            </w:r>
            <w:r w:rsidR="00787D57" w:rsidRPr="009761D3">
              <w:rPr>
                <w:rFonts w:cs="Arial"/>
                <w:color w:val="000000" w:themeColor="text1"/>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116E8D46" w14:textId="54C958CE" w:rsidR="00787D57" w:rsidRPr="009761D3" w:rsidRDefault="009761D3" w:rsidP="110985B9">
            <w:pPr>
              <w:spacing w:after="0"/>
              <w:jc w:val="right"/>
              <w:rPr>
                <w:rFonts w:cs="Arial"/>
                <w:color w:val="000000"/>
              </w:rPr>
            </w:pPr>
            <w:r w:rsidRPr="009761D3">
              <w:rPr>
                <w:rFonts w:cs="Arial"/>
                <w:color w:val="000000" w:themeColor="text1"/>
              </w:rPr>
              <w:t>15,000</w:t>
            </w:r>
            <w:r w:rsidR="00787D57" w:rsidRPr="009761D3">
              <w:rPr>
                <w:rFonts w:cs="Arial"/>
                <w:color w:val="000000" w:themeColor="text1"/>
              </w:rPr>
              <w:t xml:space="preserve"> </w:t>
            </w:r>
          </w:p>
        </w:tc>
        <w:tc>
          <w:tcPr>
            <w:tcW w:w="1275" w:type="dxa"/>
            <w:tcBorders>
              <w:top w:val="nil"/>
              <w:left w:val="nil"/>
              <w:bottom w:val="single" w:sz="4" w:space="0" w:color="auto"/>
              <w:right w:val="single" w:sz="4" w:space="0" w:color="auto"/>
            </w:tcBorders>
            <w:shd w:val="clear" w:color="auto" w:fill="auto"/>
            <w:noWrap/>
            <w:vAlign w:val="center"/>
          </w:tcPr>
          <w:p w14:paraId="5863404B" w14:textId="3480718C" w:rsidR="00787D57" w:rsidRPr="009761D3" w:rsidRDefault="009761D3" w:rsidP="110985B9">
            <w:pPr>
              <w:spacing w:after="0"/>
              <w:jc w:val="right"/>
              <w:rPr>
                <w:rFonts w:cs="Arial"/>
                <w:color w:val="000000"/>
              </w:rPr>
            </w:pPr>
            <w:r w:rsidRPr="009761D3">
              <w:rPr>
                <w:rFonts w:cs="Arial"/>
                <w:color w:val="000000" w:themeColor="text1"/>
              </w:rPr>
              <w:t>15,100</w:t>
            </w:r>
            <w:r w:rsidR="00787D57" w:rsidRPr="009761D3">
              <w:rPr>
                <w:rFonts w:cs="Arial"/>
                <w:color w:val="000000" w:themeColor="text1"/>
              </w:rPr>
              <w:t xml:space="preserve"> </w:t>
            </w:r>
          </w:p>
        </w:tc>
        <w:tc>
          <w:tcPr>
            <w:tcW w:w="1418" w:type="dxa"/>
            <w:tcBorders>
              <w:top w:val="nil"/>
              <w:left w:val="nil"/>
              <w:bottom w:val="single" w:sz="4" w:space="0" w:color="auto"/>
              <w:right w:val="single" w:sz="4" w:space="0" w:color="auto"/>
            </w:tcBorders>
            <w:shd w:val="clear" w:color="auto" w:fill="auto"/>
            <w:noWrap/>
            <w:vAlign w:val="center"/>
          </w:tcPr>
          <w:p w14:paraId="40417D55" w14:textId="3B484840" w:rsidR="00787D57" w:rsidRPr="009761D3" w:rsidRDefault="009761D3" w:rsidP="110985B9">
            <w:pPr>
              <w:spacing w:after="0"/>
              <w:jc w:val="right"/>
              <w:rPr>
                <w:rFonts w:cs="Arial"/>
                <w:color w:val="000000"/>
              </w:rPr>
            </w:pPr>
            <w:r w:rsidRPr="009761D3">
              <w:rPr>
                <w:rFonts w:cs="Arial"/>
                <w:color w:val="000000" w:themeColor="text1"/>
              </w:rPr>
              <w:t>2,500</w:t>
            </w:r>
            <w:r w:rsidR="00787D57" w:rsidRPr="009761D3">
              <w:rPr>
                <w:rFonts w:cs="Arial"/>
                <w:color w:val="000000" w:themeColor="text1"/>
              </w:rPr>
              <w:t xml:space="preserve"> </w:t>
            </w:r>
          </w:p>
        </w:tc>
        <w:tc>
          <w:tcPr>
            <w:tcW w:w="1477" w:type="dxa"/>
            <w:tcBorders>
              <w:top w:val="nil"/>
              <w:left w:val="nil"/>
              <w:bottom w:val="single" w:sz="4" w:space="0" w:color="auto"/>
              <w:right w:val="single" w:sz="4" w:space="0" w:color="auto"/>
            </w:tcBorders>
            <w:shd w:val="clear" w:color="auto" w:fill="auto"/>
            <w:noWrap/>
            <w:vAlign w:val="center"/>
          </w:tcPr>
          <w:p w14:paraId="32E3D0B6" w14:textId="6077A4DD" w:rsidR="00787D57" w:rsidRPr="009761D3" w:rsidRDefault="009761D3" w:rsidP="110985B9">
            <w:pPr>
              <w:spacing w:after="0"/>
              <w:jc w:val="right"/>
              <w:rPr>
                <w:rFonts w:cs="Arial"/>
                <w:color w:val="000000"/>
              </w:rPr>
            </w:pPr>
            <w:r w:rsidRPr="009761D3">
              <w:rPr>
                <w:rFonts w:cs="Arial"/>
                <w:color w:val="000000" w:themeColor="text1"/>
              </w:rPr>
              <w:t>0.9</w:t>
            </w:r>
            <w:r w:rsidR="00787D57" w:rsidRPr="009761D3">
              <w:rPr>
                <w:rFonts w:cs="Arial"/>
                <w:color w:val="000000" w:themeColor="text1"/>
              </w:rPr>
              <w:t>%</w:t>
            </w:r>
          </w:p>
        </w:tc>
      </w:tr>
      <w:tr w:rsidR="00787D57" w:rsidRPr="00537E40" w14:paraId="3B88E6C2" w14:textId="77777777" w:rsidTr="0082290B">
        <w:trPr>
          <w:trHeight w:val="340"/>
        </w:trPr>
        <w:tc>
          <w:tcPr>
            <w:tcW w:w="3061" w:type="dxa"/>
            <w:tcBorders>
              <w:top w:val="nil"/>
              <w:left w:val="single" w:sz="4" w:space="0" w:color="auto"/>
              <w:bottom w:val="single" w:sz="4" w:space="0" w:color="auto"/>
              <w:right w:val="single" w:sz="4" w:space="0" w:color="auto"/>
            </w:tcBorders>
            <w:shd w:val="clear" w:color="auto" w:fill="auto"/>
            <w:noWrap/>
            <w:vAlign w:val="center"/>
          </w:tcPr>
          <w:p w14:paraId="36601917" w14:textId="77777777" w:rsidR="00787D57" w:rsidRDefault="00787D57" w:rsidP="00787D57">
            <w:pPr>
              <w:spacing w:after="0"/>
              <w:rPr>
                <w:rFonts w:cs="Arial"/>
                <w:b/>
                <w:bCs/>
                <w:color w:val="000000"/>
                <w:szCs w:val="20"/>
              </w:rPr>
            </w:pPr>
            <w:r>
              <w:rPr>
                <w:rFonts w:cs="Arial"/>
                <w:b/>
                <w:bCs/>
                <w:color w:val="000000"/>
                <w:szCs w:val="20"/>
              </w:rPr>
              <w:t>Docklands</w:t>
            </w:r>
          </w:p>
        </w:tc>
        <w:tc>
          <w:tcPr>
            <w:tcW w:w="1187" w:type="dxa"/>
            <w:tcBorders>
              <w:top w:val="nil"/>
              <w:left w:val="nil"/>
              <w:bottom w:val="single" w:sz="4" w:space="0" w:color="auto"/>
              <w:right w:val="single" w:sz="4" w:space="0" w:color="auto"/>
            </w:tcBorders>
            <w:shd w:val="clear" w:color="auto" w:fill="auto"/>
            <w:noWrap/>
            <w:vAlign w:val="center"/>
          </w:tcPr>
          <w:p w14:paraId="3824DA3C" w14:textId="4FFFD3CE" w:rsidR="00787D57" w:rsidRPr="009761D3" w:rsidRDefault="009761D3" w:rsidP="110985B9">
            <w:pPr>
              <w:spacing w:after="0" w:line="240" w:lineRule="auto"/>
              <w:jc w:val="right"/>
              <w:rPr>
                <w:rFonts w:cs="Arial"/>
                <w:color w:val="000000"/>
              </w:rPr>
            </w:pPr>
            <w:r w:rsidRPr="009761D3">
              <w:rPr>
                <w:rFonts w:cs="Arial"/>
                <w:color w:val="000000" w:themeColor="text1"/>
              </w:rPr>
              <w:t>9,400</w:t>
            </w:r>
          </w:p>
        </w:tc>
        <w:tc>
          <w:tcPr>
            <w:tcW w:w="1276" w:type="dxa"/>
            <w:tcBorders>
              <w:top w:val="nil"/>
              <w:left w:val="nil"/>
              <w:bottom w:val="single" w:sz="4" w:space="0" w:color="auto"/>
              <w:right w:val="single" w:sz="4" w:space="0" w:color="auto"/>
            </w:tcBorders>
            <w:shd w:val="clear" w:color="auto" w:fill="auto"/>
            <w:noWrap/>
            <w:vAlign w:val="center"/>
          </w:tcPr>
          <w:p w14:paraId="3F81D49D" w14:textId="565BD2E4" w:rsidR="00787D57" w:rsidRPr="009761D3" w:rsidRDefault="009761D3" w:rsidP="110985B9">
            <w:pPr>
              <w:spacing w:after="0" w:line="240" w:lineRule="auto"/>
              <w:jc w:val="right"/>
              <w:rPr>
                <w:rFonts w:cs="Arial"/>
                <w:color w:val="000000"/>
              </w:rPr>
            </w:pPr>
            <w:r w:rsidRPr="009761D3">
              <w:rPr>
                <w:rFonts w:cs="Arial"/>
                <w:color w:val="000000" w:themeColor="text1"/>
              </w:rPr>
              <w:t>10,900</w:t>
            </w:r>
            <w:r w:rsidR="00787D57" w:rsidRPr="009761D3">
              <w:rPr>
                <w:rFonts w:cs="Arial"/>
                <w:color w:val="000000" w:themeColor="text1"/>
              </w:rPr>
              <w:t xml:space="preserve"> </w:t>
            </w:r>
          </w:p>
        </w:tc>
        <w:tc>
          <w:tcPr>
            <w:tcW w:w="1275" w:type="dxa"/>
            <w:tcBorders>
              <w:top w:val="nil"/>
              <w:left w:val="nil"/>
              <w:bottom w:val="single" w:sz="4" w:space="0" w:color="auto"/>
              <w:right w:val="single" w:sz="4" w:space="0" w:color="auto"/>
            </w:tcBorders>
            <w:shd w:val="clear" w:color="auto" w:fill="auto"/>
            <w:noWrap/>
            <w:vAlign w:val="center"/>
          </w:tcPr>
          <w:p w14:paraId="5BDC94E0" w14:textId="4C06D5E6" w:rsidR="00787D57" w:rsidRPr="009761D3" w:rsidRDefault="009761D3" w:rsidP="110985B9">
            <w:pPr>
              <w:spacing w:after="0" w:line="240" w:lineRule="auto"/>
              <w:jc w:val="right"/>
              <w:rPr>
                <w:rFonts w:cs="Arial"/>
                <w:color w:val="000000"/>
              </w:rPr>
            </w:pPr>
            <w:r w:rsidRPr="009761D3">
              <w:rPr>
                <w:rFonts w:cs="Arial"/>
                <w:color w:val="000000" w:themeColor="text1"/>
              </w:rPr>
              <w:t>13,000</w:t>
            </w:r>
            <w:r w:rsidR="00787D57" w:rsidRPr="009761D3">
              <w:rPr>
                <w:rFonts w:cs="Arial"/>
                <w:color w:val="000000" w:themeColor="text1"/>
              </w:rPr>
              <w:t xml:space="preserve"> </w:t>
            </w:r>
          </w:p>
        </w:tc>
        <w:tc>
          <w:tcPr>
            <w:tcW w:w="1418" w:type="dxa"/>
            <w:tcBorders>
              <w:top w:val="nil"/>
              <w:left w:val="nil"/>
              <w:bottom w:val="single" w:sz="4" w:space="0" w:color="auto"/>
              <w:right w:val="single" w:sz="4" w:space="0" w:color="auto"/>
            </w:tcBorders>
            <w:shd w:val="clear" w:color="auto" w:fill="auto"/>
            <w:noWrap/>
            <w:vAlign w:val="center"/>
          </w:tcPr>
          <w:p w14:paraId="79337944" w14:textId="2DD65392" w:rsidR="00787D57" w:rsidRPr="009761D3" w:rsidRDefault="009761D3" w:rsidP="110985B9">
            <w:pPr>
              <w:spacing w:after="0" w:line="240" w:lineRule="auto"/>
              <w:jc w:val="right"/>
              <w:rPr>
                <w:rFonts w:cs="Arial"/>
                <w:color w:val="000000"/>
              </w:rPr>
            </w:pPr>
            <w:r w:rsidRPr="009761D3">
              <w:rPr>
                <w:rFonts w:cs="Arial"/>
                <w:color w:val="000000" w:themeColor="text1"/>
              </w:rPr>
              <w:t>3,600</w:t>
            </w:r>
            <w:r w:rsidR="00787D57" w:rsidRPr="009761D3">
              <w:rPr>
                <w:rFonts w:cs="Arial"/>
                <w:color w:val="000000" w:themeColor="text1"/>
              </w:rPr>
              <w:t xml:space="preserve"> </w:t>
            </w:r>
          </w:p>
        </w:tc>
        <w:tc>
          <w:tcPr>
            <w:tcW w:w="1477" w:type="dxa"/>
            <w:tcBorders>
              <w:top w:val="nil"/>
              <w:left w:val="nil"/>
              <w:bottom w:val="single" w:sz="4" w:space="0" w:color="auto"/>
              <w:right w:val="single" w:sz="4" w:space="0" w:color="auto"/>
            </w:tcBorders>
            <w:shd w:val="clear" w:color="auto" w:fill="auto"/>
            <w:noWrap/>
            <w:vAlign w:val="center"/>
          </w:tcPr>
          <w:p w14:paraId="03FDBEF1" w14:textId="45DFF0FB" w:rsidR="00787D57" w:rsidRPr="009761D3" w:rsidRDefault="009761D3" w:rsidP="110985B9">
            <w:pPr>
              <w:spacing w:after="0" w:line="240" w:lineRule="auto"/>
              <w:jc w:val="right"/>
              <w:rPr>
                <w:rFonts w:cs="Arial"/>
                <w:color w:val="000000"/>
              </w:rPr>
            </w:pPr>
            <w:r w:rsidRPr="009761D3">
              <w:rPr>
                <w:rFonts w:cs="Arial"/>
                <w:color w:val="000000" w:themeColor="text1"/>
              </w:rPr>
              <w:t>1.6</w:t>
            </w:r>
            <w:r w:rsidR="00787D57" w:rsidRPr="009761D3">
              <w:rPr>
                <w:rFonts w:cs="Arial"/>
                <w:color w:val="000000" w:themeColor="text1"/>
              </w:rPr>
              <w:t>%</w:t>
            </w:r>
          </w:p>
        </w:tc>
      </w:tr>
      <w:tr w:rsidR="00787D57" w:rsidRPr="00537E40" w14:paraId="337A8358" w14:textId="77777777" w:rsidTr="0082290B">
        <w:trPr>
          <w:trHeight w:val="340"/>
        </w:trPr>
        <w:tc>
          <w:tcPr>
            <w:tcW w:w="3061" w:type="dxa"/>
            <w:tcBorders>
              <w:top w:val="nil"/>
              <w:left w:val="single" w:sz="4" w:space="0" w:color="auto"/>
              <w:bottom w:val="single" w:sz="4" w:space="0" w:color="auto"/>
              <w:right w:val="single" w:sz="4" w:space="0" w:color="auto"/>
            </w:tcBorders>
            <w:shd w:val="clear" w:color="auto" w:fill="auto"/>
            <w:noWrap/>
            <w:vAlign w:val="center"/>
          </w:tcPr>
          <w:p w14:paraId="0A9931D6" w14:textId="77777777" w:rsidR="00787D57" w:rsidRDefault="00787D57" w:rsidP="00787D57">
            <w:pPr>
              <w:spacing w:after="0"/>
              <w:rPr>
                <w:rFonts w:cs="Arial"/>
                <w:b/>
                <w:bCs/>
                <w:color w:val="000000"/>
                <w:szCs w:val="20"/>
              </w:rPr>
            </w:pPr>
            <w:r>
              <w:rPr>
                <w:rFonts w:cs="Arial"/>
                <w:b/>
                <w:bCs/>
                <w:color w:val="000000"/>
                <w:szCs w:val="20"/>
              </w:rPr>
              <w:t>East Melbourne</w:t>
            </w:r>
          </w:p>
        </w:tc>
        <w:tc>
          <w:tcPr>
            <w:tcW w:w="1187" w:type="dxa"/>
            <w:tcBorders>
              <w:top w:val="nil"/>
              <w:left w:val="nil"/>
              <w:bottom w:val="single" w:sz="4" w:space="0" w:color="auto"/>
              <w:right w:val="single" w:sz="4" w:space="0" w:color="auto"/>
            </w:tcBorders>
            <w:shd w:val="clear" w:color="auto" w:fill="auto"/>
            <w:noWrap/>
            <w:vAlign w:val="center"/>
          </w:tcPr>
          <w:p w14:paraId="5FFA9FDA" w14:textId="2C20A73F" w:rsidR="00787D57" w:rsidRPr="009761D3" w:rsidRDefault="00787D57" w:rsidP="110985B9">
            <w:pPr>
              <w:spacing w:after="0" w:line="240" w:lineRule="auto"/>
              <w:jc w:val="right"/>
              <w:rPr>
                <w:rFonts w:cs="Arial"/>
                <w:color w:val="000000"/>
              </w:rPr>
            </w:pPr>
            <w:r w:rsidRPr="009761D3">
              <w:rPr>
                <w:rFonts w:cs="Arial"/>
                <w:color w:val="000000" w:themeColor="text1"/>
              </w:rPr>
              <w:t>2,</w:t>
            </w:r>
            <w:r w:rsidR="009761D3" w:rsidRPr="009761D3">
              <w:rPr>
                <w:rFonts w:cs="Arial"/>
                <w:color w:val="000000" w:themeColor="text1"/>
              </w:rPr>
              <w:t>900</w:t>
            </w:r>
            <w:r w:rsidRPr="009761D3">
              <w:rPr>
                <w:rFonts w:cs="Arial"/>
                <w:color w:val="000000" w:themeColor="text1"/>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77723C3E" w14:textId="3368D439" w:rsidR="00787D57" w:rsidRPr="009761D3" w:rsidRDefault="009761D3" w:rsidP="110985B9">
            <w:pPr>
              <w:spacing w:after="0" w:line="240" w:lineRule="auto"/>
              <w:jc w:val="right"/>
              <w:rPr>
                <w:rFonts w:cs="Arial"/>
                <w:color w:val="000000"/>
              </w:rPr>
            </w:pPr>
            <w:r w:rsidRPr="009761D3">
              <w:rPr>
                <w:rFonts w:cs="Arial"/>
                <w:color w:val="000000" w:themeColor="text1"/>
              </w:rPr>
              <w:t>3,400</w:t>
            </w:r>
            <w:r w:rsidR="00787D57" w:rsidRPr="009761D3">
              <w:rPr>
                <w:rFonts w:cs="Arial"/>
                <w:color w:val="000000" w:themeColor="text1"/>
              </w:rPr>
              <w:t xml:space="preserve"> </w:t>
            </w:r>
          </w:p>
        </w:tc>
        <w:tc>
          <w:tcPr>
            <w:tcW w:w="1275" w:type="dxa"/>
            <w:tcBorders>
              <w:top w:val="nil"/>
              <w:left w:val="nil"/>
              <w:bottom w:val="single" w:sz="4" w:space="0" w:color="auto"/>
              <w:right w:val="single" w:sz="4" w:space="0" w:color="auto"/>
            </w:tcBorders>
            <w:shd w:val="clear" w:color="auto" w:fill="auto"/>
            <w:noWrap/>
            <w:vAlign w:val="center"/>
          </w:tcPr>
          <w:p w14:paraId="390273CD" w14:textId="5B41E402" w:rsidR="00787D57" w:rsidRPr="009761D3" w:rsidRDefault="009761D3" w:rsidP="110985B9">
            <w:pPr>
              <w:spacing w:after="0" w:line="240" w:lineRule="auto"/>
              <w:jc w:val="right"/>
              <w:rPr>
                <w:rFonts w:cs="Arial"/>
                <w:color w:val="000000"/>
              </w:rPr>
            </w:pPr>
            <w:r w:rsidRPr="009761D3">
              <w:rPr>
                <w:rFonts w:cs="Arial"/>
                <w:color w:val="000000" w:themeColor="text1"/>
              </w:rPr>
              <w:t>3,400</w:t>
            </w:r>
            <w:r w:rsidR="00787D57" w:rsidRPr="009761D3">
              <w:rPr>
                <w:rFonts w:cs="Arial"/>
                <w:color w:val="000000" w:themeColor="text1"/>
              </w:rPr>
              <w:t xml:space="preserve"> </w:t>
            </w:r>
          </w:p>
        </w:tc>
        <w:tc>
          <w:tcPr>
            <w:tcW w:w="1418" w:type="dxa"/>
            <w:tcBorders>
              <w:top w:val="nil"/>
              <w:left w:val="nil"/>
              <w:bottom w:val="single" w:sz="4" w:space="0" w:color="auto"/>
              <w:right w:val="single" w:sz="4" w:space="0" w:color="auto"/>
            </w:tcBorders>
            <w:shd w:val="clear" w:color="auto" w:fill="auto"/>
            <w:noWrap/>
            <w:vAlign w:val="center"/>
          </w:tcPr>
          <w:p w14:paraId="4F07AE7B" w14:textId="7C84CC19" w:rsidR="00787D57" w:rsidRPr="009761D3" w:rsidRDefault="009761D3" w:rsidP="110985B9">
            <w:pPr>
              <w:spacing w:after="0" w:line="240" w:lineRule="auto"/>
              <w:jc w:val="right"/>
              <w:rPr>
                <w:rFonts w:cs="Arial"/>
                <w:color w:val="000000"/>
              </w:rPr>
            </w:pPr>
            <w:r w:rsidRPr="009761D3">
              <w:rPr>
                <w:rFonts w:cs="Arial"/>
                <w:color w:val="000000" w:themeColor="text1"/>
              </w:rPr>
              <w:t>500</w:t>
            </w:r>
            <w:r w:rsidR="00787D57" w:rsidRPr="009761D3">
              <w:rPr>
                <w:rFonts w:cs="Arial"/>
                <w:color w:val="000000" w:themeColor="text1"/>
              </w:rPr>
              <w:t xml:space="preserve"> </w:t>
            </w:r>
          </w:p>
        </w:tc>
        <w:tc>
          <w:tcPr>
            <w:tcW w:w="1477" w:type="dxa"/>
            <w:tcBorders>
              <w:top w:val="nil"/>
              <w:left w:val="nil"/>
              <w:bottom w:val="single" w:sz="4" w:space="0" w:color="auto"/>
              <w:right w:val="single" w:sz="4" w:space="0" w:color="auto"/>
            </w:tcBorders>
            <w:shd w:val="clear" w:color="auto" w:fill="auto"/>
            <w:noWrap/>
            <w:vAlign w:val="center"/>
          </w:tcPr>
          <w:p w14:paraId="56C2EE23" w14:textId="542BFFFE" w:rsidR="00787D57" w:rsidRPr="009761D3" w:rsidRDefault="009761D3" w:rsidP="110985B9">
            <w:pPr>
              <w:spacing w:after="0" w:line="240" w:lineRule="auto"/>
              <w:jc w:val="right"/>
              <w:rPr>
                <w:rFonts w:cs="Arial"/>
                <w:color w:val="000000"/>
              </w:rPr>
            </w:pPr>
            <w:r w:rsidRPr="009761D3">
              <w:rPr>
                <w:rFonts w:cs="Arial"/>
                <w:color w:val="000000" w:themeColor="text1"/>
              </w:rPr>
              <w:t>0.8</w:t>
            </w:r>
            <w:r w:rsidR="00787D57" w:rsidRPr="009761D3">
              <w:rPr>
                <w:rFonts w:cs="Arial"/>
                <w:color w:val="000000" w:themeColor="text1"/>
              </w:rPr>
              <w:t>%</w:t>
            </w:r>
          </w:p>
        </w:tc>
      </w:tr>
      <w:tr w:rsidR="00787D57" w:rsidRPr="00537E40" w14:paraId="47516780" w14:textId="77777777" w:rsidTr="0082290B">
        <w:trPr>
          <w:trHeight w:val="340"/>
        </w:trPr>
        <w:tc>
          <w:tcPr>
            <w:tcW w:w="3061" w:type="dxa"/>
            <w:tcBorders>
              <w:top w:val="nil"/>
              <w:left w:val="single" w:sz="4" w:space="0" w:color="auto"/>
              <w:bottom w:val="single" w:sz="4" w:space="0" w:color="auto"/>
              <w:right w:val="single" w:sz="4" w:space="0" w:color="auto"/>
            </w:tcBorders>
            <w:shd w:val="clear" w:color="auto" w:fill="auto"/>
            <w:noWrap/>
            <w:vAlign w:val="center"/>
          </w:tcPr>
          <w:p w14:paraId="7F59D7D7" w14:textId="77777777" w:rsidR="00787D57" w:rsidRDefault="00787D57" w:rsidP="00787D57">
            <w:pPr>
              <w:spacing w:after="0"/>
              <w:rPr>
                <w:rFonts w:cs="Arial"/>
                <w:b/>
                <w:bCs/>
                <w:color w:val="000000"/>
                <w:szCs w:val="20"/>
              </w:rPr>
            </w:pPr>
            <w:r>
              <w:rPr>
                <w:rFonts w:cs="Arial"/>
                <w:b/>
                <w:bCs/>
                <w:color w:val="000000"/>
                <w:szCs w:val="20"/>
              </w:rPr>
              <w:t>Kensington</w:t>
            </w:r>
          </w:p>
        </w:tc>
        <w:tc>
          <w:tcPr>
            <w:tcW w:w="1187" w:type="dxa"/>
            <w:tcBorders>
              <w:top w:val="nil"/>
              <w:left w:val="nil"/>
              <w:bottom w:val="single" w:sz="4" w:space="0" w:color="auto"/>
              <w:right w:val="single" w:sz="4" w:space="0" w:color="auto"/>
            </w:tcBorders>
            <w:shd w:val="clear" w:color="auto" w:fill="auto"/>
            <w:noWrap/>
            <w:vAlign w:val="center"/>
          </w:tcPr>
          <w:p w14:paraId="66B87719" w14:textId="1101B964" w:rsidR="00787D57" w:rsidRPr="00174F23" w:rsidRDefault="00787D57" w:rsidP="110985B9">
            <w:pPr>
              <w:spacing w:after="0" w:line="240" w:lineRule="auto"/>
              <w:jc w:val="right"/>
              <w:rPr>
                <w:rFonts w:cs="Arial"/>
                <w:color w:val="000000"/>
              </w:rPr>
            </w:pPr>
            <w:r w:rsidRPr="00174F23">
              <w:rPr>
                <w:rFonts w:cs="Arial"/>
                <w:color w:val="000000" w:themeColor="text1"/>
              </w:rPr>
              <w:t>5,</w:t>
            </w:r>
            <w:r w:rsidR="00174F23" w:rsidRPr="00174F23">
              <w:rPr>
                <w:rFonts w:cs="Arial"/>
                <w:color w:val="000000" w:themeColor="text1"/>
              </w:rPr>
              <w:t>300</w:t>
            </w:r>
            <w:r w:rsidRPr="00174F23">
              <w:rPr>
                <w:rFonts w:cs="Arial"/>
                <w:color w:val="000000" w:themeColor="text1"/>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088C72AE" w14:textId="596C633E" w:rsidR="00787D57" w:rsidRPr="00174F23" w:rsidRDefault="00174F23" w:rsidP="110985B9">
            <w:pPr>
              <w:spacing w:after="0" w:line="240" w:lineRule="auto"/>
              <w:jc w:val="right"/>
              <w:rPr>
                <w:rFonts w:cs="Arial"/>
                <w:color w:val="000000"/>
              </w:rPr>
            </w:pPr>
            <w:r w:rsidRPr="00174F23">
              <w:rPr>
                <w:rFonts w:cs="Arial"/>
                <w:color w:val="000000" w:themeColor="text1"/>
              </w:rPr>
              <w:t>5,900</w:t>
            </w:r>
            <w:r w:rsidR="00787D57" w:rsidRPr="00174F23">
              <w:rPr>
                <w:rFonts w:cs="Arial"/>
                <w:color w:val="000000" w:themeColor="text1"/>
              </w:rPr>
              <w:t xml:space="preserve"> </w:t>
            </w:r>
          </w:p>
        </w:tc>
        <w:tc>
          <w:tcPr>
            <w:tcW w:w="1275" w:type="dxa"/>
            <w:tcBorders>
              <w:top w:val="nil"/>
              <w:left w:val="nil"/>
              <w:bottom w:val="single" w:sz="4" w:space="0" w:color="auto"/>
              <w:right w:val="single" w:sz="4" w:space="0" w:color="auto"/>
            </w:tcBorders>
            <w:shd w:val="clear" w:color="auto" w:fill="auto"/>
            <w:noWrap/>
            <w:vAlign w:val="center"/>
          </w:tcPr>
          <w:p w14:paraId="7FD32BB4" w14:textId="46A360F8" w:rsidR="00787D57" w:rsidRPr="00174F23" w:rsidRDefault="00174F23" w:rsidP="110985B9">
            <w:pPr>
              <w:spacing w:after="0" w:line="240" w:lineRule="auto"/>
              <w:jc w:val="right"/>
              <w:rPr>
                <w:rFonts w:cs="Arial"/>
                <w:color w:val="000000"/>
              </w:rPr>
            </w:pPr>
            <w:r w:rsidRPr="00174F23">
              <w:rPr>
                <w:rFonts w:cs="Arial"/>
                <w:color w:val="000000" w:themeColor="text1"/>
              </w:rPr>
              <w:t>7,900</w:t>
            </w:r>
            <w:r w:rsidR="00787D57" w:rsidRPr="00174F23">
              <w:rPr>
                <w:rFonts w:cs="Arial"/>
                <w:color w:val="000000" w:themeColor="text1"/>
              </w:rPr>
              <w:t xml:space="preserve"> </w:t>
            </w:r>
          </w:p>
        </w:tc>
        <w:tc>
          <w:tcPr>
            <w:tcW w:w="1418" w:type="dxa"/>
            <w:tcBorders>
              <w:top w:val="nil"/>
              <w:left w:val="nil"/>
              <w:bottom w:val="single" w:sz="4" w:space="0" w:color="auto"/>
              <w:right w:val="single" w:sz="4" w:space="0" w:color="auto"/>
            </w:tcBorders>
            <w:shd w:val="clear" w:color="auto" w:fill="auto"/>
            <w:noWrap/>
            <w:vAlign w:val="center"/>
          </w:tcPr>
          <w:p w14:paraId="64E5F5BB" w14:textId="034D434C" w:rsidR="00787D57" w:rsidRPr="00174F23" w:rsidRDefault="00174F23" w:rsidP="110985B9">
            <w:pPr>
              <w:spacing w:after="0" w:line="240" w:lineRule="auto"/>
              <w:jc w:val="right"/>
              <w:rPr>
                <w:rFonts w:cs="Arial"/>
                <w:color w:val="000000"/>
              </w:rPr>
            </w:pPr>
            <w:r w:rsidRPr="00174F23">
              <w:rPr>
                <w:rFonts w:cs="Arial"/>
                <w:color w:val="000000" w:themeColor="text1"/>
              </w:rPr>
              <w:t>2,600</w:t>
            </w:r>
            <w:r w:rsidR="00787D57" w:rsidRPr="00174F23">
              <w:rPr>
                <w:rFonts w:cs="Arial"/>
                <w:color w:val="000000" w:themeColor="text1"/>
              </w:rPr>
              <w:t xml:space="preserve"> </w:t>
            </w:r>
          </w:p>
        </w:tc>
        <w:tc>
          <w:tcPr>
            <w:tcW w:w="1477" w:type="dxa"/>
            <w:tcBorders>
              <w:top w:val="nil"/>
              <w:left w:val="nil"/>
              <w:bottom w:val="single" w:sz="4" w:space="0" w:color="auto"/>
              <w:right w:val="single" w:sz="4" w:space="0" w:color="auto"/>
            </w:tcBorders>
            <w:shd w:val="clear" w:color="auto" w:fill="auto"/>
            <w:noWrap/>
            <w:vAlign w:val="center"/>
          </w:tcPr>
          <w:p w14:paraId="3A38DD74" w14:textId="3E004F36" w:rsidR="00787D57" w:rsidRPr="00174F23" w:rsidRDefault="00174F23" w:rsidP="110985B9">
            <w:pPr>
              <w:spacing w:after="0" w:line="240" w:lineRule="auto"/>
              <w:jc w:val="right"/>
              <w:rPr>
                <w:rFonts w:cs="Arial"/>
                <w:color w:val="000000"/>
              </w:rPr>
            </w:pPr>
            <w:r w:rsidRPr="00174F23">
              <w:rPr>
                <w:rFonts w:cs="Arial"/>
                <w:color w:val="000000" w:themeColor="text1"/>
              </w:rPr>
              <w:t>2.0</w:t>
            </w:r>
            <w:r w:rsidR="00787D57" w:rsidRPr="00174F23">
              <w:rPr>
                <w:rFonts w:cs="Arial"/>
                <w:color w:val="000000" w:themeColor="text1"/>
              </w:rPr>
              <w:t>%</w:t>
            </w:r>
          </w:p>
        </w:tc>
      </w:tr>
      <w:tr w:rsidR="00787D57" w:rsidRPr="00537E40" w14:paraId="45404DC1" w14:textId="77777777" w:rsidTr="0082290B">
        <w:trPr>
          <w:trHeight w:val="340"/>
        </w:trPr>
        <w:tc>
          <w:tcPr>
            <w:tcW w:w="3061" w:type="dxa"/>
            <w:tcBorders>
              <w:top w:val="nil"/>
              <w:left w:val="single" w:sz="4" w:space="0" w:color="auto"/>
              <w:bottom w:val="single" w:sz="4" w:space="0" w:color="auto"/>
              <w:right w:val="single" w:sz="4" w:space="0" w:color="auto"/>
            </w:tcBorders>
            <w:shd w:val="clear" w:color="auto" w:fill="auto"/>
            <w:noWrap/>
            <w:vAlign w:val="center"/>
          </w:tcPr>
          <w:p w14:paraId="36F85F6F" w14:textId="77777777" w:rsidR="00787D57" w:rsidRDefault="00787D57" w:rsidP="00787D57">
            <w:pPr>
              <w:spacing w:after="0"/>
              <w:rPr>
                <w:rFonts w:cs="Arial"/>
                <w:b/>
                <w:bCs/>
                <w:color w:val="000000"/>
                <w:szCs w:val="20"/>
              </w:rPr>
            </w:pPr>
            <w:r>
              <w:rPr>
                <w:rFonts w:cs="Arial"/>
                <w:b/>
                <w:bCs/>
                <w:color w:val="000000"/>
                <w:szCs w:val="20"/>
              </w:rPr>
              <w:t>Melbourne (CBD)</w:t>
            </w:r>
          </w:p>
        </w:tc>
        <w:tc>
          <w:tcPr>
            <w:tcW w:w="1187" w:type="dxa"/>
            <w:tcBorders>
              <w:top w:val="nil"/>
              <w:left w:val="nil"/>
              <w:bottom w:val="single" w:sz="4" w:space="0" w:color="auto"/>
              <w:right w:val="single" w:sz="4" w:space="0" w:color="auto"/>
            </w:tcBorders>
            <w:shd w:val="clear" w:color="auto" w:fill="auto"/>
            <w:noWrap/>
            <w:vAlign w:val="center"/>
          </w:tcPr>
          <w:p w14:paraId="3BD19C4A" w14:textId="180F8B36" w:rsidR="00787D57" w:rsidRPr="00174F23" w:rsidRDefault="00174F23" w:rsidP="110985B9">
            <w:pPr>
              <w:spacing w:after="0" w:line="240" w:lineRule="auto"/>
              <w:jc w:val="right"/>
              <w:rPr>
                <w:rFonts w:cs="Arial"/>
                <w:color w:val="000000"/>
              </w:rPr>
            </w:pPr>
            <w:r w:rsidRPr="00174F23">
              <w:rPr>
                <w:rFonts w:cs="Arial"/>
                <w:color w:val="000000" w:themeColor="text1"/>
              </w:rPr>
              <w:t>32,200</w:t>
            </w:r>
            <w:r w:rsidR="00787D57" w:rsidRPr="00174F23">
              <w:rPr>
                <w:rFonts w:cs="Arial"/>
                <w:color w:val="000000" w:themeColor="text1"/>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16254D04" w14:textId="0B956152" w:rsidR="00787D57" w:rsidRPr="00174F23" w:rsidRDefault="00174F23" w:rsidP="110985B9">
            <w:pPr>
              <w:spacing w:after="0" w:line="240" w:lineRule="auto"/>
              <w:jc w:val="right"/>
              <w:rPr>
                <w:rFonts w:cs="Arial"/>
                <w:color w:val="000000"/>
              </w:rPr>
            </w:pPr>
            <w:r w:rsidRPr="00174F23">
              <w:rPr>
                <w:rFonts w:cs="Arial"/>
                <w:color w:val="000000" w:themeColor="text1"/>
              </w:rPr>
              <w:t>37,200</w:t>
            </w:r>
            <w:r w:rsidR="00787D57" w:rsidRPr="00174F23">
              <w:rPr>
                <w:rFonts w:cs="Arial"/>
                <w:color w:val="000000" w:themeColor="text1"/>
              </w:rPr>
              <w:t xml:space="preserve"> </w:t>
            </w:r>
          </w:p>
        </w:tc>
        <w:tc>
          <w:tcPr>
            <w:tcW w:w="1275" w:type="dxa"/>
            <w:tcBorders>
              <w:top w:val="nil"/>
              <w:left w:val="nil"/>
              <w:bottom w:val="single" w:sz="4" w:space="0" w:color="auto"/>
              <w:right w:val="single" w:sz="4" w:space="0" w:color="auto"/>
            </w:tcBorders>
            <w:shd w:val="clear" w:color="auto" w:fill="auto"/>
            <w:noWrap/>
            <w:vAlign w:val="center"/>
          </w:tcPr>
          <w:p w14:paraId="619EC5D9" w14:textId="26D4873B" w:rsidR="00787D57" w:rsidRPr="00174F23" w:rsidRDefault="00174F23" w:rsidP="110985B9">
            <w:pPr>
              <w:spacing w:after="0" w:line="240" w:lineRule="auto"/>
              <w:jc w:val="right"/>
              <w:rPr>
                <w:rFonts w:cs="Arial"/>
                <w:color w:val="000000"/>
              </w:rPr>
            </w:pPr>
            <w:r w:rsidRPr="00174F23">
              <w:rPr>
                <w:rFonts w:cs="Arial"/>
                <w:color w:val="000000" w:themeColor="text1"/>
              </w:rPr>
              <w:t>44,200</w:t>
            </w:r>
            <w:r w:rsidR="00787D57" w:rsidRPr="00174F23">
              <w:rPr>
                <w:rFonts w:cs="Arial"/>
                <w:color w:val="000000" w:themeColor="text1"/>
              </w:rPr>
              <w:t xml:space="preserve"> </w:t>
            </w:r>
          </w:p>
        </w:tc>
        <w:tc>
          <w:tcPr>
            <w:tcW w:w="1418" w:type="dxa"/>
            <w:tcBorders>
              <w:top w:val="nil"/>
              <w:left w:val="nil"/>
              <w:bottom w:val="single" w:sz="4" w:space="0" w:color="auto"/>
              <w:right w:val="single" w:sz="4" w:space="0" w:color="auto"/>
            </w:tcBorders>
            <w:shd w:val="clear" w:color="auto" w:fill="auto"/>
            <w:noWrap/>
            <w:vAlign w:val="center"/>
          </w:tcPr>
          <w:p w14:paraId="18097469" w14:textId="29127E2A" w:rsidR="00787D57" w:rsidRPr="00174F23" w:rsidRDefault="00174F23" w:rsidP="110985B9">
            <w:pPr>
              <w:spacing w:after="0" w:line="240" w:lineRule="auto"/>
              <w:jc w:val="right"/>
              <w:rPr>
                <w:rFonts w:cs="Arial"/>
                <w:color w:val="000000"/>
              </w:rPr>
            </w:pPr>
            <w:r w:rsidRPr="00174F23">
              <w:rPr>
                <w:rFonts w:cs="Arial"/>
                <w:color w:val="000000" w:themeColor="text1"/>
              </w:rPr>
              <w:t>12,000</w:t>
            </w:r>
            <w:r w:rsidR="00787D57" w:rsidRPr="00174F23">
              <w:rPr>
                <w:rFonts w:cs="Arial"/>
                <w:color w:val="000000" w:themeColor="text1"/>
              </w:rPr>
              <w:t xml:space="preserve"> </w:t>
            </w:r>
          </w:p>
        </w:tc>
        <w:tc>
          <w:tcPr>
            <w:tcW w:w="1477" w:type="dxa"/>
            <w:tcBorders>
              <w:top w:val="nil"/>
              <w:left w:val="nil"/>
              <w:bottom w:val="single" w:sz="4" w:space="0" w:color="auto"/>
              <w:right w:val="single" w:sz="4" w:space="0" w:color="auto"/>
            </w:tcBorders>
            <w:shd w:val="clear" w:color="auto" w:fill="auto"/>
            <w:noWrap/>
            <w:vAlign w:val="center"/>
          </w:tcPr>
          <w:p w14:paraId="58F29F9A" w14:textId="11C7D07E" w:rsidR="00787D57" w:rsidRPr="00174F23" w:rsidRDefault="00174F23" w:rsidP="110985B9">
            <w:pPr>
              <w:spacing w:after="0" w:line="240" w:lineRule="auto"/>
              <w:jc w:val="right"/>
              <w:rPr>
                <w:rFonts w:cs="Arial"/>
                <w:color w:val="000000"/>
              </w:rPr>
            </w:pPr>
            <w:r w:rsidRPr="00174F23">
              <w:rPr>
                <w:rFonts w:cs="Arial"/>
                <w:color w:val="000000" w:themeColor="text1"/>
              </w:rPr>
              <w:t>1.6</w:t>
            </w:r>
            <w:r w:rsidR="00787D57" w:rsidRPr="00174F23">
              <w:rPr>
                <w:rFonts w:cs="Arial"/>
                <w:color w:val="000000" w:themeColor="text1"/>
              </w:rPr>
              <w:t>%</w:t>
            </w:r>
          </w:p>
        </w:tc>
      </w:tr>
      <w:tr w:rsidR="00787D57" w:rsidRPr="00537E40" w14:paraId="57D759E2" w14:textId="77777777" w:rsidTr="0082290B">
        <w:trPr>
          <w:trHeight w:val="340"/>
        </w:trPr>
        <w:tc>
          <w:tcPr>
            <w:tcW w:w="3061" w:type="dxa"/>
            <w:tcBorders>
              <w:top w:val="nil"/>
              <w:left w:val="single" w:sz="4" w:space="0" w:color="auto"/>
              <w:bottom w:val="single" w:sz="4" w:space="0" w:color="auto"/>
              <w:right w:val="single" w:sz="4" w:space="0" w:color="auto"/>
            </w:tcBorders>
            <w:shd w:val="clear" w:color="auto" w:fill="auto"/>
            <w:noWrap/>
            <w:vAlign w:val="center"/>
          </w:tcPr>
          <w:p w14:paraId="17B9FECA" w14:textId="77777777" w:rsidR="00787D57" w:rsidRDefault="00787D57" w:rsidP="00787D57">
            <w:pPr>
              <w:spacing w:after="0"/>
              <w:rPr>
                <w:rFonts w:cs="Arial"/>
                <w:b/>
                <w:bCs/>
                <w:color w:val="000000"/>
                <w:szCs w:val="20"/>
              </w:rPr>
            </w:pPr>
            <w:r>
              <w:rPr>
                <w:rFonts w:cs="Arial"/>
                <w:b/>
                <w:bCs/>
                <w:color w:val="000000"/>
                <w:szCs w:val="20"/>
              </w:rPr>
              <w:t>Melbourne (Remainder)</w:t>
            </w:r>
          </w:p>
        </w:tc>
        <w:tc>
          <w:tcPr>
            <w:tcW w:w="1187" w:type="dxa"/>
            <w:tcBorders>
              <w:top w:val="nil"/>
              <w:left w:val="nil"/>
              <w:bottom w:val="single" w:sz="4" w:space="0" w:color="auto"/>
              <w:right w:val="single" w:sz="4" w:space="0" w:color="auto"/>
            </w:tcBorders>
            <w:shd w:val="clear" w:color="auto" w:fill="auto"/>
            <w:noWrap/>
            <w:vAlign w:val="center"/>
          </w:tcPr>
          <w:p w14:paraId="41434A66" w14:textId="33859D3C" w:rsidR="00787D57" w:rsidRPr="00174F23" w:rsidRDefault="00787D57" w:rsidP="110985B9">
            <w:pPr>
              <w:spacing w:after="0" w:line="240" w:lineRule="auto"/>
              <w:jc w:val="right"/>
              <w:rPr>
                <w:rFonts w:cs="Arial"/>
                <w:color w:val="000000"/>
              </w:rPr>
            </w:pPr>
            <w:r w:rsidRPr="00174F23">
              <w:rPr>
                <w:rFonts w:cs="Arial"/>
                <w:color w:val="000000" w:themeColor="text1"/>
              </w:rPr>
              <w:t>1,3</w:t>
            </w:r>
            <w:r w:rsidR="00174F23" w:rsidRPr="00174F23">
              <w:rPr>
                <w:rFonts w:cs="Arial"/>
                <w:color w:val="000000" w:themeColor="text1"/>
              </w:rPr>
              <w:t>00</w:t>
            </w:r>
            <w:r w:rsidRPr="00174F23">
              <w:rPr>
                <w:rFonts w:cs="Arial"/>
                <w:color w:val="000000" w:themeColor="text1"/>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668409CE" w14:textId="36766DBB" w:rsidR="00787D57" w:rsidRPr="00174F23" w:rsidRDefault="00787D57" w:rsidP="110985B9">
            <w:pPr>
              <w:spacing w:after="0" w:line="240" w:lineRule="auto"/>
              <w:jc w:val="right"/>
              <w:rPr>
                <w:rFonts w:cs="Arial"/>
                <w:color w:val="000000"/>
              </w:rPr>
            </w:pPr>
            <w:r w:rsidRPr="00174F23">
              <w:rPr>
                <w:rFonts w:cs="Arial"/>
                <w:color w:val="000000" w:themeColor="text1"/>
              </w:rPr>
              <w:t>1,5</w:t>
            </w:r>
            <w:r w:rsidR="00174F23" w:rsidRPr="00174F23">
              <w:rPr>
                <w:rFonts w:cs="Arial"/>
                <w:color w:val="000000" w:themeColor="text1"/>
              </w:rPr>
              <w:t>00</w:t>
            </w:r>
            <w:r w:rsidRPr="00174F23">
              <w:rPr>
                <w:rFonts w:cs="Arial"/>
                <w:color w:val="000000" w:themeColor="text1"/>
              </w:rPr>
              <w:t xml:space="preserve"> </w:t>
            </w:r>
          </w:p>
        </w:tc>
        <w:tc>
          <w:tcPr>
            <w:tcW w:w="1275" w:type="dxa"/>
            <w:tcBorders>
              <w:top w:val="nil"/>
              <w:left w:val="nil"/>
              <w:bottom w:val="single" w:sz="4" w:space="0" w:color="auto"/>
              <w:right w:val="single" w:sz="4" w:space="0" w:color="auto"/>
            </w:tcBorders>
            <w:shd w:val="clear" w:color="auto" w:fill="auto"/>
            <w:noWrap/>
            <w:vAlign w:val="center"/>
          </w:tcPr>
          <w:p w14:paraId="5B5628BA" w14:textId="5BFBAC8F" w:rsidR="00787D57" w:rsidRPr="00174F23" w:rsidRDefault="00787D57" w:rsidP="110985B9">
            <w:pPr>
              <w:spacing w:after="0" w:line="240" w:lineRule="auto"/>
              <w:jc w:val="right"/>
              <w:rPr>
                <w:rFonts w:cs="Arial"/>
                <w:color w:val="000000"/>
              </w:rPr>
            </w:pPr>
            <w:r w:rsidRPr="00174F23">
              <w:rPr>
                <w:rFonts w:cs="Arial"/>
                <w:color w:val="000000" w:themeColor="text1"/>
              </w:rPr>
              <w:t>1,5</w:t>
            </w:r>
            <w:r w:rsidR="00174F23" w:rsidRPr="00174F23">
              <w:rPr>
                <w:rFonts w:cs="Arial"/>
                <w:color w:val="000000" w:themeColor="text1"/>
              </w:rPr>
              <w:t>00</w:t>
            </w:r>
            <w:r w:rsidRPr="00174F23">
              <w:rPr>
                <w:rFonts w:cs="Arial"/>
                <w:color w:val="000000" w:themeColor="text1"/>
              </w:rPr>
              <w:t xml:space="preserve"> </w:t>
            </w:r>
          </w:p>
        </w:tc>
        <w:tc>
          <w:tcPr>
            <w:tcW w:w="1418" w:type="dxa"/>
            <w:tcBorders>
              <w:top w:val="nil"/>
              <w:left w:val="nil"/>
              <w:bottom w:val="single" w:sz="4" w:space="0" w:color="auto"/>
              <w:right w:val="single" w:sz="4" w:space="0" w:color="auto"/>
            </w:tcBorders>
            <w:shd w:val="clear" w:color="auto" w:fill="auto"/>
            <w:noWrap/>
            <w:vAlign w:val="center"/>
          </w:tcPr>
          <w:p w14:paraId="1DD09F7C" w14:textId="32921A86" w:rsidR="00787D57" w:rsidRPr="00174F23" w:rsidRDefault="00787D57" w:rsidP="110985B9">
            <w:pPr>
              <w:spacing w:after="0" w:line="240" w:lineRule="auto"/>
              <w:jc w:val="right"/>
              <w:rPr>
                <w:rFonts w:cs="Arial"/>
                <w:color w:val="000000"/>
              </w:rPr>
            </w:pPr>
            <w:r w:rsidRPr="00174F23">
              <w:rPr>
                <w:rFonts w:cs="Arial"/>
                <w:color w:val="000000" w:themeColor="text1"/>
              </w:rPr>
              <w:t>2</w:t>
            </w:r>
            <w:r w:rsidR="00174F23" w:rsidRPr="00174F23">
              <w:rPr>
                <w:rFonts w:cs="Arial"/>
                <w:color w:val="000000" w:themeColor="text1"/>
              </w:rPr>
              <w:t>00</w:t>
            </w:r>
            <w:r w:rsidRPr="00174F23">
              <w:rPr>
                <w:rFonts w:cs="Arial"/>
                <w:color w:val="000000" w:themeColor="text1"/>
              </w:rPr>
              <w:t xml:space="preserve"> </w:t>
            </w:r>
          </w:p>
        </w:tc>
        <w:tc>
          <w:tcPr>
            <w:tcW w:w="1477" w:type="dxa"/>
            <w:tcBorders>
              <w:top w:val="nil"/>
              <w:left w:val="nil"/>
              <w:bottom w:val="single" w:sz="4" w:space="0" w:color="auto"/>
              <w:right w:val="single" w:sz="4" w:space="0" w:color="auto"/>
            </w:tcBorders>
            <w:shd w:val="clear" w:color="auto" w:fill="auto"/>
            <w:noWrap/>
            <w:vAlign w:val="center"/>
          </w:tcPr>
          <w:p w14:paraId="3FD270E4" w14:textId="1F7161F2" w:rsidR="00787D57" w:rsidRPr="00174F23" w:rsidRDefault="00787D57" w:rsidP="110985B9">
            <w:pPr>
              <w:spacing w:after="0" w:line="240" w:lineRule="auto"/>
              <w:jc w:val="right"/>
              <w:rPr>
                <w:rFonts w:cs="Arial"/>
                <w:color w:val="000000"/>
              </w:rPr>
            </w:pPr>
            <w:r w:rsidRPr="00174F23">
              <w:rPr>
                <w:rFonts w:cs="Arial"/>
                <w:color w:val="000000" w:themeColor="text1"/>
              </w:rPr>
              <w:t>0.7%</w:t>
            </w:r>
          </w:p>
        </w:tc>
      </w:tr>
      <w:tr w:rsidR="00787D57" w:rsidRPr="00537E40" w14:paraId="2B4BCDF9" w14:textId="77777777" w:rsidTr="0082290B">
        <w:trPr>
          <w:trHeight w:val="340"/>
        </w:trPr>
        <w:tc>
          <w:tcPr>
            <w:tcW w:w="3061" w:type="dxa"/>
            <w:tcBorders>
              <w:top w:val="nil"/>
              <w:left w:val="single" w:sz="4" w:space="0" w:color="auto"/>
              <w:bottom w:val="single" w:sz="4" w:space="0" w:color="auto"/>
              <w:right w:val="single" w:sz="4" w:space="0" w:color="auto"/>
            </w:tcBorders>
            <w:shd w:val="clear" w:color="auto" w:fill="auto"/>
            <w:noWrap/>
            <w:vAlign w:val="center"/>
          </w:tcPr>
          <w:p w14:paraId="008069F8" w14:textId="77777777" w:rsidR="00787D57" w:rsidRDefault="00787D57" w:rsidP="00787D57">
            <w:pPr>
              <w:spacing w:after="0"/>
              <w:rPr>
                <w:rFonts w:cs="Arial"/>
                <w:b/>
                <w:bCs/>
                <w:color w:val="000000"/>
                <w:szCs w:val="20"/>
              </w:rPr>
            </w:pPr>
            <w:r>
              <w:rPr>
                <w:rFonts w:cs="Arial"/>
                <w:b/>
                <w:bCs/>
                <w:color w:val="000000"/>
                <w:szCs w:val="20"/>
              </w:rPr>
              <w:t>North Melbourne</w:t>
            </w:r>
          </w:p>
        </w:tc>
        <w:tc>
          <w:tcPr>
            <w:tcW w:w="1187" w:type="dxa"/>
            <w:tcBorders>
              <w:top w:val="nil"/>
              <w:left w:val="nil"/>
              <w:bottom w:val="single" w:sz="4" w:space="0" w:color="auto"/>
              <w:right w:val="single" w:sz="4" w:space="0" w:color="auto"/>
            </w:tcBorders>
            <w:shd w:val="clear" w:color="auto" w:fill="auto"/>
            <w:noWrap/>
            <w:vAlign w:val="center"/>
          </w:tcPr>
          <w:p w14:paraId="0E4A4101" w14:textId="5C2B8141" w:rsidR="00787D57" w:rsidRPr="00174F23" w:rsidRDefault="00787D57" w:rsidP="110985B9">
            <w:pPr>
              <w:spacing w:after="0" w:line="240" w:lineRule="auto"/>
              <w:jc w:val="right"/>
              <w:rPr>
                <w:rFonts w:cs="Arial"/>
                <w:color w:val="000000"/>
              </w:rPr>
            </w:pPr>
            <w:r w:rsidRPr="00174F23">
              <w:rPr>
                <w:rFonts w:cs="Arial"/>
                <w:color w:val="000000" w:themeColor="text1"/>
              </w:rPr>
              <w:t>8,</w:t>
            </w:r>
            <w:r w:rsidR="00174F23" w:rsidRPr="00174F23">
              <w:rPr>
                <w:rFonts w:cs="Arial"/>
                <w:color w:val="000000" w:themeColor="text1"/>
              </w:rPr>
              <w:t>600</w:t>
            </w:r>
            <w:r w:rsidRPr="00174F23">
              <w:rPr>
                <w:rFonts w:cs="Arial"/>
                <w:color w:val="000000" w:themeColor="text1"/>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4A697BC3" w14:textId="77F7DBF9" w:rsidR="00787D57" w:rsidRPr="00174F23" w:rsidRDefault="00787D57" w:rsidP="110985B9">
            <w:pPr>
              <w:spacing w:after="0" w:line="240" w:lineRule="auto"/>
              <w:jc w:val="right"/>
              <w:rPr>
                <w:rFonts w:cs="Arial"/>
                <w:color w:val="000000"/>
              </w:rPr>
            </w:pPr>
            <w:r w:rsidRPr="00174F23">
              <w:rPr>
                <w:rFonts w:cs="Arial"/>
                <w:color w:val="000000" w:themeColor="text1"/>
              </w:rPr>
              <w:t>1</w:t>
            </w:r>
            <w:r w:rsidR="00174F23" w:rsidRPr="00174F23">
              <w:rPr>
                <w:rFonts w:cs="Arial"/>
                <w:color w:val="000000" w:themeColor="text1"/>
              </w:rPr>
              <w:t>0,300</w:t>
            </w:r>
            <w:r w:rsidRPr="00174F23">
              <w:rPr>
                <w:rFonts w:cs="Arial"/>
                <w:color w:val="000000" w:themeColor="text1"/>
              </w:rPr>
              <w:t xml:space="preserve"> </w:t>
            </w:r>
          </w:p>
        </w:tc>
        <w:tc>
          <w:tcPr>
            <w:tcW w:w="1275" w:type="dxa"/>
            <w:tcBorders>
              <w:top w:val="nil"/>
              <w:left w:val="nil"/>
              <w:bottom w:val="single" w:sz="4" w:space="0" w:color="auto"/>
              <w:right w:val="single" w:sz="4" w:space="0" w:color="auto"/>
            </w:tcBorders>
            <w:shd w:val="clear" w:color="auto" w:fill="auto"/>
            <w:noWrap/>
            <w:vAlign w:val="center"/>
          </w:tcPr>
          <w:p w14:paraId="18CC8D1E" w14:textId="63E89EF9" w:rsidR="00787D57" w:rsidRPr="00174F23" w:rsidRDefault="00174F23" w:rsidP="110985B9">
            <w:pPr>
              <w:spacing w:after="0" w:line="240" w:lineRule="auto"/>
              <w:jc w:val="right"/>
              <w:rPr>
                <w:rFonts w:cs="Arial"/>
                <w:color w:val="000000"/>
              </w:rPr>
            </w:pPr>
            <w:r w:rsidRPr="00174F23">
              <w:rPr>
                <w:rFonts w:cs="Arial"/>
                <w:color w:val="000000" w:themeColor="text1"/>
              </w:rPr>
              <w:t>14,900</w:t>
            </w:r>
            <w:r w:rsidR="00787D57" w:rsidRPr="00174F23">
              <w:rPr>
                <w:rFonts w:cs="Arial"/>
                <w:color w:val="000000" w:themeColor="text1"/>
              </w:rPr>
              <w:t xml:space="preserve"> </w:t>
            </w:r>
          </w:p>
        </w:tc>
        <w:tc>
          <w:tcPr>
            <w:tcW w:w="1418" w:type="dxa"/>
            <w:tcBorders>
              <w:top w:val="nil"/>
              <w:left w:val="nil"/>
              <w:bottom w:val="single" w:sz="4" w:space="0" w:color="auto"/>
              <w:right w:val="single" w:sz="4" w:space="0" w:color="auto"/>
            </w:tcBorders>
            <w:shd w:val="clear" w:color="auto" w:fill="auto"/>
            <w:noWrap/>
            <w:vAlign w:val="center"/>
          </w:tcPr>
          <w:p w14:paraId="4CCDD9CF" w14:textId="46E4114C" w:rsidR="00787D57" w:rsidRPr="00174F23" w:rsidRDefault="00174F23" w:rsidP="110985B9">
            <w:pPr>
              <w:spacing w:after="0" w:line="240" w:lineRule="auto"/>
              <w:jc w:val="right"/>
              <w:rPr>
                <w:rFonts w:cs="Arial"/>
                <w:color w:val="000000"/>
              </w:rPr>
            </w:pPr>
            <w:r w:rsidRPr="00174F23">
              <w:rPr>
                <w:rFonts w:cs="Arial"/>
                <w:color w:val="000000" w:themeColor="text1"/>
              </w:rPr>
              <w:t>6,300</w:t>
            </w:r>
            <w:r w:rsidR="00787D57" w:rsidRPr="00174F23">
              <w:rPr>
                <w:rFonts w:cs="Arial"/>
                <w:color w:val="000000" w:themeColor="text1"/>
              </w:rPr>
              <w:t xml:space="preserve"> </w:t>
            </w:r>
          </w:p>
        </w:tc>
        <w:tc>
          <w:tcPr>
            <w:tcW w:w="1477" w:type="dxa"/>
            <w:tcBorders>
              <w:top w:val="nil"/>
              <w:left w:val="nil"/>
              <w:bottom w:val="single" w:sz="4" w:space="0" w:color="auto"/>
              <w:right w:val="single" w:sz="4" w:space="0" w:color="auto"/>
            </w:tcBorders>
            <w:shd w:val="clear" w:color="auto" w:fill="auto"/>
            <w:noWrap/>
            <w:vAlign w:val="center"/>
          </w:tcPr>
          <w:p w14:paraId="685687CD" w14:textId="06100EBA" w:rsidR="00787D57" w:rsidRPr="00174F23" w:rsidRDefault="00174F23" w:rsidP="110985B9">
            <w:pPr>
              <w:spacing w:after="0" w:line="240" w:lineRule="auto"/>
              <w:jc w:val="right"/>
              <w:rPr>
                <w:rFonts w:cs="Arial"/>
                <w:color w:val="000000"/>
              </w:rPr>
            </w:pPr>
            <w:r w:rsidRPr="00174F23">
              <w:rPr>
                <w:rFonts w:cs="Arial"/>
                <w:color w:val="000000" w:themeColor="text1"/>
              </w:rPr>
              <w:t>2.8</w:t>
            </w:r>
            <w:r w:rsidR="00787D57" w:rsidRPr="00174F23">
              <w:rPr>
                <w:rFonts w:cs="Arial"/>
                <w:color w:val="000000" w:themeColor="text1"/>
              </w:rPr>
              <w:t>%</w:t>
            </w:r>
          </w:p>
        </w:tc>
      </w:tr>
      <w:tr w:rsidR="00787D57" w:rsidRPr="00537E40" w14:paraId="6FC7E46D" w14:textId="77777777" w:rsidTr="0082290B">
        <w:trPr>
          <w:trHeight w:val="340"/>
        </w:trPr>
        <w:tc>
          <w:tcPr>
            <w:tcW w:w="3061" w:type="dxa"/>
            <w:tcBorders>
              <w:top w:val="nil"/>
              <w:left w:val="single" w:sz="4" w:space="0" w:color="auto"/>
              <w:bottom w:val="single" w:sz="4" w:space="0" w:color="auto"/>
              <w:right w:val="single" w:sz="4" w:space="0" w:color="auto"/>
            </w:tcBorders>
            <w:shd w:val="clear" w:color="auto" w:fill="auto"/>
            <w:noWrap/>
            <w:vAlign w:val="center"/>
          </w:tcPr>
          <w:p w14:paraId="35E41DF2" w14:textId="77777777" w:rsidR="00787D57" w:rsidRDefault="00787D57" w:rsidP="00787D57">
            <w:pPr>
              <w:spacing w:after="0"/>
              <w:rPr>
                <w:rFonts w:cs="Arial"/>
                <w:b/>
                <w:bCs/>
                <w:color w:val="000000"/>
                <w:szCs w:val="20"/>
              </w:rPr>
            </w:pPr>
            <w:r>
              <w:rPr>
                <w:rFonts w:cs="Arial"/>
                <w:b/>
                <w:bCs/>
                <w:color w:val="000000"/>
                <w:szCs w:val="20"/>
              </w:rPr>
              <w:t>Parkville</w:t>
            </w:r>
          </w:p>
        </w:tc>
        <w:tc>
          <w:tcPr>
            <w:tcW w:w="1187" w:type="dxa"/>
            <w:tcBorders>
              <w:top w:val="nil"/>
              <w:left w:val="nil"/>
              <w:bottom w:val="single" w:sz="4" w:space="0" w:color="auto"/>
              <w:right w:val="single" w:sz="4" w:space="0" w:color="auto"/>
            </w:tcBorders>
            <w:shd w:val="clear" w:color="auto" w:fill="auto"/>
            <w:noWrap/>
            <w:vAlign w:val="center"/>
          </w:tcPr>
          <w:p w14:paraId="27564AE6" w14:textId="703D59D8" w:rsidR="00787D57" w:rsidRPr="00174F23" w:rsidRDefault="00787D57" w:rsidP="110985B9">
            <w:pPr>
              <w:spacing w:after="0" w:line="240" w:lineRule="auto"/>
              <w:jc w:val="right"/>
              <w:rPr>
                <w:rFonts w:cs="Arial"/>
                <w:color w:val="000000"/>
              </w:rPr>
            </w:pPr>
            <w:r w:rsidRPr="00174F23">
              <w:rPr>
                <w:rFonts w:cs="Arial"/>
                <w:color w:val="000000" w:themeColor="text1"/>
              </w:rPr>
              <w:t>2</w:t>
            </w:r>
            <w:r w:rsidR="00174F23" w:rsidRPr="00174F23">
              <w:rPr>
                <w:rFonts w:cs="Arial"/>
                <w:color w:val="000000" w:themeColor="text1"/>
              </w:rPr>
              <w:t>,800</w:t>
            </w:r>
            <w:r w:rsidRPr="00174F23">
              <w:rPr>
                <w:rFonts w:cs="Arial"/>
                <w:color w:val="000000" w:themeColor="text1"/>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16353103" w14:textId="46ECA066" w:rsidR="00787D57" w:rsidRPr="00174F23" w:rsidRDefault="00174F23" w:rsidP="110985B9">
            <w:pPr>
              <w:spacing w:after="0" w:line="240" w:lineRule="auto"/>
              <w:jc w:val="right"/>
              <w:rPr>
                <w:rFonts w:cs="Arial"/>
                <w:color w:val="000000"/>
              </w:rPr>
            </w:pPr>
            <w:r w:rsidRPr="00174F23">
              <w:rPr>
                <w:rFonts w:cs="Arial"/>
                <w:color w:val="000000" w:themeColor="text1"/>
              </w:rPr>
              <w:t>3,000</w:t>
            </w:r>
            <w:r w:rsidR="00787D57" w:rsidRPr="00174F23">
              <w:rPr>
                <w:rFonts w:cs="Arial"/>
                <w:color w:val="000000" w:themeColor="text1"/>
              </w:rPr>
              <w:t xml:space="preserve"> </w:t>
            </w:r>
          </w:p>
        </w:tc>
        <w:tc>
          <w:tcPr>
            <w:tcW w:w="1275" w:type="dxa"/>
            <w:tcBorders>
              <w:top w:val="nil"/>
              <w:left w:val="nil"/>
              <w:bottom w:val="single" w:sz="4" w:space="0" w:color="auto"/>
              <w:right w:val="single" w:sz="4" w:space="0" w:color="auto"/>
            </w:tcBorders>
            <w:shd w:val="clear" w:color="auto" w:fill="auto"/>
            <w:noWrap/>
            <w:vAlign w:val="center"/>
          </w:tcPr>
          <w:p w14:paraId="121DEFE8" w14:textId="1F14DD87" w:rsidR="00787D57" w:rsidRPr="00174F23" w:rsidRDefault="00174F23" w:rsidP="110985B9">
            <w:pPr>
              <w:spacing w:after="0" w:line="240" w:lineRule="auto"/>
              <w:jc w:val="right"/>
              <w:rPr>
                <w:rFonts w:cs="Arial"/>
                <w:color w:val="000000"/>
              </w:rPr>
            </w:pPr>
            <w:r w:rsidRPr="00174F23">
              <w:rPr>
                <w:rFonts w:cs="Arial"/>
                <w:color w:val="000000" w:themeColor="text1"/>
              </w:rPr>
              <w:t>3,000</w:t>
            </w:r>
            <w:r w:rsidR="00787D57" w:rsidRPr="00174F23">
              <w:rPr>
                <w:rFonts w:cs="Arial"/>
                <w:color w:val="000000" w:themeColor="text1"/>
              </w:rPr>
              <w:t xml:space="preserve"> </w:t>
            </w:r>
          </w:p>
        </w:tc>
        <w:tc>
          <w:tcPr>
            <w:tcW w:w="1418" w:type="dxa"/>
            <w:tcBorders>
              <w:top w:val="nil"/>
              <w:left w:val="nil"/>
              <w:bottom w:val="single" w:sz="4" w:space="0" w:color="auto"/>
              <w:right w:val="single" w:sz="4" w:space="0" w:color="auto"/>
            </w:tcBorders>
            <w:shd w:val="clear" w:color="auto" w:fill="auto"/>
            <w:noWrap/>
            <w:vAlign w:val="center"/>
          </w:tcPr>
          <w:p w14:paraId="74531F4B" w14:textId="54773836" w:rsidR="00787D57" w:rsidRPr="00174F23" w:rsidRDefault="00174F23" w:rsidP="110985B9">
            <w:pPr>
              <w:spacing w:after="0" w:line="240" w:lineRule="auto"/>
              <w:jc w:val="right"/>
              <w:rPr>
                <w:rFonts w:cs="Arial"/>
                <w:color w:val="000000"/>
              </w:rPr>
            </w:pPr>
            <w:r w:rsidRPr="00174F23">
              <w:rPr>
                <w:rFonts w:cs="Arial"/>
                <w:color w:val="000000" w:themeColor="text1"/>
              </w:rPr>
              <w:t>20</w:t>
            </w:r>
            <w:r w:rsidR="00787D57" w:rsidRPr="00174F23">
              <w:rPr>
                <w:rFonts w:cs="Arial"/>
                <w:color w:val="000000" w:themeColor="text1"/>
              </w:rPr>
              <w:t xml:space="preserve">0 </w:t>
            </w:r>
          </w:p>
        </w:tc>
        <w:tc>
          <w:tcPr>
            <w:tcW w:w="1477" w:type="dxa"/>
            <w:tcBorders>
              <w:top w:val="nil"/>
              <w:left w:val="nil"/>
              <w:bottom w:val="single" w:sz="4" w:space="0" w:color="auto"/>
              <w:right w:val="single" w:sz="4" w:space="0" w:color="auto"/>
            </w:tcBorders>
            <w:shd w:val="clear" w:color="auto" w:fill="auto"/>
            <w:noWrap/>
            <w:vAlign w:val="center"/>
          </w:tcPr>
          <w:p w14:paraId="31F7B1F5" w14:textId="2F415356" w:rsidR="00787D57" w:rsidRPr="00174F23" w:rsidRDefault="00787D57" w:rsidP="110985B9">
            <w:pPr>
              <w:spacing w:after="0" w:line="240" w:lineRule="auto"/>
              <w:jc w:val="right"/>
              <w:rPr>
                <w:rFonts w:cs="Arial"/>
                <w:color w:val="000000"/>
              </w:rPr>
            </w:pPr>
            <w:r w:rsidRPr="00174F23">
              <w:rPr>
                <w:rFonts w:cs="Arial"/>
                <w:color w:val="000000" w:themeColor="text1"/>
              </w:rPr>
              <w:t>0.</w:t>
            </w:r>
            <w:r w:rsidR="00174F23" w:rsidRPr="00174F23">
              <w:rPr>
                <w:rFonts w:cs="Arial"/>
                <w:color w:val="000000" w:themeColor="text1"/>
              </w:rPr>
              <w:t>3</w:t>
            </w:r>
            <w:r w:rsidRPr="00174F23">
              <w:rPr>
                <w:rFonts w:cs="Arial"/>
                <w:color w:val="000000" w:themeColor="text1"/>
              </w:rPr>
              <w:t>%</w:t>
            </w:r>
          </w:p>
        </w:tc>
      </w:tr>
      <w:tr w:rsidR="00787D57" w:rsidRPr="00537E40" w14:paraId="019AEBB6" w14:textId="77777777" w:rsidTr="0082290B">
        <w:trPr>
          <w:trHeight w:val="340"/>
        </w:trPr>
        <w:tc>
          <w:tcPr>
            <w:tcW w:w="3061" w:type="dxa"/>
            <w:tcBorders>
              <w:top w:val="nil"/>
              <w:left w:val="single" w:sz="4" w:space="0" w:color="auto"/>
              <w:bottom w:val="single" w:sz="4" w:space="0" w:color="auto"/>
              <w:right w:val="single" w:sz="4" w:space="0" w:color="auto"/>
            </w:tcBorders>
            <w:shd w:val="clear" w:color="auto" w:fill="auto"/>
            <w:noWrap/>
            <w:vAlign w:val="center"/>
          </w:tcPr>
          <w:p w14:paraId="03AC6CBA" w14:textId="77777777" w:rsidR="00787D57" w:rsidRDefault="00787D57" w:rsidP="00787D57">
            <w:pPr>
              <w:spacing w:after="0"/>
              <w:rPr>
                <w:rFonts w:cs="Arial"/>
                <w:b/>
                <w:bCs/>
                <w:color w:val="000000"/>
                <w:szCs w:val="20"/>
              </w:rPr>
            </w:pPr>
            <w:r>
              <w:rPr>
                <w:rFonts w:cs="Arial"/>
                <w:b/>
                <w:bCs/>
                <w:color w:val="000000"/>
                <w:szCs w:val="20"/>
              </w:rPr>
              <w:t>Port Melbourne</w:t>
            </w:r>
          </w:p>
        </w:tc>
        <w:tc>
          <w:tcPr>
            <w:tcW w:w="1187" w:type="dxa"/>
            <w:tcBorders>
              <w:top w:val="nil"/>
              <w:left w:val="nil"/>
              <w:bottom w:val="single" w:sz="4" w:space="0" w:color="auto"/>
              <w:right w:val="single" w:sz="4" w:space="0" w:color="auto"/>
            </w:tcBorders>
            <w:shd w:val="clear" w:color="auto" w:fill="auto"/>
            <w:noWrap/>
            <w:vAlign w:val="center"/>
          </w:tcPr>
          <w:p w14:paraId="24C42A0A" w14:textId="59DD8F40" w:rsidR="00787D57" w:rsidRPr="00174F23" w:rsidRDefault="00787D57" w:rsidP="110985B9">
            <w:pPr>
              <w:spacing w:after="0" w:line="240" w:lineRule="auto"/>
              <w:jc w:val="right"/>
              <w:rPr>
                <w:rFonts w:cs="Arial"/>
                <w:color w:val="000000"/>
              </w:rPr>
            </w:pPr>
            <w:r w:rsidRPr="00174F23">
              <w:rPr>
                <w:rFonts w:cs="Arial"/>
                <w:color w:val="000000" w:themeColor="text1"/>
              </w:rPr>
              <w:t xml:space="preserve">2 </w:t>
            </w:r>
          </w:p>
        </w:tc>
        <w:tc>
          <w:tcPr>
            <w:tcW w:w="1276" w:type="dxa"/>
            <w:tcBorders>
              <w:top w:val="nil"/>
              <w:left w:val="nil"/>
              <w:bottom w:val="single" w:sz="4" w:space="0" w:color="auto"/>
              <w:right w:val="single" w:sz="4" w:space="0" w:color="auto"/>
            </w:tcBorders>
            <w:shd w:val="clear" w:color="auto" w:fill="auto"/>
            <w:noWrap/>
            <w:vAlign w:val="center"/>
          </w:tcPr>
          <w:p w14:paraId="2788EBD9" w14:textId="0F75F633" w:rsidR="00787D57" w:rsidRPr="00174F23" w:rsidRDefault="00174F23" w:rsidP="110985B9">
            <w:pPr>
              <w:spacing w:after="0" w:line="240" w:lineRule="auto"/>
              <w:jc w:val="right"/>
              <w:rPr>
                <w:rFonts w:cs="Arial"/>
                <w:color w:val="000000"/>
              </w:rPr>
            </w:pPr>
            <w:r w:rsidRPr="00174F23">
              <w:rPr>
                <w:rFonts w:cs="Arial"/>
                <w:color w:val="000000" w:themeColor="text1"/>
              </w:rPr>
              <w:t>56</w:t>
            </w:r>
            <w:r w:rsidR="00787D57" w:rsidRPr="00174F23">
              <w:rPr>
                <w:rFonts w:cs="Arial"/>
                <w:color w:val="000000" w:themeColor="text1"/>
              </w:rPr>
              <w:t xml:space="preserve"> </w:t>
            </w:r>
          </w:p>
        </w:tc>
        <w:tc>
          <w:tcPr>
            <w:tcW w:w="1275" w:type="dxa"/>
            <w:tcBorders>
              <w:top w:val="nil"/>
              <w:left w:val="nil"/>
              <w:bottom w:val="single" w:sz="4" w:space="0" w:color="auto"/>
              <w:right w:val="single" w:sz="4" w:space="0" w:color="auto"/>
            </w:tcBorders>
            <w:shd w:val="clear" w:color="auto" w:fill="auto"/>
            <w:noWrap/>
            <w:vAlign w:val="center"/>
          </w:tcPr>
          <w:p w14:paraId="4385CDC4" w14:textId="6C2DBC9F" w:rsidR="00787D57" w:rsidRPr="00174F23" w:rsidRDefault="00174F23" w:rsidP="110985B9">
            <w:pPr>
              <w:spacing w:after="0" w:line="240" w:lineRule="auto"/>
              <w:jc w:val="right"/>
              <w:rPr>
                <w:rFonts w:cs="Arial"/>
                <w:color w:val="000000"/>
              </w:rPr>
            </w:pPr>
            <w:r w:rsidRPr="00174F23">
              <w:rPr>
                <w:rFonts w:cs="Arial"/>
                <w:color w:val="000000" w:themeColor="text1"/>
              </w:rPr>
              <w:t>800</w:t>
            </w:r>
            <w:r w:rsidR="00787D57" w:rsidRPr="00174F23">
              <w:rPr>
                <w:rFonts w:cs="Arial"/>
                <w:color w:val="000000" w:themeColor="text1"/>
              </w:rPr>
              <w:t xml:space="preserve"> </w:t>
            </w:r>
          </w:p>
        </w:tc>
        <w:tc>
          <w:tcPr>
            <w:tcW w:w="1418" w:type="dxa"/>
            <w:tcBorders>
              <w:top w:val="nil"/>
              <w:left w:val="nil"/>
              <w:bottom w:val="single" w:sz="4" w:space="0" w:color="auto"/>
              <w:right w:val="single" w:sz="4" w:space="0" w:color="auto"/>
            </w:tcBorders>
            <w:shd w:val="clear" w:color="auto" w:fill="auto"/>
            <w:noWrap/>
            <w:vAlign w:val="center"/>
          </w:tcPr>
          <w:p w14:paraId="398BD2ED" w14:textId="7961CEE4" w:rsidR="00787D57" w:rsidRPr="00174F23" w:rsidRDefault="00174F23" w:rsidP="110985B9">
            <w:pPr>
              <w:spacing w:after="0" w:line="240" w:lineRule="auto"/>
              <w:jc w:val="right"/>
              <w:rPr>
                <w:rFonts w:cs="Arial"/>
                <w:color w:val="000000"/>
              </w:rPr>
            </w:pPr>
            <w:r w:rsidRPr="00174F23">
              <w:rPr>
                <w:rFonts w:cs="Arial"/>
                <w:color w:val="000000" w:themeColor="text1"/>
              </w:rPr>
              <w:t>798</w:t>
            </w:r>
            <w:r w:rsidR="00787D57" w:rsidRPr="00174F23">
              <w:rPr>
                <w:rFonts w:cs="Arial"/>
                <w:color w:val="000000" w:themeColor="text1"/>
              </w:rPr>
              <w:t xml:space="preserve"> </w:t>
            </w:r>
          </w:p>
        </w:tc>
        <w:tc>
          <w:tcPr>
            <w:tcW w:w="1477" w:type="dxa"/>
            <w:tcBorders>
              <w:top w:val="nil"/>
              <w:left w:val="nil"/>
              <w:bottom w:val="single" w:sz="4" w:space="0" w:color="auto"/>
              <w:right w:val="single" w:sz="4" w:space="0" w:color="auto"/>
            </w:tcBorders>
            <w:shd w:val="clear" w:color="auto" w:fill="auto"/>
            <w:noWrap/>
            <w:vAlign w:val="center"/>
          </w:tcPr>
          <w:p w14:paraId="09444E78" w14:textId="740BFA8B" w:rsidR="00787D57" w:rsidRPr="00174F23" w:rsidRDefault="00174F23" w:rsidP="110985B9">
            <w:pPr>
              <w:spacing w:after="0" w:line="240" w:lineRule="auto"/>
              <w:jc w:val="right"/>
              <w:rPr>
                <w:rFonts w:cs="Arial"/>
                <w:color w:val="000000"/>
              </w:rPr>
            </w:pPr>
            <w:r w:rsidRPr="00174F23">
              <w:rPr>
                <w:rFonts w:cs="Arial"/>
                <w:color w:val="000000" w:themeColor="text1"/>
              </w:rPr>
              <w:t>34.9</w:t>
            </w:r>
            <w:r w:rsidR="00787D57" w:rsidRPr="00174F23">
              <w:rPr>
                <w:rFonts w:cs="Arial"/>
                <w:color w:val="000000" w:themeColor="text1"/>
              </w:rPr>
              <w:t>%</w:t>
            </w:r>
          </w:p>
        </w:tc>
      </w:tr>
      <w:tr w:rsidR="00787D57" w:rsidRPr="00537E40" w14:paraId="0FEEC4EF" w14:textId="77777777" w:rsidTr="0082290B">
        <w:trPr>
          <w:trHeight w:val="340"/>
        </w:trPr>
        <w:tc>
          <w:tcPr>
            <w:tcW w:w="3061" w:type="dxa"/>
            <w:tcBorders>
              <w:top w:val="nil"/>
              <w:left w:val="single" w:sz="4" w:space="0" w:color="auto"/>
              <w:bottom w:val="single" w:sz="4" w:space="0" w:color="auto"/>
              <w:right w:val="single" w:sz="4" w:space="0" w:color="auto"/>
            </w:tcBorders>
            <w:shd w:val="clear" w:color="auto" w:fill="auto"/>
            <w:noWrap/>
            <w:vAlign w:val="center"/>
          </w:tcPr>
          <w:p w14:paraId="51559918" w14:textId="77777777" w:rsidR="00787D57" w:rsidRDefault="00787D57" w:rsidP="00787D57">
            <w:pPr>
              <w:spacing w:after="0"/>
              <w:rPr>
                <w:rFonts w:cs="Arial"/>
                <w:b/>
                <w:bCs/>
                <w:color w:val="000000"/>
                <w:szCs w:val="20"/>
              </w:rPr>
            </w:pPr>
            <w:r>
              <w:rPr>
                <w:rFonts w:cs="Arial"/>
                <w:b/>
                <w:bCs/>
                <w:color w:val="000000"/>
                <w:szCs w:val="20"/>
              </w:rPr>
              <w:t>South Yarra</w:t>
            </w:r>
          </w:p>
        </w:tc>
        <w:tc>
          <w:tcPr>
            <w:tcW w:w="1187" w:type="dxa"/>
            <w:tcBorders>
              <w:top w:val="nil"/>
              <w:left w:val="nil"/>
              <w:bottom w:val="single" w:sz="4" w:space="0" w:color="auto"/>
              <w:right w:val="single" w:sz="4" w:space="0" w:color="auto"/>
            </w:tcBorders>
            <w:shd w:val="clear" w:color="auto" w:fill="auto"/>
            <w:noWrap/>
            <w:vAlign w:val="center"/>
          </w:tcPr>
          <w:p w14:paraId="3C5B131D" w14:textId="43F702ED" w:rsidR="00787D57" w:rsidRPr="00174F23" w:rsidRDefault="00787D57" w:rsidP="110985B9">
            <w:pPr>
              <w:spacing w:after="0" w:line="240" w:lineRule="auto"/>
              <w:jc w:val="right"/>
              <w:rPr>
                <w:rFonts w:cs="Arial"/>
                <w:color w:val="000000"/>
              </w:rPr>
            </w:pPr>
            <w:r w:rsidRPr="00174F23">
              <w:rPr>
                <w:rFonts w:cs="Arial"/>
                <w:color w:val="000000" w:themeColor="text1"/>
              </w:rPr>
              <w:t>2,</w:t>
            </w:r>
            <w:r w:rsidR="00174F23" w:rsidRPr="00174F23">
              <w:rPr>
                <w:rFonts w:cs="Arial"/>
                <w:color w:val="000000" w:themeColor="text1"/>
              </w:rPr>
              <w:t>400</w:t>
            </w:r>
            <w:r w:rsidRPr="00174F23">
              <w:rPr>
                <w:rFonts w:cs="Arial"/>
                <w:color w:val="000000" w:themeColor="text1"/>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703449E5" w14:textId="17138564" w:rsidR="00787D57" w:rsidRPr="00174F23" w:rsidRDefault="00787D57" w:rsidP="110985B9">
            <w:pPr>
              <w:spacing w:after="0" w:line="240" w:lineRule="auto"/>
              <w:jc w:val="right"/>
              <w:rPr>
                <w:rFonts w:cs="Arial"/>
                <w:color w:val="000000"/>
              </w:rPr>
            </w:pPr>
            <w:r w:rsidRPr="00174F23">
              <w:rPr>
                <w:rFonts w:cs="Arial"/>
                <w:color w:val="000000" w:themeColor="text1"/>
              </w:rPr>
              <w:t>2,</w:t>
            </w:r>
            <w:r w:rsidR="00174F23" w:rsidRPr="00174F23">
              <w:rPr>
                <w:rFonts w:cs="Arial"/>
                <w:color w:val="000000" w:themeColor="text1"/>
              </w:rPr>
              <w:t>700</w:t>
            </w:r>
            <w:r w:rsidRPr="00174F23">
              <w:rPr>
                <w:rFonts w:cs="Arial"/>
                <w:color w:val="000000" w:themeColor="text1"/>
              </w:rPr>
              <w:t xml:space="preserve"> </w:t>
            </w:r>
          </w:p>
        </w:tc>
        <w:tc>
          <w:tcPr>
            <w:tcW w:w="1275" w:type="dxa"/>
            <w:tcBorders>
              <w:top w:val="nil"/>
              <w:left w:val="nil"/>
              <w:bottom w:val="single" w:sz="4" w:space="0" w:color="auto"/>
              <w:right w:val="single" w:sz="4" w:space="0" w:color="auto"/>
            </w:tcBorders>
            <w:shd w:val="clear" w:color="auto" w:fill="auto"/>
            <w:noWrap/>
            <w:vAlign w:val="center"/>
          </w:tcPr>
          <w:p w14:paraId="0A02C670" w14:textId="45FFE527" w:rsidR="00787D57" w:rsidRPr="00174F23" w:rsidRDefault="00787D57" w:rsidP="110985B9">
            <w:pPr>
              <w:spacing w:after="0" w:line="240" w:lineRule="auto"/>
              <w:jc w:val="right"/>
              <w:rPr>
                <w:rFonts w:cs="Arial"/>
                <w:color w:val="000000"/>
              </w:rPr>
            </w:pPr>
            <w:r w:rsidRPr="00174F23">
              <w:rPr>
                <w:rFonts w:cs="Arial"/>
                <w:color w:val="000000" w:themeColor="text1"/>
              </w:rPr>
              <w:t>2,8</w:t>
            </w:r>
            <w:r w:rsidR="00174F23" w:rsidRPr="00174F23">
              <w:rPr>
                <w:rFonts w:cs="Arial"/>
                <w:color w:val="000000" w:themeColor="text1"/>
              </w:rPr>
              <w:t>00</w:t>
            </w:r>
            <w:r w:rsidRPr="00174F23">
              <w:rPr>
                <w:rFonts w:cs="Arial"/>
                <w:color w:val="000000" w:themeColor="text1"/>
              </w:rPr>
              <w:t xml:space="preserve"> </w:t>
            </w:r>
          </w:p>
        </w:tc>
        <w:tc>
          <w:tcPr>
            <w:tcW w:w="1418" w:type="dxa"/>
            <w:tcBorders>
              <w:top w:val="nil"/>
              <w:left w:val="nil"/>
              <w:bottom w:val="single" w:sz="4" w:space="0" w:color="auto"/>
              <w:right w:val="single" w:sz="4" w:space="0" w:color="auto"/>
            </w:tcBorders>
            <w:shd w:val="clear" w:color="auto" w:fill="auto"/>
            <w:noWrap/>
            <w:vAlign w:val="center"/>
          </w:tcPr>
          <w:p w14:paraId="1DF4CF66" w14:textId="266FA524" w:rsidR="00787D57" w:rsidRPr="00174F23" w:rsidRDefault="00787D57" w:rsidP="110985B9">
            <w:pPr>
              <w:spacing w:after="0" w:line="240" w:lineRule="auto"/>
              <w:jc w:val="right"/>
              <w:rPr>
                <w:rFonts w:cs="Arial"/>
                <w:color w:val="000000"/>
              </w:rPr>
            </w:pPr>
            <w:r w:rsidRPr="00174F23">
              <w:rPr>
                <w:rFonts w:cs="Arial"/>
                <w:color w:val="000000" w:themeColor="text1"/>
              </w:rPr>
              <w:t>4</w:t>
            </w:r>
            <w:r w:rsidR="00174F23" w:rsidRPr="00174F23">
              <w:rPr>
                <w:rFonts w:cs="Arial"/>
                <w:color w:val="000000" w:themeColor="text1"/>
              </w:rPr>
              <w:t>00</w:t>
            </w:r>
            <w:r w:rsidRPr="00174F23">
              <w:rPr>
                <w:rFonts w:cs="Arial"/>
                <w:color w:val="000000" w:themeColor="text1"/>
              </w:rPr>
              <w:t xml:space="preserve"> </w:t>
            </w:r>
          </w:p>
        </w:tc>
        <w:tc>
          <w:tcPr>
            <w:tcW w:w="1477" w:type="dxa"/>
            <w:tcBorders>
              <w:top w:val="nil"/>
              <w:left w:val="nil"/>
              <w:bottom w:val="single" w:sz="4" w:space="0" w:color="auto"/>
              <w:right w:val="single" w:sz="4" w:space="0" w:color="auto"/>
            </w:tcBorders>
            <w:shd w:val="clear" w:color="auto" w:fill="auto"/>
            <w:noWrap/>
            <w:vAlign w:val="center"/>
          </w:tcPr>
          <w:p w14:paraId="3BA578C0" w14:textId="0AD338AE" w:rsidR="00787D57" w:rsidRPr="00174F23" w:rsidRDefault="00787D57" w:rsidP="110985B9">
            <w:pPr>
              <w:spacing w:after="0" w:line="240" w:lineRule="auto"/>
              <w:jc w:val="right"/>
              <w:rPr>
                <w:rFonts w:cs="Arial"/>
                <w:color w:val="000000"/>
              </w:rPr>
            </w:pPr>
            <w:r w:rsidRPr="00174F23">
              <w:rPr>
                <w:rFonts w:cs="Arial"/>
                <w:color w:val="000000" w:themeColor="text1"/>
              </w:rPr>
              <w:t>0.</w:t>
            </w:r>
            <w:r w:rsidR="00174F23" w:rsidRPr="00174F23">
              <w:rPr>
                <w:rFonts w:cs="Arial"/>
                <w:color w:val="000000" w:themeColor="text1"/>
              </w:rPr>
              <w:t>8</w:t>
            </w:r>
            <w:r w:rsidRPr="00174F23">
              <w:rPr>
                <w:rFonts w:cs="Arial"/>
                <w:color w:val="000000" w:themeColor="text1"/>
              </w:rPr>
              <w:t>%</w:t>
            </w:r>
          </w:p>
        </w:tc>
      </w:tr>
      <w:tr w:rsidR="00787D57" w:rsidRPr="00537E40" w14:paraId="10E9BF7D" w14:textId="77777777" w:rsidTr="0082290B">
        <w:trPr>
          <w:trHeight w:val="340"/>
        </w:trPr>
        <w:tc>
          <w:tcPr>
            <w:tcW w:w="3061" w:type="dxa"/>
            <w:tcBorders>
              <w:top w:val="nil"/>
              <w:left w:val="single" w:sz="4" w:space="0" w:color="auto"/>
              <w:bottom w:val="single" w:sz="4" w:space="0" w:color="auto"/>
              <w:right w:val="single" w:sz="4" w:space="0" w:color="auto"/>
            </w:tcBorders>
            <w:shd w:val="clear" w:color="auto" w:fill="auto"/>
            <w:noWrap/>
            <w:vAlign w:val="center"/>
          </w:tcPr>
          <w:p w14:paraId="586F0A7B" w14:textId="77777777" w:rsidR="00787D57" w:rsidRDefault="00787D57" w:rsidP="00787D57">
            <w:pPr>
              <w:spacing w:after="0"/>
              <w:rPr>
                <w:rFonts w:cs="Arial"/>
                <w:b/>
                <w:bCs/>
                <w:color w:val="000000"/>
                <w:szCs w:val="20"/>
              </w:rPr>
            </w:pPr>
            <w:r>
              <w:rPr>
                <w:rFonts w:cs="Arial"/>
                <w:b/>
                <w:bCs/>
                <w:color w:val="000000"/>
                <w:szCs w:val="20"/>
              </w:rPr>
              <w:t>Southbank</w:t>
            </w:r>
          </w:p>
        </w:tc>
        <w:tc>
          <w:tcPr>
            <w:tcW w:w="1187" w:type="dxa"/>
            <w:tcBorders>
              <w:top w:val="nil"/>
              <w:left w:val="nil"/>
              <w:bottom w:val="single" w:sz="4" w:space="0" w:color="auto"/>
              <w:right w:val="single" w:sz="4" w:space="0" w:color="auto"/>
            </w:tcBorders>
            <w:shd w:val="clear" w:color="auto" w:fill="auto"/>
            <w:noWrap/>
            <w:vAlign w:val="center"/>
          </w:tcPr>
          <w:p w14:paraId="5F13CFBF" w14:textId="773F0331" w:rsidR="00787D57" w:rsidRPr="00174F23" w:rsidRDefault="00174F23" w:rsidP="110985B9">
            <w:pPr>
              <w:spacing w:after="0" w:line="240" w:lineRule="auto"/>
              <w:jc w:val="right"/>
              <w:rPr>
                <w:rFonts w:cs="Arial"/>
                <w:color w:val="000000"/>
              </w:rPr>
            </w:pPr>
            <w:r w:rsidRPr="00174F23">
              <w:rPr>
                <w:rFonts w:cs="Arial"/>
                <w:color w:val="000000" w:themeColor="text1"/>
              </w:rPr>
              <w:t>14,900</w:t>
            </w:r>
            <w:r w:rsidR="00787D57" w:rsidRPr="00174F23">
              <w:rPr>
                <w:rFonts w:cs="Arial"/>
                <w:color w:val="000000" w:themeColor="text1"/>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7B6059DB" w14:textId="67C4BDCF" w:rsidR="00787D57" w:rsidRPr="00174F23" w:rsidRDefault="00174F23" w:rsidP="110985B9">
            <w:pPr>
              <w:spacing w:after="0" w:line="240" w:lineRule="auto"/>
              <w:jc w:val="right"/>
              <w:rPr>
                <w:rFonts w:cs="Arial"/>
                <w:color w:val="000000"/>
              </w:rPr>
            </w:pPr>
            <w:r w:rsidRPr="00174F23">
              <w:rPr>
                <w:rFonts w:cs="Arial"/>
                <w:color w:val="000000" w:themeColor="text1"/>
              </w:rPr>
              <w:t>18,000</w:t>
            </w:r>
            <w:r w:rsidR="00787D57" w:rsidRPr="00174F23">
              <w:rPr>
                <w:rFonts w:cs="Arial"/>
                <w:color w:val="000000" w:themeColor="text1"/>
              </w:rPr>
              <w:t xml:space="preserve"> </w:t>
            </w:r>
          </w:p>
        </w:tc>
        <w:tc>
          <w:tcPr>
            <w:tcW w:w="1275" w:type="dxa"/>
            <w:tcBorders>
              <w:top w:val="nil"/>
              <w:left w:val="nil"/>
              <w:bottom w:val="single" w:sz="4" w:space="0" w:color="auto"/>
              <w:right w:val="single" w:sz="4" w:space="0" w:color="auto"/>
            </w:tcBorders>
            <w:shd w:val="clear" w:color="auto" w:fill="auto"/>
            <w:noWrap/>
            <w:vAlign w:val="center"/>
          </w:tcPr>
          <w:p w14:paraId="42FF2625" w14:textId="26B00C08" w:rsidR="00787D57" w:rsidRPr="00174F23" w:rsidRDefault="00174F23" w:rsidP="110985B9">
            <w:pPr>
              <w:spacing w:after="0" w:line="240" w:lineRule="auto"/>
              <w:jc w:val="right"/>
              <w:rPr>
                <w:rFonts w:cs="Arial"/>
                <w:color w:val="000000"/>
              </w:rPr>
            </w:pPr>
            <w:r w:rsidRPr="00174F23">
              <w:rPr>
                <w:rFonts w:cs="Arial"/>
                <w:color w:val="000000" w:themeColor="text1"/>
              </w:rPr>
              <w:t>20,900</w:t>
            </w:r>
            <w:r w:rsidR="00787D57" w:rsidRPr="00174F23">
              <w:rPr>
                <w:rFonts w:cs="Arial"/>
                <w:color w:val="000000" w:themeColor="text1"/>
              </w:rPr>
              <w:t xml:space="preserve"> </w:t>
            </w:r>
          </w:p>
        </w:tc>
        <w:tc>
          <w:tcPr>
            <w:tcW w:w="1418" w:type="dxa"/>
            <w:tcBorders>
              <w:top w:val="nil"/>
              <w:left w:val="nil"/>
              <w:bottom w:val="single" w:sz="4" w:space="0" w:color="auto"/>
              <w:right w:val="single" w:sz="4" w:space="0" w:color="auto"/>
            </w:tcBorders>
            <w:shd w:val="clear" w:color="auto" w:fill="auto"/>
            <w:noWrap/>
            <w:vAlign w:val="center"/>
          </w:tcPr>
          <w:p w14:paraId="59C9889E" w14:textId="4B589936" w:rsidR="00787D57" w:rsidRPr="00174F23" w:rsidRDefault="00787D57" w:rsidP="110985B9">
            <w:pPr>
              <w:spacing w:after="0" w:line="240" w:lineRule="auto"/>
              <w:jc w:val="right"/>
              <w:rPr>
                <w:rFonts w:cs="Arial"/>
                <w:color w:val="000000"/>
              </w:rPr>
            </w:pPr>
            <w:r w:rsidRPr="00174F23">
              <w:rPr>
                <w:rFonts w:cs="Arial"/>
                <w:color w:val="000000" w:themeColor="text1"/>
              </w:rPr>
              <w:t>6,</w:t>
            </w:r>
            <w:r w:rsidR="00174F23" w:rsidRPr="00174F23">
              <w:rPr>
                <w:rFonts w:cs="Arial"/>
                <w:color w:val="000000" w:themeColor="text1"/>
              </w:rPr>
              <w:t>000</w:t>
            </w:r>
            <w:r w:rsidRPr="00174F23">
              <w:rPr>
                <w:rFonts w:cs="Arial"/>
                <w:color w:val="000000" w:themeColor="text1"/>
              </w:rPr>
              <w:t xml:space="preserve"> </w:t>
            </w:r>
          </w:p>
        </w:tc>
        <w:tc>
          <w:tcPr>
            <w:tcW w:w="1477" w:type="dxa"/>
            <w:tcBorders>
              <w:top w:val="nil"/>
              <w:left w:val="nil"/>
              <w:bottom w:val="single" w:sz="4" w:space="0" w:color="auto"/>
              <w:right w:val="single" w:sz="4" w:space="0" w:color="auto"/>
            </w:tcBorders>
            <w:shd w:val="clear" w:color="auto" w:fill="auto"/>
            <w:noWrap/>
            <w:vAlign w:val="center"/>
          </w:tcPr>
          <w:p w14:paraId="3A066E3C" w14:textId="222FB890" w:rsidR="00787D57" w:rsidRPr="00174F23" w:rsidRDefault="00174F23" w:rsidP="110985B9">
            <w:pPr>
              <w:spacing w:after="0" w:line="240" w:lineRule="auto"/>
              <w:jc w:val="right"/>
              <w:rPr>
                <w:rFonts w:cs="Arial"/>
                <w:color w:val="000000"/>
              </w:rPr>
            </w:pPr>
            <w:r w:rsidRPr="00174F23">
              <w:rPr>
                <w:rFonts w:cs="Arial"/>
                <w:color w:val="000000" w:themeColor="text1"/>
              </w:rPr>
              <w:t>1.7</w:t>
            </w:r>
            <w:r w:rsidR="00787D57" w:rsidRPr="00174F23">
              <w:rPr>
                <w:rFonts w:cs="Arial"/>
                <w:color w:val="000000" w:themeColor="text1"/>
              </w:rPr>
              <w:t>%</w:t>
            </w:r>
          </w:p>
        </w:tc>
      </w:tr>
      <w:tr w:rsidR="00787D57" w:rsidRPr="00537E40" w14:paraId="27D60EF1" w14:textId="77777777" w:rsidTr="0082290B">
        <w:trPr>
          <w:trHeight w:val="340"/>
        </w:trPr>
        <w:tc>
          <w:tcPr>
            <w:tcW w:w="3061" w:type="dxa"/>
            <w:tcBorders>
              <w:top w:val="nil"/>
              <w:left w:val="single" w:sz="4" w:space="0" w:color="auto"/>
              <w:bottom w:val="single" w:sz="4" w:space="0" w:color="auto"/>
              <w:right w:val="single" w:sz="4" w:space="0" w:color="auto"/>
            </w:tcBorders>
            <w:shd w:val="clear" w:color="auto" w:fill="auto"/>
            <w:noWrap/>
            <w:vAlign w:val="center"/>
          </w:tcPr>
          <w:p w14:paraId="132B7FED" w14:textId="77777777" w:rsidR="00787D57" w:rsidRDefault="00787D57" w:rsidP="00787D57">
            <w:pPr>
              <w:spacing w:after="0"/>
              <w:rPr>
                <w:rFonts w:cs="Arial"/>
                <w:b/>
                <w:bCs/>
                <w:color w:val="000000"/>
                <w:szCs w:val="20"/>
              </w:rPr>
            </w:pPr>
            <w:r>
              <w:rPr>
                <w:rFonts w:cs="Arial"/>
                <w:b/>
                <w:bCs/>
                <w:color w:val="000000"/>
                <w:szCs w:val="20"/>
              </w:rPr>
              <w:t>West Melbourne (Industrial)</w:t>
            </w:r>
          </w:p>
        </w:tc>
        <w:tc>
          <w:tcPr>
            <w:tcW w:w="1187" w:type="dxa"/>
            <w:tcBorders>
              <w:top w:val="nil"/>
              <w:left w:val="nil"/>
              <w:bottom w:val="single" w:sz="4" w:space="0" w:color="auto"/>
              <w:right w:val="single" w:sz="4" w:space="0" w:color="auto"/>
            </w:tcBorders>
            <w:shd w:val="clear" w:color="auto" w:fill="auto"/>
            <w:noWrap/>
            <w:vAlign w:val="center"/>
          </w:tcPr>
          <w:p w14:paraId="46381A95" w14:textId="242CDFC3" w:rsidR="00787D57" w:rsidRPr="009761D3" w:rsidRDefault="00787D57" w:rsidP="110985B9">
            <w:pPr>
              <w:spacing w:after="0" w:line="240" w:lineRule="auto"/>
              <w:jc w:val="right"/>
              <w:rPr>
                <w:rFonts w:cs="Arial"/>
                <w:color w:val="000000"/>
              </w:rPr>
            </w:pPr>
            <w:r w:rsidRPr="009761D3">
              <w:rPr>
                <w:rFonts w:cs="Arial"/>
                <w:color w:val="000000" w:themeColor="text1"/>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29ADDAB5" w14:textId="1A5AF34F" w:rsidR="00787D57" w:rsidRPr="009761D3" w:rsidRDefault="00787D57" w:rsidP="110985B9">
            <w:pPr>
              <w:spacing w:after="0" w:line="240" w:lineRule="auto"/>
              <w:jc w:val="right"/>
              <w:rPr>
                <w:rFonts w:cs="Arial"/>
                <w:color w:val="000000"/>
              </w:rPr>
            </w:pPr>
            <w:r w:rsidRPr="009761D3">
              <w:rPr>
                <w:rFonts w:cs="Arial"/>
                <w:color w:val="000000" w:themeColor="text1"/>
              </w:rPr>
              <w:t xml:space="preserve">-   </w:t>
            </w:r>
          </w:p>
        </w:tc>
        <w:tc>
          <w:tcPr>
            <w:tcW w:w="1275" w:type="dxa"/>
            <w:tcBorders>
              <w:top w:val="nil"/>
              <w:left w:val="nil"/>
              <w:bottom w:val="single" w:sz="4" w:space="0" w:color="auto"/>
              <w:right w:val="single" w:sz="4" w:space="0" w:color="auto"/>
            </w:tcBorders>
            <w:shd w:val="clear" w:color="auto" w:fill="auto"/>
            <w:noWrap/>
            <w:vAlign w:val="center"/>
          </w:tcPr>
          <w:p w14:paraId="02D95DEA" w14:textId="5ACECAA7" w:rsidR="00787D57" w:rsidRPr="009761D3" w:rsidRDefault="00787D57" w:rsidP="110985B9">
            <w:pPr>
              <w:spacing w:after="0" w:line="240" w:lineRule="auto"/>
              <w:jc w:val="right"/>
              <w:rPr>
                <w:rFonts w:cs="Arial"/>
                <w:color w:val="000000"/>
              </w:rPr>
            </w:pPr>
            <w:r w:rsidRPr="009761D3">
              <w:rPr>
                <w:rFonts w:cs="Arial"/>
                <w:color w:val="000000" w:themeColor="text1"/>
              </w:rPr>
              <w:t xml:space="preserve">-   </w:t>
            </w:r>
          </w:p>
        </w:tc>
        <w:tc>
          <w:tcPr>
            <w:tcW w:w="1418" w:type="dxa"/>
            <w:tcBorders>
              <w:top w:val="nil"/>
              <w:left w:val="nil"/>
              <w:bottom w:val="single" w:sz="4" w:space="0" w:color="auto"/>
              <w:right w:val="single" w:sz="4" w:space="0" w:color="auto"/>
            </w:tcBorders>
            <w:shd w:val="clear" w:color="auto" w:fill="auto"/>
            <w:noWrap/>
            <w:vAlign w:val="center"/>
          </w:tcPr>
          <w:p w14:paraId="7321CA0F" w14:textId="5895EB8F" w:rsidR="00787D57" w:rsidRPr="009761D3" w:rsidRDefault="00787D57" w:rsidP="110985B9">
            <w:pPr>
              <w:spacing w:after="0" w:line="240" w:lineRule="auto"/>
              <w:jc w:val="right"/>
              <w:rPr>
                <w:rFonts w:cs="Arial"/>
                <w:color w:val="000000"/>
              </w:rPr>
            </w:pPr>
            <w:r w:rsidRPr="009761D3">
              <w:rPr>
                <w:rFonts w:cs="Arial"/>
                <w:color w:val="000000" w:themeColor="text1"/>
              </w:rPr>
              <w:t xml:space="preserve">                    -   </w:t>
            </w:r>
          </w:p>
        </w:tc>
        <w:tc>
          <w:tcPr>
            <w:tcW w:w="1477" w:type="dxa"/>
            <w:tcBorders>
              <w:top w:val="nil"/>
              <w:left w:val="nil"/>
              <w:bottom w:val="single" w:sz="4" w:space="0" w:color="auto"/>
              <w:right w:val="single" w:sz="4" w:space="0" w:color="auto"/>
            </w:tcBorders>
            <w:shd w:val="clear" w:color="auto" w:fill="auto"/>
            <w:noWrap/>
            <w:vAlign w:val="center"/>
          </w:tcPr>
          <w:p w14:paraId="7BCCC72E" w14:textId="5B0684DC" w:rsidR="00787D57" w:rsidRPr="009761D3" w:rsidRDefault="00787D57" w:rsidP="110985B9">
            <w:pPr>
              <w:spacing w:after="0" w:line="240" w:lineRule="auto"/>
              <w:jc w:val="right"/>
              <w:rPr>
                <w:rFonts w:cs="Arial"/>
                <w:color w:val="000000"/>
              </w:rPr>
            </w:pPr>
            <w:r w:rsidRPr="009761D3">
              <w:rPr>
                <w:rFonts w:cs="Arial"/>
                <w:color w:val="000000" w:themeColor="text1"/>
              </w:rPr>
              <w:t>0.0%</w:t>
            </w:r>
          </w:p>
        </w:tc>
      </w:tr>
      <w:tr w:rsidR="00787D57" w:rsidRPr="00537E40" w14:paraId="2B05F613" w14:textId="77777777" w:rsidTr="0082290B">
        <w:trPr>
          <w:trHeight w:val="340"/>
        </w:trPr>
        <w:tc>
          <w:tcPr>
            <w:tcW w:w="3061" w:type="dxa"/>
            <w:tcBorders>
              <w:top w:val="nil"/>
              <w:left w:val="single" w:sz="4" w:space="0" w:color="auto"/>
              <w:bottom w:val="single" w:sz="4" w:space="0" w:color="auto"/>
              <w:right w:val="single" w:sz="4" w:space="0" w:color="auto"/>
            </w:tcBorders>
            <w:shd w:val="clear" w:color="auto" w:fill="auto"/>
            <w:noWrap/>
            <w:vAlign w:val="center"/>
          </w:tcPr>
          <w:p w14:paraId="624857DD" w14:textId="77777777" w:rsidR="00787D57" w:rsidRDefault="00787D57" w:rsidP="00787D57">
            <w:pPr>
              <w:spacing w:after="0"/>
              <w:rPr>
                <w:rFonts w:cs="Arial"/>
                <w:b/>
                <w:bCs/>
                <w:color w:val="000000"/>
                <w:szCs w:val="20"/>
              </w:rPr>
            </w:pPr>
            <w:r>
              <w:rPr>
                <w:rFonts w:cs="Arial"/>
                <w:b/>
                <w:bCs/>
                <w:color w:val="000000"/>
                <w:szCs w:val="20"/>
              </w:rPr>
              <w:t>West Melbourne (Residential)</w:t>
            </w:r>
          </w:p>
        </w:tc>
        <w:tc>
          <w:tcPr>
            <w:tcW w:w="1187" w:type="dxa"/>
            <w:tcBorders>
              <w:top w:val="nil"/>
              <w:left w:val="nil"/>
              <w:bottom w:val="single" w:sz="4" w:space="0" w:color="auto"/>
              <w:right w:val="single" w:sz="4" w:space="0" w:color="auto"/>
            </w:tcBorders>
            <w:shd w:val="clear" w:color="auto" w:fill="auto"/>
            <w:noWrap/>
            <w:vAlign w:val="center"/>
          </w:tcPr>
          <w:p w14:paraId="130CE2CD" w14:textId="7E25D77E" w:rsidR="00787D57" w:rsidRPr="00174F23" w:rsidRDefault="00174F23" w:rsidP="110985B9">
            <w:pPr>
              <w:spacing w:after="0" w:line="240" w:lineRule="auto"/>
              <w:jc w:val="right"/>
              <w:rPr>
                <w:rFonts w:cs="Arial"/>
                <w:color w:val="000000"/>
              </w:rPr>
            </w:pPr>
            <w:r w:rsidRPr="00174F23">
              <w:rPr>
                <w:rFonts w:cs="Arial"/>
                <w:color w:val="000000" w:themeColor="text1"/>
              </w:rPr>
              <w:t>5,300</w:t>
            </w:r>
            <w:r w:rsidR="00787D57" w:rsidRPr="00174F23">
              <w:rPr>
                <w:rFonts w:cs="Arial"/>
                <w:color w:val="000000" w:themeColor="text1"/>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137ED051" w14:textId="67EC2FE2" w:rsidR="00787D57" w:rsidRPr="00174F23" w:rsidRDefault="00174F23" w:rsidP="110985B9">
            <w:pPr>
              <w:spacing w:after="0" w:line="240" w:lineRule="auto"/>
              <w:jc w:val="right"/>
              <w:rPr>
                <w:rFonts w:cs="Arial"/>
                <w:color w:val="000000"/>
              </w:rPr>
            </w:pPr>
            <w:r w:rsidRPr="00174F23">
              <w:rPr>
                <w:rFonts w:cs="Arial"/>
                <w:color w:val="000000" w:themeColor="text1"/>
              </w:rPr>
              <w:t>6,000</w:t>
            </w:r>
            <w:r w:rsidR="00787D57" w:rsidRPr="00174F23">
              <w:rPr>
                <w:rFonts w:cs="Arial"/>
                <w:color w:val="000000" w:themeColor="text1"/>
              </w:rPr>
              <w:t xml:space="preserve"> </w:t>
            </w:r>
          </w:p>
        </w:tc>
        <w:tc>
          <w:tcPr>
            <w:tcW w:w="1275" w:type="dxa"/>
            <w:tcBorders>
              <w:top w:val="nil"/>
              <w:left w:val="nil"/>
              <w:bottom w:val="single" w:sz="4" w:space="0" w:color="auto"/>
              <w:right w:val="single" w:sz="4" w:space="0" w:color="auto"/>
            </w:tcBorders>
            <w:shd w:val="clear" w:color="auto" w:fill="auto"/>
            <w:noWrap/>
            <w:vAlign w:val="center"/>
          </w:tcPr>
          <w:p w14:paraId="73E0A3DA" w14:textId="7A721966" w:rsidR="00787D57" w:rsidRPr="00174F23" w:rsidRDefault="00174F23" w:rsidP="110985B9">
            <w:pPr>
              <w:spacing w:after="0" w:line="240" w:lineRule="auto"/>
              <w:jc w:val="right"/>
              <w:rPr>
                <w:rFonts w:cs="Arial"/>
                <w:color w:val="000000"/>
              </w:rPr>
            </w:pPr>
            <w:r w:rsidRPr="00174F23">
              <w:rPr>
                <w:rFonts w:cs="Arial"/>
                <w:color w:val="000000" w:themeColor="text1"/>
              </w:rPr>
              <w:t>7,400</w:t>
            </w:r>
            <w:r w:rsidR="00787D57" w:rsidRPr="00174F23">
              <w:rPr>
                <w:rFonts w:cs="Arial"/>
                <w:color w:val="000000" w:themeColor="text1"/>
              </w:rPr>
              <w:t xml:space="preserve"> </w:t>
            </w:r>
          </w:p>
        </w:tc>
        <w:tc>
          <w:tcPr>
            <w:tcW w:w="1418" w:type="dxa"/>
            <w:tcBorders>
              <w:top w:val="nil"/>
              <w:left w:val="nil"/>
              <w:bottom w:val="single" w:sz="4" w:space="0" w:color="auto"/>
              <w:right w:val="single" w:sz="4" w:space="0" w:color="auto"/>
            </w:tcBorders>
            <w:shd w:val="clear" w:color="auto" w:fill="auto"/>
            <w:noWrap/>
            <w:vAlign w:val="center"/>
          </w:tcPr>
          <w:p w14:paraId="703267C6" w14:textId="6178D8DB" w:rsidR="00787D57" w:rsidRPr="00174F23" w:rsidRDefault="00174F23" w:rsidP="110985B9">
            <w:pPr>
              <w:spacing w:after="0" w:line="240" w:lineRule="auto"/>
              <w:jc w:val="right"/>
              <w:rPr>
                <w:rFonts w:cs="Arial"/>
                <w:color w:val="000000"/>
              </w:rPr>
            </w:pPr>
            <w:r w:rsidRPr="00174F23">
              <w:rPr>
                <w:rFonts w:cs="Arial"/>
                <w:color w:val="000000" w:themeColor="text1"/>
              </w:rPr>
              <w:t>2,100</w:t>
            </w:r>
            <w:r w:rsidR="00787D57" w:rsidRPr="00174F23">
              <w:rPr>
                <w:rFonts w:cs="Arial"/>
                <w:color w:val="000000" w:themeColor="text1"/>
              </w:rPr>
              <w:t xml:space="preserve"> </w:t>
            </w:r>
          </w:p>
        </w:tc>
        <w:tc>
          <w:tcPr>
            <w:tcW w:w="1477" w:type="dxa"/>
            <w:tcBorders>
              <w:top w:val="nil"/>
              <w:left w:val="nil"/>
              <w:bottom w:val="single" w:sz="4" w:space="0" w:color="auto"/>
              <w:right w:val="single" w:sz="4" w:space="0" w:color="auto"/>
            </w:tcBorders>
            <w:shd w:val="clear" w:color="auto" w:fill="auto"/>
            <w:noWrap/>
            <w:vAlign w:val="center"/>
          </w:tcPr>
          <w:p w14:paraId="7DB51DD8" w14:textId="382B6F52" w:rsidR="00787D57" w:rsidRPr="00174F23" w:rsidRDefault="00787D57" w:rsidP="110985B9">
            <w:pPr>
              <w:spacing w:after="0" w:line="240" w:lineRule="auto"/>
              <w:jc w:val="right"/>
              <w:rPr>
                <w:rFonts w:cs="Arial"/>
                <w:color w:val="000000"/>
              </w:rPr>
            </w:pPr>
            <w:r w:rsidRPr="00174F23">
              <w:rPr>
                <w:rFonts w:cs="Arial"/>
                <w:color w:val="000000" w:themeColor="text1"/>
              </w:rPr>
              <w:t>1.7%</w:t>
            </w:r>
          </w:p>
        </w:tc>
      </w:tr>
      <w:tr w:rsidR="00787D57" w:rsidRPr="00537E40" w14:paraId="4D91519A" w14:textId="77777777" w:rsidTr="0082290B">
        <w:trPr>
          <w:trHeight w:val="340"/>
        </w:trPr>
        <w:tc>
          <w:tcPr>
            <w:tcW w:w="3061" w:type="dxa"/>
            <w:tcBorders>
              <w:top w:val="nil"/>
              <w:left w:val="single" w:sz="4" w:space="0" w:color="auto"/>
              <w:bottom w:val="single" w:sz="4" w:space="0" w:color="auto"/>
              <w:right w:val="single" w:sz="4" w:space="0" w:color="auto"/>
            </w:tcBorders>
            <w:shd w:val="clear" w:color="auto" w:fill="auto"/>
            <w:noWrap/>
            <w:vAlign w:val="center"/>
          </w:tcPr>
          <w:p w14:paraId="47496A21" w14:textId="77777777" w:rsidR="00787D57" w:rsidRDefault="00787D57" w:rsidP="00787D57">
            <w:pPr>
              <w:spacing w:after="0"/>
              <w:rPr>
                <w:rFonts w:cs="Arial"/>
                <w:b/>
                <w:bCs/>
                <w:color w:val="000000"/>
                <w:szCs w:val="20"/>
              </w:rPr>
            </w:pPr>
            <w:r>
              <w:rPr>
                <w:rFonts w:cs="Arial"/>
                <w:b/>
                <w:bCs/>
                <w:color w:val="000000"/>
                <w:szCs w:val="20"/>
              </w:rPr>
              <w:t>Total (City of Melbourne)</w:t>
            </w:r>
          </w:p>
        </w:tc>
        <w:tc>
          <w:tcPr>
            <w:tcW w:w="1187" w:type="dxa"/>
            <w:tcBorders>
              <w:top w:val="nil"/>
              <w:left w:val="nil"/>
              <w:bottom w:val="single" w:sz="4" w:space="0" w:color="auto"/>
              <w:right w:val="single" w:sz="4" w:space="0" w:color="auto"/>
            </w:tcBorders>
            <w:shd w:val="clear" w:color="auto" w:fill="auto"/>
            <w:noWrap/>
            <w:vAlign w:val="center"/>
          </w:tcPr>
          <w:p w14:paraId="6EB698C4" w14:textId="72030D2D" w:rsidR="00787D57" w:rsidRPr="00174F23" w:rsidRDefault="00174F23" w:rsidP="110985B9">
            <w:pPr>
              <w:spacing w:after="0" w:line="240" w:lineRule="auto"/>
              <w:jc w:val="right"/>
              <w:rPr>
                <w:rFonts w:cs="Arial"/>
                <w:b/>
                <w:bCs/>
                <w:color w:val="000000"/>
              </w:rPr>
            </w:pPr>
            <w:r w:rsidRPr="00174F23">
              <w:rPr>
                <w:rFonts w:cs="Arial"/>
                <w:b/>
                <w:bCs/>
                <w:color w:val="000000" w:themeColor="text1"/>
              </w:rPr>
              <w:t>97,800</w:t>
            </w:r>
            <w:r w:rsidR="00787D57" w:rsidRPr="00174F23">
              <w:rPr>
                <w:rFonts w:cs="Arial"/>
                <w:b/>
                <w:bCs/>
                <w:color w:val="000000" w:themeColor="text1"/>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6EFF95EF" w14:textId="605E94F2" w:rsidR="00787D57" w:rsidRPr="00174F23" w:rsidRDefault="00174F23" w:rsidP="110985B9">
            <w:pPr>
              <w:spacing w:after="0" w:line="240" w:lineRule="auto"/>
              <w:jc w:val="right"/>
              <w:rPr>
                <w:rFonts w:cs="Arial"/>
                <w:b/>
                <w:bCs/>
                <w:color w:val="000000"/>
              </w:rPr>
            </w:pPr>
            <w:r w:rsidRPr="00174F23">
              <w:rPr>
                <w:rFonts w:cs="Arial"/>
                <w:b/>
                <w:bCs/>
                <w:color w:val="000000" w:themeColor="text1"/>
              </w:rPr>
              <w:t>113,900</w:t>
            </w:r>
            <w:r w:rsidR="00787D57" w:rsidRPr="00174F23">
              <w:rPr>
                <w:rFonts w:cs="Arial"/>
                <w:b/>
                <w:bCs/>
                <w:color w:val="000000" w:themeColor="text1"/>
              </w:rPr>
              <w:t xml:space="preserve"> </w:t>
            </w:r>
          </w:p>
        </w:tc>
        <w:tc>
          <w:tcPr>
            <w:tcW w:w="1275" w:type="dxa"/>
            <w:tcBorders>
              <w:top w:val="nil"/>
              <w:left w:val="nil"/>
              <w:bottom w:val="single" w:sz="4" w:space="0" w:color="auto"/>
              <w:right w:val="single" w:sz="4" w:space="0" w:color="auto"/>
            </w:tcBorders>
            <w:shd w:val="clear" w:color="auto" w:fill="auto"/>
            <w:noWrap/>
            <w:vAlign w:val="center"/>
          </w:tcPr>
          <w:p w14:paraId="7FA4A834" w14:textId="109FDDE1" w:rsidR="00787D57" w:rsidRPr="00174F23" w:rsidRDefault="00174F23" w:rsidP="110985B9">
            <w:pPr>
              <w:spacing w:after="0" w:line="240" w:lineRule="auto"/>
              <w:jc w:val="right"/>
              <w:rPr>
                <w:rFonts w:cs="Arial"/>
                <w:b/>
                <w:bCs/>
                <w:color w:val="000000"/>
              </w:rPr>
            </w:pPr>
            <w:r w:rsidRPr="00174F23">
              <w:rPr>
                <w:rFonts w:cs="Arial"/>
                <w:b/>
                <w:bCs/>
                <w:color w:val="000000" w:themeColor="text1"/>
              </w:rPr>
              <w:t>134,900</w:t>
            </w:r>
            <w:r w:rsidR="00787D57" w:rsidRPr="00174F23">
              <w:rPr>
                <w:rFonts w:cs="Arial"/>
                <w:b/>
                <w:bCs/>
                <w:color w:val="000000" w:themeColor="text1"/>
              </w:rPr>
              <w:t xml:space="preserve"> </w:t>
            </w:r>
          </w:p>
        </w:tc>
        <w:tc>
          <w:tcPr>
            <w:tcW w:w="1418" w:type="dxa"/>
            <w:tcBorders>
              <w:top w:val="nil"/>
              <w:left w:val="nil"/>
              <w:bottom w:val="single" w:sz="4" w:space="0" w:color="auto"/>
              <w:right w:val="single" w:sz="4" w:space="0" w:color="auto"/>
            </w:tcBorders>
            <w:shd w:val="clear" w:color="auto" w:fill="auto"/>
            <w:noWrap/>
            <w:vAlign w:val="center"/>
          </w:tcPr>
          <w:p w14:paraId="682A05CB" w14:textId="6B65A447" w:rsidR="00787D57" w:rsidRPr="00174F23" w:rsidRDefault="00174F23" w:rsidP="110985B9">
            <w:pPr>
              <w:spacing w:after="0" w:line="240" w:lineRule="auto"/>
              <w:jc w:val="right"/>
              <w:rPr>
                <w:rFonts w:cs="Arial"/>
                <w:b/>
                <w:bCs/>
                <w:color w:val="000000"/>
              </w:rPr>
            </w:pPr>
            <w:r w:rsidRPr="00174F23">
              <w:rPr>
                <w:rFonts w:cs="Arial"/>
                <w:b/>
                <w:bCs/>
                <w:color w:val="000000" w:themeColor="text1"/>
              </w:rPr>
              <w:t>37,100</w:t>
            </w:r>
            <w:r w:rsidR="00787D57" w:rsidRPr="00174F23">
              <w:rPr>
                <w:rFonts w:cs="Arial"/>
                <w:b/>
                <w:bCs/>
                <w:color w:val="000000" w:themeColor="text1"/>
              </w:rPr>
              <w:t xml:space="preserve"> </w:t>
            </w:r>
          </w:p>
        </w:tc>
        <w:tc>
          <w:tcPr>
            <w:tcW w:w="1477" w:type="dxa"/>
            <w:tcBorders>
              <w:top w:val="nil"/>
              <w:left w:val="nil"/>
              <w:bottom w:val="single" w:sz="4" w:space="0" w:color="auto"/>
              <w:right w:val="single" w:sz="4" w:space="0" w:color="auto"/>
            </w:tcBorders>
            <w:shd w:val="clear" w:color="auto" w:fill="auto"/>
            <w:noWrap/>
            <w:vAlign w:val="center"/>
          </w:tcPr>
          <w:p w14:paraId="76CA0E40" w14:textId="1226583D" w:rsidR="00787D57" w:rsidRPr="00174F23" w:rsidRDefault="00174F23" w:rsidP="110985B9">
            <w:pPr>
              <w:spacing w:after="0" w:line="240" w:lineRule="auto"/>
              <w:jc w:val="right"/>
              <w:rPr>
                <w:rFonts w:cs="Arial"/>
                <w:b/>
                <w:bCs/>
                <w:color w:val="000000"/>
              </w:rPr>
            </w:pPr>
            <w:r w:rsidRPr="00174F23">
              <w:rPr>
                <w:rFonts w:cs="Arial"/>
                <w:b/>
                <w:bCs/>
                <w:color w:val="000000" w:themeColor="text1"/>
              </w:rPr>
              <w:t>1.6</w:t>
            </w:r>
            <w:r w:rsidR="00787D57" w:rsidRPr="00174F23">
              <w:rPr>
                <w:rFonts w:cs="Arial"/>
                <w:b/>
                <w:bCs/>
                <w:color w:val="000000" w:themeColor="text1"/>
              </w:rPr>
              <w:t>%</w:t>
            </w:r>
          </w:p>
        </w:tc>
      </w:tr>
    </w:tbl>
    <w:p w14:paraId="5FA82872" w14:textId="5680A37D" w:rsidR="007121A4" w:rsidRPr="00E34073" w:rsidRDefault="007121A4" w:rsidP="4A450472">
      <w:pPr>
        <w:spacing w:before="120"/>
        <w:rPr>
          <w:rStyle w:val="Heading2Char"/>
          <w:rFonts w:hint="eastAsia"/>
        </w:rPr>
      </w:pPr>
      <w:r w:rsidRPr="4A450472">
        <w:rPr>
          <w:sz w:val="16"/>
          <w:szCs w:val="16"/>
        </w:rPr>
        <w:t xml:space="preserve">Source: SGS Economics and Planning, </w:t>
      </w:r>
      <w:r w:rsidR="00787D57" w:rsidRPr="4A450472">
        <w:rPr>
          <w:sz w:val="16"/>
          <w:szCs w:val="16"/>
        </w:rPr>
        <w:t>202</w:t>
      </w:r>
      <w:r w:rsidR="00946E92" w:rsidRPr="4A450472">
        <w:rPr>
          <w:sz w:val="16"/>
          <w:szCs w:val="16"/>
        </w:rPr>
        <w:t>4</w:t>
      </w:r>
      <w:r w:rsidR="00345820" w:rsidRPr="4A450472">
        <w:rPr>
          <w:sz w:val="16"/>
          <w:szCs w:val="16"/>
        </w:rPr>
        <w:t xml:space="preserve">.  </w:t>
      </w:r>
      <w:r w:rsidR="00915EAC" w:rsidRPr="4A450472">
        <w:rPr>
          <w:sz w:val="16"/>
          <w:szCs w:val="16"/>
        </w:rPr>
        <w:t xml:space="preserve"> Table shows rounded figures</w:t>
      </w:r>
      <w:r w:rsidR="7AE19C95" w:rsidRPr="4A450472">
        <w:rPr>
          <w:sz w:val="16"/>
          <w:szCs w:val="16"/>
        </w:rPr>
        <w:t xml:space="preserve">. </w:t>
      </w:r>
      <w:r w:rsidRPr="4A450472">
        <w:rPr>
          <w:sz w:val="16"/>
          <w:szCs w:val="16"/>
        </w:rPr>
        <w:br w:type="page"/>
      </w:r>
      <w:r w:rsidRPr="4A450472">
        <w:rPr>
          <w:rStyle w:val="Heading2Char"/>
        </w:rPr>
        <w:lastRenderedPageBreak/>
        <w:t xml:space="preserve">Jobs </w:t>
      </w:r>
      <w:r w:rsidR="00174F23" w:rsidRPr="4A450472">
        <w:rPr>
          <w:rStyle w:val="Heading2Char"/>
        </w:rPr>
        <w:t xml:space="preserve">(On-Site) </w:t>
      </w:r>
      <w:r w:rsidRPr="4A450472">
        <w:rPr>
          <w:rStyle w:val="Heading2Char"/>
        </w:rPr>
        <w:t xml:space="preserve">by small area </w:t>
      </w:r>
      <w:r w:rsidR="00D55F4F" w:rsidRPr="4A450472">
        <w:rPr>
          <w:rStyle w:val="Heading2Char"/>
        </w:rPr>
        <w:t>202</w:t>
      </w:r>
      <w:r w:rsidR="00174F23" w:rsidRPr="4A450472">
        <w:rPr>
          <w:rStyle w:val="Heading2Char"/>
        </w:rPr>
        <w:t>3</w:t>
      </w:r>
      <w:r w:rsidRPr="4A450472">
        <w:rPr>
          <w:rStyle w:val="Heading2Char"/>
        </w:rPr>
        <w:t xml:space="preserve">, </w:t>
      </w:r>
      <w:r w:rsidR="00D55F4F" w:rsidRPr="4A450472">
        <w:rPr>
          <w:rStyle w:val="Heading2Char"/>
        </w:rPr>
        <w:t>203</w:t>
      </w:r>
      <w:r w:rsidR="00174F23" w:rsidRPr="4A450472">
        <w:rPr>
          <w:rStyle w:val="Heading2Char"/>
        </w:rPr>
        <w:t>3</w:t>
      </w:r>
      <w:r w:rsidR="00D55F4F" w:rsidRPr="4A450472">
        <w:rPr>
          <w:rStyle w:val="Heading2Char"/>
        </w:rPr>
        <w:t xml:space="preserve"> </w:t>
      </w:r>
      <w:r w:rsidRPr="4A450472">
        <w:rPr>
          <w:rStyle w:val="Heading2Char"/>
        </w:rPr>
        <w:t xml:space="preserve">and </w:t>
      </w:r>
      <w:r w:rsidR="00D55F4F" w:rsidRPr="4A450472">
        <w:rPr>
          <w:rStyle w:val="Heading2Char"/>
        </w:rPr>
        <w:t>204</w:t>
      </w:r>
      <w:r w:rsidR="00174F23" w:rsidRPr="4A450472">
        <w:rPr>
          <w:rStyle w:val="Heading2Char"/>
        </w:rPr>
        <w:t>3</w:t>
      </w:r>
    </w:p>
    <w:tbl>
      <w:tblPr>
        <w:tblW w:w="9694" w:type="dxa"/>
        <w:tblLayout w:type="fixed"/>
        <w:tblLook w:val="04A0" w:firstRow="1" w:lastRow="0" w:firstColumn="1" w:lastColumn="0" w:noHBand="0" w:noVBand="1"/>
      </w:tblPr>
      <w:tblGrid>
        <w:gridCol w:w="3061"/>
        <w:gridCol w:w="1304"/>
        <w:gridCol w:w="1304"/>
        <w:gridCol w:w="1130"/>
        <w:gridCol w:w="1418"/>
        <w:gridCol w:w="1477"/>
      </w:tblGrid>
      <w:tr w:rsidR="00E57B1C" w:rsidRPr="00537E40" w14:paraId="55EB4F9E" w14:textId="77777777" w:rsidTr="110985B9">
        <w:trPr>
          <w:trHeight w:val="285"/>
        </w:trPr>
        <w:tc>
          <w:tcPr>
            <w:tcW w:w="3061"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hideMark/>
          </w:tcPr>
          <w:p w14:paraId="0E381812" w14:textId="77777777" w:rsidR="00E57B1C" w:rsidRPr="00B07612" w:rsidRDefault="00E57B1C" w:rsidP="00E57B1C">
            <w:pPr>
              <w:spacing w:after="0" w:line="240" w:lineRule="auto"/>
              <w:rPr>
                <w:rFonts w:eastAsia="Times New Roman" w:cs="Arial"/>
                <w:b/>
                <w:bCs/>
                <w:color w:val="000000"/>
                <w:szCs w:val="20"/>
                <w:lang w:eastAsia="en-AU"/>
              </w:rPr>
            </w:pPr>
            <w:r>
              <w:rPr>
                <w:rFonts w:eastAsia="Times New Roman" w:cs="Arial"/>
                <w:b/>
                <w:bCs/>
                <w:color w:val="000000"/>
                <w:szCs w:val="20"/>
                <w:lang w:eastAsia="en-AU"/>
              </w:rPr>
              <w:t>CLUE small area</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CEC3A3" w14:textId="1C217E1E" w:rsidR="00E57B1C" w:rsidRPr="00B07612" w:rsidRDefault="00D55F4F" w:rsidP="110985B9">
            <w:pPr>
              <w:spacing w:after="0" w:line="240" w:lineRule="auto"/>
              <w:jc w:val="center"/>
              <w:rPr>
                <w:rFonts w:eastAsia="Times New Roman" w:cs="Arial"/>
                <w:b/>
                <w:bCs/>
                <w:color w:val="000000"/>
                <w:lang w:eastAsia="en-AU"/>
              </w:rPr>
            </w:pPr>
            <w:r w:rsidRPr="110985B9">
              <w:rPr>
                <w:rFonts w:eastAsia="Times New Roman" w:cs="Arial"/>
                <w:b/>
                <w:bCs/>
                <w:color w:val="000000" w:themeColor="text1"/>
                <w:lang w:eastAsia="en-AU"/>
              </w:rPr>
              <w:t>202</w:t>
            </w:r>
            <w:r w:rsidR="00174F23">
              <w:rPr>
                <w:rFonts w:eastAsia="Times New Roman" w:cs="Arial"/>
                <w:b/>
                <w:bCs/>
                <w:color w:val="000000" w:themeColor="text1"/>
                <w:lang w:eastAsia="en-AU"/>
              </w:rPr>
              <w:t>3</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C5CC61" w14:textId="54767A3D" w:rsidR="00E57B1C" w:rsidRPr="00B07612" w:rsidRDefault="00D55F4F" w:rsidP="110985B9">
            <w:pPr>
              <w:spacing w:after="0" w:line="240" w:lineRule="auto"/>
              <w:jc w:val="center"/>
              <w:rPr>
                <w:rFonts w:eastAsia="Times New Roman" w:cs="Arial"/>
                <w:b/>
                <w:bCs/>
                <w:color w:val="000000"/>
                <w:lang w:eastAsia="en-AU"/>
              </w:rPr>
            </w:pPr>
            <w:r w:rsidRPr="110985B9">
              <w:rPr>
                <w:rFonts w:eastAsia="Times New Roman" w:cs="Arial"/>
                <w:b/>
                <w:bCs/>
                <w:color w:val="000000" w:themeColor="text1"/>
                <w:lang w:eastAsia="en-AU"/>
              </w:rPr>
              <w:t>203</w:t>
            </w:r>
            <w:r w:rsidR="00174F23">
              <w:rPr>
                <w:rFonts w:eastAsia="Times New Roman" w:cs="Arial"/>
                <w:b/>
                <w:bCs/>
                <w:color w:val="000000" w:themeColor="text1"/>
                <w:lang w:eastAsia="en-AU"/>
              </w:rPr>
              <w:t>3</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DF8CDB" w14:textId="05FDF45B" w:rsidR="00E57B1C" w:rsidRPr="00B07612" w:rsidRDefault="00D55F4F" w:rsidP="110985B9">
            <w:pPr>
              <w:spacing w:after="0" w:line="240" w:lineRule="auto"/>
              <w:jc w:val="center"/>
              <w:rPr>
                <w:rFonts w:eastAsia="Times New Roman" w:cs="Arial"/>
                <w:b/>
                <w:bCs/>
                <w:color w:val="000000"/>
                <w:lang w:eastAsia="en-AU"/>
              </w:rPr>
            </w:pPr>
            <w:r w:rsidRPr="110985B9">
              <w:rPr>
                <w:rFonts w:eastAsia="Times New Roman" w:cs="Arial"/>
                <w:b/>
                <w:bCs/>
                <w:color w:val="000000" w:themeColor="text1"/>
                <w:lang w:eastAsia="en-AU"/>
              </w:rPr>
              <w:t>204</w:t>
            </w:r>
            <w:r w:rsidR="00174F23">
              <w:rPr>
                <w:rFonts w:eastAsia="Times New Roman" w:cs="Arial"/>
                <w:b/>
                <w:bCs/>
                <w:color w:val="000000" w:themeColor="text1"/>
                <w:lang w:eastAsia="en-AU"/>
              </w:rPr>
              <w:t>3</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1D3DA409" w14:textId="122DA0B1" w:rsidR="00E57B1C" w:rsidRPr="00B07612" w:rsidRDefault="00E57B1C" w:rsidP="110985B9">
            <w:pPr>
              <w:spacing w:after="0" w:line="240" w:lineRule="auto"/>
              <w:jc w:val="center"/>
              <w:rPr>
                <w:rFonts w:eastAsia="Times New Roman" w:cs="Arial"/>
                <w:b/>
                <w:bCs/>
                <w:color w:val="000000"/>
                <w:lang w:eastAsia="en-AU"/>
              </w:rPr>
            </w:pPr>
            <w:r w:rsidRPr="110985B9">
              <w:rPr>
                <w:rFonts w:eastAsia="Times New Roman" w:cs="Arial"/>
                <w:b/>
                <w:bCs/>
                <w:color w:val="000000" w:themeColor="text1"/>
                <w:lang w:eastAsia="en-AU"/>
              </w:rPr>
              <w:t xml:space="preserve">Change </w:t>
            </w:r>
            <w:r w:rsidR="00D55F4F" w:rsidRPr="110985B9">
              <w:rPr>
                <w:rFonts w:eastAsia="Times New Roman" w:cs="Arial"/>
                <w:b/>
                <w:bCs/>
                <w:color w:val="000000" w:themeColor="text1"/>
                <w:lang w:eastAsia="en-AU"/>
              </w:rPr>
              <w:t>202</w:t>
            </w:r>
            <w:r w:rsidR="00174F23">
              <w:rPr>
                <w:rFonts w:eastAsia="Times New Roman" w:cs="Arial"/>
                <w:b/>
                <w:bCs/>
                <w:color w:val="000000" w:themeColor="text1"/>
                <w:lang w:eastAsia="en-AU"/>
              </w:rPr>
              <w:t>3</w:t>
            </w:r>
            <w:r w:rsidRPr="110985B9">
              <w:rPr>
                <w:rFonts w:eastAsia="Times New Roman" w:cs="Arial"/>
                <w:b/>
                <w:bCs/>
                <w:color w:val="000000" w:themeColor="text1"/>
                <w:lang w:eastAsia="en-AU"/>
              </w:rPr>
              <w:t>-</w:t>
            </w:r>
            <w:r w:rsidR="00D55F4F" w:rsidRPr="110985B9">
              <w:rPr>
                <w:rFonts w:eastAsia="Times New Roman" w:cs="Arial"/>
                <w:b/>
                <w:bCs/>
                <w:color w:val="000000" w:themeColor="text1"/>
                <w:lang w:eastAsia="en-AU"/>
              </w:rPr>
              <w:t>204</w:t>
            </w:r>
            <w:r w:rsidR="00174F23">
              <w:rPr>
                <w:rFonts w:eastAsia="Times New Roman" w:cs="Arial"/>
                <w:b/>
                <w:bCs/>
                <w:color w:val="000000" w:themeColor="text1"/>
                <w:lang w:eastAsia="en-AU"/>
              </w:rPr>
              <w:t>3</w:t>
            </w:r>
          </w:p>
        </w:tc>
        <w:tc>
          <w:tcPr>
            <w:tcW w:w="1477" w:type="dxa"/>
            <w:tcBorders>
              <w:top w:val="single" w:sz="4" w:space="0" w:color="auto"/>
              <w:left w:val="nil"/>
              <w:bottom w:val="single" w:sz="4" w:space="0" w:color="auto"/>
              <w:right w:val="single" w:sz="4" w:space="0" w:color="auto"/>
            </w:tcBorders>
            <w:shd w:val="clear" w:color="auto" w:fill="auto"/>
            <w:vAlign w:val="center"/>
          </w:tcPr>
          <w:p w14:paraId="15D16330" w14:textId="655D47B1" w:rsidR="00E57B1C" w:rsidRPr="00B07612" w:rsidRDefault="00E57B1C" w:rsidP="110985B9">
            <w:pPr>
              <w:spacing w:after="0" w:line="240" w:lineRule="auto"/>
              <w:jc w:val="center"/>
              <w:rPr>
                <w:rFonts w:eastAsia="Times New Roman" w:cs="Arial"/>
                <w:b/>
                <w:bCs/>
                <w:color w:val="000000"/>
                <w:lang w:eastAsia="en-AU"/>
              </w:rPr>
            </w:pPr>
            <w:r w:rsidRPr="110985B9">
              <w:rPr>
                <w:rFonts w:eastAsia="Times New Roman" w:cs="Arial"/>
                <w:b/>
                <w:bCs/>
                <w:color w:val="000000" w:themeColor="text1"/>
                <w:lang w:eastAsia="en-AU"/>
              </w:rPr>
              <w:t xml:space="preserve">Avg. Annual Growth Rate </w:t>
            </w:r>
            <w:r w:rsidR="00D55F4F" w:rsidRPr="110985B9">
              <w:rPr>
                <w:rFonts w:eastAsia="Times New Roman" w:cs="Arial"/>
                <w:b/>
                <w:bCs/>
                <w:color w:val="000000" w:themeColor="text1"/>
                <w:lang w:eastAsia="en-AU"/>
              </w:rPr>
              <w:t>202</w:t>
            </w:r>
            <w:r w:rsidR="00174F23">
              <w:rPr>
                <w:rFonts w:eastAsia="Times New Roman" w:cs="Arial"/>
                <w:b/>
                <w:bCs/>
                <w:color w:val="000000" w:themeColor="text1"/>
                <w:lang w:eastAsia="en-AU"/>
              </w:rPr>
              <w:t>3</w:t>
            </w:r>
            <w:r w:rsidRPr="110985B9">
              <w:rPr>
                <w:rFonts w:eastAsia="Times New Roman" w:cs="Arial"/>
                <w:b/>
                <w:bCs/>
                <w:color w:val="000000" w:themeColor="text1"/>
                <w:lang w:eastAsia="en-AU"/>
              </w:rPr>
              <w:t>-</w:t>
            </w:r>
            <w:r w:rsidR="00D55F4F" w:rsidRPr="110985B9">
              <w:rPr>
                <w:rFonts w:eastAsia="Times New Roman" w:cs="Arial"/>
                <w:b/>
                <w:bCs/>
                <w:color w:val="000000" w:themeColor="text1"/>
                <w:lang w:eastAsia="en-AU"/>
              </w:rPr>
              <w:t>204</w:t>
            </w:r>
            <w:r w:rsidR="00174F23">
              <w:rPr>
                <w:rFonts w:eastAsia="Times New Roman" w:cs="Arial"/>
                <w:b/>
                <w:bCs/>
                <w:color w:val="000000" w:themeColor="text1"/>
                <w:lang w:eastAsia="en-AU"/>
              </w:rPr>
              <w:t>3</w:t>
            </w:r>
          </w:p>
        </w:tc>
      </w:tr>
      <w:tr w:rsidR="00D55F4F" w:rsidRPr="00537E40" w14:paraId="70A57F0A" w14:textId="77777777" w:rsidTr="0082290B">
        <w:trPr>
          <w:trHeight w:val="340"/>
        </w:trPr>
        <w:tc>
          <w:tcPr>
            <w:tcW w:w="3061" w:type="dxa"/>
            <w:tcBorders>
              <w:top w:val="nil"/>
              <w:left w:val="single" w:sz="4" w:space="0" w:color="auto"/>
              <w:bottom w:val="single" w:sz="4" w:space="0" w:color="auto"/>
              <w:right w:val="single" w:sz="4" w:space="0" w:color="auto"/>
            </w:tcBorders>
            <w:shd w:val="clear" w:color="auto" w:fill="auto"/>
            <w:noWrap/>
            <w:vAlign w:val="center"/>
          </w:tcPr>
          <w:p w14:paraId="71C0D065" w14:textId="77777777" w:rsidR="00D55F4F" w:rsidRDefault="00D55F4F" w:rsidP="00D55F4F">
            <w:pPr>
              <w:spacing w:after="0" w:line="240" w:lineRule="auto"/>
              <w:rPr>
                <w:rFonts w:cs="Arial"/>
                <w:b/>
                <w:bCs/>
                <w:color w:val="000000"/>
                <w:szCs w:val="20"/>
                <w:lang w:eastAsia="en-AU"/>
              </w:rPr>
            </w:pPr>
            <w:r>
              <w:rPr>
                <w:rFonts w:cs="Arial"/>
                <w:b/>
                <w:bCs/>
                <w:color w:val="000000"/>
                <w:szCs w:val="20"/>
              </w:rPr>
              <w:t>Carlton</w:t>
            </w:r>
          </w:p>
        </w:tc>
        <w:tc>
          <w:tcPr>
            <w:tcW w:w="1304" w:type="dxa"/>
            <w:tcBorders>
              <w:top w:val="nil"/>
              <w:left w:val="nil"/>
              <w:bottom w:val="single" w:sz="4" w:space="0" w:color="auto"/>
              <w:right w:val="single" w:sz="4" w:space="0" w:color="auto"/>
            </w:tcBorders>
            <w:shd w:val="clear" w:color="auto" w:fill="auto"/>
            <w:noWrap/>
            <w:vAlign w:val="center"/>
          </w:tcPr>
          <w:p w14:paraId="412D3D10" w14:textId="0A262D04" w:rsidR="00D55F4F" w:rsidRPr="008810C6" w:rsidRDefault="008810C6" w:rsidP="110985B9">
            <w:pPr>
              <w:spacing w:after="0" w:line="240" w:lineRule="auto"/>
              <w:jc w:val="right"/>
              <w:rPr>
                <w:rFonts w:cs="Arial"/>
                <w:color w:val="000000"/>
              </w:rPr>
            </w:pPr>
            <w:r w:rsidRPr="008810C6">
              <w:rPr>
                <w:rFonts w:cs="Arial"/>
                <w:color w:val="000000" w:themeColor="text1"/>
              </w:rPr>
              <w:t>15,100</w:t>
            </w:r>
            <w:r w:rsidR="00D55F4F" w:rsidRPr="008810C6">
              <w:rPr>
                <w:rFonts w:cs="Arial"/>
                <w:color w:val="000000" w:themeColor="text1"/>
              </w:rPr>
              <w:t xml:space="preserve"> </w:t>
            </w:r>
          </w:p>
        </w:tc>
        <w:tc>
          <w:tcPr>
            <w:tcW w:w="1304" w:type="dxa"/>
            <w:tcBorders>
              <w:top w:val="nil"/>
              <w:left w:val="nil"/>
              <w:bottom w:val="single" w:sz="4" w:space="0" w:color="auto"/>
              <w:right w:val="single" w:sz="4" w:space="0" w:color="auto"/>
            </w:tcBorders>
            <w:shd w:val="clear" w:color="auto" w:fill="auto"/>
            <w:noWrap/>
            <w:vAlign w:val="center"/>
          </w:tcPr>
          <w:p w14:paraId="1BA51672" w14:textId="6B94BE72" w:rsidR="00D55F4F" w:rsidRPr="008810C6" w:rsidRDefault="008810C6" w:rsidP="110985B9">
            <w:pPr>
              <w:spacing w:after="0" w:line="240" w:lineRule="auto"/>
              <w:jc w:val="right"/>
              <w:rPr>
                <w:rFonts w:cs="Arial"/>
                <w:color w:val="000000"/>
              </w:rPr>
            </w:pPr>
            <w:r w:rsidRPr="008810C6">
              <w:rPr>
                <w:rFonts w:cs="Arial"/>
                <w:color w:val="000000" w:themeColor="text1"/>
              </w:rPr>
              <w:t>24,600</w:t>
            </w:r>
            <w:r w:rsidR="00D55F4F" w:rsidRPr="008810C6">
              <w:rPr>
                <w:rFonts w:cs="Arial"/>
                <w:color w:val="000000" w:themeColor="text1"/>
              </w:rPr>
              <w:t xml:space="preserve"> </w:t>
            </w:r>
          </w:p>
        </w:tc>
        <w:tc>
          <w:tcPr>
            <w:tcW w:w="1130" w:type="dxa"/>
            <w:tcBorders>
              <w:top w:val="nil"/>
              <w:left w:val="nil"/>
              <w:bottom w:val="single" w:sz="4" w:space="0" w:color="auto"/>
              <w:right w:val="single" w:sz="4" w:space="0" w:color="auto"/>
            </w:tcBorders>
            <w:shd w:val="clear" w:color="auto" w:fill="auto"/>
            <w:noWrap/>
            <w:vAlign w:val="center"/>
          </w:tcPr>
          <w:p w14:paraId="6A4F1CAB" w14:textId="5D11D631" w:rsidR="00D55F4F" w:rsidRPr="008810C6" w:rsidRDefault="008810C6" w:rsidP="110985B9">
            <w:pPr>
              <w:spacing w:after="0" w:line="240" w:lineRule="auto"/>
              <w:jc w:val="right"/>
              <w:rPr>
                <w:rFonts w:cs="Arial"/>
                <w:color w:val="000000"/>
              </w:rPr>
            </w:pPr>
            <w:r w:rsidRPr="008810C6">
              <w:rPr>
                <w:rFonts w:cs="Arial"/>
                <w:color w:val="000000" w:themeColor="text1"/>
              </w:rPr>
              <w:t>26,500</w:t>
            </w:r>
            <w:r w:rsidR="00D55F4F" w:rsidRPr="008810C6">
              <w:rPr>
                <w:rFonts w:cs="Arial"/>
                <w:color w:val="000000" w:themeColor="text1"/>
              </w:rPr>
              <w:t xml:space="preserve"> </w:t>
            </w:r>
          </w:p>
        </w:tc>
        <w:tc>
          <w:tcPr>
            <w:tcW w:w="1418" w:type="dxa"/>
            <w:tcBorders>
              <w:top w:val="nil"/>
              <w:left w:val="nil"/>
              <w:bottom w:val="single" w:sz="4" w:space="0" w:color="auto"/>
              <w:right w:val="single" w:sz="4" w:space="0" w:color="auto"/>
            </w:tcBorders>
            <w:shd w:val="clear" w:color="auto" w:fill="auto"/>
            <w:noWrap/>
            <w:vAlign w:val="center"/>
          </w:tcPr>
          <w:p w14:paraId="50ACCD9D" w14:textId="3794ACD6" w:rsidR="00D55F4F" w:rsidRPr="008810C6" w:rsidRDefault="008810C6" w:rsidP="110985B9">
            <w:pPr>
              <w:spacing w:after="0" w:line="240" w:lineRule="auto"/>
              <w:jc w:val="right"/>
              <w:rPr>
                <w:rFonts w:cs="Arial"/>
                <w:color w:val="000000"/>
              </w:rPr>
            </w:pPr>
            <w:r w:rsidRPr="008810C6">
              <w:rPr>
                <w:rFonts w:cs="Arial"/>
                <w:color w:val="000000" w:themeColor="text1"/>
              </w:rPr>
              <w:t>11,400</w:t>
            </w:r>
            <w:r w:rsidR="00D55F4F" w:rsidRPr="008810C6">
              <w:rPr>
                <w:rFonts w:cs="Arial"/>
                <w:color w:val="000000" w:themeColor="text1"/>
              </w:rPr>
              <w:t xml:space="preserve"> </w:t>
            </w:r>
          </w:p>
        </w:tc>
        <w:tc>
          <w:tcPr>
            <w:tcW w:w="1477" w:type="dxa"/>
            <w:tcBorders>
              <w:top w:val="nil"/>
              <w:left w:val="nil"/>
              <w:bottom w:val="single" w:sz="4" w:space="0" w:color="auto"/>
              <w:right w:val="single" w:sz="4" w:space="0" w:color="auto"/>
            </w:tcBorders>
            <w:shd w:val="clear" w:color="auto" w:fill="auto"/>
            <w:noWrap/>
            <w:vAlign w:val="center"/>
          </w:tcPr>
          <w:p w14:paraId="270723C2" w14:textId="14527F26" w:rsidR="00D55F4F" w:rsidRPr="00D43C3E" w:rsidRDefault="008810C6" w:rsidP="110985B9">
            <w:pPr>
              <w:spacing w:after="0" w:line="240" w:lineRule="auto"/>
              <w:jc w:val="right"/>
              <w:rPr>
                <w:rFonts w:cs="Arial"/>
                <w:color w:val="000000"/>
              </w:rPr>
            </w:pPr>
            <w:r w:rsidRPr="00D43C3E">
              <w:rPr>
                <w:rFonts w:cs="Arial"/>
                <w:color w:val="000000" w:themeColor="text1"/>
              </w:rPr>
              <w:t>2.9</w:t>
            </w:r>
            <w:r w:rsidR="00D55F4F" w:rsidRPr="00D43C3E">
              <w:rPr>
                <w:rFonts w:cs="Arial"/>
                <w:color w:val="000000" w:themeColor="text1"/>
              </w:rPr>
              <w:t>%</w:t>
            </w:r>
          </w:p>
        </w:tc>
      </w:tr>
      <w:tr w:rsidR="00D55F4F" w:rsidRPr="00537E40" w14:paraId="0BFF5BF1" w14:textId="77777777" w:rsidTr="0082290B">
        <w:trPr>
          <w:trHeight w:val="340"/>
        </w:trPr>
        <w:tc>
          <w:tcPr>
            <w:tcW w:w="3061" w:type="dxa"/>
            <w:tcBorders>
              <w:top w:val="nil"/>
              <w:left w:val="single" w:sz="4" w:space="0" w:color="auto"/>
              <w:bottom w:val="single" w:sz="4" w:space="0" w:color="auto"/>
              <w:right w:val="single" w:sz="4" w:space="0" w:color="auto"/>
            </w:tcBorders>
            <w:shd w:val="clear" w:color="auto" w:fill="auto"/>
            <w:noWrap/>
            <w:vAlign w:val="center"/>
          </w:tcPr>
          <w:p w14:paraId="081E42E9" w14:textId="77777777" w:rsidR="00D55F4F" w:rsidRDefault="00D55F4F" w:rsidP="00D55F4F">
            <w:pPr>
              <w:spacing w:after="0"/>
              <w:rPr>
                <w:rFonts w:cs="Arial"/>
                <w:b/>
                <w:bCs/>
                <w:color w:val="000000"/>
                <w:szCs w:val="20"/>
              </w:rPr>
            </w:pPr>
            <w:r>
              <w:rPr>
                <w:rFonts w:cs="Arial"/>
                <w:b/>
                <w:bCs/>
                <w:color w:val="000000"/>
                <w:szCs w:val="20"/>
              </w:rPr>
              <w:t>Docklands</w:t>
            </w:r>
          </w:p>
        </w:tc>
        <w:tc>
          <w:tcPr>
            <w:tcW w:w="1304" w:type="dxa"/>
            <w:tcBorders>
              <w:top w:val="nil"/>
              <w:left w:val="nil"/>
              <w:bottom w:val="single" w:sz="4" w:space="0" w:color="auto"/>
              <w:right w:val="single" w:sz="4" w:space="0" w:color="auto"/>
            </w:tcBorders>
            <w:shd w:val="clear" w:color="auto" w:fill="auto"/>
            <w:noWrap/>
            <w:vAlign w:val="center"/>
          </w:tcPr>
          <w:p w14:paraId="2486DC4F" w14:textId="2CAF7ACA" w:rsidR="00D55F4F" w:rsidRPr="008810C6" w:rsidRDefault="00D55F4F" w:rsidP="110985B9">
            <w:pPr>
              <w:spacing w:after="0" w:line="240" w:lineRule="auto"/>
              <w:jc w:val="right"/>
              <w:rPr>
                <w:rFonts w:cs="Arial"/>
                <w:color w:val="000000"/>
              </w:rPr>
            </w:pPr>
            <w:r w:rsidRPr="008810C6">
              <w:rPr>
                <w:rFonts w:cs="Arial"/>
                <w:color w:val="000000" w:themeColor="text1"/>
              </w:rPr>
              <w:t>7</w:t>
            </w:r>
            <w:r w:rsidR="008810C6" w:rsidRPr="008810C6">
              <w:rPr>
                <w:rFonts w:cs="Arial"/>
                <w:color w:val="000000" w:themeColor="text1"/>
              </w:rPr>
              <w:t>7,300</w:t>
            </w:r>
            <w:r w:rsidRPr="008810C6">
              <w:rPr>
                <w:rFonts w:cs="Arial"/>
                <w:color w:val="000000" w:themeColor="text1"/>
              </w:rPr>
              <w:t xml:space="preserve"> </w:t>
            </w:r>
          </w:p>
        </w:tc>
        <w:tc>
          <w:tcPr>
            <w:tcW w:w="1304" w:type="dxa"/>
            <w:tcBorders>
              <w:top w:val="nil"/>
              <w:left w:val="nil"/>
              <w:bottom w:val="single" w:sz="4" w:space="0" w:color="auto"/>
              <w:right w:val="single" w:sz="4" w:space="0" w:color="auto"/>
            </w:tcBorders>
            <w:shd w:val="clear" w:color="auto" w:fill="auto"/>
            <w:noWrap/>
            <w:vAlign w:val="center"/>
          </w:tcPr>
          <w:p w14:paraId="1966513A" w14:textId="28CDFDE3" w:rsidR="00D55F4F" w:rsidRPr="008810C6" w:rsidRDefault="008810C6" w:rsidP="110985B9">
            <w:pPr>
              <w:spacing w:after="0" w:line="240" w:lineRule="auto"/>
              <w:jc w:val="right"/>
              <w:rPr>
                <w:rFonts w:cs="Arial"/>
                <w:color w:val="000000"/>
              </w:rPr>
            </w:pPr>
            <w:r w:rsidRPr="008810C6">
              <w:rPr>
                <w:rFonts w:cs="Arial"/>
                <w:color w:val="000000" w:themeColor="text1"/>
              </w:rPr>
              <w:t>91,000</w:t>
            </w:r>
            <w:r w:rsidR="00D55F4F" w:rsidRPr="008810C6">
              <w:rPr>
                <w:rFonts w:cs="Arial"/>
                <w:color w:val="000000" w:themeColor="text1"/>
              </w:rPr>
              <w:t xml:space="preserve"> </w:t>
            </w:r>
          </w:p>
        </w:tc>
        <w:tc>
          <w:tcPr>
            <w:tcW w:w="1130" w:type="dxa"/>
            <w:tcBorders>
              <w:top w:val="nil"/>
              <w:left w:val="nil"/>
              <w:bottom w:val="single" w:sz="4" w:space="0" w:color="auto"/>
              <w:right w:val="single" w:sz="4" w:space="0" w:color="auto"/>
            </w:tcBorders>
            <w:shd w:val="clear" w:color="auto" w:fill="auto"/>
            <w:noWrap/>
            <w:vAlign w:val="center"/>
          </w:tcPr>
          <w:p w14:paraId="4D72579C" w14:textId="6CB7FBD8" w:rsidR="00D55F4F" w:rsidRPr="008810C6" w:rsidRDefault="00D55F4F" w:rsidP="110985B9">
            <w:pPr>
              <w:spacing w:after="0" w:line="240" w:lineRule="auto"/>
              <w:jc w:val="right"/>
              <w:rPr>
                <w:rFonts w:cs="Arial"/>
                <w:color w:val="000000"/>
              </w:rPr>
            </w:pPr>
            <w:r w:rsidRPr="008810C6">
              <w:rPr>
                <w:rFonts w:cs="Arial"/>
                <w:color w:val="000000" w:themeColor="text1"/>
              </w:rPr>
              <w:t>9</w:t>
            </w:r>
            <w:r w:rsidR="008810C6" w:rsidRPr="008810C6">
              <w:rPr>
                <w:rFonts w:cs="Arial"/>
                <w:color w:val="000000" w:themeColor="text1"/>
              </w:rPr>
              <w:t>8,600</w:t>
            </w:r>
            <w:r w:rsidRPr="008810C6">
              <w:rPr>
                <w:rFonts w:cs="Arial"/>
                <w:color w:val="000000" w:themeColor="text1"/>
              </w:rPr>
              <w:t xml:space="preserve"> </w:t>
            </w:r>
          </w:p>
        </w:tc>
        <w:tc>
          <w:tcPr>
            <w:tcW w:w="1418" w:type="dxa"/>
            <w:tcBorders>
              <w:top w:val="nil"/>
              <w:left w:val="nil"/>
              <w:bottom w:val="single" w:sz="4" w:space="0" w:color="auto"/>
              <w:right w:val="single" w:sz="4" w:space="0" w:color="auto"/>
            </w:tcBorders>
            <w:shd w:val="clear" w:color="auto" w:fill="auto"/>
            <w:noWrap/>
            <w:vAlign w:val="center"/>
          </w:tcPr>
          <w:p w14:paraId="4DF88B73" w14:textId="2694AF00" w:rsidR="00D55F4F" w:rsidRPr="008810C6" w:rsidRDefault="008810C6" w:rsidP="110985B9">
            <w:pPr>
              <w:spacing w:after="0" w:line="240" w:lineRule="auto"/>
              <w:jc w:val="right"/>
              <w:rPr>
                <w:rFonts w:cs="Arial"/>
                <w:color w:val="000000"/>
              </w:rPr>
            </w:pPr>
            <w:r w:rsidRPr="008810C6">
              <w:rPr>
                <w:rFonts w:cs="Arial"/>
                <w:color w:val="000000" w:themeColor="text1"/>
              </w:rPr>
              <w:t>21,300</w:t>
            </w:r>
            <w:r w:rsidR="00D55F4F" w:rsidRPr="008810C6">
              <w:rPr>
                <w:rFonts w:cs="Arial"/>
                <w:color w:val="000000" w:themeColor="text1"/>
              </w:rPr>
              <w:t xml:space="preserve"> </w:t>
            </w:r>
          </w:p>
        </w:tc>
        <w:tc>
          <w:tcPr>
            <w:tcW w:w="1477" w:type="dxa"/>
            <w:tcBorders>
              <w:top w:val="nil"/>
              <w:left w:val="nil"/>
              <w:bottom w:val="single" w:sz="4" w:space="0" w:color="auto"/>
              <w:right w:val="single" w:sz="4" w:space="0" w:color="auto"/>
            </w:tcBorders>
            <w:shd w:val="clear" w:color="auto" w:fill="auto"/>
            <w:noWrap/>
            <w:vAlign w:val="center"/>
          </w:tcPr>
          <w:p w14:paraId="40C919D1" w14:textId="4AC592E3" w:rsidR="00D55F4F" w:rsidRPr="00D43C3E" w:rsidRDefault="00D55F4F" w:rsidP="110985B9">
            <w:pPr>
              <w:spacing w:after="0" w:line="240" w:lineRule="auto"/>
              <w:jc w:val="right"/>
              <w:rPr>
                <w:rFonts w:cs="Arial"/>
                <w:color w:val="000000"/>
              </w:rPr>
            </w:pPr>
            <w:r w:rsidRPr="00D43C3E">
              <w:rPr>
                <w:rFonts w:cs="Arial"/>
                <w:color w:val="000000" w:themeColor="text1"/>
              </w:rPr>
              <w:t>1.</w:t>
            </w:r>
            <w:r w:rsidR="008810C6" w:rsidRPr="00D43C3E">
              <w:rPr>
                <w:rFonts w:cs="Arial"/>
                <w:color w:val="000000" w:themeColor="text1"/>
              </w:rPr>
              <w:t>2</w:t>
            </w:r>
            <w:r w:rsidRPr="00D43C3E">
              <w:rPr>
                <w:rFonts w:cs="Arial"/>
                <w:color w:val="000000" w:themeColor="text1"/>
              </w:rPr>
              <w:t>%</w:t>
            </w:r>
          </w:p>
        </w:tc>
      </w:tr>
      <w:tr w:rsidR="00D55F4F" w:rsidRPr="00537E40" w14:paraId="76ACD290" w14:textId="77777777" w:rsidTr="0082290B">
        <w:trPr>
          <w:trHeight w:val="340"/>
        </w:trPr>
        <w:tc>
          <w:tcPr>
            <w:tcW w:w="3061" w:type="dxa"/>
            <w:tcBorders>
              <w:top w:val="nil"/>
              <w:left w:val="single" w:sz="4" w:space="0" w:color="auto"/>
              <w:bottom w:val="single" w:sz="4" w:space="0" w:color="auto"/>
              <w:right w:val="single" w:sz="4" w:space="0" w:color="auto"/>
            </w:tcBorders>
            <w:shd w:val="clear" w:color="auto" w:fill="auto"/>
            <w:noWrap/>
            <w:vAlign w:val="center"/>
          </w:tcPr>
          <w:p w14:paraId="7445DEF6" w14:textId="77777777" w:rsidR="00D55F4F" w:rsidRDefault="00D55F4F" w:rsidP="00D55F4F">
            <w:pPr>
              <w:spacing w:after="0"/>
              <w:rPr>
                <w:rFonts w:cs="Arial"/>
                <w:b/>
                <w:bCs/>
                <w:color w:val="000000"/>
                <w:szCs w:val="20"/>
              </w:rPr>
            </w:pPr>
            <w:r>
              <w:rPr>
                <w:rFonts w:cs="Arial"/>
                <w:b/>
                <w:bCs/>
                <w:color w:val="000000"/>
                <w:szCs w:val="20"/>
              </w:rPr>
              <w:t>East Melbourne</w:t>
            </w:r>
          </w:p>
        </w:tc>
        <w:tc>
          <w:tcPr>
            <w:tcW w:w="1304" w:type="dxa"/>
            <w:tcBorders>
              <w:top w:val="nil"/>
              <w:left w:val="nil"/>
              <w:bottom w:val="single" w:sz="4" w:space="0" w:color="auto"/>
              <w:right w:val="single" w:sz="4" w:space="0" w:color="auto"/>
            </w:tcBorders>
            <w:shd w:val="clear" w:color="auto" w:fill="auto"/>
            <w:noWrap/>
            <w:vAlign w:val="center"/>
          </w:tcPr>
          <w:p w14:paraId="4D789E7C" w14:textId="47D08F6E" w:rsidR="00D55F4F" w:rsidRPr="008810C6" w:rsidRDefault="00D55F4F" w:rsidP="110985B9">
            <w:pPr>
              <w:spacing w:after="0" w:line="240" w:lineRule="auto"/>
              <w:jc w:val="right"/>
              <w:rPr>
                <w:rFonts w:cs="Arial"/>
                <w:color w:val="000000"/>
              </w:rPr>
            </w:pPr>
            <w:r w:rsidRPr="008810C6">
              <w:rPr>
                <w:rFonts w:cs="Arial"/>
                <w:color w:val="000000" w:themeColor="text1"/>
              </w:rPr>
              <w:t>2</w:t>
            </w:r>
            <w:r w:rsidR="008810C6" w:rsidRPr="008810C6">
              <w:rPr>
                <w:rFonts w:cs="Arial"/>
                <w:color w:val="000000" w:themeColor="text1"/>
              </w:rPr>
              <w:t>1,400</w:t>
            </w:r>
            <w:r w:rsidRPr="008810C6">
              <w:rPr>
                <w:rFonts w:cs="Arial"/>
                <w:color w:val="000000" w:themeColor="text1"/>
              </w:rPr>
              <w:t xml:space="preserve"> </w:t>
            </w:r>
          </w:p>
        </w:tc>
        <w:tc>
          <w:tcPr>
            <w:tcW w:w="1304" w:type="dxa"/>
            <w:tcBorders>
              <w:top w:val="nil"/>
              <w:left w:val="nil"/>
              <w:bottom w:val="single" w:sz="4" w:space="0" w:color="auto"/>
              <w:right w:val="single" w:sz="4" w:space="0" w:color="auto"/>
            </w:tcBorders>
            <w:shd w:val="clear" w:color="auto" w:fill="auto"/>
            <w:noWrap/>
            <w:vAlign w:val="center"/>
          </w:tcPr>
          <w:p w14:paraId="40B21200" w14:textId="0EE04CF0" w:rsidR="00D55F4F" w:rsidRPr="008810C6" w:rsidRDefault="00D55F4F" w:rsidP="110985B9">
            <w:pPr>
              <w:spacing w:after="0" w:line="240" w:lineRule="auto"/>
              <w:jc w:val="right"/>
              <w:rPr>
                <w:rFonts w:cs="Arial"/>
                <w:color w:val="000000"/>
              </w:rPr>
            </w:pPr>
            <w:r w:rsidRPr="008810C6">
              <w:rPr>
                <w:rFonts w:cs="Arial"/>
                <w:color w:val="000000" w:themeColor="text1"/>
              </w:rPr>
              <w:t>25,</w:t>
            </w:r>
            <w:r w:rsidR="008810C6" w:rsidRPr="008810C6">
              <w:rPr>
                <w:rFonts w:cs="Arial"/>
                <w:color w:val="000000" w:themeColor="text1"/>
              </w:rPr>
              <w:t>000</w:t>
            </w:r>
            <w:r w:rsidRPr="008810C6">
              <w:rPr>
                <w:rFonts w:cs="Arial"/>
                <w:color w:val="000000" w:themeColor="text1"/>
              </w:rPr>
              <w:t xml:space="preserve"> </w:t>
            </w:r>
          </w:p>
        </w:tc>
        <w:tc>
          <w:tcPr>
            <w:tcW w:w="1130" w:type="dxa"/>
            <w:tcBorders>
              <w:top w:val="nil"/>
              <w:left w:val="nil"/>
              <w:bottom w:val="single" w:sz="4" w:space="0" w:color="auto"/>
              <w:right w:val="single" w:sz="4" w:space="0" w:color="auto"/>
            </w:tcBorders>
            <w:shd w:val="clear" w:color="auto" w:fill="auto"/>
            <w:noWrap/>
            <w:vAlign w:val="center"/>
          </w:tcPr>
          <w:p w14:paraId="13674471" w14:textId="2D69F735" w:rsidR="00D55F4F" w:rsidRPr="008810C6" w:rsidRDefault="00D55F4F" w:rsidP="110985B9">
            <w:pPr>
              <w:spacing w:after="0" w:line="240" w:lineRule="auto"/>
              <w:jc w:val="right"/>
              <w:rPr>
                <w:rFonts w:cs="Arial"/>
                <w:color w:val="000000"/>
              </w:rPr>
            </w:pPr>
            <w:r w:rsidRPr="008810C6">
              <w:rPr>
                <w:rFonts w:cs="Arial"/>
                <w:color w:val="000000" w:themeColor="text1"/>
              </w:rPr>
              <w:t>2</w:t>
            </w:r>
            <w:r w:rsidR="008810C6" w:rsidRPr="008810C6">
              <w:rPr>
                <w:rFonts w:cs="Arial"/>
                <w:color w:val="000000" w:themeColor="text1"/>
              </w:rPr>
              <w:t>5,500</w:t>
            </w:r>
            <w:r w:rsidRPr="008810C6">
              <w:rPr>
                <w:rFonts w:cs="Arial"/>
                <w:color w:val="000000" w:themeColor="text1"/>
              </w:rPr>
              <w:t xml:space="preserve"> </w:t>
            </w:r>
          </w:p>
        </w:tc>
        <w:tc>
          <w:tcPr>
            <w:tcW w:w="1418" w:type="dxa"/>
            <w:tcBorders>
              <w:top w:val="nil"/>
              <w:left w:val="nil"/>
              <w:bottom w:val="single" w:sz="4" w:space="0" w:color="auto"/>
              <w:right w:val="single" w:sz="4" w:space="0" w:color="auto"/>
            </w:tcBorders>
            <w:shd w:val="clear" w:color="auto" w:fill="auto"/>
            <w:noWrap/>
            <w:vAlign w:val="center"/>
          </w:tcPr>
          <w:p w14:paraId="52741742" w14:textId="70564AF8" w:rsidR="00D55F4F" w:rsidRPr="008810C6" w:rsidRDefault="008810C6" w:rsidP="110985B9">
            <w:pPr>
              <w:spacing w:after="0" w:line="240" w:lineRule="auto"/>
              <w:jc w:val="right"/>
              <w:rPr>
                <w:rFonts w:cs="Arial"/>
                <w:color w:val="000000"/>
              </w:rPr>
            </w:pPr>
            <w:r w:rsidRPr="008810C6">
              <w:rPr>
                <w:rFonts w:cs="Arial"/>
                <w:color w:val="000000" w:themeColor="text1"/>
              </w:rPr>
              <w:t>4,100</w:t>
            </w:r>
            <w:r w:rsidR="00D55F4F" w:rsidRPr="008810C6">
              <w:rPr>
                <w:rFonts w:cs="Arial"/>
                <w:color w:val="000000" w:themeColor="text1"/>
              </w:rPr>
              <w:t xml:space="preserve"> </w:t>
            </w:r>
          </w:p>
        </w:tc>
        <w:tc>
          <w:tcPr>
            <w:tcW w:w="1477" w:type="dxa"/>
            <w:tcBorders>
              <w:top w:val="nil"/>
              <w:left w:val="nil"/>
              <w:bottom w:val="single" w:sz="4" w:space="0" w:color="auto"/>
              <w:right w:val="single" w:sz="4" w:space="0" w:color="auto"/>
            </w:tcBorders>
            <w:shd w:val="clear" w:color="auto" w:fill="auto"/>
            <w:noWrap/>
            <w:vAlign w:val="center"/>
          </w:tcPr>
          <w:p w14:paraId="2C347B05" w14:textId="19473C8F" w:rsidR="00D55F4F" w:rsidRPr="00D43C3E" w:rsidRDefault="008810C6" w:rsidP="110985B9">
            <w:pPr>
              <w:spacing w:after="0" w:line="240" w:lineRule="auto"/>
              <w:jc w:val="right"/>
              <w:rPr>
                <w:rFonts w:cs="Arial"/>
                <w:color w:val="000000"/>
              </w:rPr>
            </w:pPr>
            <w:r w:rsidRPr="00D43C3E">
              <w:rPr>
                <w:rFonts w:cs="Arial"/>
                <w:color w:val="000000" w:themeColor="text1"/>
              </w:rPr>
              <w:t>0.9</w:t>
            </w:r>
            <w:r w:rsidR="00D55F4F" w:rsidRPr="00D43C3E">
              <w:rPr>
                <w:rFonts w:cs="Arial"/>
                <w:color w:val="000000" w:themeColor="text1"/>
              </w:rPr>
              <w:t>%</w:t>
            </w:r>
          </w:p>
        </w:tc>
      </w:tr>
      <w:tr w:rsidR="00D55F4F" w:rsidRPr="00537E40" w14:paraId="6FC81B0A" w14:textId="77777777" w:rsidTr="0082290B">
        <w:trPr>
          <w:trHeight w:val="340"/>
        </w:trPr>
        <w:tc>
          <w:tcPr>
            <w:tcW w:w="3061" w:type="dxa"/>
            <w:tcBorders>
              <w:top w:val="nil"/>
              <w:left w:val="single" w:sz="4" w:space="0" w:color="auto"/>
              <w:bottom w:val="single" w:sz="4" w:space="0" w:color="auto"/>
              <w:right w:val="single" w:sz="4" w:space="0" w:color="auto"/>
            </w:tcBorders>
            <w:shd w:val="clear" w:color="auto" w:fill="auto"/>
            <w:noWrap/>
            <w:vAlign w:val="center"/>
          </w:tcPr>
          <w:p w14:paraId="155EBA44" w14:textId="77777777" w:rsidR="00D55F4F" w:rsidRDefault="00D55F4F" w:rsidP="00D55F4F">
            <w:pPr>
              <w:spacing w:after="0"/>
              <w:rPr>
                <w:rFonts w:cs="Arial"/>
                <w:b/>
                <w:bCs/>
                <w:color w:val="000000"/>
                <w:szCs w:val="20"/>
              </w:rPr>
            </w:pPr>
            <w:r>
              <w:rPr>
                <w:rFonts w:cs="Arial"/>
                <w:b/>
                <w:bCs/>
                <w:color w:val="000000"/>
                <w:szCs w:val="20"/>
              </w:rPr>
              <w:t>Kensington</w:t>
            </w:r>
          </w:p>
        </w:tc>
        <w:tc>
          <w:tcPr>
            <w:tcW w:w="1304" w:type="dxa"/>
            <w:tcBorders>
              <w:top w:val="nil"/>
              <w:left w:val="nil"/>
              <w:bottom w:val="single" w:sz="4" w:space="0" w:color="auto"/>
              <w:right w:val="single" w:sz="4" w:space="0" w:color="auto"/>
            </w:tcBorders>
            <w:shd w:val="clear" w:color="auto" w:fill="auto"/>
            <w:noWrap/>
            <w:vAlign w:val="center"/>
          </w:tcPr>
          <w:p w14:paraId="00AEA7DF" w14:textId="207E1F04" w:rsidR="00D55F4F" w:rsidRPr="008810C6" w:rsidRDefault="00D55F4F" w:rsidP="110985B9">
            <w:pPr>
              <w:spacing w:after="0" w:line="240" w:lineRule="auto"/>
              <w:jc w:val="right"/>
              <w:rPr>
                <w:rFonts w:cs="Arial"/>
                <w:color w:val="000000"/>
              </w:rPr>
            </w:pPr>
            <w:r w:rsidRPr="008810C6">
              <w:rPr>
                <w:rFonts w:cs="Arial"/>
                <w:color w:val="000000" w:themeColor="text1"/>
              </w:rPr>
              <w:t>7</w:t>
            </w:r>
            <w:r w:rsidR="008810C6" w:rsidRPr="008810C6">
              <w:rPr>
                <w:rFonts w:cs="Arial"/>
                <w:color w:val="000000" w:themeColor="text1"/>
              </w:rPr>
              <w:t>,500</w:t>
            </w:r>
            <w:r w:rsidRPr="008810C6">
              <w:rPr>
                <w:rFonts w:cs="Arial"/>
                <w:color w:val="000000" w:themeColor="text1"/>
              </w:rPr>
              <w:t xml:space="preserve"> </w:t>
            </w:r>
          </w:p>
        </w:tc>
        <w:tc>
          <w:tcPr>
            <w:tcW w:w="1304" w:type="dxa"/>
            <w:tcBorders>
              <w:top w:val="nil"/>
              <w:left w:val="nil"/>
              <w:bottom w:val="single" w:sz="4" w:space="0" w:color="auto"/>
              <w:right w:val="single" w:sz="4" w:space="0" w:color="auto"/>
            </w:tcBorders>
            <w:shd w:val="clear" w:color="auto" w:fill="auto"/>
            <w:noWrap/>
            <w:vAlign w:val="center"/>
          </w:tcPr>
          <w:p w14:paraId="18B2FF4B" w14:textId="26424C54" w:rsidR="00D55F4F" w:rsidRPr="008810C6" w:rsidRDefault="00D55F4F" w:rsidP="110985B9">
            <w:pPr>
              <w:spacing w:after="0" w:line="240" w:lineRule="auto"/>
              <w:jc w:val="right"/>
              <w:rPr>
                <w:rFonts w:cs="Arial"/>
                <w:color w:val="000000"/>
              </w:rPr>
            </w:pPr>
            <w:r w:rsidRPr="008810C6">
              <w:rPr>
                <w:rFonts w:cs="Arial"/>
                <w:color w:val="000000" w:themeColor="text1"/>
              </w:rPr>
              <w:t>10,</w:t>
            </w:r>
            <w:r w:rsidR="008810C6" w:rsidRPr="008810C6">
              <w:rPr>
                <w:rFonts w:cs="Arial"/>
                <w:color w:val="000000" w:themeColor="text1"/>
              </w:rPr>
              <w:t>800</w:t>
            </w:r>
            <w:r w:rsidRPr="008810C6">
              <w:rPr>
                <w:rFonts w:cs="Arial"/>
                <w:color w:val="000000" w:themeColor="text1"/>
              </w:rPr>
              <w:t xml:space="preserve"> </w:t>
            </w:r>
          </w:p>
        </w:tc>
        <w:tc>
          <w:tcPr>
            <w:tcW w:w="1130" w:type="dxa"/>
            <w:tcBorders>
              <w:top w:val="nil"/>
              <w:left w:val="nil"/>
              <w:bottom w:val="single" w:sz="4" w:space="0" w:color="auto"/>
              <w:right w:val="single" w:sz="4" w:space="0" w:color="auto"/>
            </w:tcBorders>
            <w:shd w:val="clear" w:color="auto" w:fill="auto"/>
            <w:noWrap/>
            <w:vAlign w:val="center"/>
          </w:tcPr>
          <w:p w14:paraId="17AEAF38" w14:textId="19D429FD" w:rsidR="00D55F4F" w:rsidRPr="008810C6" w:rsidRDefault="00D55F4F" w:rsidP="110985B9">
            <w:pPr>
              <w:spacing w:after="0" w:line="240" w:lineRule="auto"/>
              <w:jc w:val="right"/>
              <w:rPr>
                <w:rFonts w:cs="Arial"/>
                <w:color w:val="000000"/>
              </w:rPr>
            </w:pPr>
            <w:r w:rsidRPr="008810C6">
              <w:rPr>
                <w:rFonts w:cs="Arial"/>
                <w:color w:val="000000" w:themeColor="text1"/>
              </w:rPr>
              <w:t>1</w:t>
            </w:r>
            <w:r w:rsidR="008810C6" w:rsidRPr="008810C6">
              <w:rPr>
                <w:rFonts w:cs="Arial"/>
                <w:color w:val="000000" w:themeColor="text1"/>
              </w:rPr>
              <w:t>2,200</w:t>
            </w:r>
            <w:r w:rsidRPr="008810C6">
              <w:rPr>
                <w:rFonts w:cs="Arial"/>
                <w:color w:val="000000" w:themeColor="text1"/>
              </w:rPr>
              <w:t xml:space="preserve"> </w:t>
            </w:r>
          </w:p>
        </w:tc>
        <w:tc>
          <w:tcPr>
            <w:tcW w:w="1418" w:type="dxa"/>
            <w:tcBorders>
              <w:top w:val="nil"/>
              <w:left w:val="nil"/>
              <w:bottom w:val="single" w:sz="4" w:space="0" w:color="auto"/>
              <w:right w:val="single" w:sz="4" w:space="0" w:color="auto"/>
            </w:tcBorders>
            <w:shd w:val="clear" w:color="auto" w:fill="auto"/>
            <w:noWrap/>
            <w:vAlign w:val="center"/>
          </w:tcPr>
          <w:p w14:paraId="41AA8E09" w14:textId="09D5D256" w:rsidR="00D55F4F" w:rsidRPr="008810C6" w:rsidRDefault="008810C6" w:rsidP="110985B9">
            <w:pPr>
              <w:spacing w:after="0" w:line="240" w:lineRule="auto"/>
              <w:jc w:val="right"/>
              <w:rPr>
                <w:rFonts w:cs="Arial"/>
                <w:color w:val="000000"/>
              </w:rPr>
            </w:pPr>
            <w:r w:rsidRPr="008810C6">
              <w:rPr>
                <w:rFonts w:cs="Arial"/>
                <w:color w:val="000000" w:themeColor="text1"/>
              </w:rPr>
              <w:t>4,700</w:t>
            </w:r>
            <w:r w:rsidR="00D55F4F" w:rsidRPr="008810C6">
              <w:rPr>
                <w:rFonts w:cs="Arial"/>
                <w:color w:val="000000" w:themeColor="text1"/>
              </w:rPr>
              <w:t xml:space="preserve"> </w:t>
            </w:r>
          </w:p>
        </w:tc>
        <w:tc>
          <w:tcPr>
            <w:tcW w:w="1477" w:type="dxa"/>
            <w:tcBorders>
              <w:top w:val="nil"/>
              <w:left w:val="nil"/>
              <w:bottom w:val="single" w:sz="4" w:space="0" w:color="auto"/>
              <w:right w:val="single" w:sz="4" w:space="0" w:color="auto"/>
            </w:tcBorders>
            <w:shd w:val="clear" w:color="auto" w:fill="auto"/>
            <w:noWrap/>
            <w:vAlign w:val="center"/>
          </w:tcPr>
          <w:p w14:paraId="1F96FC35" w14:textId="3B4FE405" w:rsidR="00D55F4F" w:rsidRPr="00D43C3E" w:rsidRDefault="00D55F4F" w:rsidP="110985B9">
            <w:pPr>
              <w:spacing w:after="0" w:line="240" w:lineRule="auto"/>
              <w:jc w:val="right"/>
              <w:rPr>
                <w:rFonts w:cs="Arial"/>
                <w:color w:val="000000"/>
              </w:rPr>
            </w:pPr>
            <w:r w:rsidRPr="00D43C3E">
              <w:rPr>
                <w:rFonts w:cs="Arial"/>
                <w:color w:val="000000" w:themeColor="text1"/>
              </w:rPr>
              <w:t>2.</w:t>
            </w:r>
            <w:r w:rsidR="008810C6" w:rsidRPr="00D43C3E">
              <w:rPr>
                <w:rFonts w:cs="Arial"/>
                <w:color w:val="000000" w:themeColor="text1"/>
              </w:rPr>
              <w:t>5</w:t>
            </w:r>
            <w:r w:rsidRPr="00D43C3E">
              <w:rPr>
                <w:rFonts w:cs="Arial"/>
                <w:color w:val="000000" w:themeColor="text1"/>
              </w:rPr>
              <w:t>%</w:t>
            </w:r>
          </w:p>
        </w:tc>
      </w:tr>
      <w:tr w:rsidR="00D55F4F" w:rsidRPr="00537E40" w14:paraId="5C644F63" w14:textId="77777777" w:rsidTr="0082290B">
        <w:trPr>
          <w:trHeight w:val="340"/>
        </w:trPr>
        <w:tc>
          <w:tcPr>
            <w:tcW w:w="3061" w:type="dxa"/>
            <w:tcBorders>
              <w:top w:val="nil"/>
              <w:left w:val="single" w:sz="4" w:space="0" w:color="auto"/>
              <w:bottom w:val="single" w:sz="4" w:space="0" w:color="auto"/>
              <w:right w:val="single" w:sz="4" w:space="0" w:color="auto"/>
            </w:tcBorders>
            <w:shd w:val="clear" w:color="auto" w:fill="auto"/>
            <w:noWrap/>
            <w:vAlign w:val="center"/>
          </w:tcPr>
          <w:p w14:paraId="672C0574" w14:textId="77777777" w:rsidR="00D55F4F" w:rsidRDefault="00D55F4F" w:rsidP="00D55F4F">
            <w:pPr>
              <w:spacing w:after="0"/>
              <w:rPr>
                <w:rFonts w:cs="Arial"/>
                <w:b/>
                <w:bCs/>
                <w:color w:val="000000"/>
                <w:szCs w:val="20"/>
              </w:rPr>
            </w:pPr>
            <w:r>
              <w:rPr>
                <w:rFonts w:cs="Arial"/>
                <w:b/>
                <w:bCs/>
                <w:color w:val="000000"/>
                <w:szCs w:val="20"/>
              </w:rPr>
              <w:t>Melbourne (CBD)</w:t>
            </w:r>
          </w:p>
        </w:tc>
        <w:tc>
          <w:tcPr>
            <w:tcW w:w="1304" w:type="dxa"/>
            <w:tcBorders>
              <w:top w:val="nil"/>
              <w:left w:val="nil"/>
              <w:bottom w:val="single" w:sz="4" w:space="0" w:color="auto"/>
              <w:right w:val="single" w:sz="4" w:space="0" w:color="auto"/>
            </w:tcBorders>
            <w:shd w:val="clear" w:color="auto" w:fill="auto"/>
            <w:noWrap/>
            <w:vAlign w:val="center"/>
          </w:tcPr>
          <w:p w14:paraId="04CF86BF" w14:textId="205CA5DE" w:rsidR="00D55F4F" w:rsidRPr="008810C6" w:rsidRDefault="00D55F4F" w:rsidP="110985B9">
            <w:pPr>
              <w:spacing w:after="0" w:line="240" w:lineRule="auto"/>
              <w:jc w:val="right"/>
              <w:rPr>
                <w:rFonts w:cs="Arial"/>
                <w:color w:val="000000"/>
              </w:rPr>
            </w:pPr>
            <w:r w:rsidRPr="008810C6">
              <w:rPr>
                <w:rFonts w:cs="Arial"/>
                <w:color w:val="000000" w:themeColor="text1"/>
              </w:rPr>
              <w:t>2</w:t>
            </w:r>
            <w:r w:rsidR="008810C6" w:rsidRPr="008810C6">
              <w:rPr>
                <w:rFonts w:cs="Arial"/>
                <w:color w:val="000000" w:themeColor="text1"/>
              </w:rPr>
              <w:t>37,700</w:t>
            </w:r>
            <w:r w:rsidRPr="008810C6">
              <w:rPr>
                <w:rFonts w:cs="Arial"/>
                <w:color w:val="000000" w:themeColor="text1"/>
              </w:rPr>
              <w:t xml:space="preserve"> </w:t>
            </w:r>
          </w:p>
        </w:tc>
        <w:tc>
          <w:tcPr>
            <w:tcW w:w="1304" w:type="dxa"/>
            <w:tcBorders>
              <w:top w:val="nil"/>
              <w:left w:val="nil"/>
              <w:bottom w:val="single" w:sz="4" w:space="0" w:color="auto"/>
              <w:right w:val="single" w:sz="4" w:space="0" w:color="auto"/>
            </w:tcBorders>
            <w:shd w:val="clear" w:color="auto" w:fill="auto"/>
            <w:noWrap/>
            <w:vAlign w:val="center"/>
          </w:tcPr>
          <w:p w14:paraId="26A160E1" w14:textId="23E0195C" w:rsidR="00D55F4F" w:rsidRPr="008810C6" w:rsidRDefault="00D55F4F" w:rsidP="110985B9">
            <w:pPr>
              <w:spacing w:after="0" w:line="240" w:lineRule="auto"/>
              <w:jc w:val="right"/>
              <w:rPr>
                <w:rFonts w:cs="Arial"/>
                <w:color w:val="000000"/>
              </w:rPr>
            </w:pPr>
            <w:r w:rsidRPr="008810C6">
              <w:rPr>
                <w:rFonts w:cs="Arial"/>
                <w:color w:val="000000" w:themeColor="text1"/>
              </w:rPr>
              <w:t>2</w:t>
            </w:r>
            <w:r w:rsidR="008810C6" w:rsidRPr="008810C6">
              <w:rPr>
                <w:rFonts w:cs="Arial"/>
                <w:color w:val="000000" w:themeColor="text1"/>
              </w:rPr>
              <w:t>89,400</w:t>
            </w:r>
            <w:r w:rsidRPr="008810C6">
              <w:rPr>
                <w:rFonts w:cs="Arial"/>
                <w:color w:val="000000" w:themeColor="text1"/>
              </w:rPr>
              <w:t xml:space="preserve"> </w:t>
            </w:r>
          </w:p>
        </w:tc>
        <w:tc>
          <w:tcPr>
            <w:tcW w:w="1130" w:type="dxa"/>
            <w:tcBorders>
              <w:top w:val="nil"/>
              <w:left w:val="nil"/>
              <w:bottom w:val="single" w:sz="4" w:space="0" w:color="auto"/>
              <w:right w:val="single" w:sz="4" w:space="0" w:color="auto"/>
            </w:tcBorders>
            <w:shd w:val="clear" w:color="auto" w:fill="auto"/>
            <w:noWrap/>
            <w:vAlign w:val="center"/>
          </w:tcPr>
          <w:p w14:paraId="58EEC6CB" w14:textId="2E90BD42" w:rsidR="00D55F4F" w:rsidRPr="008810C6" w:rsidRDefault="008810C6" w:rsidP="110985B9">
            <w:pPr>
              <w:spacing w:after="0" w:line="240" w:lineRule="auto"/>
              <w:jc w:val="right"/>
              <w:rPr>
                <w:rFonts w:cs="Arial"/>
                <w:color w:val="000000"/>
              </w:rPr>
            </w:pPr>
            <w:r w:rsidRPr="008810C6">
              <w:rPr>
                <w:rFonts w:cs="Arial"/>
                <w:color w:val="000000" w:themeColor="text1"/>
              </w:rPr>
              <w:t>314,000</w:t>
            </w:r>
            <w:r w:rsidR="00D55F4F" w:rsidRPr="008810C6">
              <w:rPr>
                <w:rFonts w:cs="Arial"/>
                <w:color w:val="000000" w:themeColor="text1"/>
              </w:rPr>
              <w:t xml:space="preserve"> </w:t>
            </w:r>
          </w:p>
        </w:tc>
        <w:tc>
          <w:tcPr>
            <w:tcW w:w="1418" w:type="dxa"/>
            <w:tcBorders>
              <w:top w:val="nil"/>
              <w:left w:val="nil"/>
              <w:bottom w:val="single" w:sz="4" w:space="0" w:color="auto"/>
              <w:right w:val="single" w:sz="4" w:space="0" w:color="auto"/>
            </w:tcBorders>
            <w:shd w:val="clear" w:color="auto" w:fill="auto"/>
            <w:noWrap/>
            <w:vAlign w:val="center"/>
          </w:tcPr>
          <w:p w14:paraId="7697ADF4" w14:textId="019E6276" w:rsidR="00D55F4F" w:rsidRPr="008810C6" w:rsidRDefault="008810C6" w:rsidP="110985B9">
            <w:pPr>
              <w:spacing w:after="0" w:line="240" w:lineRule="auto"/>
              <w:jc w:val="right"/>
              <w:rPr>
                <w:rFonts w:cs="Arial"/>
                <w:color w:val="000000"/>
              </w:rPr>
            </w:pPr>
            <w:r w:rsidRPr="008810C6">
              <w:rPr>
                <w:rFonts w:cs="Arial"/>
                <w:color w:val="000000" w:themeColor="text1"/>
              </w:rPr>
              <w:t>76,300</w:t>
            </w:r>
            <w:r w:rsidR="00D55F4F" w:rsidRPr="008810C6">
              <w:rPr>
                <w:rFonts w:cs="Arial"/>
                <w:color w:val="000000" w:themeColor="text1"/>
              </w:rPr>
              <w:t xml:space="preserve"> </w:t>
            </w:r>
          </w:p>
        </w:tc>
        <w:tc>
          <w:tcPr>
            <w:tcW w:w="1477" w:type="dxa"/>
            <w:tcBorders>
              <w:top w:val="nil"/>
              <w:left w:val="nil"/>
              <w:bottom w:val="single" w:sz="4" w:space="0" w:color="auto"/>
              <w:right w:val="single" w:sz="4" w:space="0" w:color="auto"/>
            </w:tcBorders>
            <w:shd w:val="clear" w:color="auto" w:fill="auto"/>
            <w:noWrap/>
            <w:vAlign w:val="center"/>
          </w:tcPr>
          <w:p w14:paraId="782982B3" w14:textId="42B651A2" w:rsidR="00D55F4F" w:rsidRPr="00D43C3E" w:rsidRDefault="00D55F4F" w:rsidP="110985B9">
            <w:pPr>
              <w:spacing w:after="0" w:line="240" w:lineRule="auto"/>
              <w:jc w:val="right"/>
              <w:rPr>
                <w:rFonts w:cs="Arial"/>
                <w:color w:val="000000"/>
              </w:rPr>
            </w:pPr>
            <w:r w:rsidRPr="00D43C3E">
              <w:rPr>
                <w:rFonts w:cs="Arial"/>
                <w:color w:val="000000" w:themeColor="text1"/>
              </w:rPr>
              <w:t>1.</w:t>
            </w:r>
            <w:r w:rsidR="008810C6" w:rsidRPr="00D43C3E">
              <w:rPr>
                <w:rFonts w:cs="Arial"/>
                <w:color w:val="000000" w:themeColor="text1"/>
              </w:rPr>
              <w:t>4</w:t>
            </w:r>
            <w:r w:rsidRPr="00D43C3E">
              <w:rPr>
                <w:rFonts w:cs="Arial"/>
                <w:color w:val="000000" w:themeColor="text1"/>
              </w:rPr>
              <w:t>%</w:t>
            </w:r>
          </w:p>
        </w:tc>
      </w:tr>
      <w:tr w:rsidR="00D55F4F" w:rsidRPr="00537E40" w14:paraId="32E443A9" w14:textId="77777777" w:rsidTr="0082290B">
        <w:trPr>
          <w:trHeight w:val="340"/>
        </w:trPr>
        <w:tc>
          <w:tcPr>
            <w:tcW w:w="3061" w:type="dxa"/>
            <w:tcBorders>
              <w:top w:val="nil"/>
              <w:left w:val="single" w:sz="4" w:space="0" w:color="auto"/>
              <w:bottom w:val="single" w:sz="4" w:space="0" w:color="auto"/>
              <w:right w:val="single" w:sz="4" w:space="0" w:color="auto"/>
            </w:tcBorders>
            <w:shd w:val="clear" w:color="auto" w:fill="auto"/>
            <w:noWrap/>
            <w:vAlign w:val="center"/>
          </w:tcPr>
          <w:p w14:paraId="2AC36257" w14:textId="77777777" w:rsidR="00D55F4F" w:rsidRDefault="00D55F4F" w:rsidP="00D55F4F">
            <w:pPr>
              <w:spacing w:after="0"/>
              <w:rPr>
                <w:rFonts w:cs="Arial"/>
                <w:b/>
                <w:bCs/>
                <w:color w:val="000000"/>
                <w:szCs w:val="20"/>
              </w:rPr>
            </w:pPr>
            <w:r>
              <w:rPr>
                <w:rFonts w:cs="Arial"/>
                <w:b/>
                <w:bCs/>
                <w:color w:val="000000"/>
                <w:szCs w:val="20"/>
              </w:rPr>
              <w:t>Melbourne (Remainder)</w:t>
            </w:r>
          </w:p>
        </w:tc>
        <w:tc>
          <w:tcPr>
            <w:tcW w:w="1304" w:type="dxa"/>
            <w:tcBorders>
              <w:top w:val="nil"/>
              <w:left w:val="nil"/>
              <w:bottom w:val="single" w:sz="4" w:space="0" w:color="auto"/>
              <w:right w:val="single" w:sz="4" w:space="0" w:color="auto"/>
            </w:tcBorders>
            <w:shd w:val="clear" w:color="auto" w:fill="auto"/>
            <w:noWrap/>
            <w:vAlign w:val="center"/>
          </w:tcPr>
          <w:p w14:paraId="1C7F7761" w14:textId="7E1DAEC6" w:rsidR="00D55F4F" w:rsidRPr="008810C6" w:rsidRDefault="00D55F4F" w:rsidP="110985B9">
            <w:pPr>
              <w:spacing w:after="0" w:line="240" w:lineRule="auto"/>
              <w:jc w:val="right"/>
              <w:rPr>
                <w:rFonts w:cs="Arial"/>
                <w:color w:val="000000"/>
              </w:rPr>
            </w:pPr>
            <w:r w:rsidRPr="008810C6">
              <w:rPr>
                <w:rFonts w:cs="Arial"/>
                <w:color w:val="000000" w:themeColor="text1"/>
              </w:rPr>
              <w:t>2</w:t>
            </w:r>
            <w:r w:rsidR="008810C6" w:rsidRPr="008810C6">
              <w:rPr>
                <w:rFonts w:cs="Arial"/>
                <w:color w:val="000000" w:themeColor="text1"/>
              </w:rPr>
              <w:t>2,200</w:t>
            </w:r>
            <w:r w:rsidRPr="008810C6">
              <w:rPr>
                <w:rFonts w:cs="Arial"/>
                <w:color w:val="000000" w:themeColor="text1"/>
              </w:rPr>
              <w:t xml:space="preserve"> </w:t>
            </w:r>
          </w:p>
        </w:tc>
        <w:tc>
          <w:tcPr>
            <w:tcW w:w="1304" w:type="dxa"/>
            <w:tcBorders>
              <w:top w:val="nil"/>
              <w:left w:val="nil"/>
              <w:bottom w:val="single" w:sz="4" w:space="0" w:color="auto"/>
              <w:right w:val="single" w:sz="4" w:space="0" w:color="auto"/>
            </w:tcBorders>
            <w:shd w:val="clear" w:color="auto" w:fill="auto"/>
            <w:noWrap/>
            <w:vAlign w:val="center"/>
          </w:tcPr>
          <w:p w14:paraId="4EFB91EC" w14:textId="26FB4386" w:rsidR="00D55F4F" w:rsidRPr="008810C6" w:rsidRDefault="00D55F4F" w:rsidP="110985B9">
            <w:pPr>
              <w:spacing w:after="0" w:line="240" w:lineRule="auto"/>
              <w:jc w:val="right"/>
              <w:rPr>
                <w:rFonts w:cs="Arial"/>
                <w:color w:val="000000"/>
              </w:rPr>
            </w:pPr>
            <w:r w:rsidRPr="008810C6">
              <w:rPr>
                <w:rFonts w:cs="Arial"/>
                <w:color w:val="000000" w:themeColor="text1"/>
              </w:rPr>
              <w:t>2</w:t>
            </w:r>
            <w:r w:rsidR="008810C6" w:rsidRPr="008810C6">
              <w:rPr>
                <w:rFonts w:cs="Arial"/>
                <w:color w:val="000000" w:themeColor="text1"/>
              </w:rPr>
              <w:t>5,600</w:t>
            </w:r>
            <w:r w:rsidRPr="008810C6">
              <w:rPr>
                <w:rFonts w:cs="Arial"/>
                <w:color w:val="000000" w:themeColor="text1"/>
              </w:rPr>
              <w:t xml:space="preserve"> </w:t>
            </w:r>
          </w:p>
        </w:tc>
        <w:tc>
          <w:tcPr>
            <w:tcW w:w="1130" w:type="dxa"/>
            <w:tcBorders>
              <w:top w:val="nil"/>
              <w:left w:val="nil"/>
              <w:bottom w:val="single" w:sz="4" w:space="0" w:color="auto"/>
              <w:right w:val="single" w:sz="4" w:space="0" w:color="auto"/>
            </w:tcBorders>
            <w:shd w:val="clear" w:color="auto" w:fill="auto"/>
            <w:noWrap/>
            <w:vAlign w:val="center"/>
          </w:tcPr>
          <w:p w14:paraId="70DAF790" w14:textId="1C89D739" w:rsidR="00D55F4F" w:rsidRPr="008810C6" w:rsidRDefault="00D55F4F" w:rsidP="110985B9">
            <w:pPr>
              <w:spacing w:after="0" w:line="240" w:lineRule="auto"/>
              <w:jc w:val="right"/>
              <w:rPr>
                <w:rFonts w:cs="Arial"/>
                <w:color w:val="000000"/>
              </w:rPr>
            </w:pPr>
            <w:r w:rsidRPr="008810C6">
              <w:rPr>
                <w:rFonts w:cs="Arial"/>
                <w:color w:val="000000" w:themeColor="text1"/>
              </w:rPr>
              <w:t>2</w:t>
            </w:r>
            <w:r w:rsidR="008810C6" w:rsidRPr="008810C6">
              <w:rPr>
                <w:rFonts w:cs="Arial"/>
                <w:color w:val="000000" w:themeColor="text1"/>
              </w:rPr>
              <w:t>6,100</w:t>
            </w:r>
            <w:r w:rsidRPr="008810C6">
              <w:rPr>
                <w:rFonts w:cs="Arial"/>
                <w:color w:val="000000" w:themeColor="text1"/>
              </w:rPr>
              <w:t xml:space="preserve"> </w:t>
            </w:r>
          </w:p>
        </w:tc>
        <w:tc>
          <w:tcPr>
            <w:tcW w:w="1418" w:type="dxa"/>
            <w:tcBorders>
              <w:top w:val="nil"/>
              <w:left w:val="nil"/>
              <w:bottom w:val="single" w:sz="4" w:space="0" w:color="auto"/>
              <w:right w:val="single" w:sz="4" w:space="0" w:color="auto"/>
            </w:tcBorders>
            <w:shd w:val="clear" w:color="auto" w:fill="auto"/>
            <w:noWrap/>
            <w:vAlign w:val="center"/>
          </w:tcPr>
          <w:p w14:paraId="5C5B9D8F" w14:textId="790C6BA4" w:rsidR="00D55F4F" w:rsidRPr="008810C6" w:rsidRDefault="008810C6" w:rsidP="110985B9">
            <w:pPr>
              <w:spacing w:after="0" w:line="240" w:lineRule="auto"/>
              <w:jc w:val="right"/>
              <w:rPr>
                <w:rFonts w:cs="Arial"/>
                <w:color w:val="000000"/>
              </w:rPr>
            </w:pPr>
            <w:r w:rsidRPr="008810C6">
              <w:rPr>
                <w:rFonts w:cs="Arial"/>
                <w:color w:val="000000" w:themeColor="text1"/>
              </w:rPr>
              <w:t>3,900</w:t>
            </w:r>
            <w:r w:rsidR="00D55F4F" w:rsidRPr="008810C6">
              <w:rPr>
                <w:rFonts w:cs="Arial"/>
                <w:color w:val="000000" w:themeColor="text1"/>
              </w:rPr>
              <w:t xml:space="preserve"> </w:t>
            </w:r>
          </w:p>
        </w:tc>
        <w:tc>
          <w:tcPr>
            <w:tcW w:w="1477" w:type="dxa"/>
            <w:tcBorders>
              <w:top w:val="nil"/>
              <w:left w:val="nil"/>
              <w:bottom w:val="single" w:sz="4" w:space="0" w:color="auto"/>
              <w:right w:val="single" w:sz="4" w:space="0" w:color="auto"/>
            </w:tcBorders>
            <w:shd w:val="clear" w:color="auto" w:fill="auto"/>
            <w:noWrap/>
            <w:vAlign w:val="center"/>
          </w:tcPr>
          <w:p w14:paraId="45C2A6EB" w14:textId="77381764" w:rsidR="00D55F4F" w:rsidRPr="00D43C3E" w:rsidRDefault="008810C6" w:rsidP="110985B9">
            <w:pPr>
              <w:spacing w:after="0" w:line="240" w:lineRule="auto"/>
              <w:jc w:val="right"/>
              <w:rPr>
                <w:rFonts w:cs="Arial"/>
                <w:color w:val="000000"/>
              </w:rPr>
            </w:pPr>
            <w:r w:rsidRPr="00D43C3E">
              <w:rPr>
                <w:rFonts w:cs="Arial"/>
                <w:color w:val="000000" w:themeColor="text1"/>
              </w:rPr>
              <w:t>0.8</w:t>
            </w:r>
            <w:r w:rsidR="00D55F4F" w:rsidRPr="00D43C3E">
              <w:rPr>
                <w:rFonts w:cs="Arial"/>
                <w:color w:val="000000" w:themeColor="text1"/>
              </w:rPr>
              <w:t>%</w:t>
            </w:r>
          </w:p>
        </w:tc>
      </w:tr>
      <w:tr w:rsidR="00D55F4F" w:rsidRPr="00537E40" w14:paraId="7E81491D" w14:textId="77777777" w:rsidTr="0082290B">
        <w:trPr>
          <w:trHeight w:val="340"/>
        </w:trPr>
        <w:tc>
          <w:tcPr>
            <w:tcW w:w="3061" w:type="dxa"/>
            <w:tcBorders>
              <w:top w:val="nil"/>
              <w:left w:val="single" w:sz="4" w:space="0" w:color="auto"/>
              <w:bottom w:val="single" w:sz="4" w:space="0" w:color="auto"/>
              <w:right w:val="single" w:sz="4" w:space="0" w:color="auto"/>
            </w:tcBorders>
            <w:shd w:val="clear" w:color="auto" w:fill="auto"/>
            <w:noWrap/>
            <w:vAlign w:val="center"/>
          </w:tcPr>
          <w:p w14:paraId="4E1C673A" w14:textId="77777777" w:rsidR="00D55F4F" w:rsidRDefault="00D55F4F" w:rsidP="00D55F4F">
            <w:pPr>
              <w:spacing w:after="0"/>
              <w:rPr>
                <w:rFonts w:cs="Arial"/>
                <w:b/>
                <w:bCs/>
                <w:color w:val="000000"/>
                <w:szCs w:val="20"/>
              </w:rPr>
            </w:pPr>
            <w:r>
              <w:rPr>
                <w:rFonts w:cs="Arial"/>
                <w:b/>
                <w:bCs/>
                <w:color w:val="000000"/>
                <w:szCs w:val="20"/>
              </w:rPr>
              <w:t>North Melbourne</w:t>
            </w:r>
          </w:p>
        </w:tc>
        <w:tc>
          <w:tcPr>
            <w:tcW w:w="1304" w:type="dxa"/>
            <w:tcBorders>
              <w:top w:val="nil"/>
              <w:left w:val="nil"/>
              <w:bottom w:val="single" w:sz="4" w:space="0" w:color="auto"/>
              <w:right w:val="single" w:sz="4" w:space="0" w:color="auto"/>
            </w:tcBorders>
            <w:shd w:val="clear" w:color="auto" w:fill="auto"/>
            <w:noWrap/>
            <w:vAlign w:val="center"/>
          </w:tcPr>
          <w:p w14:paraId="7C8E4D87" w14:textId="1CC37B53" w:rsidR="00D55F4F" w:rsidRPr="008810C6" w:rsidRDefault="00D55F4F" w:rsidP="110985B9">
            <w:pPr>
              <w:spacing w:after="0" w:line="240" w:lineRule="auto"/>
              <w:jc w:val="right"/>
              <w:rPr>
                <w:rFonts w:cs="Arial"/>
                <w:color w:val="000000"/>
              </w:rPr>
            </w:pPr>
            <w:r w:rsidRPr="008810C6">
              <w:rPr>
                <w:rFonts w:cs="Arial"/>
                <w:color w:val="000000" w:themeColor="text1"/>
              </w:rPr>
              <w:t>9,</w:t>
            </w:r>
            <w:r w:rsidR="008810C6" w:rsidRPr="008810C6">
              <w:rPr>
                <w:rFonts w:cs="Arial"/>
                <w:color w:val="000000" w:themeColor="text1"/>
              </w:rPr>
              <w:t>500</w:t>
            </w:r>
            <w:r w:rsidRPr="008810C6">
              <w:rPr>
                <w:rFonts w:cs="Arial"/>
                <w:color w:val="000000" w:themeColor="text1"/>
              </w:rPr>
              <w:t xml:space="preserve"> </w:t>
            </w:r>
          </w:p>
        </w:tc>
        <w:tc>
          <w:tcPr>
            <w:tcW w:w="1304" w:type="dxa"/>
            <w:tcBorders>
              <w:top w:val="nil"/>
              <w:left w:val="nil"/>
              <w:bottom w:val="single" w:sz="4" w:space="0" w:color="auto"/>
              <w:right w:val="single" w:sz="4" w:space="0" w:color="auto"/>
            </w:tcBorders>
            <w:shd w:val="clear" w:color="auto" w:fill="auto"/>
            <w:noWrap/>
            <w:vAlign w:val="center"/>
          </w:tcPr>
          <w:p w14:paraId="4AAB4C78" w14:textId="2FAB59B5" w:rsidR="00D55F4F" w:rsidRPr="008810C6" w:rsidRDefault="00D55F4F" w:rsidP="110985B9">
            <w:pPr>
              <w:spacing w:after="0" w:line="240" w:lineRule="auto"/>
              <w:jc w:val="right"/>
              <w:rPr>
                <w:rFonts w:cs="Arial"/>
                <w:color w:val="000000"/>
              </w:rPr>
            </w:pPr>
            <w:r w:rsidRPr="008810C6">
              <w:rPr>
                <w:rFonts w:cs="Arial"/>
                <w:color w:val="000000" w:themeColor="text1"/>
              </w:rPr>
              <w:t>18</w:t>
            </w:r>
            <w:r w:rsidR="008810C6" w:rsidRPr="008810C6">
              <w:rPr>
                <w:rFonts w:cs="Arial"/>
                <w:color w:val="000000" w:themeColor="text1"/>
              </w:rPr>
              <w:t>,800</w:t>
            </w:r>
            <w:r w:rsidRPr="008810C6">
              <w:rPr>
                <w:rFonts w:cs="Arial"/>
                <w:color w:val="000000" w:themeColor="text1"/>
              </w:rPr>
              <w:t xml:space="preserve"> </w:t>
            </w:r>
          </w:p>
        </w:tc>
        <w:tc>
          <w:tcPr>
            <w:tcW w:w="1130" w:type="dxa"/>
            <w:tcBorders>
              <w:top w:val="nil"/>
              <w:left w:val="nil"/>
              <w:bottom w:val="single" w:sz="4" w:space="0" w:color="auto"/>
              <w:right w:val="single" w:sz="4" w:space="0" w:color="auto"/>
            </w:tcBorders>
            <w:shd w:val="clear" w:color="auto" w:fill="auto"/>
            <w:noWrap/>
            <w:vAlign w:val="center"/>
          </w:tcPr>
          <w:p w14:paraId="2634DB3B" w14:textId="618E518A" w:rsidR="00D55F4F" w:rsidRPr="008810C6" w:rsidRDefault="00D55F4F" w:rsidP="110985B9">
            <w:pPr>
              <w:spacing w:after="0" w:line="240" w:lineRule="auto"/>
              <w:jc w:val="right"/>
              <w:rPr>
                <w:rFonts w:cs="Arial"/>
                <w:color w:val="000000"/>
              </w:rPr>
            </w:pPr>
            <w:r w:rsidRPr="008810C6">
              <w:rPr>
                <w:rFonts w:cs="Arial"/>
                <w:color w:val="000000" w:themeColor="text1"/>
              </w:rPr>
              <w:t>2</w:t>
            </w:r>
            <w:r w:rsidR="008810C6" w:rsidRPr="008810C6">
              <w:rPr>
                <w:rFonts w:cs="Arial"/>
                <w:color w:val="000000" w:themeColor="text1"/>
              </w:rPr>
              <w:t>4,100</w:t>
            </w:r>
          </w:p>
        </w:tc>
        <w:tc>
          <w:tcPr>
            <w:tcW w:w="1418" w:type="dxa"/>
            <w:tcBorders>
              <w:top w:val="nil"/>
              <w:left w:val="nil"/>
              <w:bottom w:val="single" w:sz="4" w:space="0" w:color="auto"/>
              <w:right w:val="single" w:sz="4" w:space="0" w:color="auto"/>
            </w:tcBorders>
            <w:shd w:val="clear" w:color="auto" w:fill="auto"/>
            <w:noWrap/>
            <w:vAlign w:val="center"/>
          </w:tcPr>
          <w:p w14:paraId="52ACC106" w14:textId="7F4358FC" w:rsidR="00D55F4F" w:rsidRPr="008810C6" w:rsidRDefault="00D55F4F" w:rsidP="110985B9">
            <w:pPr>
              <w:spacing w:after="0" w:line="240" w:lineRule="auto"/>
              <w:jc w:val="right"/>
              <w:rPr>
                <w:rFonts w:cs="Arial"/>
                <w:color w:val="000000"/>
              </w:rPr>
            </w:pPr>
            <w:r w:rsidRPr="008810C6">
              <w:rPr>
                <w:rFonts w:cs="Arial"/>
                <w:color w:val="000000" w:themeColor="text1"/>
              </w:rPr>
              <w:t>1</w:t>
            </w:r>
            <w:r w:rsidR="008810C6" w:rsidRPr="008810C6">
              <w:rPr>
                <w:rFonts w:cs="Arial"/>
                <w:color w:val="000000" w:themeColor="text1"/>
              </w:rPr>
              <w:t>4,600</w:t>
            </w:r>
            <w:r w:rsidRPr="008810C6">
              <w:rPr>
                <w:rFonts w:cs="Arial"/>
                <w:color w:val="000000" w:themeColor="text1"/>
              </w:rPr>
              <w:t xml:space="preserve"> </w:t>
            </w:r>
          </w:p>
        </w:tc>
        <w:tc>
          <w:tcPr>
            <w:tcW w:w="1477" w:type="dxa"/>
            <w:tcBorders>
              <w:top w:val="nil"/>
              <w:left w:val="nil"/>
              <w:bottom w:val="single" w:sz="4" w:space="0" w:color="auto"/>
              <w:right w:val="single" w:sz="4" w:space="0" w:color="auto"/>
            </w:tcBorders>
            <w:shd w:val="clear" w:color="auto" w:fill="auto"/>
            <w:noWrap/>
            <w:vAlign w:val="center"/>
          </w:tcPr>
          <w:p w14:paraId="77F4ED8F" w14:textId="1B64E4F2" w:rsidR="00D55F4F" w:rsidRPr="00D43C3E" w:rsidRDefault="00D55F4F" w:rsidP="110985B9">
            <w:pPr>
              <w:spacing w:after="0" w:line="240" w:lineRule="auto"/>
              <w:jc w:val="right"/>
              <w:rPr>
                <w:rFonts w:cs="Arial"/>
                <w:color w:val="000000"/>
              </w:rPr>
            </w:pPr>
            <w:r w:rsidRPr="00D43C3E">
              <w:rPr>
                <w:rFonts w:cs="Arial"/>
                <w:color w:val="000000" w:themeColor="text1"/>
              </w:rPr>
              <w:t>4.</w:t>
            </w:r>
            <w:r w:rsidR="00D43C3E" w:rsidRPr="00D43C3E">
              <w:rPr>
                <w:rFonts w:cs="Arial"/>
                <w:color w:val="000000" w:themeColor="text1"/>
              </w:rPr>
              <w:t>8</w:t>
            </w:r>
            <w:r w:rsidRPr="00D43C3E">
              <w:rPr>
                <w:rFonts w:cs="Arial"/>
                <w:color w:val="000000" w:themeColor="text1"/>
              </w:rPr>
              <w:t>%</w:t>
            </w:r>
          </w:p>
        </w:tc>
      </w:tr>
      <w:tr w:rsidR="00D55F4F" w:rsidRPr="00537E40" w14:paraId="0ECA78D2" w14:textId="77777777" w:rsidTr="0082290B">
        <w:trPr>
          <w:trHeight w:val="340"/>
        </w:trPr>
        <w:tc>
          <w:tcPr>
            <w:tcW w:w="3061" w:type="dxa"/>
            <w:tcBorders>
              <w:top w:val="nil"/>
              <w:left w:val="single" w:sz="4" w:space="0" w:color="auto"/>
              <w:bottom w:val="single" w:sz="4" w:space="0" w:color="auto"/>
              <w:right w:val="single" w:sz="4" w:space="0" w:color="auto"/>
            </w:tcBorders>
            <w:shd w:val="clear" w:color="auto" w:fill="auto"/>
            <w:noWrap/>
            <w:vAlign w:val="center"/>
          </w:tcPr>
          <w:p w14:paraId="0AF49ECD" w14:textId="77777777" w:rsidR="00D55F4F" w:rsidRDefault="00D55F4F" w:rsidP="00D55F4F">
            <w:pPr>
              <w:spacing w:after="0"/>
              <w:rPr>
                <w:rFonts w:cs="Arial"/>
                <w:b/>
                <w:bCs/>
                <w:color w:val="000000"/>
                <w:szCs w:val="20"/>
              </w:rPr>
            </w:pPr>
            <w:r>
              <w:rPr>
                <w:rFonts w:cs="Arial"/>
                <w:b/>
                <w:bCs/>
                <w:color w:val="000000"/>
                <w:szCs w:val="20"/>
              </w:rPr>
              <w:t>Parkville</w:t>
            </w:r>
          </w:p>
        </w:tc>
        <w:tc>
          <w:tcPr>
            <w:tcW w:w="1304" w:type="dxa"/>
            <w:tcBorders>
              <w:top w:val="nil"/>
              <w:left w:val="nil"/>
              <w:bottom w:val="single" w:sz="4" w:space="0" w:color="auto"/>
              <w:right w:val="single" w:sz="4" w:space="0" w:color="auto"/>
            </w:tcBorders>
            <w:shd w:val="clear" w:color="auto" w:fill="auto"/>
            <w:noWrap/>
            <w:vAlign w:val="center"/>
          </w:tcPr>
          <w:p w14:paraId="784D71C8" w14:textId="7EDC0DC7" w:rsidR="00D55F4F" w:rsidRPr="008810C6" w:rsidRDefault="00D55F4F" w:rsidP="110985B9">
            <w:pPr>
              <w:spacing w:after="0" w:line="240" w:lineRule="auto"/>
              <w:jc w:val="right"/>
              <w:rPr>
                <w:rFonts w:cs="Arial"/>
                <w:color w:val="000000"/>
              </w:rPr>
            </w:pPr>
            <w:r w:rsidRPr="008810C6">
              <w:rPr>
                <w:rFonts w:cs="Arial"/>
                <w:color w:val="000000" w:themeColor="text1"/>
              </w:rPr>
              <w:t>3</w:t>
            </w:r>
            <w:r w:rsidR="008810C6" w:rsidRPr="008810C6">
              <w:rPr>
                <w:rFonts w:cs="Arial"/>
                <w:color w:val="000000" w:themeColor="text1"/>
              </w:rPr>
              <w:t>4,600</w:t>
            </w:r>
            <w:r w:rsidRPr="008810C6">
              <w:rPr>
                <w:rFonts w:cs="Arial"/>
                <w:color w:val="000000" w:themeColor="text1"/>
              </w:rPr>
              <w:t xml:space="preserve"> </w:t>
            </w:r>
          </w:p>
        </w:tc>
        <w:tc>
          <w:tcPr>
            <w:tcW w:w="1304" w:type="dxa"/>
            <w:tcBorders>
              <w:top w:val="nil"/>
              <w:left w:val="nil"/>
              <w:bottom w:val="single" w:sz="4" w:space="0" w:color="auto"/>
              <w:right w:val="single" w:sz="4" w:space="0" w:color="auto"/>
            </w:tcBorders>
            <w:shd w:val="clear" w:color="auto" w:fill="auto"/>
            <w:noWrap/>
            <w:vAlign w:val="center"/>
          </w:tcPr>
          <w:p w14:paraId="04971951" w14:textId="7F8CE76E" w:rsidR="00D55F4F" w:rsidRPr="008810C6" w:rsidRDefault="00D55F4F" w:rsidP="110985B9">
            <w:pPr>
              <w:spacing w:after="0" w:line="240" w:lineRule="auto"/>
              <w:jc w:val="right"/>
              <w:rPr>
                <w:rFonts w:cs="Arial"/>
                <w:color w:val="000000"/>
              </w:rPr>
            </w:pPr>
            <w:r w:rsidRPr="008810C6">
              <w:rPr>
                <w:rFonts w:cs="Arial"/>
                <w:color w:val="000000" w:themeColor="text1"/>
              </w:rPr>
              <w:t>3</w:t>
            </w:r>
            <w:r w:rsidR="008810C6" w:rsidRPr="008810C6">
              <w:rPr>
                <w:rFonts w:cs="Arial"/>
                <w:color w:val="000000" w:themeColor="text1"/>
              </w:rPr>
              <w:t>6,600</w:t>
            </w:r>
            <w:r w:rsidRPr="008810C6">
              <w:rPr>
                <w:rFonts w:cs="Arial"/>
                <w:color w:val="000000" w:themeColor="text1"/>
              </w:rPr>
              <w:t xml:space="preserve"> </w:t>
            </w:r>
          </w:p>
        </w:tc>
        <w:tc>
          <w:tcPr>
            <w:tcW w:w="1130" w:type="dxa"/>
            <w:tcBorders>
              <w:top w:val="nil"/>
              <w:left w:val="nil"/>
              <w:bottom w:val="single" w:sz="4" w:space="0" w:color="auto"/>
              <w:right w:val="single" w:sz="4" w:space="0" w:color="auto"/>
            </w:tcBorders>
            <w:shd w:val="clear" w:color="auto" w:fill="auto"/>
            <w:noWrap/>
            <w:vAlign w:val="center"/>
          </w:tcPr>
          <w:p w14:paraId="71BCE835" w14:textId="70D030D3" w:rsidR="00D55F4F" w:rsidRPr="008810C6" w:rsidRDefault="00D55F4F" w:rsidP="110985B9">
            <w:pPr>
              <w:spacing w:after="0" w:line="240" w:lineRule="auto"/>
              <w:jc w:val="right"/>
              <w:rPr>
                <w:rFonts w:cs="Arial"/>
                <w:color w:val="000000"/>
              </w:rPr>
            </w:pPr>
            <w:r w:rsidRPr="008810C6">
              <w:rPr>
                <w:rFonts w:cs="Arial"/>
                <w:color w:val="000000" w:themeColor="text1"/>
              </w:rPr>
              <w:t>3</w:t>
            </w:r>
            <w:r w:rsidR="008810C6" w:rsidRPr="008810C6">
              <w:rPr>
                <w:rFonts w:cs="Arial"/>
                <w:color w:val="000000" w:themeColor="text1"/>
              </w:rPr>
              <w:t>6,600</w:t>
            </w:r>
            <w:r w:rsidRPr="008810C6">
              <w:rPr>
                <w:rFonts w:cs="Arial"/>
                <w:color w:val="000000" w:themeColor="text1"/>
              </w:rPr>
              <w:t xml:space="preserve"> </w:t>
            </w:r>
          </w:p>
        </w:tc>
        <w:tc>
          <w:tcPr>
            <w:tcW w:w="1418" w:type="dxa"/>
            <w:tcBorders>
              <w:top w:val="nil"/>
              <w:left w:val="nil"/>
              <w:bottom w:val="single" w:sz="4" w:space="0" w:color="auto"/>
              <w:right w:val="single" w:sz="4" w:space="0" w:color="auto"/>
            </w:tcBorders>
            <w:shd w:val="clear" w:color="auto" w:fill="auto"/>
            <w:noWrap/>
            <w:vAlign w:val="center"/>
          </w:tcPr>
          <w:p w14:paraId="0C9DA745" w14:textId="751893AB" w:rsidR="00D55F4F" w:rsidRPr="008810C6" w:rsidRDefault="008810C6" w:rsidP="110985B9">
            <w:pPr>
              <w:spacing w:after="0" w:line="240" w:lineRule="auto"/>
              <w:jc w:val="right"/>
              <w:rPr>
                <w:rFonts w:cs="Arial"/>
                <w:color w:val="000000"/>
              </w:rPr>
            </w:pPr>
            <w:r w:rsidRPr="008810C6">
              <w:rPr>
                <w:rFonts w:cs="Arial"/>
                <w:color w:val="000000" w:themeColor="text1"/>
              </w:rPr>
              <w:t>2,000</w:t>
            </w:r>
            <w:r w:rsidR="00D55F4F" w:rsidRPr="008810C6">
              <w:rPr>
                <w:rFonts w:cs="Arial"/>
                <w:color w:val="000000" w:themeColor="text1"/>
              </w:rPr>
              <w:t xml:space="preserve"> </w:t>
            </w:r>
          </w:p>
        </w:tc>
        <w:tc>
          <w:tcPr>
            <w:tcW w:w="1477" w:type="dxa"/>
            <w:tcBorders>
              <w:top w:val="nil"/>
              <w:left w:val="nil"/>
              <w:bottom w:val="single" w:sz="4" w:space="0" w:color="auto"/>
              <w:right w:val="single" w:sz="4" w:space="0" w:color="auto"/>
            </w:tcBorders>
            <w:shd w:val="clear" w:color="auto" w:fill="auto"/>
            <w:noWrap/>
            <w:vAlign w:val="center"/>
          </w:tcPr>
          <w:p w14:paraId="5BBABB03" w14:textId="73B1C871" w:rsidR="00D55F4F" w:rsidRPr="00D43C3E" w:rsidRDefault="00D43C3E" w:rsidP="110985B9">
            <w:pPr>
              <w:spacing w:after="0" w:line="240" w:lineRule="auto"/>
              <w:jc w:val="right"/>
              <w:rPr>
                <w:rFonts w:cs="Arial"/>
                <w:color w:val="000000"/>
              </w:rPr>
            </w:pPr>
            <w:r w:rsidRPr="00D43C3E">
              <w:rPr>
                <w:rFonts w:cs="Arial"/>
                <w:color w:val="000000" w:themeColor="text1"/>
              </w:rPr>
              <w:t>0.3</w:t>
            </w:r>
            <w:r w:rsidR="00D55F4F" w:rsidRPr="00D43C3E">
              <w:rPr>
                <w:rFonts w:cs="Arial"/>
                <w:color w:val="000000" w:themeColor="text1"/>
              </w:rPr>
              <w:t>%</w:t>
            </w:r>
          </w:p>
        </w:tc>
      </w:tr>
      <w:tr w:rsidR="00D55F4F" w:rsidRPr="00537E40" w14:paraId="47964F24" w14:textId="77777777" w:rsidTr="0082290B">
        <w:trPr>
          <w:trHeight w:val="340"/>
        </w:trPr>
        <w:tc>
          <w:tcPr>
            <w:tcW w:w="3061" w:type="dxa"/>
            <w:tcBorders>
              <w:top w:val="nil"/>
              <w:left w:val="single" w:sz="4" w:space="0" w:color="auto"/>
              <w:bottom w:val="single" w:sz="4" w:space="0" w:color="auto"/>
              <w:right w:val="single" w:sz="4" w:space="0" w:color="auto"/>
            </w:tcBorders>
            <w:shd w:val="clear" w:color="auto" w:fill="auto"/>
            <w:noWrap/>
            <w:vAlign w:val="center"/>
          </w:tcPr>
          <w:p w14:paraId="32B28359" w14:textId="77777777" w:rsidR="00D55F4F" w:rsidRDefault="00D55F4F" w:rsidP="00D55F4F">
            <w:pPr>
              <w:spacing w:after="0"/>
              <w:rPr>
                <w:rFonts w:cs="Arial"/>
                <w:b/>
                <w:bCs/>
                <w:color w:val="000000"/>
                <w:szCs w:val="20"/>
              </w:rPr>
            </w:pPr>
            <w:r>
              <w:rPr>
                <w:rFonts w:cs="Arial"/>
                <w:b/>
                <w:bCs/>
                <w:color w:val="000000"/>
                <w:szCs w:val="20"/>
              </w:rPr>
              <w:t>Port Melbourne</w:t>
            </w:r>
          </w:p>
        </w:tc>
        <w:tc>
          <w:tcPr>
            <w:tcW w:w="1304" w:type="dxa"/>
            <w:tcBorders>
              <w:top w:val="nil"/>
              <w:left w:val="nil"/>
              <w:bottom w:val="single" w:sz="4" w:space="0" w:color="auto"/>
              <w:right w:val="single" w:sz="4" w:space="0" w:color="auto"/>
            </w:tcBorders>
            <w:shd w:val="clear" w:color="auto" w:fill="auto"/>
            <w:noWrap/>
            <w:vAlign w:val="center"/>
          </w:tcPr>
          <w:p w14:paraId="5E3EDDEB" w14:textId="365971FC" w:rsidR="00D55F4F" w:rsidRPr="008810C6" w:rsidRDefault="00D55F4F" w:rsidP="110985B9">
            <w:pPr>
              <w:spacing w:after="0" w:line="240" w:lineRule="auto"/>
              <w:jc w:val="right"/>
              <w:rPr>
                <w:rFonts w:cs="Arial"/>
                <w:color w:val="000000"/>
              </w:rPr>
            </w:pPr>
            <w:r w:rsidRPr="008810C6">
              <w:rPr>
                <w:rFonts w:cs="Arial"/>
                <w:color w:val="000000" w:themeColor="text1"/>
              </w:rPr>
              <w:t>13</w:t>
            </w:r>
            <w:r w:rsidR="008810C6" w:rsidRPr="008810C6">
              <w:rPr>
                <w:rFonts w:cs="Arial"/>
                <w:color w:val="000000" w:themeColor="text1"/>
              </w:rPr>
              <w:t>,500</w:t>
            </w:r>
            <w:r w:rsidRPr="008810C6">
              <w:rPr>
                <w:rFonts w:cs="Arial"/>
                <w:color w:val="000000" w:themeColor="text1"/>
              </w:rPr>
              <w:t xml:space="preserve"> </w:t>
            </w:r>
          </w:p>
        </w:tc>
        <w:tc>
          <w:tcPr>
            <w:tcW w:w="1304" w:type="dxa"/>
            <w:tcBorders>
              <w:top w:val="nil"/>
              <w:left w:val="nil"/>
              <w:bottom w:val="single" w:sz="4" w:space="0" w:color="auto"/>
              <w:right w:val="single" w:sz="4" w:space="0" w:color="auto"/>
            </w:tcBorders>
            <w:shd w:val="clear" w:color="auto" w:fill="auto"/>
            <w:noWrap/>
            <w:vAlign w:val="center"/>
          </w:tcPr>
          <w:p w14:paraId="1DAFBF14" w14:textId="4006FC7C" w:rsidR="00D55F4F" w:rsidRPr="008810C6" w:rsidRDefault="00D55F4F" w:rsidP="110985B9">
            <w:pPr>
              <w:spacing w:after="0" w:line="240" w:lineRule="auto"/>
              <w:jc w:val="right"/>
              <w:rPr>
                <w:rFonts w:cs="Arial"/>
                <w:color w:val="000000"/>
              </w:rPr>
            </w:pPr>
            <w:r w:rsidRPr="008810C6">
              <w:rPr>
                <w:rFonts w:cs="Arial"/>
                <w:color w:val="000000" w:themeColor="text1"/>
              </w:rPr>
              <w:t>1</w:t>
            </w:r>
            <w:r w:rsidR="008810C6" w:rsidRPr="008810C6">
              <w:rPr>
                <w:rFonts w:cs="Arial"/>
                <w:color w:val="000000" w:themeColor="text1"/>
              </w:rPr>
              <w:t>6,600</w:t>
            </w:r>
            <w:r w:rsidRPr="008810C6">
              <w:rPr>
                <w:rFonts w:cs="Arial"/>
                <w:color w:val="000000" w:themeColor="text1"/>
              </w:rPr>
              <w:t xml:space="preserve"> </w:t>
            </w:r>
          </w:p>
        </w:tc>
        <w:tc>
          <w:tcPr>
            <w:tcW w:w="1130" w:type="dxa"/>
            <w:tcBorders>
              <w:top w:val="nil"/>
              <w:left w:val="nil"/>
              <w:bottom w:val="single" w:sz="4" w:space="0" w:color="auto"/>
              <w:right w:val="single" w:sz="4" w:space="0" w:color="auto"/>
            </w:tcBorders>
            <w:shd w:val="clear" w:color="auto" w:fill="auto"/>
            <w:noWrap/>
            <w:vAlign w:val="center"/>
          </w:tcPr>
          <w:p w14:paraId="6CE4A6BC" w14:textId="326BC49F" w:rsidR="00D55F4F" w:rsidRPr="008810C6" w:rsidRDefault="008810C6" w:rsidP="110985B9">
            <w:pPr>
              <w:spacing w:after="0" w:line="240" w:lineRule="auto"/>
              <w:jc w:val="right"/>
              <w:rPr>
                <w:rFonts w:cs="Arial"/>
                <w:color w:val="000000"/>
              </w:rPr>
            </w:pPr>
            <w:r w:rsidRPr="008810C6">
              <w:rPr>
                <w:rFonts w:cs="Arial"/>
                <w:color w:val="000000" w:themeColor="text1"/>
              </w:rPr>
              <w:t>29,900</w:t>
            </w:r>
            <w:r w:rsidR="00D55F4F" w:rsidRPr="008810C6">
              <w:rPr>
                <w:rFonts w:cs="Arial"/>
                <w:color w:val="000000" w:themeColor="text1"/>
              </w:rPr>
              <w:t xml:space="preserve"> </w:t>
            </w:r>
          </w:p>
        </w:tc>
        <w:tc>
          <w:tcPr>
            <w:tcW w:w="1418" w:type="dxa"/>
            <w:tcBorders>
              <w:top w:val="nil"/>
              <w:left w:val="nil"/>
              <w:bottom w:val="single" w:sz="4" w:space="0" w:color="auto"/>
              <w:right w:val="single" w:sz="4" w:space="0" w:color="auto"/>
            </w:tcBorders>
            <w:shd w:val="clear" w:color="auto" w:fill="auto"/>
            <w:noWrap/>
            <w:vAlign w:val="center"/>
          </w:tcPr>
          <w:p w14:paraId="148E2F54" w14:textId="4745A697" w:rsidR="00D55F4F" w:rsidRPr="008810C6" w:rsidRDefault="00D55F4F" w:rsidP="110985B9">
            <w:pPr>
              <w:spacing w:after="0" w:line="240" w:lineRule="auto"/>
              <w:jc w:val="right"/>
              <w:rPr>
                <w:rFonts w:cs="Arial"/>
                <w:color w:val="000000"/>
              </w:rPr>
            </w:pPr>
            <w:r w:rsidRPr="008810C6">
              <w:rPr>
                <w:rFonts w:cs="Arial"/>
                <w:color w:val="000000" w:themeColor="text1"/>
              </w:rPr>
              <w:t>1</w:t>
            </w:r>
            <w:r w:rsidR="008810C6" w:rsidRPr="008810C6">
              <w:rPr>
                <w:rFonts w:cs="Arial"/>
                <w:color w:val="000000" w:themeColor="text1"/>
              </w:rPr>
              <w:t>6,400</w:t>
            </w:r>
            <w:r w:rsidRPr="008810C6">
              <w:rPr>
                <w:rFonts w:cs="Arial"/>
                <w:color w:val="000000" w:themeColor="text1"/>
              </w:rPr>
              <w:t xml:space="preserve"> </w:t>
            </w:r>
          </w:p>
        </w:tc>
        <w:tc>
          <w:tcPr>
            <w:tcW w:w="1477" w:type="dxa"/>
            <w:tcBorders>
              <w:top w:val="nil"/>
              <w:left w:val="nil"/>
              <w:bottom w:val="single" w:sz="4" w:space="0" w:color="auto"/>
              <w:right w:val="single" w:sz="4" w:space="0" w:color="auto"/>
            </w:tcBorders>
            <w:shd w:val="clear" w:color="auto" w:fill="auto"/>
            <w:noWrap/>
            <w:vAlign w:val="center"/>
          </w:tcPr>
          <w:p w14:paraId="0257EFDF" w14:textId="6BF647FF" w:rsidR="00D55F4F" w:rsidRPr="00D43C3E" w:rsidRDefault="00D55F4F" w:rsidP="110985B9">
            <w:pPr>
              <w:spacing w:after="0" w:line="240" w:lineRule="auto"/>
              <w:jc w:val="right"/>
              <w:rPr>
                <w:rFonts w:cs="Arial"/>
                <w:color w:val="000000"/>
              </w:rPr>
            </w:pPr>
            <w:r w:rsidRPr="00D43C3E">
              <w:rPr>
                <w:rFonts w:cs="Arial"/>
                <w:color w:val="000000" w:themeColor="text1"/>
              </w:rPr>
              <w:t>4.</w:t>
            </w:r>
            <w:r w:rsidR="00D43C3E" w:rsidRPr="00D43C3E">
              <w:rPr>
                <w:rFonts w:cs="Arial"/>
                <w:color w:val="000000" w:themeColor="text1"/>
              </w:rPr>
              <w:t>1</w:t>
            </w:r>
            <w:r w:rsidRPr="00D43C3E">
              <w:rPr>
                <w:rFonts w:cs="Arial"/>
                <w:color w:val="000000" w:themeColor="text1"/>
              </w:rPr>
              <w:t>%</w:t>
            </w:r>
          </w:p>
        </w:tc>
      </w:tr>
      <w:tr w:rsidR="00D55F4F" w:rsidRPr="00537E40" w14:paraId="36390B44" w14:textId="77777777" w:rsidTr="0082290B">
        <w:trPr>
          <w:trHeight w:val="340"/>
        </w:trPr>
        <w:tc>
          <w:tcPr>
            <w:tcW w:w="3061" w:type="dxa"/>
            <w:tcBorders>
              <w:top w:val="nil"/>
              <w:left w:val="single" w:sz="4" w:space="0" w:color="auto"/>
              <w:bottom w:val="single" w:sz="4" w:space="0" w:color="auto"/>
              <w:right w:val="single" w:sz="4" w:space="0" w:color="auto"/>
            </w:tcBorders>
            <w:shd w:val="clear" w:color="auto" w:fill="auto"/>
            <w:noWrap/>
            <w:vAlign w:val="center"/>
          </w:tcPr>
          <w:p w14:paraId="205E3126" w14:textId="77777777" w:rsidR="00D55F4F" w:rsidRDefault="00D55F4F" w:rsidP="00D55F4F">
            <w:pPr>
              <w:spacing w:after="0"/>
              <w:rPr>
                <w:rFonts w:cs="Arial"/>
                <w:b/>
                <w:bCs/>
                <w:color w:val="000000"/>
                <w:szCs w:val="20"/>
              </w:rPr>
            </w:pPr>
            <w:r>
              <w:rPr>
                <w:rFonts w:cs="Arial"/>
                <w:b/>
                <w:bCs/>
                <w:color w:val="000000"/>
                <w:szCs w:val="20"/>
              </w:rPr>
              <w:t>South Yarra</w:t>
            </w:r>
          </w:p>
        </w:tc>
        <w:tc>
          <w:tcPr>
            <w:tcW w:w="1304" w:type="dxa"/>
            <w:tcBorders>
              <w:top w:val="nil"/>
              <w:left w:val="nil"/>
              <w:bottom w:val="single" w:sz="4" w:space="0" w:color="auto"/>
              <w:right w:val="single" w:sz="4" w:space="0" w:color="auto"/>
            </w:tcBorders>
            <w:shd w:val="clear" w:color="auto" w:fill="auto"/>
            <w:noWrap/>
            <w:vAlign w:val="center"/>
          </w:tcPr>
          <w:p w14:paraId="17A30651" w14:textId="7F81AE9A" w:rsidR="00D55F4F" w:rsidRPr="008810C6" w:rsidRDefault="00D55F4F" w:rsidP="110985B9">
            <w:pPr>
              <w:spacing w:after="0" w:line="240" w:lineRule="auto"/>
              <w:jc w:val="right"/>
              <w:rPr>
                <w:rFonts w:cs="Arial"/>
                <w:color w:val="000000"/>
              </w:rPr>
            </w:pPr>
            <w:r w:rsidRPr="008810C6">
              <w:rPr>
                <w:rFonts w:cs="Arial"/>
                <w:color w:val="000000" w:themeColor="text1"/>
              </w:rPr>
              <w:t>1,</w:t>
            </w:r>
            <w:r w:rsidR="008810C6" w:rsidRPr="008810C6">
              <w:rPr>
                <w:rFonts w:cs="Arial"/>
                <w:color w:val="000000" w:themeColor="text1"/>
              </w:rPr>
              <w:t>200</w:t>
            </w:r>
            <w:r w:rsidRPr="008810C6">
              <w:rPr>
                <w:rFonts w:cs="Arial"/>
                <w:color w:val="000000" w:themeColor="text1"/>
              </w:rPr>
              <w:t xml:space="preserve"> </w:t>
            </w:r>
          </w:p>
        </w:tc>
        <w:tc>
          <w:tcPr>
            <w:tcW w:w="1304" w:type="dxa"/>
            <w:tcBorders>
              <w:top w:val="nil"/>
              <w:left w:val="nil"/>
              <w:bottom w:val="single" w:sz="4" w:space="0" w:color="auto"/>
              <w:right w:val="single" w:sz="4" w:space="0" w:color="auto"/>
            </w:tcBorders>
            <w:shd w:val="clear" w:color="auto" w:fill="auto"/>
            <w:noWrap/>
            <w:vAlign w:val="center"/>
          </w:tcPr>
          <w:p w14:paraId="0C92344E" w14:textId="57E826D1" w:rsidR="00D55F4F" w:rsidRPr="008810C6" w:rsidRDefault="00D55F4F" w:rsidP="110985B9">
            <w:pPr>
              <w:spacing w:after="0" w:line="240" w:lineRule="auto"/>
              <w:jc w:val="right"/>
              <w:rPr>
                <w:rFonts w:cs="Arial"/>
                <w:color w:val="000000"/>
              </w:rPr>
            </w:pPr>
            <w:r w:rsidRPr="008810C6">
              <w:rPr>
                <w:rFonts w:cs="Arial"/>
                <w:color w:val="000000" w:themeColor="text1"/>
              </w:rPr>
              <w:t>1,</w:t>
            </w:r>
            <w:r w:rsidR="008810C6" w:rsidRPr="008810C6">
              <w:rPr>
                <w:rFonts w:cs="Arial"/>
                <w:color w:val="000000" w:themeColor="text1"/>
              </w:rPr>
              <w:t>300</w:t>
            </w:r>
            <w:r w:rsidRPr="008810C6">
              <w:rPr>
                <w:rFonts w:cs="Arial"/>
                <w:color w:val="000000" w:themeColor="text1"/>
              </w:rPr>
              <w:t xml:space="preserve"> </w:t>
            </w:r>
          </w:p>
        </w:tc>
        <w:tc>
          <w:tcPr>
            <w:tcW w:w="1130" w:type="dxa"/>
            <w:tcBorders>
              <w:top w:val="nil"/>
              <w:left w:val="nil"/>
              <w:bottom w:val="single" w:sz="4" w:space="0" w:color="auto"/>
              <w:right w:val="single" w:sz="4" w:space="0" w:color="auto"/>
            </w:tcBorders>
            <w:shd w:val="clear" w:color="auto" w:fill="auto"/>
            <w:noWrap/>
            <w:vAlign w:val="center"/>
          </w:tcPr>
          <w:p w14:paraId="22A855B4" w14:textId="0F81D2C4" w:rsidR="00D55F4F" w:rsidRPr="008810C6" w:rsidRDefault="00D55F4F" w:rsidP="110985B9">
            <w:pPr>
              <w:spacing w:after="0" w:line="240" w:lineRule="auto"/>
              <w:jc w:val="right"/>
              <w:rPr>
                <w:rFonts w:cs="Arial"/>
                <w:color w:val="000000"/>
              </w:rPr>
            </w:pPr>
            <w:r w:rsidRPr="008810C6">
              <w:rPr>
                <w:rFonts w:cs="Arial"/>
                <w:color w:val="000000" w:themeColor="text1"/>
              </w:rPr>
              <w:t>1,</w:t>
            </w:r>
            <w:r w:rsidR="008810C6" w:rsidRPr="008810C6">
              <w:rPr>
                <w:rFonts w:cs="Arial"/>
                <w:color w:val="000000" w:themeColor="text1"/>
              </w:rPr>
              <w:t>400</w:t>
            </w:r>
            <w:r w:rsidRPr="008810C6">
              <w:rPr>
                <w:rFonts w:cs="Arial"/>
                <w:color w:val="000000" w:themeColor="text1"/>
              </w:rPr>
              <w:t xml:space="preserve"> </w:t>
            </w:r>
          </w:p>
        </w:tc>
        <w:tc>
          <w:tcPr>
            <w:tcW w:w="1418" w:type="dxa"/>
            <w:tcBorders>
              <w:top w:val="nil"/>
              <w:left w:val="nil"/>
              <w:bottom w:val="single" w:sz="4" w:space="0" w:color="auto"/>
              <w:right w:val="single" w:sz="4" w:space="0" w:color="auto"/>
            </w:tcBorders>
            <w:shd w:val="clear" w:color="auto" w:fill="auto"/>
            <w:noWrap/>
            <w:vAlign w:val="center"/>
          </w:tcPr>
          <w:p w14:paraId="7DEC3B68" w14:textId="7C1C0CDF" w:rsidR="00D55F4F" w:rsidRPr="008810C6" w:rsidRDefault="008810C6" w:rsidP="110985B9">
            <w:pPr>
              <w:spacing w:after="0" w:line="240" w:lineRule="auto"/>
              <w:jc w:val="right"/>
              <w:rPr>
                <w:rFonts w:cs="Arial"/>
                <w:color w:val="000000"/>
              </w:rPr>
            </w:pPr>
            <w:r w:rsidRPr="008810C6">
              <w:rPr>
                <w:rFonts w:cs="Arial"/>
                <w:color w:val="000000" w:themeColor="text1"/>
              </w:rPr>
              <w:t>200</w:t>
            </w:r>
            <w:r w:rsidR="00D55F4F" w:rsidRPr="008810C6">
              <w:rPr>
                <w:rFonts w:cs="Arial"/>
                <w:color w:val="000000" w:themeColor="text1"/>
              </w:rPr>
              <w:t xml:space="preserve"> </w:t>
            </w:r>
          </w:p>
        </w:tc>
        <w:tc>
          <w:tcPr>
            <w:tcW w:w="1477" w:type="dxa"/>
            <w:tcBorders>
              <w:top w:val="nil"/>
              <w:left w:val="nil"/>
              <w:bottom w:val="single" w:sz="4" w:space="0" w:color="auto"/>
              <w:right w:val="single" w:sz="4" w:space="0" w:color="auto"/>
            </w:tcBorders>
            <w:shd w:val="clear" w:color="auto" w:fill="auto"/>
            <w:noWrap/>
            <w:vAlign w:val="center"/>
          </w:tcPr>
          <w:p w14:paraId="3D5851AA" w14:textId="38A42DA9" w:rsidR="00D55F4F" w:rsidRPr="00D43C3E" w:rsidRDefault="00D43C3E" w:rsidP="110985B9">
            <w:pPr>
              <w:spacing w:after="0" w:line="240" w:lineRule="auto"/>
              <w:jc w:val="right"/>
              <w:rPr>
                <w:rFonts w:cs="Arial"/>
                <w:color w:val="000000"/>
              </w:rPr>
            </w:pPr>
            <w:r w:rsidRPr="00D43C3E">
              <w:rPr>
                <w:rFonts w:cs="Arial"/>
                <w:color w:val="000000" w:themeColor="text1"/>
              </w:rPr>
              <w:t>0.8</w:t>
            </w:r>
            <w:r w:rsidR="00D55F4F" w:rsidRPr="00D43C3E">
              <w:rPr>
                <w:rFonts w:cs="Arial"/>
                <w:color w:val="000000" w:themeColor="text1"/>
              </w:rPr>
              <w:t>%</w:t>
            </w:r>
          </w:p>
        </w:tc>
      </w:tr>
      <w:tr w:rsidR="00D55F4F" w:rsidRPr="00537E40" w14:paraId="7C8EEA79" w14:textId="77777777" w:rsidTr="0082290B">
        <w:trPr>
          <w:trHeight w:val="340"/>
        </w:trPr>
        <w:tc>
          <w:tcPr>
            <w:tcW w:w="3061" w:type="dxa"/>
            <w:tcBorders>
              <w:top w:val="nil"/>
              <w:left w:val="single" w:sz="4" w:space="0" w:color="auto"/>
              <w:bottom w:val="single" w:sz="4" w:space="0" w:color="auto"/>
              <w:right w:val="single" w:sz="4" w:space="0" w:color="auto"/>
            </w:tcBorders>
            <w:shd w:val="clear" w:color="auto" w:fill="auto"/>
            <w:noWrap/>
            <w:vAlign w:val="center"/>
          </w:tcPr>
          <w:p w14:paraId="3D16F444" w14:textId="77777777" w:rsidR="00D55F4F" w:rsidRDefault="00D55F4F" w:rsidP="00D55F4F">
            <w:pPr>
              <w:spacing w:after="0"/>
              <w:rPr>
                <w:rFonts w:cs="Arial"/>
                <w:b/>
                <w:bCs/>
                <w:color w:val="000000"/>
                <w:szCs w:val="20"/>
              </w:rPr>
            </w:pPr>
            <w:r>
              <w:rPr>
                <w:rFonts w:cs="Arial"/>
                <w:b/>
                <w:bCs/>
                <w:color w:val="000000"/>
                <w:szCs w:val="20"/>
              </w:rPr>
              <w:t>Southbank</w:t>
            </w:r>
          </w:p>
        </w:tc>
        <w:tc>
          <w:tcPr>
            <w:tcW w:w="1304" w:type="dxa"/>
            <w:tcBorders>
              <w:top w:val="nil"/>
              <w:left w:val="nil"/>
              <w:bottom w:val="single" w:sz="4" w:space="0" w:color="auto"/>
              <w:right w:val="single" w:sz="4" w:space="0" w:color="auto"/>
            </w:tcBorders>
            <w:shd w:val="clear" w:color="auto" w:fill="auto"/>
            <w:noWrap/>
            <w:vAlign w:val="center"/>
          </w:tcPr>
          <w:p w14:paraId="4F624B97" w14:textId="75E0AE74" w:rsidR="00D55F4F" w:rsidRPr="008810C6" w:rsidRDefault="00D55F4F" w:rsidP="110985B9">
            <w:pPr>
              <w:spacing w:after="0" w:line="240" w:lineRule="auto"/>
              <w:jc w:val="right"/>
              <w:rPr>
                <w:rFonts w:cs="Arial"/>
                <w:color w:val="000000"/>
              </w:rPr>
            </w:pPr>
            <w:r w:rsidRPr="008810C6">
              <w:rPr>
                <w:rFonts w:cs="Arial"/>
                <w:color w:val="000000" w:themeColor="text1"/>
              </w:rPr>
              <w:t>4</w:t>
            </w:r>
            <w:r w:rsidR="008810C6" w:rsidRPr="008810C6">
              <w:rPr>
                <w:rFonts w:cs="Arial"/>
                <w:color w:val="000000" w:themeColor="text1"/>
              </w:rPr>
              <w:t>7,100</w:t>
            </w:r>
            <w:r w:rsidRPr="008810C6">
              <w:rPr>
                <w:rFonts w:cs="Arial"/>
                <w:color w:val="000000" w:themeColor="text1"/>
              </w:rPr>
              <w:t xml:space="preserve"> </w:t>
            </w:r>
          </w:p>
        </w:tc>
        <w:tc>
          <w:tcPr>
            <w:tcW w:w="1304" w:type="dxa"/>
            <w:tcBorders>
              <w:top w:val="nil"/>
              <w:left w:val="nil"/>
              <w:bottom w:val="single" w:sz="4" w:space="0" w:color="auto"/>
              <w:right w:val="single" w:sz="4" w:space="0" w:color="auto"/>
            </w:tcBorders>
            <w:shd w:val="clear" w:color="auto" w:fill="auto"/>
            <w:noWrap/>
            <w:vAlign w:val="center"/>
          </w:tcPr>
          <w:p w14:paraId="451CA6AE" w14:textId="2F9998CA" w:rsidR="00D55F4F" w:rsidRPr="008810C6" w:rsidRDefault="00D55F4F" w:rsidP="110985B9">
            <w:pPr>
              <w:spacing w:after="0" w:line="240" w:lineRule="auto"/>
              <w:jc w:val="right"/>
              <w:rPr>
                <w:rFonts w:cs="Arial"/>
                <w:color w:val="000000"/>
              </w:rPr>
            </w:pPr>
            <w:r w:rsidRPr="008810C6">
              <w:rPr>
                <w:rFonts w:cs="Arial"/>
                <w:color w:val="000000" w:themeColor="text1"/>
              </w:rPr>
              <w:t>5</w:t>
            </w:r>
            <w:r w:rsidR="008810C6" w:rsidRPr="008810C6">
              <w:rPr>
                <w:rFonts w:cs="Arial"/>
                <w:color w:val="000000" w:themeColor="text1"/>
              </w:rPr>
              <w:t>9,700</w:t>
            </w:r>
            <w:r w:rsidRPr="008810C6">
              <w:rPr>
                <w:rFonts w:cs="Arial"/>
                <w:color w:val="000000" w:themeColor="text1"/>
              </w:rPr>
              <w:t xml:space="preserve"> </w:t>
            </w:r>
          </w:p>
        </w:tc>
        <w:tc>
          <w:tcPr>
            <w:tcW w:w="1130" w:type="dxa"/>
            <w:tcBorders>
              <w:top w:val="nil"/>
              <w:left w:val="nil"/>
              <w:bottom w:val="single" w:sz="4" w:space="0" w:color="auto"/>
              <w:right w:val="single" w:sz="4" w:space="0" w:color="auto"/>
            </w:tcBorders>
            <w:shd w:val="clear" w:color="auto" w:fill="auto"/>
            <w:noWrap/>
            <w:vAlign w:val="center"/>
          </w:tcPr>
          <w:p w14:paraId="097E414B" w14:textId="2E90FF32" w:rsidR="00D55F4F" w:rsidRPr="008810C6" w:rsidRDefault="008810C6" w:rsidP="110985B9">
            <w:pPr>
              <w:spacing w:after="0" w:line="240" w:lineRule="auto"/>
              <w:jc w:val="right"/>
              <w:rPr>
                <w:rFonts w:cs="Arial"/>
                <w:color w:val="000000"/>
              </w:rPr>
            </w:pPr>
            <w:r w:rsidRPr="008810C6">
              <w:rPr>
                <w:rFonts w:cs="Arial"/>
                <w:color w:val="000000" w:themeColor="text1"/>
              </w:rPr>
              <w:t>67,200</w:t>
            </w:r>
            <w:r w:rsidR="00D55F4F" w:rsidRPr="008810C6">
              <w:rPr>
                <w:rFonts w:cs="Arial"/>
                <w:color w:val="000000" w:themeColor="text1"/>
              </w:rPr>
              <w:t xml:space="preserve"> </w:t>
            </w:r>
          </w:p>
        </w:tc>
        <w:tc>
          <w:tcPr>
            <w:tcW w:w="1418" w:type="dxa"/>
            <w:tcBorders>
              <w:top w:val="nil"/>
              <w:left w:val="nil"/>
              <w:bottom w:val="single" w:sz="4" w:space="0" w:color="auto"/>
              <w:right w:val="single" w:sz="4" w:space="0" w:color="auto"/>
            </w:tcBorders>
            <w:shd w:val="clear" w:color="auto" w:fill="auto"/>
            <w:noWrap/>
            <w:vAlign w:val="center"/>
          </w:tcPr>
          <w:p w14:paraId="45CCEF78" w14:textId="04BA0A6D" w:rsidR="00D55F4F" w:rsidRPr="008810C6" w:rsidRDefault="008810C6" w:rsidP="110985B9">
            <w:pPr>
              <w:spacing w:after="0" w:line="240" w:lineRule="auto"/>
              <w:jc w:val="right"/>
              <w:rPr>
                <w:rFonts w:cs="Arial"/>
                <w:color w:val="000000"/>
              </w:rPr>
            </w:pPr>
            <w:r w:rsidRPr="008810C6">
              <w:rPr>
                <w:rFonts w:cs="Arial"/>
                <w:color w:val="000000" w:themeColor="text1"/>
              </w:rPr>
              <w:t>20,100</w:t>
            </w:r>
            <w:r w:rsidR="00D55F4F" w:rsidRPr="008810C6">
              <w:rPr>
                <w:rFonts w:cs="Arial"/>
                <w:color w:val="000000" w:themeColor="text1"/>
              </w:rPr>
              <w:t xml:space="preserve"> </w:t>
            </w:r>
          </w:p>
        </w:tc>
        <w:tc>
          <w:tcPr>
            <w:tcW w:w="1477" w:type="dxa"/>
            <w:tcBorders>
              <w:top w:val="nil"/>
              <w:left w:val="nil"/>
              <w:bottom w:val="single" w:sz="4" w:space="0" w:color="auto"/>
              <w:right w:val="single" w:sz="4" w:space="0" w:color="auto"/>
            </w:tcBorders>
            <w:shd w:val="clear" w:color="auto" w:fill="auto"/>
            <w:noWrap/>
            <w:vAlign w:val="center"/>
          </w:tcPr>
          <w:p w14:paraId="03BB794C" w14:textId="1DB31717" w:rsidR="00D55F4F" w:rsidRPr="00D43C3E" w:rsidRDefault="00D55F4F" w:rsidP="110985B9">
            <w:pPr>
              <w:spacing w:after="0" w:line="240" w:lineRule="auto"/>
              <w:jc w:val="right"/>
              <w:rPr>
                <w:rFonts w:cs="Arial"/>
                <w:color w:val="000000"/>
              </w:rPr>
            </w:pPr>
            <w:r w:rsidRPr="00D43C3E">
              <w:rPr>
                <w:rFonts w:cs="Arial"/>
                <w:color w:val="000000" w:themeColor="text1"/>
              </w:rPr>
              <w:t>1.</w:t>
            </w:r>
            <w:r w:rsidR="00D43C3E" w:rsidRPr="00D43C3E">
              <w:rPr>
                <w:rFonts w:cs="Arial"/>
                <w:color w:val="000000" w:themeColor="text1"/>
              </w:rPr>
              <w:t>8</w:t>
            </w:r>
            <w:r w:rsidRPr="00D43C3E">
              <w:rPr>
                <w:rFonts w:cs="Arial"/>
                <w:color w:val="000000" w:themeColor="text1"/>
              </w:rPr>
              <w:t>%</w:t>
            </w:r>
          </w:p>
        </w:tc>
      </w:tr>
      <w:tr w:rsidR="00D55F4F" w:rsidRPr="00537E40" w14:paraId="4876F647" w14:textId="77777777" w:rsidTr="0082290B">
        <w:trPr>
          <w:trHeight w:val="340"/>
        </w:trPr>
        <w:tc>
          <w:tcPr>
            <w:tcW w:w="3061" w:type="dxa"/>
            <w:tcBorders>
              <w:top w:val="nil"/>
              <w:left w:val="single" w:sz="4" w:space="0" w:color="auto"/>
              <w:bottom w:val="single" w:sz="4" w:space="0" w:color="auto"/>
              <w:right w:val="single" w:sz="4" w:space="0" w:color="auto"/>
            </w:tcBorders>
            <w:shd w:val="clear" w:color="auto" w:fill="auto"/>
            <w:noWrap/>
            <w:vAlign w:val="center"/>
          </w:tcPr>
          <w:p w14:paraId="72D2095E" w14:textId="77777777" w:rsidR="00D55F4F" w:rsidRDefault="00D55F4F" w:rsidP="00D55F4F">
            <w:pPr>
              <w:spacing w:after="0"/>
              <w:rPr>
                <w:rFonts w:cs="Arial"/>
                <w:b/>
                <w:bCs/>
                <w:color w:val="000000"/>
                <w:szCs w:val="20"/>
              </w:rPr>
            </w:pPr>
            <w:r>
              <w:rPr>
                <w:rFonts w:cs="Arial"/>
                <w:b/>
                <w:bCs/>
                <w:color w:val="000000"/>
                <w:szCs w:val="20"/>
              </w:rPr>
              <w:t>West Melbourne (Industrial)</w:t>
            </w:r>
          </w:p>
        </w:tc>
        <w:tc>
          <w:tcPr>
            <w:tcW w:w="1304" w:type="dxa"/>
            <w:tcBorders>
              <w:top w:val="nil"/>
              <w:left w:val="nil"/>
              <w:bottom w:val="single" w:sz="4" w:space="0" w:color="auto"/>
              <w:right w:val="single" w:sz="4" w:space="0" w:color="auto"/>
            </w:tcBorders>
            <w:shd w:val="clear" w:color="auto" w:fill="auto"/>
            <w:noWrap/>
            <w:vAlign w:val="center"/>
          </w:tcPr>
          <w:p w14:paraId="364566E0" w14:textId="0D9E6404" w:rsidR="00D55F4F" w:rsidRPr="008810C6" w:rsidRDefault="00D55F4F" w:rsidP="110985B9">
            <w:pPr>
              <w:spacing w:after="0" w:line="240" w:lineRule="auto"/>
              <w:jc w:val="right"/>
              <w:rPr>
                <w:rFonts w:cs="Arial"/>
                <w:color w:val="000000"/>
              </w:rPr>
            </w:pPr>
            <w:r w:rsidRPr="008810C6">
              <w:rPr>
                <w:rFonts w:cs="Arial"/>
                <w:color w:val="000000" w:themeColor="text1"/>
              </w:rPr>
              <w:t>3,</w:t>
            </w:r>
            <w:r w:rsidR="008810C6" w:rsidRPr="008810C6">
              <w:rPr>
                <w:rFonts w:cs="Arial"/>
                <w:color w:val="000000" w:themeColor="text1"/>
              </w:rPr>
              <w:t>900</w:t>
            </w:r>
            <w:r w:rsidRPr="008810C6">
              <w:rPr>
                <w:rFonts w:cs="Arial"/>
                <w:color w:val="000000" w:themeColor="text1"/>
              </w:rPr>
              <w:t xml:space="preserve"> </w:t>
            </w:r>
          </w:p>
        </w:tc>
        <w:tc>
          <w:tcPr>
            <w:tcW w:w="1304" w:type="dxa"/>
            <w:tcBorders>
              <w:top w:val="nil"/>
              <w:left w:val="nil"/>
              <w:bottom w:val="single" w:sz="4" w:space="0" w:color="auto"/>
              <w:right w:val="single" w:sz="4" w:space="0" w:color="auto"/>
            </w:tcBorders>
            <w:shd w:val="clear" w:color="auto" w:fill="auto"/>
            <w:noWrap/>
            <w:vAlign w:val="center"/>
          </w:tcPr>
          <w:p w14:paraId="2DD1C4A9" w14:textId="2FF30E90" w:rsidR="00D55F4F" w:rsidRPr="008810C6" w:rsidRDefault="008810C6" w:rsidP="110985B9">
            <w:pPr>
              <w:spacing w:after="0" w:line="240" w:lineRule="auto"/>
              <w:jc w:val="right"/>
              <w:rPr>
                <w:rFonts w:cs="Arial"/>
                <w:color w:val="000000"/>
              </w:rPr>
            </w:pPr>
            <w:r w:rsidRPr="008810C6">
              <w:rPr>
                <w:rFonts w:cs="Arial"/>
                <w:color w:val="000000" w:themeColor="text1"/>
              </w:rPr>
              <w:t>4,800</w:t>
            </w:r>
            <w:r w:rsidR="00D55F4F" w:rsidRPr="008810C6">
              <w:rPr>
                <w:rFonts w:cs="Arial"/>
                <w:color w:val="000000" w:themeColor="text1"/>
              </w:rPr>
              <w:t xml:space="preserve"> </w:t>
            </w:r>
          </w:p>
        </w:tc>
        <w:tc>
          <w:tcPr>
            <w:tcW w:w="1130" w:type="dxa"/>
            <w:tcBorders>
              <w:top w:val="nil"/>
              <w:left w:val="nil"/>
              <w:bottom w:val="single" w:sz="4" w:space="0" w:color="auto"/>
              <w:right w:val="single" w:sz="4" w:space="0" w:color="auto"/>
            </w:tcBorders>
            <w:shd w:val="clear" w:color="auto" w:fill="auto"/>
            <w:noWrap/>
            <w:vAlign w:val="center"/>
          </w:tcPr>
          <w:p w14:paraId="550227D2" w14:textId="6BEE9621" w:rsidR="00D55F4F" w:rsidRPr="008810C6" w:rsidRDefault="008810C6" w:rsidP="110985B9">
            <w:pPr>
              <w:spacing w:after="0" w:line="240" w:lineRule="auto"/>
              <w:jc w:val="right"/>
              <w:rPr>
                <w:rFonts w:cs="Arial"/>
                <w:color w:val="000000"/>
              </w:rPr>
            </w:pPr>
            <w:r w:rsidRPr="008810C6">
              <w:rPr>
                <w:rFonts w:cs="Arial"/>
                <w:color w:val="000000" w:themeColor="text1"/>
              </w:rPr>
              <w:t>5,500</w:t>
            </w:r>
            <w:r w:rsidR="00D55F4F" w:rsidRPr="008810C6">
              <w:rPr>
                <w:rFonts w:cs="Arial"/>
                <w:color w:val="000000" w:themeColor="text1"/>
              </w:rPr>
              <w:t xml:space="preserve"> </w:t>
            </w:r>
          </w:p>
        </w:tc>
        <w:tc>
          <w:tcPr>
            <w:tcW w:w="1418" w:type="dxa"/>
            <w:tcBorders>
              <w:top w:val="nil"/>
              <w:left w:val="nil"/>
              <w:bottom w:val="single" w:sz="4" w:space="0" w:color="auto"/>
              <w:right w:val="single" w:sz="4" w:space="0" w:color="auto"/>
            </w:tcBorders>
            <w:shd w:val="clear" w:color="auto" w:fill="auto"/>
            <w:noWrap/>
            <w:vAlign w:val="center"/>
          </w:tcPr>
          <w:p w14:paraId="155BD3F6" w14:textId="77572580" w:rsidR="00D55F4F" w:rsidRPr="008810C6" w:rsidRDefault="008810C6" w:rsidP="110985B9">
            <w:pPr>
              <w:spacing w:after="0" w:line="240" w:lineRule="auto"/>
              <w:jc w:val="right"/>
              <w:rPr>
                <w:rFonts w:cs="Arial"/>
                <w:color w:val="000000"/>
              </w:rPr>
            </w:pPr>
            <w:r w:rsidRPr="008810C6">
              <w:rPr>
                <w:rFonts w:cs="Arial"/>
                <w:color w:val="000000" w:themeColor="text1"/>
              </w:rPr>
              <w:t>1</w:t>
            </w:r>
            <w:r w:rsidR="00D55F4F" w:rsidRPr="008810C6">
              <w:rPr>
                <w:rFonts w:cs="Arial"/>
                <w:color w:val="000000" w:themeColor="text1"/>
              </w:rPr>
              <w:t>,</w:t>
            </w:r>
            <w:r w:rsidRPr="008810C6">
              <w:rPr>
                <w:rFonts w:cs="Arial"/>
                <w:color w:val="000000" w:themeColor="text1"/>
              </w:rPr>
              <w:t>600</w:t>
            </w:r>
            <w:r w:rsidR="00D55F4F" w:rsidRPr="008810C6">
              <w:rPr>
                <w:rFonts w:cs="Arial"/>
                <w:color w:val="000000" w:themeColor="text1"/>
              </w:rPr>
              <w:t xml:space="preserve"> </w:t>
            </w:r>
          </w:p>
        </w:tc>
        <w:tc>
          <w:tcPr>
            <w:tcW w:w="1477" w:type="dxa"/>
            <w:tcBorders>
              <w:top w:val="nil"/>
              <w:left w:val="nil"/>
              <w:bottom w:val="single" w:sz="4" w:space="0" w:color="auto"/>
              <w:right w:val="single" w:sz="4" w:space="0" w:color="auto"/>
            </w:tcBorders>
            <w:shd w:val="clear" w:color="auto" w:fill="auto"/>
            <w:noWrap/>
            <w:vAlign w:val="center"/>
          </w:tcPr>
          <w:p w14:paraId="38ECD57D" w14:textId="5105AD19" w:rsidR="00D55F4F" w:rsidRPr="00D43C3E" w:rsidRDefault="00D43C3E" w:rsidP="110985B9">
            <w:pPr>
              <w:spacing w:after="0" w:line="240" w:lineRule="auto"/>
              <w:jc w:val="right"/>
              <w:rPr>
                <w:rFonts w:cs="Arial"/>
                <w:color w:val="000000"/>
              </w:rPr>
            </w:pPr>
            <w:r w:rsidRPr="00D43C3E">
              <w:rPr>
                <w:rFonts w:cs="Arial"/>
                <w:color w:val="000000" w:themeColor="text1"/>
              </w:rPr>
              <w:t>1.7</w:t>
            </w:r>
            <w:r w:rsidR="00D55F4F" w:rsidRPr="00D43C3E">
              <w:rPr>
                <w:rFonts w:cs="Arial"/>
                <w:color w:val="000000" w:themeColor="text1"/>
              </w:rPr>
              <w:t>%</w:t>
            </w:r>
          </w:p>
        </w:tc>
      </w:tr>
      <w:tr w:rsidR="00D55F4F" w:rsidRPr="00537E40" w14:paraId="5EC37F8A" w14:textId="77777777" w:rsidTr="0082290B">
        <w:trPr>
          <w:trHeight w:val="340"/>
        </w:trPr>
        <w:tc>
          <w:tcPr>
            <w:tcW w:w="3061" w:type="dxa"/>
            <w:tcBorders>
              <w:top w:val="nil"/>
              <w:left w:val="single" w:sz="4" w:space="0" w:color="auto"/>
              <w:bottom w:val="single" w:sz="4" w:space="0" w:color="auto"/>
              <w:right w:val="single" w:sz="4" w:space="0" w:color="auto"/>
            </w:tcBorders>
            <w:shd w:val="clear" w:color="auto" w:fill="auto"/>
            <w:noWrap/>
            <w:vAlign w:val="center"/>
          </w:tcPr>
          <w:p w14:paraId="6D41B5BA" w14:textId="77777777" w:rsidR="00D55F4F" w:rsidRDefault="00D55F4F" w:rsidP="00D55F4F">
            <w:pPr>
              <w:spacing w:after="0"/>
              <w:rPr>
                <w:rFonts w:cs="Arial"/>
                <w:b/>
                <w:bCs/>
                <w:color w:val="000000"/>
                <w:szCs w:val="20"/>
              </w:rPr>
            </w:pPr>
            <w:r>
              <w:rPr>
                <w:rFonts w:cs="Arial"/>
                <w:b/>
                <w:bCs/>
                <w:color w:val="000000"/>
                <w:szCs w:val="20"/>
              </w:rPr>
              <w:t>West Melbourne (Residential)</w:t>
            </w:r>
          </w:p>
        </w:tc>
        <w:tc>
          <w:tcPr>
            <w:tcW w:w="1304" w:type="dxa"/>
            <w:tcBorders>
              <w:top w:val="nil"/>
              <w:left w:val="nil"/>
              <w:bottom w:val="single" w:sz="4" w:space="0" w:color="auto"/>
              <w:right w:val="single" w:sz="4" w:space="0" w:color="auto"/>
            </w:tcBorders>
            <w:shd w:val="clear" w:color="auto" w:fill="auto"/>
            <w:noWrap/>
            <w:vAlign w:val="center"/>
          </w:tcPr>
          <w:p w14:paraId="2556DA45" w14:textId="01E3E815" w:rsidR="00D55F4F" w:rsidRPr="008810C6" w:rsidRDefault="00D55F4F" w:rsidP="110985B9">
            <w:pPr>
              <w:spacing w:after="0" w:line="240" w:lineRule="auto"/>
              <w:jc w:val="right"/>
              <w:rPr>
                <w:rFonts w:cs="Arial"/>
                <w:color w:val="000000"/>
              </w:rPr>
            </w:pPr>
            <w:r w:rsidRPr="008810C6">
              <w:rPr>
                <w:rFonts w:cs="Arial"/>
                <w:color w:val="000000" w:themeColor="text1"/>
              </w:rPr>
              <w:t>4,</w:t>
            </w:r>
            <w:r w:rsidR="008810C6" w:rsidRPr="008810C6">
              <w:rPr>
                <w:rFonts w:cs="Arial"/>
                <w:color w:val="000000" w:themeColor="text1"/>
              </w:rPr>
              <w:t>600</w:t>
            </w:r>
            <w:r w:rsidRPr="008810C6">
              <w:rPr>
                <w:rFonts w:cs="Arial"/>
                <w:color w:val="000000" w:themeColor="text1"/>
              </w:rPr>
              <w:t xml:space="preserve"> </w:t>
            </w:r>
          </w:p>
        </w:tc>
        <w:tc>
          <w:tcPr>
            <w:tcW w:w="1304" w:type="dxa"/>
            <w:tcBorders>
              <w:top w:val="nil"/>
              <w:left w:val="nil"/>
              <w:bottom w:val="single" w:sz="4" w:space="0" w:color="auto"/>
              <w:right w:val="single" w:sz="4" w:space="0" w:color="auto"/>
            </w:tcBorders>
            <w:shd w:val="clear" w:color="auto" w:fill="auto"/>
            <w:noWrap/>
            <w:vAlign w:val="center"/>
          </w:tcPr>
          <w:p w14:paraId="5056B385" w14:textId="2FB0E62F" w:rsidR="00D55F4F" w:rsidRPr="008810C6" w:rsidRDefault="00D55F4F" w:rsidP="110985B9">
            <w:pPr>
              <w:spacing w:after="0" w:line="240" w:lineRule="auto"/>
              <w:jc w:val="right"/>
              <w:rPr>
                <w:rFonts w:cs="Arial"/>
                <w:color w:val="000000"/>
              </w:rPr>
            </w:pPr>
            <w:r w:rsidRPr="008810C6">
              <w:rPr>
                <w:rFonts w:cs="Arial"/>
                <w:color w:val="000000" w:themeColor="text1"/>
              </w:rPr>
              <w:t>6,</w:t>
            </w:r>
            <w:r w:rsidR="008810C6" w:rsidRPr="008810C6">
              <w:rPr>
                <w:rFonts w:cs="Arial"/>
                <w:color w:val="000000" w:themeColor="text1"/>
              </w:rPr>
              <w:t>600</w:t>
            </w:r>
            <w:r w:rsidRPr="008810C6">
              <w:rPr>
                <w:rFonts w:cs="Arial"/>
                <w:color w:val="000000" w:themeColor="text1"/>
              </w:rPr>
              <w:t xml:space="preserve"> </w:t>
            </w:r>
          </w:p>
        </w:tc>
        <w:tc>
          <w:tcPr>
            <w:tcW w:w="1130" w:type="dxa"/>
            <w:tcBorders>
              <w:top w:val="nil"/>
              <w:left w:val="nil"/>
              <w:bottom w:val="single" w:sz="4" w:space="0" w:color="auto"/>
              <w:right w:val="single" w:sz="4" w:space="0" w:color="auto"/>
            </w:tcBorders>
            <w:shd w:val="clear" w:color="auto" w:fill="auto"/>
            <w:noWrap/>
            <w:vAlign w:val="center"/>
          </w:tcPr>
          <w:p w14:paraId="23B396C8" w14:textId="3FA6CF29" w:rsidR="00D55F4F" w:rsidRPr="008810C6" w:rsidRDefault="00D55F4F" w:rsidP="110985B9">
            <w:pPr>
              <w:spacing w:after="0" w:line="240" w:lineRule="auto"/>
              <w:jc w:val="right"/>
              <w:rPr>
                <w:rFonts w:cs="Arial"/>
                <w:color w:val="000000"/>
              </w:rPr>
            </w:pPr>
            <w:r w:rsidRPr="008810C6">
              <w:rPr>
                <w:rFonts w:cs="Arial"/>
                <w:color w:val="000000" w:themeColor="text1"/>
              </w:rPr>
              <w:t>7,</w:t>
            </w:r>
            <w:r w:rsidR="008810C6" w:rsidRPr="008810C6">
              <w:rPr>
                <w:rFonts w:cs="Arial"/>
                <w:color w:val="000000" w:themeColor="text1"/>
              </w:rPr>
              <w:t>600</w:t>
            </w:r>
            <w:r w:rsidRPr="008810C6">
              <w:rPr>
                <w:rFonts w:cs="Arial"/>
                <w:color w:val="000000" w:themeColor="text1"/>
              </w:rPr>
              <w:t xml:space="preserve"> </w:t>
            </w:r>
          </w:p>
        </w:tc>
        <w:tc>
          <w:tcPr>
            <w:tcW w:w="1418" w:type="dxa"/>
            <w:tcBorders>
              <w:top w:val="nil"/>
              <w:left w:val="nil"/>
              <w:bottom w:val="single" w:sz="4" w:space="0" w:color="auto"/>
              <w:right w:val="single" w:sz="4" w:space="0" w:color="auto"/>
            </w:tcBorders>
            <w:shd w:val="clear" w:color="auto" w:fill="auto"/>
            <w:noWrap/>
            <w:vAlign w:val="center"/>
          </w:tcPr>
          <w:p w14:paraId="58BB7732" w14:textId="70F392EE" w:rsidR="00D55F4F" w:rsidRPr="008810C6" w:rsidRDefault="008810C6" w:rsidP="110985B9">
            <w:pPr>
              <w:spacing w:after="0" w:line="240" w:lineRule="auto"/>
              <w:jc w:val="right"/>
              <w:rPr>
                <w:rFonts w:cs="Arial"/>
                <w:color w:val="000000"/>
              </w:rPr>
            </w:pPr>
            <w:r w:rsidRPr="008810C6">
              <w:rPr>
                <w:rFonts w:cs="Arial"/>
                <w:color w:val="000000" w:themeColor="text1"/>
              </w:rPr>
              <w:t>3,000</w:t>
            </w:r>
            <w:r w:rsidR="00D55F4F" w:rsidRPr="008810C6">
              <w:rPr>
                <w:rFonts w:cs="Arial"/>
                <w:color w:val="000000" w:themeColor="text1"/>
              </w:rPr>
              <w:t xml:space="preserve"> </w:t>
            </w:r>
          </w:p>
        </w:tc>
        <w:tc>
          <w:tcPr>
            <w:tcW w:w="1477" w:type="dxa"/>
            <w:tcBorders>
              <w:top w:val="nil"/>
              <w:left w:val="nil"/>
              <w:bottom w:val="single" w:sz="4" w:space="0" w:color="auto"/>
              <w:right w:val="single" w:sz="4" w:space="0" w:color="auto"/>
            </w:tcBorders>
            <w:shd w:val="clear" w:color="auto" w:fill="auto"/>
            <w:noWrap/>
            <w:vAlign w:val="center"/>
          </w:tcPr>
          <w:p w14:paraId="1DCE58BE" w14:textId="46295119" w:rsidR="00D55F4F" w:rsidRPr="00D43C3E" w:rsidRDefault="00D55F4F" w:rsidP="110985B9">
            <w:pPr>
              <w:spacing w:after="0" w:line="240" w:lineRule="auto"/>
              <w:jc w:val="right"/>
              <w:rPr>
                <w:rFonts w:cs="Arial"/>
                <w:color w:val="000000"/>
              </w:rPr>
            </w:pPr>
            <w:r w:rsidRPr="00D43C3E">
              <w:rPr>
                <w:rFonts w:cs="Arial"/>
                <w:color w:val="000000" w:themeColor="text1"/>
              </w:rPr>
              <w:t>2.</w:t>
            </w:r>
            <w:r w:rsidR="00D43C3E" w:rsidRPr="00D43C3E">
              <w:rPr>
                <w:rFonts w:cs="Arial"/>
                <w:color w:val="000000" w:themeColor="text1"/>
              </w:rPr>
              <w:t>5</w:t>
            </w:r>
            <w:r w:rsidRPr="00D43C3E">
              <w:rPr>
                <w:rFonts w:cs="Arial"/>
                <w:color w:val="000000" w:themeColor="text1"/>
              </w:rPr>
              <w:t>%</w:t>
            </w:r>
          </w:p>
        </w:tc>
      </w:tr>
      <w:tr w:rsidR="00D55F4F" w:rsidRPr="00537E40" w14:paraId="29F5F161" w14:textId="77777777" w:rsidTr="0082290B">
        <w:trPr>
          <w:trHeight w:val="340"/>
        </w:trPr>
        <w:tc>
          <w:tcPr>
            <w:tcW w:w="3061" w:type="dxa"/>
            <w:tcBorders>
              <w:top w:val="nil"/>
              <w:left w:val="single" w:sz="4" w:space="0" w:color="auto"/>
              <w:bottom w:val="single" w:sz="4" w:space="0" w:color="auto"/>
              <w:right w:val="single" w:sz="4" w:space="0" w:color="auto"/>
            </w:tcBorders>
            <w:shd w:val="clear" w:color="auto" w:fill="auto"/>
            <w:noWrap/>
            <w:vAlign w:val="center"/>
          </w:tcPr>
          <w:p w14:paraId="202843EB" w14:textId="77777777" w:rsidR="00D55F4F" w:rsidRDefault="00D55F4F" w:rsidP="00D55F4F">
            <w:pPr>
              <w:spacing w:after="0"/>
              <w:rPr>
                <w:rFonts w:cs="Arial"/>
                <w:b/>
                <w:bCs/>
                <w:color w:val="000000"/>
                <w:szCs w:val="20"/>
              </w:rPr>
            </w:pPr>
            <w:r>
              <w:rPr>
                <w:rFonts w:cs="Arial"/>
                <w:b/>
                <w:bCs/>
                <w:color w:val="000000"/>
                <w:szCs w:val="20"/>
              </w:rPr>
              <w:t>Total (City of Melbourne)</w:t>
            </w:r>
          </w:p>
        </w:tc>
        <w:tc>
          <w:tcPr>
            <w:tcW w:w="1304" w:type="dxa"/>
            <w:tcBorders>
              <w:top w:val="nil"/>
              <w:left w:val="nil"/>
              <w:bottom w:val="single" w:sz="4" w:space="0" w:color="auto"/>
              <w:right w:val="single" w:sz="4" w:space="0" w:color="auto"/>
            </w:tcBorders>
            <w:shd w:val="clear" w:color="auto" w:fill="auto"/>
            <w:noWrap/>
            <w:vAlign w:val="center"/>
          </w:tcPr>
          <w:p w14:paraId="3BA8C0E0" w14:textId="0B29FAD2" w:rsidR="00D55F4F" w:rsidRPr="002D7736" w:rsidRDefault="008810C6" w:rsidP="110985B9">
            <w:pPr>
              <w:spacing w:after="0" w:line="240" w:lineRule="auto"/>
              <w:jc w:val="right"/>
              <w:rPr>
                <w:rFonts w:cs="Arial"/>
                <w:b/>
                <w:bCs/>
                <w:color w:val="000000"/>
                <w:highlight w:val="yellow"/>
              </w:rPr>
            </w:pPr>
            <w:r w:rsidRPr="008810C6">
              <w:rPr>
                <w:rFonts w:cs="Arial"/>
                <w:b/>
                <w:bCs/>
                <w:color w:val="000000" w:themeColor="text1"/>
              </w:rPr>
              <w:t>495,400</w:t>
            </w:r>
          </w:p>
        </w:tc>
        <w:tc>
          <w:tcPr>
            <w:tcW w:w="1304" w:type="dxa"/>
            <w:tcBorders>
              <w:top w:val="nil"/>
              <w:left w:val="nil"/>
              <w:bottom w:val="single" w:sz="4" w:space="0" w:color="auto"/>
              <w:right w:val="single" w:sz="4" w:space="0" w:color="auto"/>
            </w:tcBorders>
            <w:shd w:val="clear" w:color="auto" w:fill="auto"/>
            <w:noWrap/>
            <w:vAlign w:val="center"/>
          </w:tcPr>
          <w:p w14:paraId="729A46B8" w14:textId="049696C3" w:rsidR="00D55F4F" w:rsidRPr="008810C6" w:rsidRDefault="008810C6" w:rsidP="110985B9">
            <w:pPr>
              <w:spacing w:after="0" w:line="240" w:lineRule="auto"/>
              <w:jc w:val="right"/>
              <w:rPr>
                <w:rFonts w:cs="Arial"/>
                <w:b/>
                <w:bCs/>
                <w:color w:val="000000"/>
              </w:rPr>
            </w:pPr>
            <w:r w:rsidRPr="008810C6">
              <w:rPr>
                <w:rFonts w:cs="Arial"/>
                <w:b/>
                <w:bCs/>
                <w:color w:val="000000" w:themeColor="text1"/>
              </w:rPr>
              <w:t>610,800</w:t>
            </w:r>
            <w:r w:rsidR="00D55F4F" w:rsidRPr="008810C6">
              <w:rPr>
                <w:rFonts w:cs="Arial"/>
                <w:b/>
                <w:bCs/>
                <w:color w:val="000000" w:themeColor="text1"/>
              </w:rPr>
              <w:t xml:space="preserve"> </w:t>
            </w:r>
          </w:p>
        </w:tc>
        <w:tc>
          <w:tcPr>
            <w:tcW w:w="1130" w:type="dxa"/>
            <w:tcBorders>
              <w:top w:val="nil"/>
              <w:left w:val="nil"/>
              <w:bottom w:val="single" w:sz="4" w:space="0" w:color="auto"/>
              <w:right w:val="single" w:sz="4" w:space="0" w:color="auto"/>
            </w:tcBorders>
            <w:shd w:val="clear" w:color="auto" w:fill="auto"/>
            <w:noWrap/>
            <w:vAlign w:val="center"/>
          </w:tcPr>
          <w:p w14:paraId="7BB036EF" w14:textId="6766AA6F" w:rsidR="00D55F4F" w:rsidRPr="008810C6" w:rsidRDefault="00D55F4F" w:rsidP="110985B9">
            <w:pPr>
              <w:spacing w:after="0" w:line="240" w:lineRule="auto"/>
              <w:jc w:val="right"/>
              <w:rPr>
                <w:rFonts w:cs="Arial"/>
                <w:b/>
                <w:bCs/>
                <w:color w:val="000000"/>
              </w:rPr>
            </w:pPr>
            <w:r w:rsidRPr="008810C6">
              <w:rPr>
                <w:rFonts w:cs="Arial"/>
                <w:b/>
                <w:bCs/>
                <w:color w:val="000000" w:themeColor="text1"/>
              </w:rPr>
              <w:t>6</w:t>
            </w:r>
            <w:r w:rsidR="008810C6" w:rsidRPr="008810C6">
              <w:rPr>
                <w:rFonts w:cs="Arial"/>
                <w:b/>
                <w:bCs/>
                <w:color w:val="000000" w:themeColor="text1"/>
              </w:rPr>
              <w:t>75,300</w:t>
            </w:r>
            <w:r w:rsidRPr="008810C6">
              <w:rPr>
                <w:rFonts w:cs="Arial"/>
                <w:b/>
                <w:bCs/>
                <w:color w:val="000000" w:themeColor="text1"/>
              </w:rPr>
              <w:t xml:space="preserve"> </w:t>
            </w:r>
          </w:p>
        </w:tc>
        <w:tc>
          <w:tcPr>
            <w:tcW w:w="1418" w:type="dxa"/>
            <w:tcBorders>
              <w:top w:val="nil"/>
              <w:left w:val="nil"/>
              <w:bottom w:val="single" w:sz="4" w:space="0" w:color="auto"/>
              <w:right w:val="single" w:sz="4" w:space="0" w:color="auto"/>
            </w:tcBorders>
            <w:shd w:val="clear" w:color="auto" w:fill="auto"/>
            <w:noWrap/>
            <w:vAlign w:val="center"/>
          </w:tcPr>
          <w:p w14:paraId="087ACEF8" w14:textId="6FC772FE" w:rsidR="00D55F4F" w:rsidRPr="008810C6" w:rsidRDefault="008810C6" w:rsidP="110985B9">
            <w:pPr>
              <w:spacing w:after="0" w:line="240" w:lineRule="auto"/>
              <w:jc w:val="right"/>
              <w:rPr>
                <w:rFonts w:cs="Arial"/>
                <w:b/>
                <w:bCs/>
                <w:color w:val="000000"/>
              </w:rPr>
            </w:pPr>
            <w:r w:rsidRPr="008810C6">
              <w:rPr>
                <w:rFonts w:cs="Arial"/>
                <w:b/>
                <w:bCs/>
                <w:color w:val="000000" w:themeColor="text1"/>
              </w:rPr>
              <w:t>37,100</w:t>
            </w:r>
            <w:r w:rsidR="00D55F4F" w:rsidRPr="008810C6">
              <w:rPr>
                <w:rFonts w:cs="Arial"/>
                <w:b/>
                <w:bCs/>
                <w:color w:val="000000" w:themeColor="text1"/>
              </w:rPr>
              <w:t xml:space="preserve"> </w:t>
            </w:r>
          </w:p>
        </w:tc>
        <w:tc>
          <w:tcPr>
            <w:tcW w:w="1477" w:type="dxa"/>
            <w:tcBorders>
              <w:top w:val="nil"/>
              <w:left w:val="nil"/>
              <w:bottom w:val="single" w:sz="4" w:space="0" w:color="auto"/>
              <w:right w:val="single" w:sz="4" w:space="0" w:color="auto"/>
            </w:tcBorders>
            <w:shd w:val="clear" w:color="auto" w:fill="auto"/>
            <w:noWrap/>
            <w:vAlign w:val="center"/>
          </w:tcPr>
          <w:p w14:paraId="6ADAFF48" w14:textId="6E07B4C4" w:rsidR="00D55F4F" w:rsidRPr="00D43C3E" w:rsidRDefault="00D55F4F" w:rsidP="110985B9">
            <w:pPr>
              <w:spacing w:after="0" w:line="240" w:lineRule="auto"/>
              <w:jc w:val="right"/>
              <w:rPr>
                <w:rFonts w:cs="Arial"/>
                <w:b/>
                <w:bCs/>
                <w:color w:val="000000"/>
              </w:rPr>
            </w:pPr>
            <w:r w:rsidRPr="00D43C3E">
              <w:rPr>
                <w:rFonts w:cs="Arial"/>
                <w:b/>
                <w:bCs/>
                <w:color w:val="000000" w:themeColor="text1"/>
              </w:rPr>
              <w:t>1.</w:t>
            </w:r>
            <w:r w:rsidR="00D43C3E" w:rsidRPr="00D43C3E">
              <w:rPr>
                <w:rFonts w:cs="Arial"/>
                <w:b/>
                <w:bCs/>
                <w:color w:val="000000" w:themeColor="text1"/>
              </w:rPr>
              <w:t>6</w:t>
            </w:r>
            <w:r w:rsidRPr="00D43C3E">
              <w:rPr>
                <w:rFonts w:cs="Arial"/>
                <w:b/>
                <w:bCs/>
                <w:color w:val="000000" w:themeColor="text1"/>
              </w:rPr>
              <w:t>%</w:t>
            </w:r>
          </w:p>
        </w:tc>
      </w:tr>
    </w:tbl>
    <w:p w14:paraId="18FA9064" w14:textId="56FBF203" w:rsidR="007121A4" w:rsidRPr="00537E40" w:rsidRDefault="007121A4" w:rsidP="110985B9">
      <w:pPr>
        <w:spacing w:before="120"/>
        <w:rPr>
          <w:sz w:val="16"/>
          <w:szCs w:val="16"/>
        </w:rPr>
      </w:pPr>
      <w:r w:rsidRPr="110985B9">
        <w:rPr>
          <w:sz w:val="16"/>
          <w:szCs w:val="16"/>
        </w:rPr>
        <w:t xml:space="preserve">Source: SGS Economics and Planning, </w:t>
      </w:r>
      <w:r w:rsidR="00D55F4F" w:rsidRPr="110985B9">
        <w:rPr>
          <w:sz w:val="16"/>
          <w:szCs w:val="16"/>
        </w:rPr>
        <w:t>202</w:t>
      </w:r>
      <w:r w:rsidR="00946E92">
        <w:rPr>
          <w:sz w:val="16"/>
          <w:szCs w:val="16"/>
        </w:rPr>
        <w:t>4</w:t>
      </w:r>
      <w:r w:rsidR="00345820" w:rsidRPr="110985B9">
        <w:rPr>
          <w:sz w:val="16"/>
          <w:szCs w:val="16"/>
        </w:rPr>
        <w:t xml:space="preserve">.  </w:t>
      </w:r>
      <w:r w:rsidR="00915EAC" w:rsidRPr="110985B9">
        <w:rPr>
          <w:sz w:val="16"/>
          <w:szCs w:val="16"/>
        </w:rPr>
        <w:t>Table shows rounded figures.</w:t>
      </w:r>
    </w:p>
    <w:p w14:paraId="1413554C" w14:textId="4E45FCBD" w:rsidR="00F568BB" w:rsidRPr="00537E40" w:rsidRDefault="00F568BB" w:rsidP="001D104E">
      <w:pPr>
        <w:pStyle w:val="Heading2"/>
        <w:rPr>
          <w:rFonts w:hint="eastAsia"/>
        </w:rPr>
      </w:pPr>
      <w:bookmarkStart w:id="24" w:name="_Toc180519456"/>
      <w:r w:rsidRPr="00E74111">
        <w:t xml:space="preserve">Floor space </w:t>
      </w:r>
      <w:r w:rsidR="00343CD2" w:rsidRPr="00E74111">
        <w:t xml:space="preserve">(‘000 sqm) </w:t>
      </w:r>
      <w:r w:rsidRPr="00E74111">
        <w:t xml:space="preserve">by small area </w:t>
      </w:r>
      <w:r w:rsidR="00D55F4F" w:rsidRPr="00E74111">
        <w:t>202</w:t>
      </w:r>
      <w:r w:rsidR="005A3DDC" w:rsidRPr="00E74111">
        <w:t>3</w:t>
      </w:r>
      <w:r w:rsidRPr="00E74111">
        <w:t xml:space="preserve">, </w:t>
      </w:r>
      <w:r w:rsidR="00D55F4F" w:rsidRPr="00E74111">
        <w:t>203</w:t>
      </w:r>
      <w:r w:rsidR="005A3DDC" w:rsidRPr="00E74111">
        <w:t>3</w:t>
      </w:r>
      <w:r w:rsidR="00D55F4F" w:rsidRPr="00E74111">
        <w:t xml:space="preserve"> </w:t>
      </w:r>
      <w:r w:rsidRPr="00E74111">
        <w:t xml:space="preserve">and </w:t>
      </w:r>
      <w:r w:rsidR="00D55F4F" w:rsidRPr="00E74111">
        <w:t>204</w:t>
      </w:r>
      <w:r w:rsidR="005A3DDC" w:rsidRPr="00E74111">
        <w:t>3</w:t>
      </w:r>
      <w:bookmarkEnd w:id="24"/>
    </w:p>
    <w:tbl>
      <w:tblPr>
        <w:tblW w:w="9694" w:type="dxa"/>
        <w:tblLayout w:type="fixed"/>
        <w:tblLook w:val="04A0" w:firstRow="1" w:lastRow="0" w:firstColumn="1" w:lastColumn="0" w:noHBand="0" w:noVBand="1"/>
      </w:tblPr>
      <w:tblGrid>
        <w:gridCol w:w="3061"/>
        <w:gridCol w:w="1304"/>
        <w:gridCol w:w="1304"/>
        <w:gridCol w:w="1130"/>
        <w:gridCol w:w="1418"/>
        <w:gridCol w:w="1477"/>
      </w:tblGrid>
      <w:tr w:rsidR="00E57B1C" w:rsidRPr="00537E40" w14:paraId="1045FF01" w14:textId="77777777" w:rsidTr="4A450472">
        <w:trPr>
          <w:trHeight w:val="285"/>
        </w:trPr>
        <w:tc>
          <w:tcPr>
            <w:tcW w:w="3061"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hideMark/>
          </w:tcPr>
          <w:p w14:paraId="751D8522" w14:textId="77777777" w:rsidR="00E57B1C" w:rsidRPr="00B07612" w:rsidRDefault="00E57B1C" w:rsidP="00E57B1C">
            <w:pPr>
              <w:spacing w:after="0" w:line="240" w:lineRule="auto"/>
              <w:rPr>
                <w:rFonts w:eastAsia="Times New Roman" w:cs="Arial"/>
                <w:b/>
                <w:bCs/>
                <w:color w:val="000000"/>
                <w:szCs w:val="20"/>
                <w:lang w:eastAsia="en-AU"/>
              </w:rPr>
            </w:pPr>
            <w:r>
              <w:rPr>
                <w:rFonts w:eastAsia="Times New Roman" w:cs="Arial"/>
                <w:b/>
                <w:bCs/>
                <w:color w:val="000000"/>
                <w:szCs w:val="20"/>
                <w:lang w:eastAsia="en-AU"/>
              </w:rPr>
              <w:t>CLUE small area</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68E6EA" w14:textId="544C1381" w:rsidR="00E57B1C" w:rsidRPr="00B07612" w:rsidRDefault="00D55F4F" w:rsidP="110985B9">
            <w:pPr>
              <w:spacing w:after="0" w:line="240" w:lineRule="auto"/>
              <w:jc w:val="center"/>
              <w:rPr>
                <w:rFonts w:eastAsia="Times New Roman" w:cs="Arial"/>
                <w:b/>
                <w:bCs/>
                <w:color w:val="000000"/>
                <w:lang w:eastAsia="en-AU"/>
              </w:rPr>
            </w:pPr>
            <w:r w:rsidRPr="110985B9">
              <w:rPr>
                <w:rFonts w:eastAsia="Times New Roman" w:cs="Arial"/>
                <w:b/>
                <w:bCs/>
                <w:color w:val="000000" w:themeColor="text1"/>
                <w:lang w:eastAsia="en-AU"/>
              </w:rPr>
              <w:t>202</w:t>
            </w:r>
            <w:r w:rsidR="005A3DDC">
              <w:rPr>
                <w:rFonts w:eastAsia="Times New Roman" w:cs="Arial"/>
                <w:b/>
                <w:bCs/>
                <w:color w:val="000000" w:themeColor="text1"/>
                <w:lang w:eastAsia="en-AU"/>
              </w:rPr>
              <w:t>3</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A3DDB1" w14:textId="269F4226" w:rsidR="00E57B1C" w:rsidRPr="00B07612" w:rsidRDefault="00D55F4F" w:rsidP="110985B9">
            <w:pPr>
              <w:spacing w:after="0" w:line="240" w:lineRule="auto"/>
              <w:jc w:val="center"/>
              <w:rPr>
                <w:rFonts w:eastAsia="Times New Roman" w:cs="Arial"/>
                <w:b/>
                <w:bCs/>
                <w:color w:val="000000"/>
                <w:lang w:eastAsia="en-AU"/>
              </w:rPr>
            </w:pPr>
            <w:r w:rsidRPr="110985B9">
              <w:rPr>
                <w:rFonts w:eastAsia="Times New Roman" w:cs="Arial"/>
                <w:b/>
                <w:bCs/>
                <w:color w:val="000000" w:themeColor="text1"/>
                <w:lang w:eastAsia="en-AU"/>
              </w:rPr>
              <w:t>203</w:t>
            </w:r>
            <w:r w:rsidR="005A3DDC">
              <w:rPr>
                <w:rFonts w:eastAsia="Times New Roman" w:cs="Arial"/>
                <w:b/>
                <w:bCs/>
                <w:color w:val="000000" w:themeColor="text1"/>
                <w:lang w:eastAsia="en-AU"/>
              </w:rPr>
              <w:t>3</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65A5ED" w14:textId="497A0DED" w:rsidR="00E57B1C" w:rsidRPr="00B07612" w:rsidRDefault="00D55F4F" w:rsidP="110985B9">
            <w:pPr>
              <w:spacing w:after="0" w:line="240" w:lineRule="auto"/>
              <w:jc w:val="center"/>
              <w:rPr>
                <w:rFonts w:eastAsia="Times New Roman" w:cs="Arial"/>
                <w:b/>
                <w:bCs/>
                <w:color w:val="000000"/>
                <w:lang w:eastAsia="en-AU"/>
              </w:rPr>
            </w:pPr>
            <w:r w:rsidRPr="110985B9">
              <w:rPr>
                <w:rFonts w:eastAsia="Times New Roman" w:cs="Arial"/>
                <w:b/>
                <w:bCs/>
                <w:color w:val="000000" w:themeColor="text1"/>
                <w:lang w:eastAsia="en-AU"/>
              </w:rPr>
              <w:t>204</w:t>
            </w:r>
            <w:r w:rsidR="005A3DDC">
              <w:rPr>
                <w:rFonts w:eastAsia="Times New Roman" w:cs="Arial"/>
                <w:b/>
                <w:bCs/>
                <w:color w:val="000000" w:themeColor="text1"/>
                <w:lang w:eastAsia="en-AU"/>
              </w:rPr>
              <w:t>3</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5238468" w14:textId="1CBD0948" w:rsidR="00E57B1C" w:rsidRPr="00B07612" w:rsidRDefault="00E57B1C" w:rsidP="110985B9">
            <w:pPr>
              <w:spacing w:after="0" w:line="240" w:lineRule="auto"/>
              <w:jc w:val="center"/>
              <w:rPr>
                <w:rFonts w:eastAsia="Times New Roman" w:cs="Arial"/>
                <w:b/>
                <w:bCs/>
                <w:color w:val="000000"/>
                <w:lang w:eastAsia="en-AU"/>
              </w:rPr>
            </w:pPr>
            <w:r w:rsidRPr="110985B9">
              <w:rPr>
                <w:rFonts w:eastAsia="Times New Roman" w:cs="Arial"/>
                <w:b/>
                <w:bCs/>
                <w:color w:val="000000" w:themeColor="text1"/>
                <w:lang w:eastAsia="en-AU"/>
              </w:rPr>
              <w:t>Change 202</w:t>
            </w:r>
            <w:r w:rsidR="005A3DDC">
              <w:rPr>
                <w:rFonts w:eastAsia="Times New Roman" w:cs="Arial"/>
                <w:b/>
                <w:bCs/>
                <w:color w:val="000000" w:themeColor="text1"/>
                <w:lang w:eastAsia="en-AU"/>
              </w:rPr>
              <w:t>3</w:t>
            </w:r>
            <w:r w:rsidRPr="110985B9">
              <w:rPr>
                <w:rFonts w:eastAsia="Times New Roman" w:cs="Arial"/>
                <w:b/>
                <w:bCs/>
                <w:color w:val="000000" w:themeColor="text1"/>
                <w:lang w:eastAsia="en-AU"/>
              </w:rPr>
              <w:t>-</w:t>
            </w:r>
            <w:r w:rsidR="00D55F4F" w:rsidRPr="110985B9">
              <w:rPr>
                <w:rFonts w:eastAsia="Times New Roman" w:cs="Arial"/>
                <w:b/>
                <w:bCs/>
                <w:color w:val="000000" w:themeColor="text1"/>
                <w:lang w:eastAsia="en-AU"/>
              </w:rPr>
              <w:t>204</w:t>
            </w:r>
            <w:r w:rsidR="005A3DDC">
              <w:rPr>
                <w:rFonts w:eastAsia="Times New Roman" w:cs="Arial"/>
                <w:b/>
                <w:bCs/>
                <w:color w:val="000000" w:themeColor="text1"/>
                <w:lang w:eastAsia="en-AU"/>
              </w:rPr>
              <w:t>3</w:t>
            </w:r>
          </w:p>
        </w:tc>
        <w:tc>
          <w:tcPr>
            <w:tcW w:w="1477" w:type="dxa"/>
            <w:tcBorders>
              <w:top w:val="single" w:sz="4" w:space="0" w:color="auto"/>
              <w:left w:val="nil"/>
              <w:bottom w:val="single" w:sz="4" w:space="0" w:color="auto"/>
              <w:right w:val="single" w:sz="4" w:space="0" w:color="auto"/>
            </w:tcBorders>
            <w:shd w:val="clear" w:color="auto" w:fill="auto"/>
            <w:vAlign w:val="center"/>
          </w:tcPr>
          <w:p w14:paraId="5AAB61D5" w14:textId="6E93A19B" w:rsidR="00E57B1C" w:rsidRPr="00B07612" w:rsidRDefault="00E57B1C" w:rsidP="110985B9">
            <w:pPr>
              <w:spacing w:after="0" w:line="240" w:lineRule="auto"/>
              <w:jc w:val="center"/>
              <w:rPr>
                <w:rFonts w:eastAsia="Times New Roman" w:cs="Arial"/>
                <w:b/>
                <w:bCs/>
                <w:color w:val="000000"/>
                <w:lang w:eastAsia="en-AU"/>
              </w:rPr>
            </w:pPr>
            <w:r w:rsidRPr="110985B9">
              <w:rPr>
                <w:rFonts w:eastAsia="Times New Roman" w:cs="Arial"/>
                <w:b/>
                <w:bCs/>
                <w:color w:val="000000" w:themeColor="text1"/>
                <w:lang w:eastAsia="en-AU"/>
              </w:rPr>
              <w:t xml:space="preserve">Avg. Annual Growth Rate </w:t>
            </w:r>
            <w:r w:rsidR="00D55F4F" w:rsidRPr="110985B9">
              <w:rPr>
                <w:rFonts w:eastAsia="Times New Roman" w:cs="Arial"/>
                <w:b/>
                <w:bCs/>
                <w:color w:val="000000" w:themeColor="text1"/>
                <w:lang w:eastAsia="en-AU"/>
              </w:rPr>
              <w:t>202</w:t>
            </w:r>
            <w:r w:rsidR="005A3DDC">
              <w:rPr>
                <w:rFonts w:eastAsia="Times New Roman" w:cs="Arial"/>
                <w:b/>
                <w:bCs/>
                <w:color w:val="000000" w:themeColor="text1"/>
                <w:lang w:eastAsia="en-AU"/>
              </w:rPr>
              <w:t>3</w:t>
            </w:r>
            <w:r w:rsidRPr="110985B9">
              <w:rPr>
                <w:rFonts w:eastAsia="Times New Roman" w:cs="Arial"/>
                <w:b/>
                <w:bCs/>
                <w:color w:val="000000" w:themeColor="text1"/>
                <w:lang w:eastAsia="en-AU"/>
              </w:rPr>
              <w:t>-</w:t>
            </w:r>
            <w:r w:rsidR="00D55F4F" w:rsidRPr="110985B9">
              <w:rPr>
                <w:rFonts w:eastAsia="Times New Roman" w:cs="Arial"/>
                <w:b/>
                <w:bCs/>
                <w:color w:val="000000" w:themeColor="text1"/>
                <w:lang w:eastAsia="en-AU"/>
              </w:rPr>
              <w:t>204</w:t>
            </w:r>
            <w:r w:rsidR="005A3DDC">
              <w:rPr>
                <w:rFonts w:eastAsia="Times New Roman" w:cs="Arial"/>
                <w:b/>
                <w:bCs/>
                <w:color w:val="000000" w:themeColor="text1"/>
                <w:lang w:eastAsia="en-AU"/>
              </w:rPr>
              <w:t>3</w:t>
            </w:r>
          </w:p>
        </w:tc>
      </w:tr>
      <w:tr w:rsidR="00D55F4F" w:rsidRPr="00537E40" w14:paraId="7262B353" w14:textId="77777777" w:rsidTr="4A450472">
        <w:trPr>
          <w:trHeight w:val="340"/>
        </w:trPr>
        <w:tc>
          <w:tcPr>
            <w:tcW w:w="3061" w:type="dxa"/>
            <w:tcBorders>
              <w:top w:val="nil"/>
              <w:left w:val="single" w:sz="4" w:space="0" w:color="auto"/>
              <w:bottom w:val="single" w:sz="4" w:space="0" w:color="auto"/>
              <w:right w:val="single" w:sz="4" w:space="0" w:color="auto"/>
            </w:tcBorders>
            <w:shd w:val="clear" w:color="auto" w:fill="auto"/>
            <w:noWrap/>
            <w:vAlign w:val="center"/>
          </w:tcPr>
          <w:p w14:paraId="4DFDB70A" w14:textId="77777777" w:rsidR="00D55F4F" w:rsidRDefault="00D55F4F" w:rsidP="00D55F4F">
            <w:pPr>
              <w:spacing w:after="0" w:line="240" w:lineRule="auto"/>
              <w:rPr>
                <w:rFonts w:cs="Arial"/>
                <w:b/>
                <w:bCs/>
                <w:color w:val="000000"/>
                <w:szCs w:val="20"/>
                <w:lang w:eastAsia="en-AU"/>
              </w:rPr>
            </w:pPr>
            <w:r>
              <w:rPr>
                <w:rFonts w:cs="Arial"/>
                <w:b/>
                <w:bCs/>
                <w:color w:val="000000"/>
                <w:szCs w:val="20"/>
              </w:rPr>
              <w:t>Carlton</w:t>
            </w:r>
          </w:p>
        </w:tc>
        <w:tc>
          <w:tcPr>
            <w:tcW w:w="1304" w:type="dxa"/>
            <w:tcBorders>
              <w:top w:val="nil"/>
              <w:left w:val="nil"/>
              <w:bottom w:val="single" w:sz="4" w:space="0" w:color="auto"/>
              <w:right w:val="single" w:sz="4" w:space="0" w:color="auto"/>
            </w:tcBorders>
            <w:shd w:val="clear" w:color="auto" w:fill="auto"/>
            <w:noWrap/>
            <w:vAlign w:val="center"/>
          </w:tcPr>
          <w:p w14:paraId="79AC7307" w14:textId="0AF5F104" w:rsidR="00D55F4F" w:rsidRPr="00E74111" w:rsidRDefault="00D55F4F" w:rsidP="110985B9">
            <w:pPr>
              <w:spacing w:after="0" w:line="240" w:lineRule="auto"/>
              <w:jc w:val="right"/>
              <w:rPr>
                <w:rFonts w:cs="Arial"/>
                <w:color w:val="000000"/>
              </w:rPr>
            </w:pPr>
            <w:r w:rsidRPr="00E74111">
              <w:rPr>
                <w:rFonts w:cs="Arial"/>
                <w:color w:val="000000" w:themeColor="text1"/>
              </w:rPr>
              <w:t xml:space="preserve">      </w:t>
            </w:r>
            <w:r w:rsidR="00E74111" w:rsidRPr="00E74111">
              <w:rPr>
                <w:rFonts w:cs="Arial"/>
                <w:color w:val="000000" w:themeColor="text1"/>
              </w:rPr>
              <w:t>1,876</w:t>
            </w:r>
            <w:r w:rsidRPr="00E74111">
              <w:rPr>
                <w:rFonts w:cs="Arial"/>
                <w:color w:val="000000" w:themeColor="text1"/>
              </w:rPr>
              <w:t xml:space="preserve"> </w:t>
            </w:r>
          </w:p>
        </w:tc>
        <w:tc>
          <w:tcPr>
            <w:tcW w:w="1304" w:type="dxa"/>
            <w:tcBorders>
              <w:top w:val="nil"/>
              <w:left w:val="nil"/>
              <w:bottom w:val="single" w:sz="4" w:space="0" w:color="auto"/>
              <w:right w:val="single" w:sz="4" w:space="0" w:color="auto"/>
            </w:tcBorders>
            <w:shd w:val="clear" w:color="auto" w:fill="auto"/>
            <w:noWrap/>
            <w:vAlign w:val="center"/>
          </w:tcPr>
          <w:p w14:paraId="158CD9EB" w14:textId="195446BE" w:rsidR="00D55F4F" w:rsidRPr="00E74111" w:rsidRDefault="00E74111" w:rsidP="110985B9">
            <w:pPr>
              <w:spacing w:after="0"/>
              <w:jc w:val="right"/>
              <w:rPr>
                <w:rFonts w:cs="Arial"/>
                <w:color w:val="000000"/>
              </w:rPr>
            </w:pPr>
            <w:r w:rsidRPr="00E74111">
              <w:rPr>
                <w:rFonts w:cs="Arial"/>
                <w:color w:val="000000" w:themeColor="text1"/>
              </w:rPr>
              <w:t>2,296</w:t>
            </w:r>
            <w:r w:rsidR="00D55F4F" w:rsidRPr="00E74111">
              <w:rPr>
                <w:rFonts w:cs="Arial"/>
                <w:color w:val="000000" w:themeColor="text1"/>
              </w:rPr>
              <w:t xml:space="preserve"> </w:t>
            </w:r>
          </w:p>
        </w:tc>
        <w:tc>
          <w:tcPr>
            <w:tcW w:w="1130" w:type="dxa"/>
            <w:tcBorders>
              <w:top w:val="nil"/>
              <w:left w:val="nil"/>
              <w:bottom w:val="single" w:sz="4" w:space="0" w:color="auto"/>
              <w:right w:val="single" w:sz="4" w:space="0" w:color="auto"/>
            </w:tcBorders>
            <w:shd w:val="clear" w:color="auto" w:fill="auto"/>
            <w:noWrap/>
            <w:vAlign w:val="center"/>
          </w:tcPr>
          <w:p w14:paraId="0F53AAE6" w14:textId="6090D1E9" w:rsidR="00D55F4F" w:rsidRPr="00E74111" w:rsidRDefault="00D55F4F" w:rsidP="110985B9">
            <w:pPr>
              <w:spacing w:after="0"/>
              <w:jc w:val="right"/>
              <w:rPr>
                <w:rFonts w:cs="Arial"/>
                <w:color w:val="000000"/>
              </w:rPr>
            </w:pPr>
            <w:r w:rsidRPr="4A450472">
              <w:rPr>
                <w:rFonts w:cs="Arial"/>
                <w:color w:val="000000" w:themeColor="text1"/>
              </w:rPr>
              <w:t xml:space="preserve">     </w:t>
            </w:r>
            <w:r w:rsidR="73DC024B" w:rsidRPr="4A450472">
              <w:rPr>
                <w:rFonts w:cs="Arial"/>
                <w:color w:val="000000" w:themeColor="text1"/>
              </w:rPr>
              <w:t>2,336</w:t>
            </w:r>
            <w:r w:rsidRPr="4A450472">
              <w:rPr>
                <w:rFonts w:cs="Arial"/>
                <w:color w:val="000000" w:themeColor="text1"/>
              </w:rPr>
              <w:t xml:space="preserve"> </w:t>
            </w:r>
          </w:p>
        </w:tc>
        <w:tc>
          <w:tcPr>
            <w:tcW w:w="1418" w:type="dxa"/>
            <w:tcBorders>
              <w:top w:val="nil"/>
              <w:left w:val="nil"/>
              <w:bottom w:val="single" w:sz="4" w:space="0" w:color="auto"/>
              <w:right w:val="single" w:sz="4" w:space="0" w:color="auto"/>
            </w:tcBorders>
            <w:shd w:val="clear" w:color="auto" w:fill="auto"/>
            <w:noWrap/>
            <w:vAlign w:val="center"/>
          </w:tcPr>
          <w:p w14:paraId="37D16FC5" w14:textId="44F19A2B" w:rsidR="00D55F4F" w:rsidRPr="00E74111" w:rsidRDefault="00D55F4F" w:rsidP="110985B9">
            <w:pPr>
              <w:spacing w:after="0"/>
              <w:jc w:val="right"/>
              <w:rPr>
                <w:rFonts w:cs="Arial"/>
                <w:color w:val="000000"/>
              </w:rPr>
            </w:pPr>
            <w:r w:rsidRPr="00E74111">
              <w:rPr>
                <w:rFonts w:cs="Arial"/>
                <w:color w:val="000000" w:themeColor="text1"/>
              </w:rPr>
              <w:t xml:space="preserve">         </w:t>
            </w:r>
            <w:r w:rsidR="00E74111" w:rsidRPr="00E74111">
              <w:rPr>
                <w:rFonts w:cs="Arial"/>
                <w:color w:val="000000" w:themeColor="text1"/>
              </w:rPr>
              <w:t>460</w:t>
            </w:r>
            <w:r w:rsidRPr="00E74111">
              <w:rPr>
                <w:rFonts w:cs="Arial"/>
                <w:color w:val="000000" w:themeColor="text1"/>
              </w:rPr>
              <w:t xml:space="preserve"> </w:t>
            </w:r>
          </w:p>
        </w:tc>
        <w:tc>
          <w:tcPr>
            <w:tcW w:w="1477" w:type="dxa"/>
            <w:tcBorders>
              <w:top w:val="nil"/>
              <w:left w:val="nil"/>
              <w:bottom w:val="single" w:sz="4" w:space="0" w:color="auto"/>
              <w:right w:val="single" w:sz="4" w:space="0" w:color="auto"/>
            </w:tcBorders>
            <w:shd w:val="clear" w:color="auto" w:fill="auto"/>
            <w:noWrap/>
            <w:vAlign w:val="center"/>
          </w:tcPr>
          <w:p w14:paraId="0133129F" w14:textId="35B7BD41" w:rsidR="00D55F4F" w:rsidRPr="00E74111" w:rsidRDefault="00D55F4F" w:rsidP="110985B9">
            <w:pPr>
              <w:spacing w:after="0"/>
              <w:jc w:val="right"/>
              <w:rPr>
                <w:rFonts w:cs="Arial"/>
                <w:color w:val="000000"/>
              </w:rPr>
            </w:pPr>
            <w:r w:rsidRPr="00E74111">
              <w:rPr>
                <w:rFonts w:cs="Arial"/>
                <w:color w:val="000000" w:themeColor="text1"/>
              </w:rPr>
              <w:t>1.</w:t>
            </w:r>
            <w:r w:rsidR="00E74111" w:rsidRPr="00E74111">
              <w:rPr>
                <w:rFonts w:cs="Arial"/>
                <w:color w:val="000000" w:themeColor="text1"/>
              </w:rPr>
              <w:t>1</w:t>
            </w:r>
            <w:r w:rsidRPr="00E74111">
              <w:rPr>
                <w:rFonts w:cs="Arial"/>
                <w:color w:val="000000" w:themeColor="text1"/>
              </w:rPr>
              <w:t>%</w:t>
            </w:r>
          </w:p>
        </w:tc>
      </w:tr>
      <w:tr w:rsidR="00D55F4F" w:rsidRPr="00537E40" w14:paraId="4557F058" w14:textId="77777777" w:rsidTr="4A450472">
        <w:trPr>
          <w:trHeight w:val="340"/>
        </w:trPr>
        <w:tc>
          <w:tcPr>
            <w:tcW w:w="3061" w:type="dxa"/>
            <w:tcBorders>
              <w:top w:val="nil"/>
              <w:left w:val="single" w:sz="4" w:space="0" w:color="auto"/>
              <w:bottom w:val="single" w:sz="4" w:space="0" w:color="auto"/>
              <w:right w:val="single" w:sz="4" w:space="0" w:color="auto"/>
            </w:tcBorders>
            <w:shd w:val="clear" w:color="auto" w:fill="auto"/>
            <w:noWrap/>
            <w:vAlign w:val="center"/>
          </w:tcPr>
          <w:p w14:paraId="3DF9111C" w14:textId="77777777" w:rsidR="00D55F4F" w:rsidRDefault="00D55F4F" w:rsidP="00D55F4F">
            <w:pPr>
              <w:spacing w:after="0"/>
              <w:rPr>
                <w:rFonts w:cs="Arial"/>
                <w:b/>
                <w:bCs/>
                <w:color w:val="000000"/>
                <w:szCs w:val="20"/>
              </w:rPr>
            </w:pPr>
            <w:r>
              <w:rPr>
                <w:rFonts w:cs="Arial"/>
                <w:b/>
                <w:bCs/>
                <w:color w:val="000000"/>
                <w:szCs w:val="20"/>
              </w:rPr>
              <w:t>Docklands</w:t>
            </w:r>
          </w:p>
        </w:tc>
        <w:tc>
          <w:tcPr>
            <w:tcW w:w="1304" w:type="dxa"/>
            <w:tcBorders>
              <w:top w:val="nil"/>
              <w:left w:val="nil"/>
              <w:bottom w:val="single" w:sz="4" w:space="0" w:color="auto"/>
              <w:right w:val="single" w:sz="4" w:space="0" w:color="auto"/>
            </w:tcBorders>
            <w:shd w:val="clear" w:color="auto" w:fill="auto"/>
            <w:noWrap/>
            <w:vAlign w:val="center"/>
          </w:tcPr>
          <w:p w14:paraId="5A527C80" w14:textId="597B527C" w:rsidR="00D55F4F" w:rsidRPr="00E74111" w:rsidRDefault="00D55F4F" w:rsidP="110985B9">
            <w:pPr>
              <w:spacing w:after="0" w:line="240" w:lineRule="auto"/>
              <w:jc w:val="right"/>
              <w:rPr>
                <w:rFonts w:cs="Arial"/>
                <w:color w:val="000000"/>
              </w:rPr>
            </w:pPr>
            <w:r w:rsidRPr="00E74111">
              <w:rPr>
                <w:rFonts w:cs="Arial"/>
                <w:color w:val="000000" w:themeColor="text1"/>
              </w:rPr>
              <w:t xml:space="preserve">      </w:t>
            </w:r>
            <w:r w:rsidR="00E74111" w:rsidRPr="00E74111">
              <w:rPr>
                <w:rFonts w:cs="Arial"/>
                <w:color w:val="000000" w:themeColor="text1"/>
              </w:rPr>
              <w:t>2,933</w:t>
            </w:r>
            <w:r w:rsidRPr="00E74111">
              <w:rPr>
                <w:rFonts w:cs="Arial"/>
                <w:color w:val="000000" w:themeColor="text1"/>
              </w:rPr>
              <w:t xml:space="preserve"> </w:t>
            </w:r>
          </w:p>
        </w:tc>
        <w:tc>
          <w:tcPr>
            <w:tcW w:w="1304" w:type="dxa"/>
            <w:tcBorders>
              <w:top w:val="nil"/>
              <w:left w:val="nil"/>
              <w:bottom w:val="single" w:sz="4" w:space="0" w:color="auto"/>
              <w:right w:val="single" w:sz="4" w:space="0" w:color="auto"/>
            </w:tcBorders>
            <w:shd w:val="clear" w:color="auto" w:fill="auto"/>
            <w:noWrap/>
            <w:vAlign w:val="center"/>
          </w:tcPr>
          <w:p w14:paraId="3E2504D1" w14:textId="73885019" w:rsidR="00D55F4F" w:rsidRPr="00E74111" w:rsidRDefault="00D55F4F" w:rsidP="110985B9">
            <w:pPr>
              <w:spacing w:after="0" w:line="240" w:lineRule="auto"/>
              <w:jc w:val="right"/>
              <w:rPr>
                <w:rFonts w:cs="Arial"/>
                <w:color w:val="000000"/>
              </w:rPr>
            </w:pPr>
            <w:r w:rsidRPr="00E74111">
              <w:rPr>
                <w:rFonts w:cs="Arial"/>
                <w:color w:val="000000" w:themeColor="text1"/>
              </w:rPr>
              <w:t xml:space="preserve">      </w:t>
            </w:r>
            <w:r w:rsidR="00E74111" w:rsidRPr="00E74111">
              <w:rPr>
                <w:rFonts w:cs="Arial"/>
                <w:color w:val="000000" w:themeColor="text1"/>
              </w:rPr>
              <w:t>3,295</w:t>
            </w:r>
            <w:r w:rsidRPr="00E74111">
              <w:rPr>
                <w:rFonts w:cs="Arial"/>
                <w:color w:val="000000" w:themeColor="text1"/>
              </w:rPr>
              <w:t xml:space="preserve"> </w:t>
            </w:r>
          </w:p>
        </w:tc>
        <w:tc>
          <w:tcPr>
            <w:tcW w:w="1130" w:type="dxa"/>
            <w:tcBorders>
              <w:top w:val="nil"/>
              <w:left w:val="nil"/>
              <w:bottom w:val="single" w:sz="4" w:space="0" w:color="auto"/>
              <w:right w:val="single" w:sz="4" w:space="0" w:color="auto"/>
            </w:tcBorders>
            <w:shd w:val="clear" w:color="auto" w:fill="auto"/>
            <w:noWrap/>
            <w:vAlign w:val="center"/>
          </w:tcPr>
          <w:p w14:paraId="3C234E8E" w14:textId="58141601" w:rsidR="00D55F4F" w:rsidRPr="00E74111" w:rsidRDefault="00D55F4F" w:rsidP="110985B9">
            <w:pPr>
              <w:spacing w:after="0" w:line="240" w:lineRule="auto"/>
              <w:jc w:val="right"/>
              <w:rPr>
                <w:rFonts w:cs="Arial"/>
                <w:color w:val="000000"/>
              </w:rPr>
            </w:pPr>
            <w:r w:rsidRPr="4A450472">
              <w:rPr>
                <w:rFonts w:cs="Arial"/>
                <w:color w:val="000000" w:themeColor="text1"/>
              </w:rPr>
              <w:t xml:space="preserve">     </w:t>
            </w:r>
            <w:r w:rsidR="73DC024B" w:rsidRPr="4A450472">
              <w:rPr>
                <w:rFonts w:cs="Arial"/>
                <w:color w:val="000000" w:themeColor="text1"/>
              </w:rPr>
              <w:t>3,731</w:t>
            </w:r>
            <w:r w:rsidRPr="4A450472">
              <w:rPr>
                <w:rFonts w:cs="Arial"/>
                <w:color w:val="000000" w:themeColor="text1"/>
              </w:rPr>
              <w:t xml:space="preserve"> </w:t>
            </w:r>
          </w:p>
        </w:tc>
        <w:tc>
          <w:tcPr>
            <w:tcW w:w="1418" w:type="dxa"/>
            <w:tcBorders>
              <w:top w:val="nil"/>
              <w:left w:val="nil"/>
              <w:bottom w:val="single" w:sz="4" w:space="0" w:color="auto"/>
              <w:right w:val="single" w:sz="4" w:space="0" w:color="auto"/>
            </w:tcBorders>
            <w:shd w:val="clear" w:color="auto" w:fill="auto"/>
            <w:noWrap/>
            <w:vAlign w:val="center"/>
          </w:tcPr>
          <w:p w14:paraId="7EB536AE" w14:textId="6274EF06" w:rsidR="00D55F4F" w:rsidRPr="00E74111" w:rsidRDefault="00D55F4F" w:rsidP="110985B9">
            <w:pPr>
              <w:spacing w:after="0" w:line="240" w:lineRule="auto"/>
              <w:jc w:val="right"/>
              <w:rPr>
                <w:rFonts w:cs="Arial"/>
                <w:color w:val="000000"/>
              </w:rPr>
            </w:pPr>
            <w:r w:rsidRPr="00E74111">
              <w:rPr>
                <w:rFonts w:cs="Arial"/>
                <w:color w:val="000000" w:themeColor="text1"/>
              </w:rPr>
              <w:t xml:space="preserve">         </w:t>
            </w:r>
            <w:r w:rsidR="00E74111" w:rsidRPr="00E74111">
              <w:rPr>
                <w:rFonts w:cs="Arial"/>
                <w:color w:val="000000" w:themeColor="text1"/>
              </w:rPr>
              <w:t>798</w:t>
            </w:r>
            <w:r w:rsidRPr="00E74111">
              <w:rPr>
                <w:rFonts w:cs="Arial"/>
                <w:color w:val="000000" w:themeColor="text1"/>
              </w:rPr>
              <w:t xml:space="preserve"> </w:t>
            </w:r>
          </w:p>
        </w:tc>
        <w:tc>
          <w:tcPr>
            <w:tcW w:w="1477" w:type="dxa"/>
            <w:tcBorders>
              <w:top w:val="nil"/>
              <w:left w:val="nil"/>
              <w:bottom w:val="single" w:sz="4" w:space="0" w:color="auto"/>
              <w:right w:val="single" w:sz="4" w:space="0" w:color="auto"/>
            </w:tcBorders>
            <w:shd w:val="clear" w:color="auto" w:fill="auto"/>
            <w:noWrap/>
            <w:vAlign w:val="center"/>
          </w:tcPr>
          <w:p w14:paraId="4B9D5D1F" w14:textId="6F38FCAE" w:rsidR="00D55F4F" w:rsidRPr="00E74111" w:rsidRDefault="00D55F4F" w:rsidP="110985B9">
            <w:pPr>
              <w:spacing w:after="0" w:line="240" w:lineRule="auto"/>
              <w:jc w:val="right"/>
              <w:rPr>
                <w:rFonts w:cs="Arial"/>
                <w:color w:val="000000"/>
              </w:rPr>
            </w:pPr>
            <w:r w:rsidRPr="00E74111">
              <w:rPr>
                <w:rFonts w:cs="Arial"/>
                <w:color w:val="000000" w:themeColor="text1"/>
              </w:rPr>
              <w:t>1.</w:t>
            </w:r>
            <w:r w:rsidR="00E74111" w:rsidRPr="00E74111">
              <w:rPr>
                <w:rFonts w:cs="Arial"/>
                <w:color w:val="000000" w:themeColor="text1"/>
              </w:rPr>
              <w:t>2</w:t>
            </w:r>
            <w:r w:rsidRPr="00E74111">
              <w:rPr>
                <w:rFonts w:cs="Arial"/>
                <w:color w:val="000000" w:themeColor="text1"/>
              </w:rPr>
              <w:t>%</w:t>
            </w:r>
          </w:p>
        </w:tc>
      </w:tr>
      <w:tr w:rsidR="00D55F4F" w:rsidRPr="00537E40" w14:paraId="2F435CAF" w14:textId="77777777" w:rsidTr="4A450472">
        <w:trPr>
          <w:trHeight w:val="340"/>
        </w:trPr>
        <w:tc>
          <w:tcPr>
            <w:tcW w:w="3061" w:type="dxa"/>
            <w:tcBorders>
              <w:top w:val="nil"/>
              <w:left w:val="single" w:sz="4" w:space="0" w:color="auto"/>
              <w:bottom w:val="single" w:sz="4" w:space="0" w:color="auto"/>
              <w:right w:val="single" w:sz="4" w:space="0" w:color="auto"/>
            </w:tcBorders>
            <w:shd w:val="clear" w:color="auto" w:fill="auto"/>
            <w:noWrap/>
            <w:vAlign w:val="center"/>
          </w:tcPr>
          <w:p w14:paraId="7935C3E1" w14:textId="77777777" w:rsidR="00D55F4F" w:rsidRDefault="00D55F4F" w:rsidP="00D55F4F">
            <w:pPr>
              <w:spacing w:after="0"/>
              <w:rPr>
                <w:rFonts w:cs="Arial"/>
                <w:b/>
                <w:bCs/>
                <w:color w:val="000000"/>
                <w:szCs w:val="20"/>
              </w:rPr>
            </w:pPr>
            <w:r>
              <w:rPr>
                <w:rFonts w:cs="Arial"/>
                <w:b/>
                <w:bCs/>
                <w:color w:val="000000"/>
                <w:szCs w:val="20"/>
              </w:rPr>
              <w:t>East Melbourne</w:t>
            </w:r>
          </w:p>
        </w:tc>
        <w:tc>
          <w:tcPr>
            <w:tcW w:w="1304" w:type="dxa"/>
            <w:tcBorders>
              <w:top w:val="nil"/>
              <w:left w:val="nil"/>
              <w:bottom w:val="single" w:sz="4" w:space="0" w:color="auto"/>
              <w:right w:val="single" w:sz="4" w:space="0" w:color="auto"/>
            </w:tcBorders>
            <w:shd w:val="clear" w:color="auto" w:fill="auto"/>
            <w:noWrap/>
            <w:vAlign w:val="center"/>
          </w:tcPr>
          <w:p w14:paraId="05414240" w14:textId="16C05325" w:rsidR="00D55F4F" w:rsidRPr="00E74111" w:rsidRDefault="00D55F4F" w:rsidP="110985B9">
            <w:pPr>
              <w:spacing w:after="0" w:line="240" w:lineRule="auto"/>
              <w:jc w:val="right"/>
              <w:rPr>
                <w:rFonts w:cs="Arial"/>
                <w:color w:val="000000"/>
              </w:rPr>
            </w:pPr>
            <w:r w:rsidRPr="00E74111">
              <w:rPr>
                <w:rFonts w:cs="Arial"/>
                <w:color w:val="000000" w:themeColor="text1"/>
              </w:rPr>
              <w:t xml:space="preserve">      </w:t>
            </w:r>
            <w:r w:rsidR="00E74111" w:rsidRPr="00E74111">
              <w:rPr>
                <w:rFonts w:cs="Arial"/>
                <w:color w:val="000000" w:themeColor="text1"/>
              </w:rPr>
              <w:t>1,056</w:t>
            </w:r>
            <w:r w:rsidRPr="00E74111">
              <w:rPr>
                <w:rFonts w:cs="Arial"/>
                <w:color w:val="000000" w:themeColor="text1"/>
              </w:rPr>
              <w:t xml:space="preserve"> </w:t>
            </w:r>
          </w:p>
        </w:tc>
        <w:tc>
          <w:tcPr>
            <w:tcW w:w="1304" w:type="dxa"/>
            <w:tcBorders>
              <w:top w:val="nil"/>
              <w:left w:val="nil"/>
              <w:bottom w:val="single" w:sz="4" w:space="0" w:color="auto"/>
              <w:right w:val="single" w:sz="4" w:space="0" w:color="auto"/>
            </w:tcBorders>
            <w:shd w:val="clear" w:color="auto" w:fill="auto"/>
            <w:noWrap/>
            <w:vAlign w:val="center"/>
          </w:tcPr>
          <w:p w14:paraId="333BC401" w14:textId="7B1FC9D2" w:rsidR="00D55F4F" w:rsidRPr="00E74111" w:rsidRDefault="00D55F4F" w:rsidP="110985B9">
            <w:pPr>
              <w:spacing w:after="0" w:line="240" w:lineRule="auto"/>
              <w:jc w:val="right"/>
              <w:rPr>
                <w:rFonts w:cs="Arial"/>
                <w:color w:val="000000"/>
              </w:rPr>
            </w:pPr>
            <w:r w:rsidRPr="00E74111">
              <w:rPr>
                <w:rFonts w:cs="Arial"/>
                <w:color w:val="000000" w:themeColor="text1"/>
              </w:rPr>
              <w:t xml:space="preserve">      1</w:t>
            </w:r>
            <w:r w:rsidR="00E74111" w:rsidRPr="00E74111">
              <w:rPr>
                <w:rFonts w:cs="Arial"/>
                <w:color w:val="000000" w:themeColor="text1"/>
              </w:rPr>
              <w:t>,165</w:t>
            </w:r>
            <w:r w:rsidRPr="00E74111">
              <w:rPr>
                <w:rFonts w:cs="Arial"/>
                <w:color w:val="000000" w:themeColor="text1"/>
              </w:rPr>
              <w:t xml:space="preserve"> </w:t>
            </w:r>
          </w:p>
        </w:tc>
        <w:tc>
          <w:tcPr>
            <w:tcW w:w="1130" w:type="dxa"/>
            <w:tcBorders>
              <w:top w:val="nil"/>
              <w:left w:val="nil"/>
              <w:bottom w:val="single" w:sz="4" w:space="0" w:color="auto"/>
              <w:right w:val="single" w:sz="4" w:space="0" w:color="auto"/>
            </w:tcBorders>
            <w:shd w:val="clear" w:color="auto" w:fill="auto"/>
            <w:noWrap/>
            <w:vAlign w:val="center"/>
          </w:tcPr>
          <w:p w14:paraId="2A447AED" w14:textId="54C500E0" w:rsidR="00D55F4F" w:rsidRPr="00E74111" w:rsidRDefault="00D55F4F" w:rsidP="110985B9">
            <w:pPr>
              <w:spacing w:after="0" w:line="240" w:lineRule="auto"/>
              <w:jc w:val="right"/>
              <w:rPr>
                <w:rFonts w:cs="Arial"/>
                <w:color w:val="000000"/>
              </w:rPr>
            </w:pPr>
            <w:r w:rsidRPr="4A450472">
              <w:rPr>
                <w:rFonts w:cs="Arial"/>
                <w:color w:val="000000" w:themeColor="text1"/>
              </w:rPr>
              <w:t xml:space="preserve">     1,</w:t>
            </w:r>
            <w:r w:rsidR="73DC024B" w:rsidRPr="4A450472">
              <w:rPr>
                <w:rFonts w:cs="Arial"/>
                <w:color w:val="000000" w:themeColor="text1"/>
              </w:rPr>
              <w:t>166</w:t>
            </w:r>
            <w:r w:rsidRPr="4A450472">
              <w:rPr>
                <w:rFonts w:cs="Arial"/>
                <w:color w:val="000000" w:themeColor="text1"/>
              </w:rPr>
              <w:t xml:space="preserve"> </w:t>
            </w:r>
          </w:p>
        </w:tc>
        <w:tc>
          <w:tcPr>
            <w:tcW w:w="1418" w:type="dxa"/>
            <w:tcBorders>
              <w:top w:val="nil"/>
              <w:left w:val="nil"/>
              <w:bottom w:val="single" w:sz="4" w:space="0" w:color="auto"/>
              <w:right w:val="single" w:sz="4" w:space="0" w:color="auto"/>
            </w:tcBorders>
            <w:shd w:val="clear" w:color="auto" w:fill="auto"/>
            <w:noWrap/>
            <w:vAlign w:val="center"/>
          </w:tcPr>
          <w:p w14:paraId="0A1BB212" w14:textId="4E975F2C" w:rsidR="00D55F4F" w:rsidRPr="00E74111" w:rsidRDefault="00D55F4F" w:rsidP="110985B9">
            <w:pPr>
              <w:spacing w:after="0" w:line="240" w:lineRule="auto"/>
              <w:jc w:val="right"/>
              <w:rPr>
                <w:rFonts w:cs="Arial"/>
                <w:color w:val="000000"/>
              </w:rPr>
            </w:pPr>
            <w:r w:rsidRPr="00E74111">
              <w:rPr>
                <w:rFonts w:cs="Arial"/>
                <w:color w:val="000000" w:themeColor="text1"/>
              </w:rPr>
              <w:t xml:space="preserve">         1</w:t>
            </w:r>
            <w:r w:rsidR="00E74111" w:rsidRPr="00E74111">
              <w:rPr>
                <w:rFonts w:cs="Arial"/>
                <w:color w:val="000000" w:themeColor="text1"/>
              </w:rPr>
              <w:t>10</w:t>
            </w:r>
            <w:r w:rsidRPr="00E74111">
              <w:rPr>
                <w:rFonts w:cs="Arial"/>
                <w:color w:val="000000" w:themeColor="text1"/>
              </w:rPr>
              <w:t xml:space="preserve"> </w:t>
            </w:r>
          </w:p>
        </w:tc>
        <w:tc>
          <w:tcPr>
            <w:tcW w:w="1477" w:type="dxa"/>
            <w:tcBorders>
              <w:top w:val="nil"/>
              <w:left w:val="nil"/>
              <w:bottom w:val="single" w:sz="4" w:space="0" w:color="auto"/>
              <w:right w:val="single" w:sz="4" w:space="0" w:color="auto"/>
            </w:tcBorders>
            <w:shd w:val="clear" w:color="auto" w:fill="auto"/>
            <w:noWrap/>
            <w:vAlign w:val="center"/>
          </w:tcPr>
          <w:p w14:paraId="28EAA030" w14:textId="2D327AFA" w:rsidR="00D55F4F" w:rsidRPr="00E74111" w:rsidRDefault="00D55F4F" w:rsidP="110985B9">
            <w:pPr>
              <w:spacing w:after="0" w:line="240" w:lineRule="auto"/>
              <w:jc w:val="right"/>
              <w:rPr>
                <w:rFonts w:cs="Arial"/>
                <w:color w:val="000000"/>
              </w:rPr>
            </w:pPr>
            <w:r w:rsidRPr="00E74111">
              <w:rPr>
                <w:rFonts w:cs="Arial"/>
                <w:color w:val="000000" w:themeColor="text1"/>
              </w:rPr>
              <w:t>0.</w:t>
            </w:r>
            <w:r w:rsidR="00E74111" w:rsidRPr="00E74111">
              <w:rPr>
                <w:rFonts w:cs="Arial"/>
                <w:color w:val="000000" w:themeColor="text1"/>
              </w:rPr>
              <w:t>5</w:t>
            </w:r>
            <w:r w:rsidRPr="00E74111">
              <w:rPr>
                <w:rFonts w:cs="Arial"/>
                <w:color w:val="000000" w:themeColor="text1"/>
              </w:rPr>
              <w:t>%</w:t>
            </w:r>
          </w:p>
        </w:tc>
      </w:tr>
      <w:tr w:rsidR="00D55F4F" w:rsidRPr="00537E40" w14:paraId="0DC18FEC" w14:textId="77777777" w:rsidTr="4A450472">
        <w:trPr>
          <w:trHeight w:val="340"/>
        </w:trPr>
        <w:tc>
          <w:tcPr>
            <w:tcW w:w="3061" w:type="dxa"/>
            <w:tcBorders>
              <w:top w:val="nil"/>
              <w:left w:val="single" w:sz="4" w:space="0" w:color="auto"/>
              <w:bottom w:val="single" w:sz="4" w:space="0" w:color="auto"/>
              <w:right w:val="single" w:sz="4" w:space="0" w:color="auto"/>
            </w:tcBorders>
            <w:shd w:val="clear" w:color="auto" w:fill="auto"/>
            <w:noWrap/>
            <w:vAlign w:val="center"/>
          </w:tcPr>
          <w:p w14:paraId="05039D32" w14:textId="77777777" w:rsidR="00D55F4F" w:rsidRDefault="00D55F4F" w:rsidP="00D55F4F">
            <w:pPr>
              <w:spacing w:after="0"/>
              <w:rPr>
                <w:rFonts w:cs="Arial"/>
                <w:b/>
                <w:bCs/>
                <w:color w:val="000000"/>
                <w:szCs w:val="20"/>
              </w:rPr>
            </w:pPr>
            <w:r>
              <w:rPr>
                <w:rFonts w:cs="Arial"/>
                <w:b/>
                <w:bCs/>
                <w:color w:val="000000"/>
                <w:szCs w:val="20"/>
              </w:rPr>
              <w:t>Kensington</w:t>
            </w:r>
          </w:p>
        </w:tc>
        <w:tc>
          <w:tcPr>
            <w:tcW w:w="1304" w:type="dxa"/>
            <w:tcBorders>
              <w:top w:val="nil"/>
              <w:left w:val="nil"/>
              <w:bottom w:val="single" w:sz="4" w:space="0" w:color="auto"/>
              <w:right w:val="single" w:sz="4" w:space="0" w:color="auto"/>
            </w:tcBorders>
            <w:shd w:val="clear" w:color="auto" w:fill="auto"/>
            <w:noWrap/>
            <w:vAlign w:val="center"/>
          </w:tcPr>
          <w:p w14:paraId="170D0BA0" w14:textId="0AEBF849" w:rsidR="00D55F4F" w:rsidRPr="00E74111" w:rsidRDefault="00D55F4F" w:rsidP="110985B9">
            <w:pPr>
              <w:spacing w:after="0" w:line="240" w:lineRule="auto"/>
              <w:jc w:val="right"/>
              <w:rPr>
                <w:rFonts w:cs="Arial"/>
                <w:color w:val="000000"/>
              </w:rPr>
            </w:pPr>
            <w:r w:rsidRPr="00E74111">
              <w:rPr>
                <w:rFonts w:cs="Arial"/>
                <w:color w:val="000000" w:themeColor="text1"/>
              </w:rPr>
              <w:t xml:space="preserve">      1,4</w:t>
            </w:r>
            <w:r w:rsidR="00E74111" w:rsidRPr="00E74111">
              <w:rPr>
                <w:rFonts w:cs="Arial"/>
                <w:color w:val="000000" w:themeColor="text1"/>
              </w:rPr>
              <w:t>60</w:t>
            </w:r>
            <w:r w:rsidRPr="00E74111">
              <w:rPr>
                <w:rFonts w:cs="Arial"/>
                <w:color w:val="000000" w:themeColor="text1"/>
              </w:rPr>
              <w:t xml:space="preserve"> </w:t>
            </w:r>
          </w:p>
        </w:tc>
        <w:tc>
          <w:tcPr>
            <w:tcW w:w="1304" w:type="dxa"/>
            <w:tcBorders>
              <w:top w:val="nil"/>
              <w:left w:val="nil"/>
              <w:bottom w:val="single" w:sz="4" w:space="0" w:color="auto"/>
              <w:right w:val="single" w:sz="4" w:space="0" w:color="auto"/>
            </w:tcBorders>
            <w:shd w:val="clear" w:color="auto" w:fill="auto"/>
            <w:noWrap/>
            <w:vAlign w:val="center"/>
          </w:tcPr>
          <w:p w14:paraId="4038D511" w14:textId="391BB580" w:rsidR="00D55F4F" w:rsidRPr="00E74111" w:rsidRDefault="00D55F4F" w:rsidP="110985B9">
            <w:pPr>
              <w:spacing w:after="0" w:line="240" w:lineRule="auto"/>
              <w:jc w:val="right"/>
              <w:rPr>
                <w:rFonts w:cs="Arial"/>
                <w:color w:val="000000"/>
              </w:rPr>
            </w:pPr>
            <w:r w:rsidRPr="00E74111">
              <w:rPr>
                <w:rFonts w:cs="Arial"/>
                <w:color w:val="000000" w:themeColor="text1"/>
              </w:rPr>
              <w:t xml:space="preserve">      1,</w:t>
            </w:r>
            <w:r w:rsidR="00E74111" w:rsidRPr="00E74111">
              <w:rPr>
                <w:rFonts w:cs="Arial"/>
                <w:color w:val="000000" w:themeColor="text1"/>
              </w:rPr>
              <w:t>679</w:t>
            </w:r>
            <w:r w:rsidRPr="00E74111">
              <w:rPr>
                <w:rFonts w:cs="Arial"/>
                <w:color w:val="000000" w:themeColor="text1"/>
              </w:rPr>
              <w:t xml:space="preserve"> </w:t>
            </w:r>
          </w:p>
        </w:tc>
        <w:tc>
          <w:tcPr>
            <w:tcW w:w="1130" w:type="dxa"/>
            <w:tcBorders>
              <w:top w:val="nil"/>
              <w:left w:val="nil"/>
              <w:bottom w:val="single" w:sz="4" w:space="0" w:color="auto"/>
              <w:right w:val="single" w:sz="4" w:space="0" w:color="auto"/>
            </w:tcBorders>
            <w:shd w:val="clear" w:color="auto" w:fill="auto"/>
            <w:noWrap/>
            <w:vAlign w:val="center"/>
          </w:tcPr>
          <w:p w14:paraId="2AFC77B2" w14:textId="3D4F53EC" w:rsidR="00D55F4F" w:rsidRPr="00E74111" w:rsidRDefault="00D55F4F" w:rsidP="110985B9">
            <w:pPr>
              <w:spacing w:after="0" w:line="240" w:lineRule="auto"/>
              <w:jc w:val="right"/>
              <w:rPr>
                <w:rFonts w:cs="Arial"/>
                <w:color w:val="000000"/>
              </w:rPr>
            </w:pPr>
            <w:r w:rsidRPr="4A450472">
              <w:rPr>
                <w:rFonts w:cs="Arial"/>
                <w:color w:val="000000" w:themeColor="text1"/>
              </w:rPr>
              <w:t xml:space="preserve">     </w:t>
            </w:r>
            <w:r w:rsidR="73DC024B" w:rsidRPr="4A450472">
              <w:rPr>
                <w:rFonts w:cs="Arial"/>
                <w:color w:val="000000" w:themeColor="text1"/>
              </w:rPr>
              <w:t>1,887</w:t>
            </w:r>
            <w:r w:rsidRPr="4A450472">
              <w:rPr>
                <w:rFonts w:cs="Arial"/>
                <w:color w:val="000000" w:themeColor="text1"/>
              </w:rPr>
              <w:t xml:space="preserve"> </w:t>
            </w:r>
          </w:p>
        </w:tc>
        <w:tc>
          <w:tcPr>
            <w:tcW w:w="1418" w:type="dxa"/>
            <w:tcBorders>
              <w:top w:val="nil"/>
              <w:left w:val="nil"/>
              <w:bottom w:val="single" w:sz="4" w:space="0" w:color="auto"/>
              <w:right w:val="single" w:sz="4" w:space="0" w:color="auto"/>
            </w:tcBorders>
            <w:shd w:val="clear" w:color="auto" w:fill="auto"/>
            <w:noWrap/>
            <w:vAlign w:val="center"/>
          </w:tcPr>
          <w:p w14:paraId="705A81F3" w14:textId="1A885466" w:rsidR="00D55F4F" w:rsidRPr="00E74111" w:rsidRDefault="00D55F4F" w:rsidP="110985B9">
            <w:pPr>
              <w:spacing w:after="0" w:line="240" w:lineRule="auto"/>
              <w:jc w:val="right"/>
              <w:rPr>
                <w:rFonts w:cs="Arial"/>
                <w:color w:val="000000"/>
              </w:rPr>
            </w:pPr>
            <w:r w:rsidRPr="00E74111">
              <w:rPr>
                <w:rFonts w:cs="Arial"/>
                <w:color w:val="000000" w:themeColor="text1"/>
              </w:rPr>
              <w:t xml:space="preserve">         </w:t>
            </w:r>
            <w:r w:rsidR="00E74111" w:rsidRPr="00E74111">
              <w:rPr>
                <w:rFonts w:cs="Arial"/>
                <w:color w:val="000000" w:themeColor="text1"/>
              </w:rPr>
              <w:t>421</w:t>
            </w:r>
            <w:r w:rsidRPr="00E74111">
              <w:rPr>
                <w:rFonts w:cs="Arial"/>
                <w:color w:val="000000" w:themeColor="text1"/>
              </w:rPr>
              <w:t xml:space="preserve"> </w:t>
            </w:r>
          </w:p>
        </w:tc>
        <w:tc>
          <w:tcPr>
            <w:tcW w:w="1477" w:type="dxa"/>
            <w:tcBorders>
              <w:top w:val="nil"/>
              <w:left w:val="nil"/>
              <w:bottom w:val="single" w:sz="4" w:space="0" w:color="auto"/>
              <w:right w:val="single" w:sz="4" w:space="0" w:color="auto"/>
            </w:tcBorders>
            <w:shd w:val="clear" w:color="auto" w:fill="auto"/>
            <w:noWrap/>
            <w:vAlign w:val="center"/>
          </w:tcPr>
          <w:p w14:paraId="7006D036" w14:textId="0D33E42B" w:rsidR="00D55F4F" w:rsidRPr="00E74111" w:rsidRDefault="00E74111" w:rsidP="110985B9">
            <w:pPr>
              <w:spacing w:after="0" w:line="240" w:lineRule="auto"/>
              <w:jc w:val="right"/>
              <w:rPr>
                <w:rFonts w:cs="Arial"/>
                <w:color w:val="000000"/>
              </w:rPr>
            </w:pPr>
            <w:r w:rsidRPr="00E74111">
              <w:rPr>
                <w:rFonts w:cs="Arial"/>
                <w:color w:val="000000" w:themeColor="text1"/>
              </w:rPr>
              <w:t>1.3</w:t>
            </w:r>
            <w:r w:rsidR="00D55F4F" w:rsidRPr="00E74111">
              <w:rPr>
                <w:rFonts w:cs="Arial"/>
                <w:color w:val="000000" w:themeColor="text1"/>
              </w:rPr>
              <w:t>%</w:t>
            </w:r>
          </w:p>
        </w:tc>
      </w:tr>
      <w:tr w:rsidR="00D55F4F" w:rsidRPr="00537E40" w14:paraId="12A7033D" w14:textId="77777777" w:rsidTr="4A450472">
        <w:trPr>
          <w:trHeight w:val="340"/>
        </w:trPr>
        <w:tc>
          <w:tcPr>
            <w:tcW w:w="3061" w:type="dxa"/>
            <w:tcBorders>
              <w:top w:val="nil"/>
              <w:left w:val="single" w:sz="4" w:space="0" w:color="auto"/>
              <w:bottom w:val="single" w:sz="4" w:space="0" w:color="auto"/>
              <w:right w:val="single" w:sz="4" w:space="0" w:color="auto"/>
            </w:tcBorders>
            <w:shd w:val="clear" w:color="auto" w:fill="auto"/>
            <w:noWrap/>
            <w:vAlign w:val="center"/>
          </w:tcPr>
          <w:p w14:paraId="2E18FE21" w14:textId="77777777" w:rsidR="00D55F4F" w:rsidRDefault="00D55F4F" w:rsidP="00D55F4F">
            <w:pPr>
              <w:spacing w:after="0"/>
              <w:rPr>
                <w:rFonts w:cs="Arial"/>
                <w:b/>
                <w:bCs/>
                <w:color w:val="000000"/>
                <w:szCs w:val="20"/>
              </w:rPr>
            </w:pPr>
            <w:r>
              <w:rPr>
                <w:rFonts w:cs="Arial"/>
                <w:b/>
                <w:bCs/>
                <w:color w:val="000000"/>
                <w:szCs w:val="20"/>
              </w:rPr>
              <w:t>Melbourne (CBD)</w:t>
            </w:r>
          </w:p>
        </w:tc>
        <w:tc>
          <w:tcPr>
            <w:tcW w:w="1304" w:type="dxa"/>
            <w:tcBorders>
              <w:top w:val="nil"/>
              <w:left w:val="nil"/>
              <w:bottom w:val="single" w:sz="4" w:space="0" w:color="auto"/>
              <w:right w:val="single" w:sz="4" w:space="0" w:color="auto"/>
            </w:tcBorders>
            <w:shd w:val="clear" w:color="auto" w:fill="auto"/>
            <w:noWrap/>
            <w:vAlign w:val="center"/>
          </w:tcPr>
          <w:p w14:paraId="70BD8F91" w14:textId="057532B5" w:rsidR="00D55F4F" w:rsidRPr="00E74111" w:rsidRDefault="00D55F4F" w:rsidP="110985B9">
            <w:pPr>
              <w:spacing w:after="0" w:line="240" w:lineRule="auto"/>
              <w:jc w:val="right"/>
              <w:rPr>
                <w:rFonts w:cs="Arial"/>
                <w:color w:val="000000"/>
              </w:rPr>
            </w:pPr>
            <w:r w:rsidRPr="00E74111">
              <w:rPr>
                <w:rFonts w:cs="Arial"/>
                <w:color w:val="000000" w:themeColor="text1"/>
              </w:rPr>
              <w:t xml:space="preserve">      </w:t>
            </w:r>
            <w:r w:rsidR="00E74111" w:rsidRPr="00E74111">
              <w:rPr>
                <w:rFonts w:cs="Arial"/>
                <w:color w:val="000000" w:themeColor="text1"/>
              </w:rPr>
              <w:t>8,203</w:t>
            </w:r>
            <w:r w:rsidRPr="00E74111">
              <w:rPr>
                <w:rFonts w:cs="Arial"/>
                <w:color w:val="000000" w:themeColor="text1"/>
              </w:rPr>
              <w:t xml:space="preserve"> </w:t>
            </w:r>
          </w:p>
        </w:tc>
        <w:tc>
          <w:tcPr>
            <w:tcW w:w="1304" w:type="dxa"/>
            <w:tcBorders>
              <w:top w:val="nil"/>
              <w:left w:val="nil"/>
              <w:bottom w:val="single" w:sz="4" w:space="0" w:color="auto"/>
              <w:right w:val="single" w:sz="4" w:space="0" w:color="auto"/>
            </w:tcBorders>
            <w:shd w:val="clear" w:color="auto" w:fill="auto"/>
            <w:noWrap/>
            <w:vAlign w:val="center"/>
          </w:tcPr>
          <w:p w14:paraId="44137EA5" w14:textId="14610557" w:rsidR="00D55F4F" w:rsidRPr="00E74111" w:rsidRDefault="00D55F4F" w:rsidP="110985B9">
            <w:pPr>
              <w:spacing w:after="0" w:line="240" w:lineRule="auto"/>
              <w:jc w:val="right"/>
              <w:rPr>
                <w:rFonts w:cs="Arial"/>
                <w:color w:val="000000"/>
              </w:rPr>
            </w:pPr>
            <w:r w:rsidRPr="00E74111">
              <w:rPr>
                <w:rFonts w:cs="Arial"/>
                <w:color w:val="000000" w:themeColor="text1"/>
              </w:rPr>
              <w:t xml:space="preserve">      </w:t>
            </w:r>
            <w:r w:rsidR="00E74111" w:rsidRPr="00E74111">
              <w:rPr>
                <w:rFonts w:cs="Arial"/>
                <w:color w:val="000000" w:themeColor="text1"/>
              </w:rPr>
              <w:t>9,420</w:t>
            </w:r>
            <w:r w:rsidRPr="00E74111">
              <w:rPr>
                <w:rFonts w:cs="Arial"/>
                <w:color w:val="000000" w:themeColor="text1"/>
              </w:rPr>
              <w:t xml:space="preserve"> </w:t>
            </w:r>
          </w:p>
        </w:tc>
        <w:tc>
          <w:tcPr>
            <w:tcW w:w="1130" w:type="dxa"/>
            <w:tcBorders>
              <w:top w:val="nil"/>
              <w:left w:val="nil"/>
              <w:bottom w:val="single" w:sz="4" w:space="0" w:color="auto"/>
              <w:right w:val="single" w:sz="4" w:space="0" w:color="auto"/>
            </w:tcBorders>
            <w:shd w:val="clear" w:color="auto" w:fill="auto"/>
            <w:noWrap/>
            <w:vAlign w:val="center"/>
          </w:tcPr>
          <w:p w14:paraId="302CADAD" w14:textId="404CACB6" w:rsidR="00D55F4F" w:rsidRPr="00E74111" w:rsidRDefault="00E74111" w:rsidP="110985B9">
            <w:pPr>
              <w:spacing w:after="0" w:line="240" w:lineRule="auto"/>
              <w:jc w:val="right"/>
              <w:rPr>
                <w:rFonts w:cs="Arial"/>
                <w:color w:val="000000"/>
              </w:rPr>
            </w:pPr>
            <w:r w:rsidRPr="00E74111">
              <w:rPr>
                <w:rFonts w:cs="Arial"/>
                <w:color w:val="000000" w:themeColor="text1"/>
              </w:rPr>
              <w:t>10,400</w:t>
            </w:r>
            <w:r w:rsidR="00D55F4F" w:rsidRPr="00E74111">
              <w:rPr>
                <w:rFonts w:cs="Arial"/>
                <w:color w:val="000000" w:themeColor="text1"/>
              </w:rPr>
              <w:t xml:space="preserve"> </w:t>
            </w:r>
          </w:p>
        </w:tc>
        <w:tc>
          <w:tcPr>
            <w:tcW w:w="1418" w:type="dxa"/>
            <w:tcBorders>
              <w:top w:val="nil"/>
              <w:left w:val="nil"/>
              <w:bottom w:val="single" w:sz="4" w:space="0" w:color="auto"/>
              <w:right w:val="single" w:sz="4" w:space="0" w:color="auto"/>
            </w:tcBorders>
            <w:shd w:val="clear" w:color="auto" w:fill="auto"/>
            <w:noWrap/>
            <w:vAlign w:val="center"/>
          </w:tcPr>
          <w:p w14:paraId="7EAB828E" w14:textId="200E6B2A" w:rsidR="00D55F4F" w:rsidRPr="00E74111" w:rsidRDefault="00D55F4F" w:rsidP="110985B9">
            <w:pPr>
              <w:spacing w:after="0" w:line="240" w:lineRule="auto"/>
              <w:jc w:val="right"/>
              <w:rPr>
                <w:rFonts w:cs="Arial"/>
                <w:color w:val="000000"/>
              </w:rPr>
            </w:pPr>
            <w:r w:rsidRPr="00E74111">
              <w:rPr>
                <w:rFonts w:cs="Arial"/>
                <w:color w:val="000000" w:themeColor="text1"/>
              </w:rPr>
              <w:t xml:space="preserve">      </w:t>
            </w:r>
            <w:r w:rsidR="00E74111" w:rsidRPr="00E74111">
              <w:rPr>
                <w:rFonts w:cs="Arial"/>
                <w:color w:val="000000" w:themeColor="text1"/>
              </w:rPr>
              <w:t>2,197</w:t>
            </w:r>
            <w:r w:rsidRPr="00E74111">
              <w:rPr>
                <w:rFonts w:cs="Arial"/>
                <w:color w:val="000000" w:themeColor="text1"/>
              </w:rPr>
              <w:t xml:space="preserve"> </w:t>
            </w:r>
          </w:p>
        </w:tc>
        <w:tc>
          <w:tcPr>
            <w:tcW w:w="1477" w:type="dxa"/>
            <w:tcBorders>
              <w:top w:val="nil"/>
              <w:left w:val="nil"/>
              <w:bottom w:val="single" w:sz="4" w:space="0" w:color="auto"/>
              <w:right w:val="single" w:sz="4" w:space="0" w:color="auto"/>
            </w:tcBorders>
            <w:shd w:val="clear" w:color="auto" w:fill="auto"/>
            <w:noWrap/>
            <w:vAlign w:val="center"/>
          </w:tcPr>
          <w:p w14:paraId="25D16428" w14:textId="058C4E56" w:rsidR="00D55F4F" w:rsidRPr="00E74111" w:rsidRDefault="00D55F4F" w:rsidP="110985B9">
            <w:pPr>
              <w:spacing w:after="0" w:line="240" w:lineRule="auto"/>
              <w:jc w:val="right"/>
              <w:rPr>
                <w:rFonts w:cs="Arial"/>
                <w:color w:val="000000"/>
              </w:rPr>
            </w:pPr>
            <w:r w:rsidRPr="00E74111">
              <w:rPr>
                <w:rFonts w:cs="Arial"/>
                <w:color w:val="000000" w:themeColor="text1"/>
              </w:rPr>
              <w:t>1.2%</w:t>
            </w:r>
          </w:p>
        </w:tc>
      </w:tr>
      <w:tr w:rsidR="00D55F4F" w:rsidRPr="00537E40" w14:paraId="5D6A2A85" w14:textId="77777777" w:rsidTr="4A450472">
        <w:trPr>
          <w:trHeight w:val="340"/>
        </w:trPr>
        <w:tc>
          <w:tcPr>
            <w:tcW w:w="3061" w:type="dxa"/>
            <w:tcBorders>
              <w:top w:val="nil"/>
              <w:left w:val="single" w:sz="4" w:space="0" w:color="auto"/>
              <w:bottom w:val="single" w:sz="4" w:space="0" w:color="auto"/>
              <w:right w:val="single" w:sz="4" w:space="0" w:color="auto"/>
            </w:tcBorders>
            <w:shd w:val="clear" w:color="auto" w:fill="auto"/>
            <w:noWrap/>
            <w:vAlign w:val="center"/>
          </w:tcPr>
          <w:p w14:paraId="09D7936D" w14:textId="77777777" w:rsidR="00D55F4F" w:rsidRDefault="00D55F4F" w:rsidP="00D55F4F">
            <w:pPr>
              <w:spacing w:after="0"/>
              <w:rPr>
                <w:rFonts w:cs="Arial"/>
                <w:b/>
                <w:bCs/>
                <w:color w:val="000000"/>
                <w:szCs w:val="20"/>
              </w:rPr>
            </w:pPr>
            <w:r>
              <w:rPr>
                <w:rFonts w:cs="Arial"/>
                <w:b/>
                <w:bCs/>
                <w:color w:val="000000"/>
                <w:szCs w:val="20"/>
              </w:rPr>
              <w:t>Melbourne (Remainder)</w:t>
            </w:r>
          </w:p>
        </w:tc>
        <w:tc>
          <w:tcPr>
            <w:tcW w:w="1304" w:type="dxa"/>
            <w:tcBorders>
              <w:top w:val="nil"/>
              <w:left w:val="nil"/>
              <w:bottom w:val="single" w:sz="4" w:space="0" w:color="auto"/>
              <w:right w:val="single" w:sz="4" w:space="0" w:color="auto"/>
            </w:tcBorders>
            <w:shd w:val="clear" w:color="auto" w:fill="auto"/>
            <w:noWrap/>
            <w:vAlign w:val="center"/>
          </w:tcPr>
          <w:p w14:paraId="60FB42B1" w14:textId="69E03246" w:rsidR="00D55F4F" w:rsidRPr="00E74111" w:rsidRDefault="00D55F4F" w:rsidP="110985B9">
            <w:pPr>
              <w:spacing w:after="0" w:line="240" w:lineRule="auto"/>
              <w:jc w:val="right"/>
              <w:rPr>
                <w:rFonts w:cs="Arial"/>
                <w:color w:val="000000"/>
              </w:rPr>
            </w:pPr>
            <w:r w:rsidRPr="00E74111">
              <w:rPr>
                <w:rFonts w:cs="Arial"/>
                <w:color w:val="000000" w:themeColor="text1"/>
              </w:rPr>
              <w:t xml:space="preserve">         74</w:t>
            </w:r>
            <w:r w:rsidR="00E74111" w:rsidRPr="00E74111">
              <w:rPr>
                <w:rFonts w:cs="Arial"/>
                <w:color w:val="000000" w:themeColor="text1"/>
              </w:rPr>
              <w:t>6</w:t>
            </w:r>
            <w:r w:rsidRPr="00E74111">
              <w:rPr>
                <w:rFonts w:cs="Arial"/>
                <w:color w:val="000000" w:themeColor="text1"/>
              </w:rPr>
              <w:t xml:space="preserve"> </w:t>
            </w:r>
          </w:p>
        </w:tc>
        <w:tc>
          <w:tcPr>
            <w:tcW w:w="1304" w:type="dxa"/>
            <w:tcBorders>
              <w:top w:val="nil"/>
              <w:left w:val="nil"/>
              <w:bottom w:val="single" w:sz="4" w:space="0" w:color="auto"/>
              <w:right w:val="single" w:sz="4" w:space="0" w:color="auto"/>
            </w:tcBorders>
            <w:shd w:val="clear" w:color="auto" w:fill="auto"/>
            <w:noWrap/>
            <w:vAlign w:val="center"/>
          </w:tcPr>
          <w:p w14:paraId="5AE3CBCF" w14:textId="700E1D14" w:rsidR="00D55F4F" w:rsidRPr="00E74111" w:rsidRDefault="00D55F4F" w:rsidP="110985B9">
            <w:pPr>
              <w:spacing w:after="0" w:line="240" w:lineRule="auto"/>
              <w:jc w:val="right"/>
              <w:rPr>
                <w:rFonts w:cs="Arial"/>
                <w:color w:val="000000"/>
              </w:rPr>
            </w:pPr>
            <w:r w:rsidRPr="00E74111">
              <w:rPr>
                <w:rFonts w:cs="Arial"/>
                <w:color w:val="000000" w:themeColor="text1"/>
              </w:rPr>
              <w:t xml:space="preserve">         </w:t>
            </w:r>
            <w:r w:rsidR="00E74111" w:rsidRPr="00E74111">
              <w:rPr>
                <w:rFonts w:cs="Arial"/>
                <w:color w:val="000000" w:themeColor="text1"/>
              </w:rPr>
              <w:t>791</w:t>
            </w:r>
            <w:r w:rsidRPr="00E74111">
              <w:rPr>
                <w:rFonts w:cs="Arial"/>
                <w:color w:val="000000" w:themeColor="text1"/>
              </w:rPr>
              <w:t xml:space="preserve"> </w:t>
            </w:r>
          </w:p>
        </w:tc>
        <w:tc>
          <w:tcPr>
            <w:tcW w:w="1130" w:type="dxa"/>
            <w:tcBorders>
              <w:top w:val="nil"/>
              <w:left w:val="nil"/>
              <w:bottom w:val="single" w:sz="4" w:space="0" w:color="auto"/>
              <w:right w:val="single" w:sz="4" w:space="0" w:color="auto"/>
            </w:tcBorders>
            <w:shd w:val="clear" w:color="auto" w:fill="auto"/>
            <w:noWrap/>
            <w:vAlign w:val="center"/>
          </w:tcPr>
          <w:p w14:paraId="2BEA1148" w14:textId="556B7AD3" w:rsidR="00D55F4F" w:rsidRPr="00E74111" w:rsidRDefault="00D55F4F" w:rsidP="110985B9">
            <w:pPr>
              <w:spacing w:after="0" w:line="240" w:lineRule="auto"/>
              <w:jc w:val="right"/>
              <w:rPr>
                <w:rFonts w:cs="Arial"/>
                <w:color w:val="000000"/>
              </w:rPr>
            </w:pPr>
            <w:r w:rsidRPr="4A450472">
              <w:rPr>
                <w:rFonts w:cs="Arial"/>
                <w:color w:val="000000" w:themeColor="text1"/>
              </w:rPr>
              <w:t xml:space="preserve">        </w:t>
            </w:r>
            <w:r w:rsidR="73DC024B" w:rsidRPr="4A450472">
              <w:rPr>
                <w:rFonts w:cs="Arial"/>
                <w:color w:val="000000" w:themeColor="text1"/>
              </w:rPr>
              <w:t>791</w:t>
            </w:r>
            <w:r w:rsidRPr="4A450472">
              <w:rPr>
                <w:rFonts w:cs="Arial"/>
                <w:color w:val="000000" w:themeColor="text1"/>
              </w:rPr>
              <w:t xml:space="preserve"> </w:t>
            </w:r>
          </w:p>
        </w:tc>
        <w:tc>
          <w:tcPr>
            <w:tcW w:w="1418" w:type="dxa"/>
            <w:tcBorders>
              <w:top w:val="nil"/>
              <w:left w:val="nil"/>
              <w:bottom w:val="single" w:sz="4" w:space="0" w:color="auto"/>
              <w:right w:val="single" w:sz="4" w:space="0" w:color="auto"/>
            </w:tcBorders>
            <w:shd w:val="clear" w:color="auto" w:fill="auto"/>
            <w:noWrap/>
            <w:vAlign w:val="center"/>
          </w:tcPr>
          <w:p w14:paraId="39632CB0" w14:textId="07A49E91" w:rsidR="00D55F4F" w:rsidRPr="00E74111" w:rsidRDefault="00D55F4F" w:rsidP="110985B9">
            <w:pPr>
              <w:spacing w:after="0" w:line="240" w:lineRule="auto"/>
              <w:jc w:val="right"/>
              <w:rPr>
                <w:rFonts w:cs="Arial"/>
                <w:color w:val="000000"/>
              </w:rPr>
            </w:pPr>
            <w:r w:rsidRPr="00E74111">
              <w:rPr>
                <w:rFonts w:cs="Arial"/>
                <w:color w:val="000000" w:themeColor="text1"/>
              </w:rPr>
              <w:t xml:space="preserve">           </w:t>
            </w:r>
            <w:r w:rsidR="00E74111" w:rsidRPr="00E74111">
              <w:rPr>
                <w:rFonts w:cs="Arial"/>
                <w:color w:val="000000" w:themeColor="text1"/>
              </w:rPr>
              <w:t>45</w:t>
            </w:r>
            <w:r w:rsidRPr="00E74111">
              <w:rPr>
                <w:rFonts w:cs="Arial"/>
                <w:color w:val="000000" w:themeColor="text1"/>
              </w:rPr>
              <w:t xml:space="preserve"> </w:t>
            </w:r>
          </w:p>
        </w:tc>
        <w:tc>
          <w:tcPr>
            <w:tcW w:w="1477" w:type="dxa"/>
            <w:tcBorders>
              <w:top w:val="nil"/>
              <w:left w:val="nil"/>
              <w:bottom w:val="single" w:sz="4" w:space="0" w:color="auto"/>
              <w:right w:val="single" w:sz="4" w:space="0" w:color="auto"/>
            </w:tcBorders>
            <w:shd w:val="clear" w:color="auto" w:fill="auto"/>
            <w:noWrap/>
            <w:vAlign w:val="center"/>
          </w:tcPr>
          <w:p w14:paraId="40697250" w14:textId="7CD1B938" w:rsidR="00D55F4F" w:rsidRPr="00E74111" w:rsidRDefault="00D55F4F" w:rsidP="110985B9">
            <w:pPr>
              <w:spacing w:after="0" w:line="240" w:lineRule="auto"/>
              <w:jc w:val="right"/>
              <w:rPr>
                <w:rFonts w:cs="Arial"/>
                <w:color w:val="000000"/>
              </w:rPr>
            </w:pPr>
            <w:r w:rsidRPr="00E74111">
              <w:rPr>
                <w:rFonts w:cs="Arial"/>
                <w:color w:val="000000" w:themeColor="text1"/>
              </w:rPr>
              <w:t>0.</w:t>
            </w:r>
            <w:r w:rsidR="00E74111" w:rsidRPr="00E74111">
              <w:rPr>
                <w:rFonts w:cs="Arial"/>
                <w:color w:val="000000" w:themeColor="text1"/>
              </w:rPr>
              <w:t>3</w:t>
            </w:r>
            <w:r w:rsidRPr="00E74111">
              <w:rPr>
                <w:rFonts w:cs="Arial"/>
                <w:color w:val="000000" w:themeColor="text1"/>
              </w:rPr>
              <w:t>%</w:t>
            </w:r>
          </w:p>
        </w:tc>
      </w:tr>
      <w:tr w:rsidR="00D55F4F" w:rsidRPr="00537E40" w14:paraId="3E769399" w14:textId="77777777" w:rsidTr="4A450472">
        <w:trPr>
          <w:trHeight w:val="340"/>
        </w:trPr>
        <w:tc>
          <w:tcPr>
            <w:tcW w:w="3061" w:type="dxa"/>
            <w:tcBorders>
              <w:top w:val="nil"/>
              <w:left w:val="single" w:sz="4" w:space="0" w:color="auto"/>
              <w:bottom w:val="single" w:sz="4" w:space="0" w:color="auto"/>
              <w:right w:val="single" w:sz="4" w:space="0" w:color="auto"/>
            </w:tcBorders>
            <w:shd w:val="clear" w:color="auto" w:fill="auto"/>
            <w:noWrap/>
            <w:vAlign w:val="center"/>
          </w:tcPr>
          <w:p w14:paraId="7F13F1FE" w14:textId="77777777" w:rsidR="00D55F4F" w:rsidRDefault="00D55F4F" w:rsidP="00D55F4F">
            <w:pPr>
              <w:spacing w:after="0"/>
              <w:rPr>
                <w:rFonts w:cs="Arial"/>
                <w:b/>
                <w:bCs/>
                <w:color w:val="000000"/>
                <w:szCs w:val="20"/>
              </w:rPr>
            </w:pPr>
            <w:r>
              <w:rPr>
                <w:rFonts w:cs="Arial"/>
                <w:b/>
                <w:bCs/>
                <w:color w:val="000000"/>
                <w:szCs w:val="20"/>
              </w:rPr>
              <w:t>North Melbourne</w:t>
            </w:r>
          </w:p>
        </w:tc>
        <w:tc>
          <w:tcPr>
            <w:tcW w:w="1304" w:type="dxa"/>
            <w:tcBorders>
              <w:top w:val="nil"/>
              <w:left w:val="nil"/>
              <w:bottom w:val="single" w:sz="4" w:space="0" w:color="auto"/>
              <w:right w:val="single" w:sz="4" w:space="0" w:color="auto"/>
            </w:tcBorders>
            <w:shd w:val="clear" w:color="auto" w:fill="auto"/>
            <w:noWrap/>
            <w:vAlign w:val="center"/>
          </w:tcPr>
          <w:p w14:paraId="00C10AA5" w14:textId="2B356B3C" w:rsidR="00D55F4F" w:rsidRPr="00B60E1F" w:rsidRDefault="00D55F4F" w:rsidP="110985B9">
            <w:pPr>
              <w:spacing w:after="0" w:line="240" w:lineRule="auto"/>
              <w:jc w:val="right"/>
              <w:rPr>
                <w:rFonts w:cs="Arial"/>
                <w:color w:val="000000"/>
              </w:rPr>
            </w:pPr>
            <w:r w:rsidRPr="00B60E1F">
              <w:rPr>
                <w:rFonts w:cs="Arial"/>
                <w:color w:val="000000" w:themeColor="text1"/>
              </w:rPr>
              <w:t xml:space="preserve">      1,3</w:t>
            </w:r>
            <w:r w:rsidR="00E74111" w:rsidRPr="00B60E1F">
              <w:rPr>
                <w:rFonts w:cs="Arial"/>
                <w:color w:val="000000" w:themeColor="text1"/>
              </w:rPr>
              <w:t>66</w:t>
            </w:r>
            <w:r w:rsidRPr="00B60E1F">
              <w:rPr>
                <w:rFonts w:cs="Arial"/>
                <w:color w:val="000000" w:themeColor="text1"/>
              </w:rPr>
              <w:t xml:space="preserve"> </w:t>
            </w:r>
          </w:p>
        </w:tc>
        <w:tc>
          <w:tcPr>
            <w:tcW w:w="1304" w:type="dxa"/>
            <w:tcBorders>
              <w:top w:val="nil"/>
              <w:left w:val="nil"/>
              <w:bottom w:val="single" w:sz="4" w:space="0" w:color="auto"/>
              <w:right w:val="single" w:sz="4" w:space="0" w:color="auto"/>
            </w:tcBorders>
            <w:shd w:val="clear" w:color="auto" w:fill="auto"/>
            <w:noWrap/>
            <w:vAlign w:val="center"/>
          </w:tcPr>
          <w:p w14:paraId="64BFCEB7" w14:textId="43478A0A" w:rsidR="00D55F4F" w:rsidRPr="00B60E1F" w:rsidRDefault="00D55F4F" w:rsidP="110985B9">
            <w:pPr>
              <w:spacing w:after="0" w:line="240" w:lineRule="auto"/>
              <w:jc w:val="right"/>
              <w:rPr>
                <w:rFonts w:cs="Arial"/>
                <w:color w:val="000000"/>
              </w:rPr>
            </w:pPr>
            <w:r w:rsidRPr="00B60E1F">
              <w:rPr>
                <w:rFonts w:cs="Arial"/>
                <w:color w:val="000000" w:themeColor="text1"/>
              </w:rPr>
              <w:t xml:space="preserve">      1,</w:t>
            </w:r>
            <w:r w:rsidR="00E74111" w:rsidRPr="00B60E1F">
              <w:rPr>
                <w:rFonts w:cs="Arial"/>
                <w:color w:val="000000" w:themeColor="text1"/>
              </w:rPr>
              <w:t>825</w:t>
            </w:r>
            <w:r w:rsidRPr="00B60E1F">
              <w:rPr>
                <w:rFonts w:cs="Arial"/>
                <w:color w:val="000000" w:themeColor="text1"/>
              </w:rPr>
              <w:t xml:space="preserve"> </w:t>
            </w:r>
          </w:p>
        </w:tc>
        <w:tc>
          <w:tcPr>
            <w:tcW w:w="1130" w:type="dxa"/>
            <w:tcBorders>
              <w:top w:val="nil"/>
              <w:left w:val="nil"/>
              <w:bottom w:val="single" w:sz="4" w:space="0" w:color="auto"/>
              <w:right w:val="single" w:sz="4" w:space="0" w:color="auto"/>
            </w:tcBorders>
            <w:shd w:val="clear" w:color="auto" w:fill="auto"/>
            <w:noWrap/>
            <w:vAlign w:val="center"/>
          </w:tcPr>
          <w:p w14:paraId="5BBE0937" w14:textId="2443793B" w:rsidR="00D55F4F" w:rsidRPr="00B60E1F" w:rsidRDefault="00D55F4F" w:rsidP="110985B9">
            <w:pPr>
              <w:spacing w:after="0" w:line="240" w:lineRule="auto"/>
              <w:jc w:val="right"/>
              <w:rPr>
                <w:rFonts w:cs="Arial"/>
                <w:color w:val="000000"/>
              </w:rPr>
            </w:pPr>
            <w:r w:rsidRPr="4A450472">
              <w:rPr>
                <w:rFonts w:cs="Arial"/>
                <w:color w:val="000000" w:themeColor="text1"/>
              </w:rPr>
              <w:t xml:space="preserve">     2,3</w:t>
            </w:r>
            <w:r w:rsidR="17CE2B2E" w:rsidRPr="4A450472">
              <w:rPr>
                <w:rFonts w:cs="Arial"/>
                <w:color w:val="000000" w:themeColor="text1"/>
              </w:rPr>
              <w:t>93</w:t>
            </w:r>
            <w:r w:rsidRPr="4A450472">
              <w:rPr>
                <w:rFonts w:cs="Arial"/>
                <w:color w:val="000000" w:themeColor="text1"/>
              </w:rPr>
              <w:t xml:space="preserve"> </w:t>
            </w:r>
          </w:p>
        </w:tc>
        <w:tc>
          <w:tcPr>
            <w:tcW w:w="1418" w:type="dxa"/>
            <w:tcBorders>
              <w:top w:val="nil"/>
              <w:left w:val="nil"/>
              <w:bottom w:val="single" w:sz="4" w:space="0" w:color="auto"/>
              <w:right w:val="single" w:sz="4" w:space="0" w:color="auto"/>
            </w:tcBorders>
            <w:shd w:val="clear" w:color="auto" w:fill="auto"/>
            <w:noWrap/>
            <w:vAlign w:val="center"/>
          </w:tcPr>
          <w:p w14:paraId="02EAAF2D" w14:textId="2608DB8A" w:rsidR="00D55F4F" w:rsidRPr="00B60E1F" w:rsidRDefault="00D55F4F" w:rsidP="110985B9">
            <w:pPr>
              <w:spacing w:after="0" w:line="240" w:lineRule="auto"/>
              <w:jc w:val="right"/>
              <w:rPr>
                <w:rFonts w:cs="Arial"/>
                <w:color w:val="000000"/>
              </w:rPr>
            </w:pPr>
            <w:r w:rsidRPr="00B60E1F">
              <w:rPr>
                <w:rFonts w:cs="Arial"/>
                <w:color w:val="000000" w:themeColor="text1"/>
              </w:rPr>
              <w:t xml:space="preserve">      1,0</w:t>
            </w:r>
            <w:r w:rsidR="00B60E1F" w:rsidRPr="00B60E1F">
              <w:rPr>
                <w:rFonts w:cs="Arial"/>
                <w:color w:val="000000" w:themeColor="text1"/>
              </w:rPr>
              <w:t>27</w:t>
            </w:r>
            <w:r w:rsidRPr="00B60E1F">
              <w:rPr>
                <w:rFonts w:cs="Arial"/>
                <w:color w:val="000000" w:themeColor="text1"/>
              </w:rPr>
              <w:t xml:space="preserve"> </w:t>
            </w:r>
          </w:p>
        </w:tc>
        <w:tc>
          <w:tcPr>
            <w:tcW w:w="1477" w:type="dxa"/>
            <w:tcBorders>
              <w:top w:val="nil"/>
              <w:left w:val="nil"/>
              <w:bottom w:val="single" w:sz="4" w:space="0" w:color="auto"/>
              <w:right w:val="single" w:sz="4" w:space="0" w:color="auto"/>
            </w:tcBorders>
            <w:shd w:val="clear" w:color="auto" w:fill="auto"/>
            <w:noWrap/>
            <w:vAlign w:val="center"/>
          </w:tcPr>
          <w:p w14:paraId="5829BE0C" w14:textId="662853AE" w:rsidR="00D55F4F" w:rsidRPr="00B60E1F" w:rsidRDefault="00D55F4F" w:rsidP="110985B9">
            <w:pPr>
              <w:spacing w:after="0" w:line="240" w:lineRule="auto"/>
              <w:jc w:val="right"/>
              <w:rPr>
                <w:rFonts w:cs="Arial"/>
                <w:color w:val="000000"/>
              </w:rPr>
            </w:pPr>
            <w:r w:rsidRPr="00B60E1F">
              <w:rPr>
                <w:rFonts w:cs="Arial"/>
                <w:color w:val="000000" w:themeColor="text1"/>
              </w:rPr>
              <w:t>2.8%</w:t>
            </w:r>
          </w:p>
        </w:tc>
      </w:tr>
      <w:tr w:rsidR="00D55F4F" w:rsidRPr="00537E40" w14:paraId="3202D88E" w14:textId="77777777" w:rsidTr="4A450472">
        <w:trPr>
          <w:trHeight w:val="340"/>
        </w:trPr>
        <w:tc>
          <w:tcPr>
            <w:tcW w:w="3061" w:type="dxa"/>
            <w:tcBorders>
              <w:top w:val="nil"/>
              <w:left w:val="single" w:sz="4" w:space="0" w:color="auto"/>
              <w:bottom w:val="single" w:sz="4" w:space="0" w:color="auto"/>
              <w:right w:val="single" w:sz="4" w:space="0" w:color="auto"/>
            </w:tcBorders>
            <w:shd w:val="clear" w:color="auto" w:fill="auto"/>
            <w:noWrap/>
            <w:vAlign w:val="center"/>
          </w:tcPr>
          <w:p w14:paraId="0B6A5830" w14:textId="77777777" w:rsidR="00D55F4F" w:rsidRDefault="00D55F4F" w:rsidP="00D55F4F">
            <w:pPr>
              <w:spacing w:after="0"/>
              <w:rPr>
                <w:rFonts w:cs="Arial"/>
                <w:b/>
                <w:bCs/>
                <w:color w:val="000000"/>
                <w:szCs w:val="20"/>
              </w:rPr>
            </w:pPr>
            <w:r>
              <w:rPr>
                <w:rFonts w:cs="Arial"/>
                <w:b/>
                <w:bCs/>
                <w:color w:val="000000"/>
                <w:szCs w:val="20"/>
              </w:rPr>
              <w:t>Parkville</w:t>
            </w:r>
          </w:p>
        </w:tc>
        <w:tc>
          <w:tcPr>
            <w:tcW w:w="1304" w:type="dxa"/>
            <w:tcBorders>
              <w:top w:val="nil"/>
              <w:left w:val="nil"/>
              <w:bottom w:val="single" w:sz="4" w:space="0" w:color="auto"/>
              <w:right w:val="single" w:sz="4" w:space="0" w:color="auto"/>
            </w:tcBorders>
            <w:shd w:val="clear" w:color="auto" w:fill="auto"/>
            <w:noWrap/>
            <w:vAlign w:val="center"/>
          </w:tcPr>
          <w:p w14:paraId="2FDF3826" w14:textId="6505C635" w:rsidR="00D55F4F" w:rsidRPr="00B60E1F" w:rsidRDefault="00D55F4F" w:rsidP="110985B9">
            <w:pPr>
              <w:spacing w:after="0" w:line="240" w:lineRule="auto"/>
              <w:jc w:val="right"/>
              <w:rPr>
                <w:rFonts w:cs="Arial"/>
                <w:color w:val="000000"/>
              </w:rPr>
            </w:pPr>
            <w:r w:rsidRPr="00B60E1F">
              <w:rPr>
                <w:rFonts w:cs="Arial"/>
                <w:color w:val="000000" w:themeColor="text1"/>
              </w:rPr>
              <w:t xml:space="preserve">      2,1</w:t>
            </w:r>
            <w:r w:rsidR="00B60E1F" w:rsidRPr="00B60E1F">
              <w:rPr>
                <w:rFonts w:cs="Arial"/>
                <w:color w:val="000000" w:themeColor="text1"/>
              </w:rPr>
              <w:t>55</w:t>
            </w:r>
            <w:r w:rsidRPr="00B60E1F">
              <w:rPr>
                <w:rFonts w:cs="Arial"/>
                <w:color w:val="000000" w:themeColor="text1"/>
              </w:rPr>
              <w:t xml:space="preserve"> </w:t>
            </w:r>
          </w:p>
        </w:tc>
        <w:tc>
          <w:tcPr>
            <w:tcW w:w="1304" w:type="dxa"/>
            <w:tcBorders>
              <w:top w:val="nil"/>
              <w:left w:val="nil"/>
              <w:bottom w:val="single" w:sz="4" w:space="0" w:color="auto"/>
              <w:right w:val="single" w:sz="4" w:space="0" w:color="auto"/>
            </w:tcBorders>
            <w:shd w:val="clear" w:color="auto" w:fill="auto"/>
            <w:noWrap/>
            <w:vAlign w:val="center"/>
          </w:tcPr>
          <w:p w14:paraId="5AF5B251" w14:textId="2EA761E9" w:rsidR="00D55F4F" w:rsidRPr="00B60E1F" w:rsidRDefault="00D55F4F" w:rsidP="110985B9">
            <w:pPr>
              <w:spacing w:after="0" w:line="240" w:lineRule="auto"/>
              <w:jc w:val="right"/>
              <w:rPr>
                <w:rFonts w:cs="Arial"/>
                <w:color w:val="000000"/>
              </w:rPr>
            </w:pPr>
            <w:r w:rsidRPr="00B60E1F">
              <w:rPr>
                <w:rFonts w:cs="Arial"/>
                <w:color w:val="000000" w:themeColor="text1"/>
              </w:rPr>
              <w:t xml:space="preserve">      2,2</w:t>
            </w:r>
            <w:r w:rsidR="00B60E1F" w:rsidRPr="00B60E1F">
              <w:rPr>
                <w:rFonts w:cs="Arial"/>
                <w:color w:val="000000" w:themeColor="text1"/>
              </w:rPr>
              <w:t>24</w:t>
            </w:r>
            <w:r w:rsidRPr="00B60E1F">
              <w:rPr>
                <w:rFonts w:cs="Arial"/>
                <w:color w:val="000000" w:themeColor="text1"/>
              </w:rPr>
              <w:t xml:space="preserve"> </w:t>
            </w:r>
          </w:p>
        </w:tc>
        <w:tc>
          <w:tcPr>
            <w:tcW w:w="1130" w:type="dxa"/>
            <w:tcBorders>
              <w:top w:val="nil"/>
              <w:left w:val="nil"/>
              <w:bottom w:val="single" w:sz="4" w:space="0" w:color="auto"/>
              <w:right w:val="single" w:sz="4" w:space="0" w:color="auto"/>
            </w:tcBorders>
            <w:shd w:val="clear" w:color="auto" w:fill="auto"/>
            <w:noWrap/>
            <w:vAlign w:val="center"/>
          </w:tcPr>
          <w:p w14:paraId="3E83888A" w14:textId="6F5A0859" w:rsidR="00D55F4F" w:rsidRPr="00B60E1F" w:rsidRDefault="00D55F4F" w:rsidP="110985B9">
            <w:pPr>
              <w:spacing w:after="0" w:line="240" w:lineRule="auto"/>
              <w:jc w:val="right"/>
              <w:rPr>
                <w:rFonts w:cs="Arial"/>
                <w:color w:val="000000"/>
              </w:rPr>
            </w:pPr>
            <w:r w:rsidRPr="4A450472">
              <w:rPr>
                <w:rFonts w:cs="Arial"/>
                <w:color w:val="000000" w:themeColor="text1"/>
              </w:rPr>
              <w:t xml:space="preserve">     2,</w:t>
            </w:r>
            <w:r w:rsidR="17CE2B2E" w:rsidRPr="4A450472">
              <w:rPr>
                <w:rFonts w:cs="Arial"/>
                <w:color w:val="000000" w:themeColor="text1"/>
              </w:rPr>
              <w:t>224</w:t>
            </w:r>
            <w:r w:rsidRPr="4A450472">
              <w:rPr>
                <w:rFonts w:cs="Arial"/>
                <w:color w:val="000000" w:themeColor="text1"/>
              </w:rPr>
              <w:t xml:space="preserve"> </w:t>
            </w:r>
          </w:p>
        </w:tc>
        <w:tc>
          <w:tcPr>
            <w:tcW w:w="1418" w:type="dxa"/>
            <w:tcBorders>
              <w:top w:val="nil"/>
              <w:left w:val="nil"/>
              <w:bottom w:val="single" w:sz="4" w:space="0" w:color="auto"/>
              <w:right w:val="single" w:sz="4" w:space="0" w:color="auto"/>
            </w:tcBorders>
            <w:shd w:val="clear" w:color="auto" w:fill="auto"/>
            <w:noWrap/>
            <w:vAlign w:val="center"/>
          </w:tcPr>
          <w:p w14:paraId="0C3DECCF" w14:textId="3F79FCDF" w:rsidR="00D55F4F" w:rsidRPr="00B60E1F" w:rsidRDefault="00D55F4F" w:rsidP="110985B9">
            <w:pPr>
              <w:spacing w:after="0" w:line="240" w:lineRule="auto"/>
              <w:jc w:val="right"/>
              <w:rPr>
                <w:rFonts w:cs="Arial"/>
                <w:color w:val="000000"/>
              </w:rPr>
            </w:pPr>
            <w:r w:rsidRPr="00B60E1F">
              <w:rPr>
                <w:rFonts w:cs="Arial"/>
                <w:color w:val="000000" w:themeColor="text1"/>
              </w:rPr>
              <w:t xml:space="preserve">         </w:t>
            </w:r>
            <w:r w:rsidR="00B60E1F" w:rsidRPr="00B60E1F">
              <w:rPr>
                <w:rFonts w:cs="Arial"/>
                <w:color w:val="000000" w:themeColor="text1"/>
              </w:rPr>
              <w:t>6</w:t>
            </w:r>
            <w:r w:rsidRPr="00B60E1F">
              <w:rPr>
                <w:rFonts w:cs="Arial"/>
                <w:color w:val="000000" w:themeColor="text1"/>
              </w:rPr>
              <w:t xml:space="preserve">9 </w:t>
            </w:r>
          </w:p>
        </w:tc>
        <w:tc>
          <w:tcPr>
            <w:tcW w:w="1477" w:type="dxa"/>
            <w:tcBorders>
              <w:top w:val="nil"/>
              <w:left w:val="nil"/>
              <w:bottom w:val="single" w:sz="4" w:space="0" w:color="auto"/>
              <w:right w:val="single" w:sz="4" w:space="0" w:color="auto"/>
            </w:tcBorders>
            <w:shd w:val="clear" w:color="auto" w:fill="auto"/>
            <w:noWrap/>
            <w:vAlign w:val="center"/>
          </w:tcPr>
          <w:p w14:paraId="18223517" w14:textId="403AEBA6" w:rsidR="00D55F4F" w:rsidRPr="00B60E1F" w:rsidRDefault="00D55F4F" w:rsidP="110985B9">
            <w:pPr>
              <w:spacing w:after="0" w:line="240" w:lineRule="auto"/>
              <w:jc w:val="right"/>
              <w:rPr>
                <w:rFonts w:cs="Arial"/>
                <w:color w:val="000000"/>
              </w:rPr>
            </w:pPr>
            <w:r w:rsidRPr="00B60E1F">
              <w:rPr>
                <w:rFonts w:cs="Arial"/>
                <w:color w:val="000000" w:themeColor="text1"/>
              </w:rPr>
              <w:t>0.</w:t>
            </w:r>
            <w:r w:rsidR="00B60E1F" w:rsidRPr="00B60E1F">
              <w:rPr>
                <w:rFonts w:cs="Arial"/>
                <w:color w:val="000000" w:themeColor="text1"/>
              </w:rPr>
              <w:t>2</w:t>
            </w:r>
            <w:r w:rsidRPr="00B60E1F">
              <w:rPr>
                <w:rFonts w:cs="Arial"/>
                <w:color w:val="000000" w:themeColor="text1"/>
              </w:rPr>
              <w:t>%</w:t>
            </w:r>
          </w:p>
        </w:tc>
      </w:tr>
      <w:tr w:rsidR="00D55F4F" w:rsidRPr="00537E40" w14:paraId="4BC46BBE" w14:textId="77777777" w:rsidTr="4A450472">
        <w:trPr>
          <w:trHeight w:val="340"/>
        </w:trPr>
        <w:tc>
          <w:tcPr>
            <w:tcW w:w="3061" w:type="dxa"/>
            <w:tcBorders>
              <w:top w:val="nil"/>
              <w:left w:val="single" w:sz="4" w:space="0" w:color="auto"/>
              <w:bottom w:val="single" w:sz="4" w:space="0" w:color="auto"/>
              <w:right w:val="single" w:sz="4" w:space="0" w:color="auto"/>
            </w:tcBorders>
            <w:shd w:val="clear" w:color="auto" w:fill="auto"/>
            <w:noWrap/>
            <w:vAlign w:val="center"/>
          </w:tcPr>
          <w:p w14:paraId="3378CCE9" w14:textId="77777777" w:rsidR="00D55F4F" w:rsidRDefault="00D55F4F" w:rsidP="00D55F4F">
            <w:pPr>
              <w:spacing w:after="0"/>
              <w:rPr>
                <w:rFonts w:cs="Arial"/>
                <w:b/>
                <w:bCs/>
                <w:color w:val="000000"/>
                <w:szCs w:val="20"/>
              </w:rPr>
            </w:pPr>
            <w:r>
              <w:rPr>
                <w:rFonts w:cs="Arial"/>
                <w:b/>
                <w:bCs/>
                <w:color w:val="000000"/>
                <w:szCs w:val="20"/>
              </w:rPr>
              <w:t>Port Melbourne</w:t>
            </w:r>
          </w:p>
        </w:tc>
        <w:tc>
          <w:tcPr>
            <w:tcW w:w="1304" w:type="dxa"/>
            <w:tcBorders>
              <w:top w:val="nil"/>
              <w:left w:val="nil"/>
              <w:bottom w:val="single" w:sz="4" w:space="0" w:color="auto"/>
              <w:right w:val="single" w:sz="4" w:space="0" w:color="auto"/>
            </w:tcBorders>
            <w:shd w:val="clear" w:color="auto" w:fill="auto"/>
            <w:noWrap/>
            <w:vAlign w:val="center"/>
          </w:tcPr>
          <w:p w14:paraId="6B5BC22C" w14:textId="5EBFD197" w:rsidR="00D55F4F" w:rsidRPr="00B60E1F" w:rsidRDefault="00B60E1F" w:rsidP="110985B9">
            <w:pPr>
              <w:spacing w:after="0" w:line="240" w:lineRule="auto"/>
              <w:jc w:val="right"/>
              <w:rPr>
                <w:rFonts w:cs="Arial"/>
                <w:color w:val="000000"/>
              </w:rPr>
            </w:pPr>
            <w:r w:rsidRPr="00B60E1F">
              <w:rPr>
                <w:rFonts w:cs="Arial"/>
                <w:color w:val="000000" w:themeColor="text1"/>
              </w:rPr>
              <w:t>1,975</w:t>
            </w:r>
            <w:r w:rsidR="00D55F4F" w:rsidRPr="00B60E1F">
              <w:rPr>
                <w:rFonts w:cs="Arial"/>
                <w:color w:val="000000" w:themeColor="text1"/>
              </w:rPr>
              <w:t xml:space="preserve"> </w:t>
            </w:r>
          </w:p>
        </w:tc>
        <w:tc>
          <w:tcPr>
            <w:tcW w:w="1304" w:type="dxa"/>
            <w:tcBorders>
              <w:top w:val="nil"/>
              <w:left w:val="nil"/>
              <w:bottom w:val="single" w:sz="4" w:space="0" w:color="auto"/>
              <w:right w:val="single" w:sz="4" w:space="0" w:color="auto"/>
            </w:tcBorders>
            <w:shd w:val="clear" w:color="auto" w:fill="auto"/>
            <w:noWrap/>
            <w:vAlign w:val="center"/>
          </w:tcPr>
          <w:p w14:paraId="15C52680" w14:textId="19482D03" w:rsidR="00D55F4F" w:rsidRPr="00B60E1F" w:rsidRDefault="00D55F4F" w:rsidP="110985B9">
            <w:pPr>
              <w:spacing w:after="0" w:line="240" w:lineRule="auto"/>
              <w:jc w:val="right"/>
              <w:rPr>
                <w:rFonts w:cs="Arial"/>
                <w:color w:val="000000"/>
              </w:rPr>
            </w:pPr>
            <w:r w:rsidRPr="00B60E1F">
              <w:rPr>
                <w:rFonts w:cs="Arial"/>
                <w:color w:val="000000" w:themeColor="text1"/>
              </w:rPr>
              <w:t xml:space="preserve">      </w:t>
            </w:r>
            <w:r w:rsidR="00B60E1F" w:rsidRPr="00B60E1F">
              <w:rPr>
                <w:rFonts w:cs="Arial"/>
                <w:color w:val="000000" w:themeColor="text1"/>
              </w:rPr>
              <w:t>2,040</w:t>
            </w:r>
            <w:r w:rsidRPr="00B60E1F">
              <w:rPr>
                <w:rFonts w:cs="Arial"/>
                <w:color w:val="000000" w:themeColor="text1"/>
              </w:rPr>
              <w:t xml:space="preserve"> </w:t>
            </w:r>
          </w:p>
        </w:tc>
        <w:tc>
          <w:tcPr>
            <w:tcW w:w="1130" w:type="dxa"/>
            <w:tcBorders>
              <w:top w:val="nil"/>
              <w:left w:val="nil"/>
              <w:bottom w:val="single" w:sz="4" w:space="0" w:color="auto"/>
              <w:right w:val="single" w:sz="4" w:space="0" w:color="auto"/>
            </w:tcBorders>
            <w:shd w:val="clear" w:color="auto" w:fill="auto"/>
            <w:noWrap/>
            <w:vAlign w:val="center"/>
          </w:tcPr>
          <w:p w14:paraId="3AFB98E9" w14:textId="6DB3C230" w:rsidR="00D55F4F" w:rsidRPr="00B60E1F" w:rsidRDefault="00D55F4F" w:rsidP="110985B9">
            <w:pPr>
              <w:spacing w:after="0" w:line="240" w:lineRule="auto"/>
              <w:jc w:val="right"/>
              <w:rPr>
                <w:rFonts w:cs="Arial"/>
                <w:color w:val="000000"/>
              </w:rPr>
            </w:pPr>
            <w:r w:rsidRPr="4A450472">
              <w:rPr>
                <w:rFonts w:cs="Arial"/>
                <w:color w:val="000000" w:themeColor="text1"/>
              </w:rPr>
              <w:t xml:space="preserve">     2,3</w:t>
            </w:r>
            <w:r w:rsidR="17CE2B2E" w:rsidRPr="4A450472">
              <w:rPr>
                <w:rFonts w:cs="Arial"/>
                <w:color w:val="000000" w:themeColor="text1"/>
              </w:rPr>
              <w:t>37</w:t>
            </w:r>
            <w:r w:rsidRPr="4A450472">
              <w:rPr>
                <w:rFonts w:cs="Arial"/>
                <w:color w:val="000000" w:themeColor="text1"/>
              </w:rPr>
              <w:t xml:space="preserve"> </w:t>
            </w:r>
          </w:p>
        </w:tc>
        <w:tc>
          <w:tcPr>
            <w:tcW w:w="1418" w:type="dxa"/>
            <w:tcBorders>
              <w:top w:val="nil"/>
              <w:left w:val="nil"/>
              <w:bottom w:val="single" w:sz="4" w:space="0" w:color="auto"/>
              <w:right w:val="single" w:sz="4" w:space="0" w:color="auto"/>
            </w:tcBorders>
            <w:shd w:val="clear" w:color="auto" w:fill="auto"/>
            <w:noWrap/>
            <w:vAlign w:val="center"/>
          </w:tcPr>
          <w:p w14:paraId="3F4D1508" w14:textId="040CD205" w:rsidR="00D55F4F" w:rsidRPr="00B60E1F" w:rsidRDefault="00D55F4F" w:rsidP="110985B9">
            <w:pPr>
              <w:spacing w:after="0" w:line="240" w:lineRule="auto"/>
              <w:jc w:val="right"/>
              <w:rPr>
                <w:rFonts w:cs="Arial"/>
                <w:color w:val="000000"/>
              </w:rPr>
            </w:pPr>
            <w:r w:rsidRPr="00B60E1F">
              <w:rPr>
                <w:rFonts w:cs="Arial"/>
                <w:color w:val="000000" w:themeColor="text1"/>
              </w:rPr>
              <w:t xml:space="preserve">         </w:t>
            </w:r>
            <w:r w:rsidR="00B60E1F" w:rsidRPr="00B60E1F">
              <w:rPr>
                <w:rFonts w:cs="Arial"/>
                <w:color w:val="000000" w:themeColor="text1"/>
              </w:rPr>
              <w:t>362</w:t>
            </w:r>
            <w:r w:rsidRPr="00B60E1F">
              <w:rPr>
                <w:rFonts w:cs="Arial"/>
                <w:color w:val="000000" w:themeColor="text1"/>
              </w:rPr>
              <w:t xml:space="preserve"> </w:t>
            </w:r>
          </w:p>
        </w:tc>
        <w:tc>
          <w:tcPr>
            <w:tcW w:w="1477" w:type="dxa"/>
            <w:tcBorders>
              <w:top w:val="nil"/>
              <w:left w:val="nil"/>
              <w:bottom w:val="single" w:sz="4" w:space="0" w:color="auto"/>
              <w:right w:val="single" w:sz="4" w:space="0" w:color="auto"/>
            </w:tcBorders>
            <w:shd w:val="clear" w:color="auto" w:fill="auto"/>
            <w:noWrap/>
            <w:vAlign w:val="center"/>
          </w:tcPr>
          <w:p w14:paraId="1D050DC1" w14:textId="3F0B503B" w:rsidR="00D55F4F" w:rsidRPr="00B60E1F" w:rsidRDefault="00D55F4F" w:rsidP="110985B9">
            <w:pPr>
              <w:spacing w:after="0" w:line="240" w:lineRule="auto"/>
              <w:jc w:val="right"/>
              <w:rPr>
                <w:rFonts w:cs="Arial"/>
                <w:color w:val="000000"/>
              </w:rPr>
            </w:pPr>
            <w:r w:rsidRPr="00B60E1F">
              <w:rPr>
                <w:rFonts w:cs="Arial"/>
                <w:color w:val="000000" w:themeColor="text1"/>
              </w:rPr>
              <w:t>0.</w:t>
            </w:r>
            <w:r w:rsidR="00B60E1F" w:rsidRPr="00B60E1F">
              <w:rPr>
                <w:rFonts w:cs="Arial"/>
                <w:color w:val="000000" w:themeColor="text1"/>
              </w:rPr>
              <w:t>8</w:t>
            </w:r>
            <w:r w:rsidRPr="00B60E1F">
              <w:rPr>
                <w:rFonts w:cs="Arial"/>
                <w:color w:val="000000" w:themeColor="text1"/>
              </w:rPr>
              <w:t>%</w:t>
            </w:r>
          </w:p>
        </w:tc>
      </w:tr>
      <w:tr w:rsidR="00D55F4F" w:rsidRPr="00537E40" w14:paraId="73C75E14" w14:textId="77777777" w:rsidTr="4A450472">
        <w:trPr>
          <w:trHeight w:val="340"/>
        </w:trPr>
        <w:tc>
          <w:tcPr>
            <w:tcW w:w="3061" w:type="dxa"/>
            <w:tcBorders>
              <w:top w:val="nil"/>
              <w:left w:val="single" w:sz="4" w:space="0" w:color="auto"/>
              <w:bottom w:val="single" w:sz="4" w:space="0" w:color="auto"/>
              <w:right w:val="single" w:sz="4" w:space="0" w:color="auto"/>
            </w:tcBorders>
            <w:shd w:val="clear" w:color="auto" w:fill="auto"/>
            <w:noWrap/>
            <w:vAlign w:val="center"/>
          </w:tcPr>
          <w:p w14:paraId="6F5D014A" w14:textId="77777777" w:rsidR="00D55F4F" w:rsidRDefault="00D55F4F" w:rsidP="00D55F4F">
            <w:pPr>
              <w:spacing w:after="0"/>
              <w:rPr>
                <w:rFonts w:cs="Arial"/>
                <w:b/>
                <w:bCs/>
                <w:color w:val="000000"/>
                <w:szCs w:val="20"/>
              </w:rPr>
            </w:pPr>
            <w:r>
              <w:rPr>
                <w:rFonts w:cs="Arial"/>
                <w:b/>
                <w:bCs/>
                <w:color w:val="000000"/>
                <w:szCs w:val="20"/>
              </w:rPr>
              <w:t>South Yarra</w:t>
            </w:r>
          </w:p>
        </w:tc>
        <w:tc>
          <w:tcPr>
            <w:tcW w:w="1304" w:type="dxa"/>
            <w:tcBorders>
              <w:top w:val="nil"/>
              <w:left w:val="nil"/>
              <w:bottom w:val="single" w:sz="4" w:space="0" w:color="auto"/>
              <w:right w:val="single" w:sz="4" w:space="0" w:color="auto"/>
            </w:tcBorders>
            <w:shd w:val="clear" w:color="auto" w:fill="auto"/>
            <w:noWrap/>
            <w:vAlign w:val="center"/>
          </w:tcPr>
          <w:p w14:paraId="5E12C23E" w14:textId="76D4C56E" w:rsidR="00D55F4F" w:rsidRPr="00B60E1F" w:rsidRDefault="00D55F4F" w:rsidP="110985B9">
            <w:pPr>
              <w:spacing w:after="0" w:line="240" w:lineRule="auto"/>
              <w:jc w:val="right"/>
              <w:rPr>
                <w:rFonts w:cs="Arial"/>
                <w:color w:val="000000"/>
              </w:rPr>
            </w:pPr>
            <w:r w:rsidRPr="00B60E1F">
              <w:rPr>
                <w:rFonts w:cs="Arial"/>
                <w:color w:val="000000" w:themeColor="text1"/>
              </w:rPr>
              <w:t xml:space="preserve">         </w:t>
            </w:r>
            <w:r w:rsidR="00B60E1F" w:rsidRPr="00B60E1F">
              <w:rPr>
                <w:rFonts w:cs="Arial"/>
                <w:color w:val="000000" w:themeColor="text1"/>
              </w:rPr>
              <w:t>459</w:t>
            </w:r>
          </w:p>
        </w:tc>
        <w:tc>
          <w:tcPr>
            <w:tcW w:w="1304" w:type="dxa"/>
            <w:tcBorders>
              <w:top w:val="nil"/>
              <w:left w:val="nil"/>
              <w:bottom w:val="single" w:sz="4" w:space="0" w:color="auto"/>
              <w:right w:val="single" w:sz="4" w:space="0" w:color="auto"/>
            </w:tcBorders>
            <w:shd w:val="clear" w:color="auto" w:fill="auto"/>
            <w:noWrap/>
            <w:vAlign w:val="center"/>
          </w:tcPr>
          <w:p w14:paraId="33B6014C" w14:textId="1817299B" w:rsidR="00D55F4F" w:rsidRPr="00B60E1F" w:rsidRDefault="00D55F4F" w:rsidP="110985B9">
            <w:pPr>
              <w:spacing w:after="0" w:line="240" w:lineRule="auto"/>
              <w:jc w:val="right"/>
              <w:rPr>
                <w:rFonts w:cs="Arial"/>
                <w:color w:val="000000"/>
              </w:rPr>
            </w:pPr>
            <w:r w:rsidRPr="00B60E1F">
              <w:rPr>
                <w:rFonts w:cs="Arial"/>
                <w:color w:val="000000" w:themeColor="text1"/>
              </w:rPr>
              <w:t xml:space="preserve">         475 </w:t>
            </w:r>
          </w:p>
        </w:tc>
        <w:tc>
          <w:tcPr>
            <w:tcW w:w="1130" w:type="dxa"/>
            <w:tcBorders>
              <w:top w:val="nil"/>
              <w:left w:val="nil"/>
              <w:bottom w:val="single" w:sz="4" w:space="0" w:color="auto"/>
              <w:right w:val="single" w:sz="4" w:space="0" w:color="auto"/>
            </w:tcBorders>
            <w:shd w:val="clear" w:color="auto" w:fill="auto"/>
            <w:noWrap/>
            <w:vAlign w:val="center"/>
          </w:tcPr>
          <w:p w14:paraId="23EC7206" w14:textId="4354D9AE" w:rsidR="00D55F4F" w:rsidRPr="00B60E1F" w:rsidRDefault="00D55F4F" w:rsidP="110985B9">
            <w:pPr>
              <w:spacing w:after="0" w:line="240" w:lineRule="auto"/>
              <w:jc w:val="right"/>
              <w:rPr>
                <w:rFonts w:cs="Arial"/>
                <w:color w:val="000000"/>
              </w:rPr>
            </w:pPr>
            <w:r w:rsidRPr="4A450472">
              <w:rPr>
                <w:rFonts w:cs="Arial"/>
                <w:color w:val="000000" w:themeColor="text1"/>
              </w:rPr>
              <w:t xml:space="preserve">        4</w:t>
            </w:r>
            <w:r w:rsidR="17CE2B2E" w:rsidRPr="4A450472">
              <w:rPr>
                <w:rFonts w:cs="Arial"/>
                <w:color w:val="000000" w:themeColor="text1"/>
              </w:rPr>
              <w:t>82</w:t>
            </w:r>
            <w:r w:rsidRPr="4A450472">
              <w:rPr>
                <w:rFonts w:cs="Arial"/>
                <w:color w:val="000000" w:themeColor="text1"/>
              </w:rPr>
              <w:t xml:space="preserve"> </w:t>
            </w:r>
          </w:p>
        </w:tc>
        <w:tc>
          <w:tcPr>
            <w:tcW w:w="1418" w:type="dxa"/>
            <w:tcBorders>
              <w:top w:val="nil"/>
              <w:left w:val="nil"/>
              <w:bottom w:val="single" w:sz="4" w:space="0" w:color="auto"/>
              <w:right w:val="single" w:sz="4" w:space="0" w:color="auto"/>
            </w:tcBorders>
            <w:shd w:val="clear" w:color="auto" w:fill="auto"/>
            <w:noWrap/>
            <w:vAlign w:val="center"/>
          </w:tcPr>
          <w:p w14:paraId="58EF9DCB" w14:textId="75C0DE3D" w:rsidR="00D55F4F" w:rsidRPr="00B60E1F" w:rsidRDefault="00D55F4F" w:rsidP="110985B9">
            <w:pPr>
              <w:spacing w:after="0" w:line="240" w:lineRule="auto"/>
              <w:jc w:val="right"/>
              <w:rPr>
                <w:rFonts w:cs="Arial"/>
                <w:color w:val="000000"/>
              </w:rPr>
            </w:pPr>
            <w:r w:rsidRPr="00B60E1F">
              <w:rPr>
                <w:rFonts w:cs="Arial"/>
                <w:color w:val="000000" w:themeColor="text1"/>
              </w:rPr>
              <w:t xml:space="preserve">           2</w:t>
            </w:r>
            <w:r w:rsidR="00B60E1F" w:rsidRPr="00B60E1F">
              <w:rPr>
                <w:rFonts w:cs="Arial"/>
                <w:color w:val="000000" w:themeColor="text1"/>
              </w:rPr>
              <w:t>3</w:t>
            </w:r>
            <w:r w:rsidRPr="00B60E1F">
              <w:rPr>
                <w:rFonts w:cs="Arial"/>
                <w:color w:val="000000" w:themeColor="text1"/>
              </w:rPr>
              <w:t xml:space="preserve"> </w:t>
            </w:r>
          </w:p>
        </w:tc>
        <w:tc>
          <w:tcPr>
            <w:tcW w:w="1477" w:type="dxa"/>
            <w:tcBorders>
              <w:top w:val="nil"/>
              <w:left w:val="nil"/>
              <w:bottom w:val="single" w:sz="4" w:space="0" w:color="auto"/>
              <w:right w:val="single" w:sz="4" w:space="0" w:color="auto"/>
            </w:tcBorders>
            <w:shd w:val="clear" w:color="auto" w:fill="auto"/>
            <w:noWrap/>
            <w:vAlign w:val="center"/>
          </w:tcPr>
          <w:p w14:paraId="2FA89B96" w14:textId="3598A61F" w:rsidR="00D55F4F" w:rsidRPr="00B60E1F" w:rsidRDefault="00D55F4F" w:rsidP="110985B9">
            <w:pPr>
              <w:spacing w:after="0" w:line="240" w:lineRule="auto"/>
              <w:jc w:val="right"/>
              <w:rPr>
                <w:rFonts w:cs="Arial"/>
                <w:color w:val="000000"/>
              </w:rPr>
            </w:pPr>
            <w:r w:rsidRPr="00B60E1F">
              <w:rPr>
                <w:rFonts w:cs="Arial"/>
                <w:color w:val="000000" w:themeColor="text1"/>
              </w:rPr>
              <w:t>0.</w:t>
            </w:r>
            <w:r w:rsidR="00B60E1F" w:rsidRPr="00B60E1F">
              <w:rPr>
                <w:rFonts w:cs="Arial"/>
                <w:color w:val="000000" w:themeColor="text1"/>
              </w:rPr>
              <w:t>2</w:t>
            </w:r>
            <w:r w:rsidRPr="00B60E1F">
              <w:rPr>
                <w:rFonts w:cs="Arial"/>
                <w:color w:val="000000" w:themeColor="text1"/>
              </w:rPr>
              <w:t>%</w:t>
            </w:r>
          </w:p>
        </w:tc>
      </w:tr>
      <w:tr w:rsidR="00D55F4F" w:rsidRPr="00537E40" w14:paraId="08D2723C" w14:textId="77777777" w:rsidTr="4A450472">
        <w:trPr>
          <w:trHeight w:val="340"/>
        </w:trPr>
        <w:tc>
          <w:tcPr>
            <w:tcW w:w="3061" w:type="dxa"/>
            <w:tcBorders>
              <w:top w:val="nil"/>
              <w:left w:val="single" w:sz="4" w:space="0" w:color="auto"/>
              <w:bottom w:val="single" w:sz="4" w:space="0" w:color="auto"/>
              <w:right w:val="single" w:sz="4" w:space="0" w:color="auto"/>
            </w:tcBorders>
            <w:shd w:val="clear" w:color="auto" w:fill="auto"/>
            <w:noWrap/>
            <w:vAlign w:val="center"/>
          </w:tcPr>
          <w:p w14:paraId="053A6A93" w14:textId="77777777" w:rsidR="00D55F4F" w:rsidRDefault="00D55F4F" w:rsidP="00D55F4F">
            <w:pPr>
              <w:spacing w:after="0"/>
              <w:rPr>
                <w:rFonts w:cs="Arial"/>
                <w:b/>
                <w:bCs/>
                <w:color w:val="000000"/>
                <w:szCs w:val="20"/>
              </w:rPr>
            </w:pPr>
            <w:r>
              <w:rPr>
                <w:rFonts w:cs="Arial"/>
                <w:b/>
                <w:bCs/>
                <w:color w:val="000000"/>
                <w:szCs w:val="20"/>
              </w:rPr>
              <w:t>Southbank</w:t>
            </w:r>
          </w:p>
        </w:tc>
        <w:tc>
          <w:tcPr>
            <w:tcW w:w="1304" w:type="dxa"/>
            <w:tcBorders>
              <w:top w:val="nil"/>
              <w:left w:val="nil"/>
              <w:bottom w:val="single" w:sz="4" w:space="0" w:color="auto"/>
              <w:right w:val="single" w:sz="4" w:space="0" w:color="auto"/>
            </w:tcBorders>
            <w:shd w:val="clear" w:color="auto" w:fill="auto"/>
            <w:noWrap/>
            <w:vAlign w:val="center"/>
          </w:tcPr>
          <w:p w14:paraId="14558A49" w14:textId="03D2FE03" w:rsidR="00D55F4F" w:rsidRPr="00B60E1F" w:rsidRDefault="00D55F4F" w:rsidP="110985B9">
            <w:pPr>
              <w:spacing w:after="0" w:line="240" w:lineRule="auto"/>
              <w:jc w:val="right"/>
              <w:rPr>
                <w:rFonts w:cs="Arial"/>
                <w:color w:val="000000"/>
              </w:rPr>
            </w:pPr>
            <w:r w:rsidRPr="00B60E1F">
              <w:rPr>
                <w:rFonts w:cs="Arial"/>
                <w:color w:val="000000" w:themeColor="text1"/>
              </w:rPr>
              <w:t xml:space="preserve">      </w:t>
            </w:r>
            <w:r w:rsidR="00B60E1F" w:rsidRPr="00B60E1F">
              <w:rPr>
                <w:rFonts w:cs="Arial"/>
                <w:color w:val="000000" w:themeColor="text1"/>
              </w:rPr>
              <w:t>2,863</w:t>
            </w:r>
            <w:r w:rsidRPr="00B60E1F">
              <w:rPr>
                <w:rFonts w:cs="Arial"/>
                <w:color w:val="000000" w:themeColor="text1"/>
              </w:rPr>
              <w:t xml:space="preserve"> </w:t>
            </w:r>
          </w:p>
        </w:tc>
        <w:tc>
          <w:tcPr>
            <w:tcW w:w="1304" w:type="dxa"/>
            <w:tcBorders>
              <w:top w:val="nil"/>
              <w:left w:val="nil"/>
              <w:bottom w:val="single" w:sz="4" w:space="0" w:color="auto"/>
              <w:right w:val="single" w:sz="4" w:space="0" w:color="auto"/>
            </w:tcBorders>
            <w:shd w:val="clear" w:color="auto" w:fill="auto"/>
            <w:noWrap/>
            <w:vAlign w:val="center"/>
          </w:tcPr>
          <w:p w14:paraId="48A34B9F" w14:textId="0F856745" w:rsidR="00D55F4F" w:rsidRPr="00B60E1F" w:rsidRDefault="00D55F4F" w:rsidP="110985B9">
            <w:pPr>
              <w:spacing w:after="0" w:line="240" w:lineRule="auto"/>
              <w:jc w:val="right"/>
              <w:rPr>
                <w:rFonts w:cs="Arial"/>
                <w:color w:val="000000"/>
              </w:rPr>
            </w:pPr>
            <w:r w:rsidRPr="00B60E1F">
              <w:rPr>
                <w:rFonts w:cs="Arial"/>
                <w:color w:val="000000" w:themeColor="text1"/>
              </w:rPr>
              <w:t xml:space="preserve">      </w:t>
            </w:r>
            <w:r w:rsidR="00B60E1F" w:rsidRPr="00B60E1F">
              <w:rPr>
                <w:rFonts w:cs="Arial"/>
                <w:color w:val="000000" w:themeColor="text1"/>
              </w:rPr>
              <w:t>3,361</w:t>
            </w:r>
            <w:r w:rsidRPr="00B60E1F">
              <w:rPr>
                <w:rFonts w:cs="Arial"/>
                <w:color w:val="000000" w:themeColor="text1"/>
              </w:rPr>
              <w:t xml:space="preserve"> </w:t>
            </w:r>
          </w:p>
        </w:tc>
        <w:tc>
          <w:tcPr>
            <w:tcW w:w="1130" w:type="dxa"/>
            <w:tcBorders>
              <w:top w:val="nil"/>
              <w:left w:val="nil"/>
              <w:bottom w:val="single" w:sz="4" w:space="0" w:color="auto"/>
              <w:right w:val="single" w:sz="4" w:space="0" w:color="auto"/>
            </w:tcBorders>
            <w:shd w:val="clear" w:color="auto" w:fill="auto"/>
            <w:noWrap/>
            <w:vAlign w:val="center"/>
          </w:tcPr>
          <w:p w14:paraId="7BD15E7C" w14:textId="0E53600D" w:rsidR="00D55F4F" w:rsidRPr="00B60E1F" w:rsidRDefault="00D55F4F" w:rsidP="110985B9">
            <w:pPr>
              <w:spacing w:after="0" w:line="240" w:lineRule="auto"/>
              <w:jc w:val="right"/>
              <w:rPr>
                <w:rFonts w:cs="Arial"/>
                <w:color w:val="000000"/>
              </w:rPr>
            </w:pPr>
            <w:r w:rsidRPr="4A450472">
              <w:rPr>
                <w:rFonts w:cs="Arial"/>
                <w:color w:val="000000" w:themeColor="text1"/>
              </w:rPr>
              <w:t xml:space="preserve">     3,</w:t>
            </w:r>
            <w:r w:rsidR="17CE2B2E" w:rsidRPr="4A450472">
              <w:rPr>
                <w:rFonts w:cs="Arial"/>
                <w:color w:val="000000" w:themeColor="text1"/>
              </w:rPr>
              <w:t>787</w:t>
            </w:r>
            <w:r w:rsidRPr="4A450472">
              <w:rPr>
                <w:rFonts w:cs="Arial"/>
                <w:color w:val="000000" w:themeColor="text1"/>
              </w:rPr>
              <w:t xml:space="preserve"> </w:t>
            </w:r>
          </w:p>
        </w:tc>
        <w:tc>
          <w:tcPr>
            <w:tcW w:w="1418" w:type="dxa"/>
            <w:tcBorders>
              <w:top w:val="nil"/>
              <w:left w:val="nil"/>
              <w:bottom w:val="single" w:sz="4" w:space="0" w:color="auto"/>
              <w:right w:val="single" w:sz="4" w:space="0" w:color="auto"/>
            </w:tcBorders>
            <w:shd w:val="clear" w:color="auto" w:fill="auto"/>
            <w:noWrap/>
            <w:vAlign w:val="center"/>
          </w:tcPr>
          <w:p w14:paraId="7074DBC5" w14:textId="7494151B" w:rsidR="00D55F4F" w:rsidRPr="00B60E1F" w:rsidRDefault="00D55F4F" w:rsidP="110985B9">
            <w:pPr>
              <w:spacing w:after="0" w:line="240" w:lineRule="auto"/>
              <w:jc w:val="right"/>
              <w:rPr>
                <w:rFonts w:cs="Arial"/>
                <w:color w:val="000000"/>
              </w:rPr>
            </w:pPr>
            <w:r w:rsidRPr="00B60E1F">
              <w:rPr>
                <w:rFonts w:cs="Arial"/>
                <w:color w:val="000000" w:themeColor="text1"/>
              </w:rPr>
              <w:t xml:space="preserve">         9</w:t>
            </w:r>
            <w:r w:rsidR="00B60E1F" w:rsidRPr="00B60E1F">
              <w:rPr>
                <w:rFonts w:cs="Arial"/>
                <w:color w:val="000000" w:themeColor="text1"/>
              </w:rPr>
              <w:t>24</w:t>
            </w:r>
            <w:r w:rsidRPr="00B60E1F">
              <w:rPr>
                <w:rFonts w:cs="Arial"/>
                <w:color w:val="000000" w:themeColor="text1"/>
              </w:rPr>
              <w:t xml:space="preserve"> </w:t>
            </w:r>
          </w:p>
        </w:tc>
        <w:tc>
          <w:tcPr>
            <w:tcW w:w="1477" w:type="dxa"/>
            <w:tcBorders>
              <w:top w:val="nil"/>
              <w:left w:val="nil"/>
              <w:bottom w:val="single" w:sz="4" w:space="0" w:color="auto"/>
              <w:right w:val="single" w:sz="4" w:space="0" w:color="auto"/>
            </w:tcBorders>
            <w:shd w:val="clear" w:color="auto" w:fill="auto"/>
            <w:noWrap/>
            <w:vAlign w:val="center"/>
          </w:tcPr>
          <w:p w14:paraId="2C9DC952" w14:textId="018402D8" w:rsidR="00D55F4F" w:rsidRPr="00B60E1F" w:rsidRDefault="00D55F4F" w:rsidP="110985B9">
            <w:pPr>
              <w:spacing w:after="0" w:line="240" w:lineRule="auto"/>
              <w:jc w:val="right"/>
              <w:rPr>
                <w:rFonts w:cs="Arial"/>
                <w:color w:val="000000"/>
              </w:rPr>
            </w:pPr>
            <w:r w:rsidRPr="00B60E1F">
              <w:rPr>
                <w:rFonts w:cs="Arial"/>
                <w:color w:val="000000" w:themeColor="text1"/>
              </w:rPr>
              <w:t>1.4%</w:t>
            </w:r>
          </w:p>
        </w:tc>
      </w:tr>
      <w:tr w:rsidR="00D55F4F" w:rsidRPr="00537E40" w14:paraId="3F5EC8A6" w14:textId="77777777" w:rsidTr="4A450472">
        <w:trPr>
          <w:trHeight w:val="340"/>
        </w:trPr>
        <w:tc>
          <w:tcPr>
            <w:tcW w:w="3061" w:type="dxa"/>
            <w:tcBorders>
              <w:top w:val="nil"/>
              <w:left w:val="single" w:sz="4" w:space="0" w:color="auto"/>
              <w:bottom w:val="single" w:sz="4" w:space="0" w:color="auto"/>
              <w:right w:val="single" w:sz="4" w:space="0" w:color="auto"/>
            </w:tcBorders>
            <w:shd w:val="clear" w:color="auto" w:fill="auto"/>
            <w:noWrap/>
            <w:vAlign w:val="center"/>
          </w:tcPr>
          <w:p w14:paraId="3BFA5D7C" w14:textId="77777777" w:rsidR="00D55F4F" w:rsidRDefault="00D55F4F" w:rsidP="00D55F4F">
            <w:pPr>
              <w:spacing w:after="0"/>
              <w:rPr>
                <w:rFonts w:cs="Arial"/>
                <w:b/>
                <w:bCs/>
                <w:color w:val="000000"/>
                <w:szCs w:val="20"/>
              </w:rPr>
            </w:pPr>
            <w:r>
              <w:rPr>
                <w:rFonts w:cs="Arial"/>
                <w:b/>
                <w:bCs/>
                <w:color w:val="000000"/>
                <w:szCs w:val="20"/>
              </w:rPr>
              <w:t>West Melbourne (Industrial)</w:t>
            </w:r>
          </w:p>
        </w:tc>
        <w:tc>
          <w:tcPr>
            <w:tcW w:w="1304" w:type="dxa"/>
            <w:tcBorders>
              <w:top w:val="nil"/>
              <w:left w:val="nil"/>
              <w:bottom w:val="single" w:sz="4" w:space="0" w:color="auto"/>
              <w:right w:val="single" w:sz="4" w:space="0" w:color="auto"/>
            </w:tcBorders>
            <w:shd w:val="clear" w:color="auto" w:fill="auto"/>
            <w:noWrap/>
            <w:vAlign w:val="center"/>
          </w:tcPr>
          <w:p w14:paraId="1ADC9F9E" w14:textId="3F3454F0" w:rsidR="00D55F4F" w:rsidRPr="00B60E1F" w:rsidRDefault="00D55F4F" w:rsidP="110985B9">
            <w:pPr>
              <w:spacing w:after="0" w:line="240" w:lineRule="auto"/>
              <w:jc w:val="right"/>
              <w:rPr>
                <w:rFonts w:cs="Arial"/>
                <w:color w:val="000000"/>
              </w:rPr>
            </w:pPr>
            <w:r w:rsidRPr="00B60E1F">
              <w:rPr>
                <w:rFonts w:cs="Arial"/>
                <w:color w:val="000000" w:themeColor="text1"/>
              </w:rPr>
              <w:t xml:space="preserve">      2,</w:t>
            </w:r>
            <w:r w:rsidR="00B60E1F" w:rsidRPr="00B60E1F">
              <w:rPr>
                <w:rFonts w:cs="Arial"/>
                <w:color w:val="000000" w:themeColor="text1"/>
              </w:rPr>
              <w:t>393</w:t>
            </w:r>
            <w:r w:rsidRPr="00B60E1F">
              <w:rPr>
                <w:rFonts w:cs="Arial"/>
                <w:color w:val="000000" w:themeColor="text1"/>
              </w:rPr>
              <w:t xml:space="preserve"> </w:t>
            </w:r>
          </w:p>
        </w:tc>
        <w:tc>
          <w:tcPr>
            <w:tcW w:w="1304" w:type="dxa"/>
            <w:tcBorders>
              <w:top w:val="nil"/>
              <w:left w:val="nil"/>
              <w:bottom w:val="single" w:sz="4" w:space="0" w:color="auto"/>
              <w:right w:val="single" w:sz="4" w:space="0" w:color="auto"/>
            </w:tcBorders>
            <w:shd w:val="clear" w:color="auto" w:fill="auto"/>
            <w:noWrap/>
            <w:vAlign w:val="center"/>
          </w:tcPr>
          <w:p w14:paraId="5A13527B" w14:textId="2A8A6A8C" w:rsidR="00D55F4F" w:rsidRPr="00B60E1F" w:rsidRDefault="00D55F4F" w:rsidP="110985B9">
            <w:pPr>
              <w:spacing w:after="0" w:line="240" w:lineRule="auto"/>
              <w:jc w:val="right"/>
              <w:rPr>
                <w:rFonts w:cs="Arial"/>
                <w:color w:val="000000"/>
              </w:rPr>
            </w:pPr>
            <w:r w:rsidRPr="00B60E1F">
              <w:rPr>
                <w:rFonts w:cs="Arial"/>
                <w:color w:val="000000" w:themeColor="text1"/>
              </w:rPr>
              <w:t xml:space="preserve">      2,</w:t>
            </w:r>
            <w:r w:rsidR="00B60E1F" w:rsidRPr="00B60E1F">
              <w:rPr>
                <w:rFonts w:cs="Arial"/>
                <w:color w:val="000000" w:themeColor="text1"/>
              </w:rPr>
              <w:t>308</w:t>
            </w:r>
            <w:r w:rsidRPr="00B60E1F">
              <w:rPr>
                <w:rFonts w:cs="Arial"/>
                <w:color w:val="000000" w:themeColor="text1"/>
              </w:rPr>
              <w:t xml:space="preserve"> </w:t>
            </w:r>
          </w:p>
        </w:tc>
        <w:tc>
          <w:tcPr>
            <w:tcW w:w="1130" w:type="dxa"/>
            <w:tcBorders>
              <w:top w:val="nil"/>
              <w:left w:val="nil"/>
              <w:bottom w:val="single" w:sz="4" w:space="0" w:color="auto"/>
              <w:right w:val="single" w:sz="4" w:space="0" w:color="auto"/>
            </w:tcBorders>
            <w:shd w:val="clear" w:color="auto" w:fill="auto"/>
            <w:noWrap/>
            <w:vAlign w:val="center"/>
          </w:tcPr>
          <w:p w14:paraId="53E4C91F" w14:textId="4D25E3B6" w:rsidR="00D55F4F" w:rsidRPr="00B60E1F" w:rsidRDefault="00D55F4F" w:rsidP="110985B9">
            <w:pPr>
              <w:spacing w:after="0" w:line="240" w:lineRule="auto"/>
              <w:jc w:val="right"/>
              <w:rPr>
                <w:rFonts w:cs="Arial"/>
                <w:color w:val="000000"/>
              </w:rPr>
            </w:pPr>
            <w:r w:rsidRPr="4A450472">
              <w:rPr>
                <w:rFonts w:cs="Arial"/>
                <w:color w:val="000000" w:themeColor="text1"/>
              </w:rPr>
              <w:t xml:space="preserve">     2,</w:t>
            </w:r>
            <w:r w:rsidR="17CE2B2E" w:rsidRPr="4A450472">
              <w:rPr>
                <w:rFonts w:cs="Arial"/>
                <w:color w:val="000000" w:themeColor="text1"/>
              </w:rPr>
              <w:t>335</w:t>
            </w:r>
            <w:r w:rsidRPr="4A450472">
              <w:rPr>
                <w:rFonts w:cs="Arial"/>
                <w:color w:val="000000" w:themeColor="text1"/>
              </w:rPr>
              <w:t xml:space="preserve"> </w:t>
            </w:r>
          </w:p>
        </w:tc>
        <w:tc>
          <w:tcPr>
            <w:tcW w:w="1418" w:type="dxa"/>
            <w:tcBorders>
              <w:top w:val="nil"/>
              <w:left w:val="nil"/>
              <w:bottom w:val="single" w:sz="4" w:space="0" w:color="auto"/>
              <w:right w:val="single" w:sz="4" w:space="0" w:color="auto"/>
            </w:tcBorders>
            <w:shd w:val="clear" w:color="auto" w:fill="auto"/>
            <w:noWrap/>
            <w:vAlign w:val="center"/>
          </w:tcPr>
          <w:p w14:paraId="1F7B4600" w14:textId="1C57B968" w:rsidR="00D55F4F" w:rsidRPr="00B60E1F" w:rsidRDefault="00D55F4F" w:rsidP="110985B9">
            <w:pPr>
              <w:spacing w:after="0" w:line="240" w:lineRule="auto"/>
              <w:jc w:val="right"/>
              <w:rPr>
                <w:rFonts w:cs="Arial"/>
                <w:color w:val="000000"/>
              </w:rPr>
            </w:pPr>
            <w:r w:rsidRPr="00B60E1F">
              <w:rPr>
                <w:rFonts w:cs="Arial"/>
                <w:color w:val="000000" w:themeColor="text1"/>
              </w:rPr>
              <w:t>-</w:t>
            </w:r>
            <w:r w:rsidR="00B60E1F" w:rsidRPr="00B60E1F">
              <w:rPr>
                <w:rFonts w:cs="Arial"/>
                <w:color w:val="000000" w:themeColor="text1"/>
              </w:rPr>
              <w:t>58</w:t>
            </w:r>
            <w:r w:rsidRPr="00B60E1F">
              <w:rPr>
                <w:rFonts w:cs="Arial"/>
                <w:color w:val="000000" w:themeColor="text1"/>
              </w:rPr>
              <w:t xml:space="preserve"> </w:t>
            </w:r>
          </w:p>
        </w:tc>
        <w:tc>
          <w:tcPr>
            <w:tcW w:w="1477" w:type="dxa"/>
            <w:tcBorders>
              <w:top w:val="nil"/>
              <w:left w:val="nil"/>
              <w:bottom w:val="single" w:sz="4" w:space="0" w:color="auto"/>
              <w:right w:val="single" w:sz="4" w:space="0" w:color="auto"/>
            </w:tcBorders>
            <w:shd w:val="clear" w:color="auto" w:fill="auto"/>
            <w:noWrap/>
            <w:vAlign w:val="center"/>
          </w:tcPr>
          <w:p w14:paraId="7087293D" w14:textId="31EDA40E" w:rsidR="00D55F4F" w:rsidRPr="00B60E1F" w:rsidRDefault="00D55F4F" w:rsidP="110985B9">
            <w:pPr>
              <w:spacing w:after="0" w:line="240" w:lineRule="auto"/>
              <w:jc w:val="right"/>
              <w:rPr>
                <w:rFonts w:cs="Arial"/>
                <w:color w:val="000000"/>
              </w:rPr>
            </w:pPr>
            <w:r w:rsidRPr="00B60E1F">
              <w:rPr>
                <w:rFonts w:cs="Arial"/>
                <w:color w:val="000000" w:themeColor="text1"/>
              </w:rPr>
              <w:t>-0.</w:t>
            </w:r>
            <w:r w:rsidR="00B60E1F" w:rsidRPr="00B60E1F">
              <w:rPr>
                <w:rFonts w:cs="Arial"/>
                <w:color w:val="000000" w:themeColor="text1"/>
              </w:rPr>
              <w:t>1</w:t>
            </w:r>
            <w:r w:rsidRPr="00B60E1F">
              <w:rPr>
                <w:rFonts w:cs="Arial"/>
                <w:color w:val="000000" w:themeColor="text1"/>
              </w:rPr>
              <w:t>%</w:t>
            </w:r>
          </w:p>
        </w:tc>
      </w:tr>
      <w:tr w:rsidR="00D55F4F" w:rsidRPr="00537E40" w14:paraId="6FD2DD1B" w14:textId="77777777" w:rsidTr="4A450472">
        <w:trPr>
          <w:trHeight w:val="340"/>
        </w:trPr>
        <w:tc>
          <w:tcPr>
            <w:tcW w:w="3061" w:type="dxa"/>
            <w:tcBorders>
              <w:top w:val="nil"/>
              <w:left w:val="single" w:sz="4" w:space="0" w:color="auto"/>
              <w:bottom w:val="single" w:sz="4" w:space="0" w:color="auto"/>
              <w:right w:val="single" w:sz="4" w:space="0" w:color="auto"/>
            </w:tcBorders>
            <w:shd w:val="clear" w:color="auto" w:fill="auto"/>
            <w:noWrap/>
            <w:vAlign w:val="center"/>
          </w:tcPr>
          <w:p w14:paraId="76C644B6" w14:textId="77777777" w:rsidR="00D55F4F" w:rsidRDefault="00D55F4F" w:rsidP="00D55F4F">
            <w:pPr>
              <w:spacing w:after="0"/>
              <w:rPr>
                <w:rFonts w:cs="Arial"/>
                <w:b/>
                <w:bCs/>
                <w:color w:val="000000"/>
                <w:szCs w:val="20"/>
              </w:rPr>
            </w:pPr>
            <w:r>
              <w:rPr>
                <w:rFonts w:cs="Arial"/>
                <w:b/>
                <w:bCs/>
                <w:color w:val="000000"/>
                <w:szCs w:val="20"/>
              </w:rPr>
              <w:t>West Melbourne (Residential)</w:t>
            </w:r>
          </w:p>
        </w:tc>
        <w:tc>
          <w:tcPr>
            <w:tcW w:w="1304" w:type="dxa"/>
            <w:tcBorders>
              <w:top w:val="nil"/>
              <w:left w:val="nil"/>
              <w:bottom w:val="single" w:sz="4" w:space="0" w:color="auto"/>
              <w:right w:val="single" w:sz="4" w:space="0" w:color="auto"/>
            </w:tcBorders>
            <w:shd w:val="clear" w:color="auto" w:fill="auto"/>
            <w:noWrap/>
            <w:vAlign w:val="center"/>
          </w:tcPr>
          <w:p w14:paraId="6E926BB4" w14:textId="2BF0F474" w:rsidR="00D55F4F" w:rsidRPr="00B60E1F" w:rsidRDefault="00D55F4F" w:rsidP="110985B9">
            <w:pPr>
              <w:spacing w:after="0" w:line="240" w:lineRule="auto"/>
              <w:jc w:val="right"/>
              <w:rPr>
                <w:rFonts w:cs="Arial"/>
                <w:color w:val="000000"/>
              </w:rPr>
            </w:pPr>
            <w:r w:rsidRPr="4A450472">
              <w:rPr>
                <w:rFonts w:cs="Arial"/>
                <w:color w:val="000000" w:themeColor="text1"/>
              </w:rPr>
              <w:t xml:space="preserve">        </w:t>
            </w:r>
            <w:r w:rsidR="17CE2B2E" w:rsidRPr="4A450472">
              <w:rPr>
                <w:rFonts w:cs="Arial"/>
                <w:color w:val="000000" w:themeColor="text1"/>
              </w:rPr>
              <w:t>702</w:t>
            </w:r>
            <w:r w:rsidRPr="4A450472">
              <w:rPr>
                <w:rFonts w:cs="Arial"/>
                <w:color w:val="000000" w:themeColor="text1"/>
              </w:rPr>
              <w:t xml:space="preserve"> </w:t>
            </w:r>
          </w:p>
        </w:tc>
        <w:tc>
          <w:tcPr>
            <w:tcW w:w="1304" w:type="dxa"/>
            <w:tcBorders>
              <w:top w:val="nil"/>
              <w:left w:val="nil"/>
              <w:bottom w:val="single" w:sz="4" w:space="0" w:color="auto"/>
              <w:right w:val="single" w:sz="4" w:space="0" w:color="auto"/>
            </w:tcBorders>
            <w:shd w:val="clear" w:color="auto" w:fill="auto"/>
            <w:noWrap/>
            <w:vAlign w:val="center"/>
          </w:tcPr>
          <w:p w14:paraId="330CCAEE" w14:textId="1FDBC295" w:rsidR="00D55F4F" w:rsidRPr="00B60E1F" w:rsidRDefault="00D55F4F" w:rsidP="110985B9">
            <w:pPr>
              <w:spacing w:after="0" w:line="240" w:lineRule="auto"/>
              <w:jc w:val="right"/>
              <w:rPr>
                <w:rFonts w:cs="Arial"/>
                <w:color w:val="000000"/>
              </w:rPr>
            </w:pPr>
            <w:r w:rsidRPr="4A450472">
              <w:rPr>
                <w:rFonts w:cs="Arial"/>
                <w:color w:val="000000" w:themeColor="text1"/>
              </w:rPr>
              <w:t xml:space="preserve">     </w:t>
            </w:r>
            <w:r w:rsidR="17CE2B2E" w:rsidRPr="4A450472">
              <w:rPr>
                <w:rFonts w:cs="Arial"/>
                <w:color w:val="000000" w:themeColor="text1"/>
              </w:rPr>
              <w:t>837</w:t>
            </w:r>
            <w:r w:rsidRPr="4A450472">
              <w:rPr>
                <w:rFonts w:cs="Arial"/>
                <w:color w:val="000000" w:themeColor="text1"/>
              </w:rPr>
              <w:t xml:space="preserve"> </w:t>
            </w:r>
          </w:p>
        </w:tc>
        <w:tc>
          <w:tcPr>
            <w:tcW w:w="1130" w:type="dxa"/>
            <w:tcBorders>
              <w:top w:val="nil"/>
              <w:left w:val="nil"/>
              <w:bottom w:val="single" w:sz="4" w:space="0" w:color="auto"/>
              <w:right w:val="single" w:sz="4" w:space="0" w:color="auto"/>
            </w:tcBorders>
            <w:shd w:val="clear" w:color="auto" w:fill="auto"/>
            <w:noWrap/>
            <w:vAlign w:val="center"/>
          </w:tcPr>
          <w:p w14:paraId="0FD609A0" w14:textId="0864AD24" w:rsidR="00D55F4F" w:rsidRPr="00B60E1F" w:rsidRDefault="00D55F4F" w:rsidP="0055227E">
            <w:pPr>
              <w:spacing w:after="0" w:line="240" w:lineRule="auto"/>
              <w:jc w:val="right"/>
              <w:rPr>
                <w:rFonts w:cs="Arial"/>
                <w:color w:val="000000"/>
              </w:rPr>
            </w:pPr>
            <w:r w:rsidRPr="4A450472">
              <w:rPr>
                <w:rFonts w:cs="Arial"/>
                <w:color w:val="000000" w:themeColor="text1"/>
              </w:rPr>
              <w:t xml:space="preserve">     </w:t>
            </w:r>
            <w:r w:rsidR="17CE2B2E" w:rsidRPr="4A450472">
              <w:rPr>
                <w:rFonts w:cs="Arial"/>
                <w:color w:val="000000" w:themeColor="text1"/>
              </w:rPr>
              <w:t>1,00</w:t>
            </w:r>
            <w:r w:rsidR="001F787E">
              <w:rPr>
                <w:rFonts w:cs="Arial"/>
                <w:color w:val="000000" w:themeColor="text1"/>
              </w:rPr>
              <w:t>5</w:t>
            </w:r>
          </w:p>
        </w:tc>
        <w:tc>
          <w:tcPr>
            <w:tcW w:w="1418" w:type="dxa"/>
            <w:tcBorders>
              <w:top w:val="nil"/>
              <w:left w:val="nil"/>
              <w:bottom w:val="single" w:sz="4" w:space="0" w:color="auto"/>
              <w:right w:val="single" w:sz="4" w:space="0" w:color="auto"/>
            </w:tcBorders>
            <w:shd w:val="clear" w:color="auto" w:fill="auto"/>
            <w:noWrap/>
            <w:vAlign w:val="center"/>
          </w:tcPr>
          <w:p w14:paraId="2834F722" w14:textId="31558EB2" w:rsidR="00D55F4F" w:rsidRPr="00B60E1F" w:rsidRDefault="00D55F4F" w:rsidP="110985B9">
            <w:pPr>
              <w:spacing w:after="0" w:line="240" w:lineRule="auto"/>
              <w:jc w:val="right"/>
              <w:rPr>
                <w:rFonts w:cs="Arial"/>
                <w:color w:val="000000"/>
              </w:rPr>
            </w:pPr>
            <w:r w:rsidRPr="00B60E1F">
              <w:rPr>
                <w:rFonts w:cs="Arial"/>
                <w:color w:val="000000" w:themeColor="text1"/>
              </w:rPr>
              <w:t xml:space="preserve">         </w:t>
            </w:r>
            <w:r w:rsidR="00B60E1F" w:rsidRPr="00B60E1F">
              <w:rPr>
                <w:rFonts w:cs="Arial"/>
                <w:color w:val="000000" w:themeColor="text1"/>
              </w:rPr>
              <w:t>303</w:t>
            </w:r>
            <w:r w:rsidRPr="00B60E1F">
              <w:rPr>
                <w:rFonts w:cs="Arial"/>
                <w:color w:val="000000" w:themeColor="text1"/>
              </w:rPr>
              <w:t xml:space="preserve"> </w:t>
            </w:r>
          </w:p>
        </w:tc>
        <w:tc>
          <w:tcPr>
            <w:tcW w:w="1477" w:type="dxa"/>
            <w:tcBorders>
              <w:top w:val="nil"/>
              <w:left w:val="nil"/>
              <w:bottom w:val="single" w:sz="4" w:space="0" w:color="auto"/>
              <w:right w:val="single" w:sz="4" w:space="0" w:color="auto"/>
            </w:tcBorders>
            <w:shd w:val="clear" w:color="auto" w:fill="auto"/>
            <w:noWrap/>
            <w:vAlign w:val="center"/>
          </w:tcPr>
          <w:p w14:paraId="15D810EB" w14:textId="2AECFA5E" w:rsidR="00D55F4F" w:rsidRPr="00B60E1F" w:rsidRDefault="00D55F4F" w:rsidP="110985B9">
            <w:pPr>
              <w:spacing w:after="0" w:line="240" w:lineRule="auto"/>
              <w:jc w:val="right"/>
              <w:rPr>
                <w:rFonts w:cs="Arial"/>
                <w:color w:val="000000"/>
              </w:rPr>
            </w:pPr>
            <w:r w:rsidRPr="00B60E1F">
              <w:rPr>
                <w:rFonts w:cs="Arial"/>
                <w:color w:val="000000" w:themeColor="text1"/>
              </w:rPr>
              <w:t>1.</w:t>
            </w:r>
            <w:r w:rsidR="00B60E1F" w:rsidRPr="00B60E1F">
              <w:rPr>
                <w:rFonts w:cs="Arial"/>
                <w:color w:val="000000" w:themeColor="text1"/>
              </w:rPr>
              <w:t>8</w:t>
            </w:r>
            <w:r w:rsidRPr="00B60E1F">
              <w:rPr>
                <w:rFonts w:cs="Arial"/>
                <w:color w:val="000000" w:themeColor="text1"/>
              </w:rPr>
              <w:t>%</w:t>
            </w:r>
          </w:p>
        </w:tc>
      </w:tr>
      <w:tr w:rsidR="00D55F4F" w:rsidRPr="00537E40" w14:paraId="68A49493" w14:textId="77777777" w:rsidTr="4A450472">
        <w:trPr>
          <w:trHeight w:val="340"/>
        </w:trPr>
        <w:tc>
          <w:tcPr>
            <w:tcW w:w="3061" w:type="dxa"/>
            <w:tcBorders>
              <w:top w:val="nil"/>
              <w:left w:val="single" w:sz="4" w:space="0" w:color="auto"/>
              <w:bottom w:val="single" w:sz="4" w:space="0" w:color="auto"/>
              <w:right w:val="single" w:sz="4" w:space="0" w:color="auto"/>
            </w:tcBorders>
            <w:shd w:val="clear" w:color="auto" w:fill="auto"/>
            <w:noWrap/>
            <w:vAlign w:val="center"/>
          </w:tcPr>
          <w:p w14:paraId="430962E1" w14:textId="77777777" w:rsidR="00D55F4F" w:rsidRDefault="00D55F4F" w:rsidP="00D55F4F">
            <w:pPr>
              <w:spacing w:after="0"/>
              <w:rPr>
                <w:rFonts w:cs="Arial"/>
                <w:b/>
                <w:bCs/>
                <w:color w:val="000000"/>
                <w:szCs w:val="20"/>
              </w:rPr>
            </w:pPr>
            <w:r>
              <w:rPr>
                <w:rFonts w:cs="Arial"/>
                <w:b/>
                <w:bCs/>
                <w:color w:val="000000"/>
                <w:szCs w:val="20"/>
              </w:rPr>
              <w:t>Total (City of Melbourne)</w:t>
            </w:r>
          </w:p>
        </w:tc>
        <w:tc>
          <w:tcPr>
            <w:tcW w:w="1304" w:type="dxa"/>
            <w:tcBorders>
              <w:top w:val="nil"/>
              <w:left w:val="nil"/>
              <w:bottom w:val="single" w:sz="4" w:space="0" w:color="auto"/>
              <w:right w:val="single" w:sz="4" w:space="0" w:color="auto"/>
            </w:tcBorders>
            <w:shd w:val="clear" w:color="auto" w:fill="auto"/>
            <w:noWrap/>
            <w:vAlign w:val="center"/>
          </w:tcPr>
          <w:p w14:paraId="0438891C" w14:textId="58F6C7B8" w:rsidR="00D55F4F" w:rsidRPr="00B60E1F" w:rsidRDefault="00B60E1F" w:rsidP="110985B9">
            <w:pPr>
              <w:spacing w:after="0" w:line="240" w:lineRule="auto"/>
              <w:jc w:val="right"/>
              <w:rPr>
                <w:rFonts w:cs="Arial"/>
                <w:b/>
                <w:bCs/>
                <w:color w:val="000000"/>
              </w:rPr>
            </w:pPr>
            <w:r w:rsidRPr="00B60E1F">
              <w:rPr>
                <w:rFonts w:cs="Arial"/>
                <w:b/>
                <w:bCs/>
                <w:color w:val="000000" w:themeColor="text1"/>
              </w:rPr>
              <w:t>28,187</w:t>
            </w:r>
            <w:r w:rsidR="00D55F4F" w:rsidRPr="00B60E1F">
              <w:rPr>
                <w:rFonts w:cs="Arial"/>
                <w:b/>
                <w:bCs/>
                <w:color w:val="000000" w:themeColor="text1"/>
              </w:rPr>
              <w:t xml:space="preserve"> </w:t>
            </w:r>
          </w:p>
        </w:tc>
        <w:tc>
          <w:tcPr>
            <w:tcW w:w="1304" w:type="dxa"/>
            <w:tcBorders>
              <w:top w:val="nil"/>
              <w:left w:val="nil"/>
              <w:bottom w:val="single" w:sz="4" w:space="0" w:color="auto"/>
              <w:right w:val="single" w:sz="4" w:space="0" w:color="auto"/>
            </w:tcBorders>
            <w:shd w:val="clear" w:color="auto" w:fill="auto"/>
            <w:noWrap/>
            <w:vAlign w:val="center"/>
          </w:tcPr>
          <w:p w14:paraId="7036D531" w14:textId="3E3D843C" w:rsidR="00D55F4F" w:rsidRPr="00B60E1F" w:rsidRDefault="00B60E1F" w:rsidP="110985B9">
            <w:pPr>
              <w:spacing w:after="0" w:line="240" w:lineRule="auto"/>
              <w:jc w:val="right"/>
              <w:rPr>
                <w:rFonts w:cs="Arial"/>
                <w:b/>
                <w:bCs/>
                <w:color w:val="000000"/>
              </w:rPr>
            </w:pPr>
            <w:r w:rsidRPr="00B60E1F">
              <w:rPr>
                <w:rFonts w:cs="Arial"/>
                <w:b/>
                <w:bCs/>
                <w:color w:val="000000" w:themeColor="text1"/>
              </w:rPr>
              <w:t>31,715</w:t>
            </w:r>
            <w:r w:rsidR="00D55F4F" w:rsidRPr="00B60E1F">
              <w:rPr>
                <w:rFonts w:cs="Arial"/>
                <w:b/>
                <w:bCs/>
                <w:color w:val="000000" w:themeColor="text1"/>
              </w:rPr>
              <w:t xml:space="preserve"> </w:t>
            </w:r>
          </w:p>
        </w:tc>
        <w:tc>
          <w:tcPr>
            <w:tcW w:w="1130" w:type="dxa"/>
            <w:tcBorders>
              <w:top w:val="nil"/>
              <w:left w:val="nil"/>
              <w:bottom w:val="single" w:sz="4" w:space="0" w:color="auto"/>
              <w:right w:val="single" w:sz="4" w:space="0" w:color="auto"/>
            </w:tcBorders>
            <w:shd w:val="clear" w:color="auto" w:fill="auto"/>
            <w:noWrap/>
            <w:vAlign w:val="center"/>
          </w:tcPr>
          <w:p w14:paraId="45B5A57A" w14:textId="30076D4C" w:rsidR="00D55F4F" w:rsidRPr="00B60E1F" w:rsidRDefault="00B60E1F" w:rsidP="110985B9">
            <w:pPr>
              <w:spacing w:after="0" w:line="240" w:lineRule="auto"/>
              <w:jc w:val="right"/>
              <w:rPr>
                <w:rFonts w:cs="Arial"/>
                <w:b/>
                <w:bCs/>
                <w:color w:val="000000"/>
              </w:rPr>
            </w:pPr>
            <w:r w:rsidRPr="00B60E1F">
              <w:rPr>
                <w:rFonts w:cs="Arial"/>
                <w:b/>
                <w:bCs/>
                <w:color w:val="000000" w:themeColor="text1"/>
              </w:rPr>
              <w:t>34,868</w:t>
            </w:r>
            <w:r w:rsidR="00D55F4F" w:rsidRPr="00B60E1F">
              <w:rPr>
                <w:rFonts w:cs="Arial"/>
                <w:b/>
                <w:bCs/>
                <w:color w:val="000000" w:themeColor="text1"/>
              </w:rPr>
              <w:t xml:space="preserve"> </w:t>
            </w:r>
          </w:p>
        </w:tc>
        <w:tc>
          <w:tcPr>
            <w:tcW w:w="1418" w:type="dxa"/>
            <w:tcBorders>
              <w:top w:val="nil"/>
              <w:left w:val="nil"/>
              <w:bottom w:val="single" w:sz="4" w:space="0" w:color="auto"/>
              <w:right w:val="single" w:sz="4" w:space="0" w:color="auto"/>
            </w:tcBorders>
            <w:shd w:val="clear" w:color="auto" w:fill="auto"/>
            <w:noWrap/>
            <w:vAlign w:val="center"/>
          </w:tcPr>
          <w:p w14:paraId="00864B5F" w14:textId="341A953F" w:rsidR="00D55F4F" w:rsidRPr="00B60E1F" w:rsidRDefault="00D55F4F" w:rsidP="110985B9">
            <w:pPr>
              <w:spacing w:after="0" w:line="240" w:lineRule="auto"/>
              <w:jc w:val="right"/>
              <w:rPr>
                <w:rFonts w:cs="Arial"/>
                <w:b/>
                <w:bCs/>
                <w:color w:val="000000"/>
              </w:rPr>
            </w:pPr>
            <w:r w:rsidRPr="00B60E1F">
              <w:rPr>
                <w:rFonts w:cs="Arial"/>
                <w:b/>
                <w:bCs/>
                <w:color w:val="000000" w:themeColor="text1"/>
              </w:rPr>
              <w:t>6,</w:t>
            </w:r>
            <w:r w:rsidR="00B60E1F" w:rsidRPr="00B60E1F">
              <w:rPr>
                <w:rFonts w:cs="Arial"/>
                <w:b/>
                <w:bCs/>
                <w:color w:val="000000" w:themeColor="text1"/>
              </w:rPr>
              <w:t>681</w:t>
            </w:r>
            <w:r w:rsidRPr="00B60E1F">
              <w:rPr>
                <w:rFonts w:cs="Arial"/>
                <w:b/>
                <w:bCs/>
                <w:color w:val="000000" w:themeColor="text1"/>
              </w:rPr>
              <w:t xml:space="preserve"> </w:t>
            </w:r>
          </w:p>
        </w:tc>
        <w:tc>
          <w:tcPr>
            <w:tcW w:w="1477" w:type="dxa"/>
            <w:tcBorders>
              <w:top w:val="nil"/>
              <w:left w:val="nil"/>
              <w:bottom w:val="single" w:sz="4" w:space="0" w:color="auto"/>
              <w:right w:val="single" w:sz="4" w:space="0" w:color="auto"/>
            </w:tcBorders>
            <w:shd w:val="clear" w:color="auto" w:fill="auto"/>
            <w:noWrap/>
            <w:vAlign w:val="center"/>
          </w:tcPr>
          <w:p w14:paraId="33948BC0" w14:textId="0E5AFC7D" w:rsidR="00D55F4F" w:rsidRPr="00B60E1F" w:rsidRDefault="00D55F4F" w:rsidP="110985B9">
            <w:pPr>
              <w:spacing w:after="0" w:line="240" w:lineRule="auto"/>
              <w:jc w:val="right"/>
              <w:rPr>
                <w:rFonts w:cs="Arial"/>
                <w:b/>
                <w:bCs/>
                <w:color w:val="000000"/>
              </w:rPr>
            </w:pPr>
            <w:r w:rsidRPr="00B60E1F">
              <w:rPr>
                <w:rFonts w:cs="Arial"/>
                <w:b/>
                <w:bCs/>
                <w:color w:val="000000" w:themeColor="text1"/>
              </w:rPr>
              <w:t>1.1%</w:t>
            </w:r>
          </w:p>
        </w:tc>
      </w:tr>
    </w:tbl>
    <w:p w14:paraId="3701C8C4" w14:textId="24ACCE1C" w:rsidR="00F568BB" w:rsidRPr="00537E40" w:rsidRDefault="00F568BB" w:rsidP="110985B9">
      <w:pPr>
        <w:spacing w:before="120"/>
        <w:rPr>
          <w:sz w:val="16"/>
          <w:szCs w:val="16"/>
        </w:rPr>
      </w:pPr>
      <w:r w:rsidRPr="110985B9">
        <w:rPr>
          <w:sz w:val="16"/>
          <w:szCs w:val="16"/>
        </w:rPr>
        <w:t xml:space="preserve">Source: SGS Economics and Planning, </w:t>
      </w:r>
      <w:r w:rsidR="00D55F4F" w:rsidRPr="110985B9">
        <w:rPr>
          <w:sz w:val="16"/>
          <w:szCs w:val="16"/>
        </w:rPr>
        <w:t>202</w:t>
      </w:r>
      <w:r w:rsidR="0004069D">
        <w:rPr>
          <w:sz w:val="16"/>
          <w:szCs w:val="16"/>
        </w:rPr>
        <w:t>4</w:t>
      </w:r>
      <w:r w:rsidR="00345820" w:rsidRPr="110985B9">
        <w:rPr>
          <w:sz w:val="16"/>
          <w:szCs w:val="16"/>
        </w:rPr>
        <w:t xml:space="preserve">. </w:t>
      </w:r>
      <w:r w:rsidR="00915EAC" w:rsidRPr="110985B9">
        <w:rPr>
          <w:sz w:val="16"/>
          <w:szCs w:val="16"/>
        </w:rPr>
        <w:t>Table shows rounded figures.</w:t>
      </w:r>
      <w:r w:rsidR="00B05AF4">
        <w:rPr>
          <w:sz w:val="16"/>
          <w:szCs w:val="16"/>
        </w:rPr>
        <w:t xml:space="preserve"> </w:t>
      </w:r>
    </w:p>
    <w:p w14:paraId="7F0ADDA3" w14:textId="3959CC53" w:rsidR="007121A4" w:rsidRPr="00537E40" w:rsidRDefault="00F568BB" w:rsidP="110985B9">
      <w:pPr>
        <w:pStyle w:val="Heading2"/>
        <w:rPr>
          <w:rFonts w:hint="eastAsia"/>
        </w:rPr>
      </w:pPr>
      <w:r w:rsidRPr="110985B9">
        <w:rPr>
          <w:sz w:val="16"/>
          <w:szCs w:val="16"/>
        </w:rPr>
        <w:br w:type="page"/>
      </w:r>
      <w:bookmarkStart w:id="25" w:name="_Toc180519457"/>
      <w:r w:rsidR="007121A4" w:rsidRPr="009D3FB0">
        <w:lastRenderedPageBreak/>
        <w:t>Jobs</w:t>
      </w:r>
      <w:r w:rsidR="001F787E">
        <w:t xml:space="preserve"> (‘on-site’)</w:t>
      </w:r>
      <w:r w:rsidR="007121A4" w:rsidRPr="009D3FB0">
        <w:t xml:space="preserve"> by </w:t>
      </w:r>
      <w:r w:rsidR="004C6848" w:rsidRPr="009D3FB0">
        <w:t xml:space="preserve">industry </w:t>
      </w:r>
      <w:r w:rsidR="007121A4" w:rsidRPr="009D3FB0">
        <w:t>202</w:t>
      </w:r>
      <w:r w:rsidR="009D3FB0" w:rsidRPr="009D3FB0">
        <w:t>3</w:t>
      </w:r>
      <w:r w:rsidR="007121A4" w:rsidRPr="009D3FB0">
        <w:t>, 203</w:t>
      </w:r>
      <w:r w:rsidR="009D3FB0" w:rsidRPr="009D3FB0">
        <w:t>3</w:t>
      </w:r>
      <w:r w:rsidR="007121A4" w:rsidRPr="009D3FB0">
        <w:t xml:space="preserve"> and 204</w:t>
      </w:r>
      <w:r w:rsidR="009D3FB0" w:rsidRPr="009D3FB0">
        <w:t>3</w:t>
      </w:r>
      <w:bookmarkEnd w:id="25"/>
    </w:p>
    <w:tbl>
      <w:tblPr>
        <w:tblW w:w="9694" w:type="dxa"/>
        <w:tblLayout w:type="fixed"/>
        <w:tblLook w:val="04A0" w:firstRow="1" w:lastRow="0" w:firstColumn="1" w:lastColumn="0" w:noHBand="0" w:noVBand="1"/>
      </w:tblPr>
      <w:tblGrid>
        <w:gridCol w:w="3061"/>
        <w:gridCol w:w="1304"/>
        <w:gridCol w:w="1304"/>
        <w:gridCol w:w="1272"/>
        <w:gridCol w:w="1276"/>
        <w:gridCol w:w="1477"/>
      </w:tblGrid>
      <w:tr w:rsidR="00E57B1C" w:rsidRPr="00537E40" w14:paraId="500445FF" w14:textId="77777777" w:rsidTr="4A450472">
        <w:trPr>
          <w:trHeight w:val="285"/>
        </w:trPr>
        <w:tc>
          <w:tcPr>
            <w:tcW w:w="3061"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hideMark/>
          </w:tcPr>
          <w:p w14:paraId="416DE5FB" w14:textId="77777777" w:rsidR="00E57B1C" w:rsidRPr="00B07612" w:rsidRDefault="00E57B1C" w:rsidP="00E57B1C">
            <w:pPr>
              <w:spacing w:after="0" w:line="240" w:lineRule="auto"/>
              <w:rPr>
                <w:rFonts w:eastAsia="Times New Roman" w:cs="Arial"/>
                <w:b/>
                <w:bCs/>
                <w:color w:val="000000"/>
                <w:szCs w:val="20"/>
                <w:lang w:eastAsia="en-AU"/>
              </w:rPr>
            </w:pPr>
            <w:r>
              <w:rPr>
                <w:rFonts w:eastAsia="Times New Roman" w:cs="Arial"/>
                <w:b/>
                <w:bCs/>
                <w:color w:val="000000"/>
                <w:szCs w:val="20"/>
                <w:lang w:eastAsia="en-AU"/>
              </w:rPr>
              <w:t>Industry</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4528E4" w14:textId="4AF80303" w:rsidR="00E57B1C" w:rsidRPr="00B07612" w:rsidRDefault="00E57B1C" w:rsidP="110985B9">
            <w:pPr>
              <w:spacing w:after="0" w:line="240" w:lineRule="auto"/>
              <w:jc w:val="center"/>
              <w:rPr>
                <w:rFonts w:eastAsia="Times New Roman" w:cs="Arial"/>
                <w:b/>
                <w:bCs/>
                <w:color w:val="000000"/>
                <w:lang w:eastAsia="en-AU"/>
              </w:rPr>
            </w:pPr>
            <w:r w:rsidRPr="110985B9">
              <w:rPr>
                <w:rFonts w:eastAsia="Times New Roman" w:cs="Arial"/>
                <w:b/>
                <w:bCs/>
                <w:color w:val="000000" w:themeColor="text1"/>
                <w:lang w:eastAsia="en-AU"/>
              </w:rPr>
              <w:t>202</w:t>
            </w:r>
            <w:r w:rsidR="009D3FB0">
              <w:rPr>
                <w:rFonts w:eastAsia="Times New Roman" w:cs="Arial"/>
                <w:b/>
                <w:bCs/>
                <w:color w:val="000000" w:themeColor="text1"/>
                <w:lang w:eastAsia="en-AU"/>
              </w:rPr>
              <w:t>3</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0C6B9A" w14:textId="1D07AA15" w:rsidR="00E57B1C" w:rsidRPr="00B07612" w:rsidRDefault="00E57B1C" w:rsidP="110985B9">
            <w:pPr>
              <w:spacing w:after="0" w:line="240" w:lineRule="auto"/>
              <w:jc w:val="center"/>
              <w:rPr>
                <w:rFonts w:eastAsia="Times New Roman" w:cs="Arial"/>
                <w:b/>
                <w:bCs/>
                <w:color w:val="000000"/>
                <w:lang w:eastAsia="en-AU"/>
              </w:rPr>
            </w:pPr>
            <w:r w:rsidRPr="110985B9">
              <w:rPr>
                <w:rFonts w:eastAsia="Times New Roman" w:cs="Arial"/>
                <w:b/>
                <w:bCs/>
                <w:color w:val="000000" w:themeColor="text1"/>
                <w:lang w:eastAsia="en-AU"/>
              </w:rPr>
              <w:t>203</w:t>
            </w:r>
            <w:r w:rsidR="009D3FB0">
              <w:rPr>
                <w:rFonts w:eastAsia="Times New Roman" w:cs="Arial"/>
                <w:b/>
                <w:bCs/>
                <w:color w:val="000000" w:themeColor="text1"/>
                <w:lang w:eastAsia="en-AU"/>
              </w:rPr>
              <w:t>3</w:t>
            </w:r>
          </w:p>
        </w:tc>
        <w:tc>
          <w:tcPr>
            <w:tcW w:w="12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336DEC" w14:textId="16410D72" w:rsidR="00E57B1C" w:rsidRPr="00B07612" w:rsidRDefault="00E57B1C" w:rsidP="110985B9">
            <w:pPr>
              <w:spacing w:after="0" w:line="240" w:lineRule="auto"/>
              <w:jc w:val="center"/>
              <w:rPr>
                <w:rFonts w:eastAsia="Times New Roman" w:cs="Arial"/>
                <w:b/>
                <w:bCs/>
                <w:color w:val="000000"/>
                <w:lang w:eastAsia="en-AU"/>
              </w:rPr>
            </w:pPr>
            <w:r w:rsidRPr="110985B9">
              <w:rPr>
                <w:rFonts w:eastAsia="Times New Roman" w:cs="Arial"/>
                <w:b/>
                <w:bCs/>
                <w:color w:val="000000" w:themeColor="text1"/>
                <w:lang w:eastAsia="en-AU"/>
              </w:rPr>
              <w:t>204</w:t>
            </w:r>
            <w:r w:rsidR="009D3FB0">
              <w:rPr>
                <w:rFonts w:eastAsia="Times New Roman" w:cs="Arial"/>
                <w:b/>
                <w:bCs/>
                <w:color w:val="000000" w:themeColor="text1"/>
                <w:lang w:eastAsia="en-AU"/>
              </w:rPr>
              <w:t>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60F75CB" w14:textId="0CC74F5E" w:rsidR="00E57B1C" w:rsidRPr="00B07612" w:rsidRDefault="00E57B1C" w:rsidP="110985B9">
            <w:pPr>
              <w:spacing w:after="0" w:line="240" w:lineRule="auto"/>
              <w:jc w:val="center"/>
              <w:rPr>
                <w:rFonts w:eastAsia="Times New Roman" w:cs="Arial"/>
                <w:b/>
                <w:bCs/>
                <w:color w:val="000000"/>
                <w:lang w:eastAsia="en-AU"/>
              </w:rPr>
            </w:pPr>
            <w:r w:rsidRPr="110985B9">
              <w:rPr>
                <w:rFonts w:eastAsia="Times New Roman" w:cs="Arial"/>
                <w:b/>
                <w:bCs/>
                <w:color w:val="000000" w:themeColor="text1"/>
                <w:lang w:eastAsia="en-AU"/>
              </w:rPr>
              <w:t>Change 202</w:t>
            </w:r>
            <w:r w:rsidR="00BB3E86">
              <w:rPr>
                <w:rFonts w:eastAsia="Times New Roman" w:cs="Arial"/>
                <w:b/>
                <w:bCs/>
                <w:color w:val="000000" w:themeColor="text1"/>
                <w:lang w:eastAsia="en-AU"/>
              </w:rPr>
              <w:t>3</w:t>
            </w:r>
            <w:r w:rsidRPr="110985B9">
              <w:rPr>
                <w:rFonts w:eastAsia="Times New Roman" w:cs="Arial"/>
                <w:b/>
                <w:bCs/>
                <w:color w:val="000000" w:themeColor="text1"/>
                <w:lang w:eastAsia="en-AU"/>
              </w:rPr>
              <w:t>-204</w:t>
            </w:r>
            <w:r w:rsidR="00BB3E86">
              <w:rPr>
                <w:rFonts w:eastAsia="Times New Roman" w:cs="Arial"/>
                <w:b/>
                <w:bCs/>
                <w:color w:val="000000" w:themeColor="text1"/>
                <w:lang w:eastAsia="en-AU"/>
              </w:rPr>
              <w:t>3</w:t>
            </w:r>
          </w:p>
        </w:tc>
        <w:tc>
          <w:tcPr>
            <w:tcW w:w="1477" w:type="dxa"/>
            <w:tcBorders>
              <w:top w:val="single" w:sz="4" w:space="0" w:color="auto"/>
              <w:left w:val="nil"/>
              <w:bottom w:val="single" w:sz="4" w:space="0" w:color="auto"/>
              <w:right w:val="single" w:sz="4" w:space="0" w:color="auto"/>
            </w:tcBorders>
            <w:shd w:val="clear" w:color="auto" w:fill="auto"/>
            <w:vAlign w:val="center"/>
          </w:tcPr>
          <w:p w14:paraId="45F4424E" w14:textId="73750990" w:rsidR="00E57B1C" w:rsidRPr="00B07612" w:rsidRDefault="00E57B1C" w:rsidP="110985B9">
            <w:pPr>
              <w:spacing w:after="0" w:line="240" w:lineRule="auto"/>
              <w:jc w:val="center"/>
              <w:rPr>
                <w:rFonts w:eastAsia="Times New Roman" w:cs="Arial"/>
                <w:b/>
                <w:bCs/>
                <w:color w:val="000000"/>
                <w:lang w:eastAsia="en-AU"/>
              </w:rPr>
            </w:pPr>
            <w:r w:rsidRPr="110985B9">
              <w:rPr>
                <w:rFonts w:eastAsia="Times New Roman" w:cs="Arial"/>
                <w:b/>
                <w:bCs/>
                <w:color w:val="000000" w:themeColor="text1"/>
                <w:lang w:eastAsia="en-AU"/>
              </w:rPr>
              <w:t>Contribution to Growth 202</w:t>
            </w:r>
            <w:r w:rsidR="00BB3E86">
              <w:rPr>
                <w:rFonts w:eastAsia="Times New Roman" w:cs="Arial"/>
                <w:b/>
                <w:bCs/>
                <w:color w:val="000000" w:themeColor="text1"/>
                <w:lang w:eastAsia="en-AU"/>
              </w:rPr>
              <w:t>3</w:t>
            </w:r>
            <w:r w:rsidRPr="110985B9">
              <w:rPr>
                <w:rFonts w:eastAsia="Times New Roman" w:cs="Arial"/>
                <w:b/>
                <w:bCs/>
                <w:color w:val="000000" w:themeColor="text1"/>
                <w:lang w:eastAsia="en-AU"/>
              </w:rPr>
              <w:t>-204</w:t>
            </w:r>
            <w:r w:rsidR="00BB3E86">
              <w:rPr>
                <w:rFonts w:eastAsia="Times New Roman" w:cs="Arial"/>
                <w:b/>
                <w:bCs/>
                <w:color w:val="000000" w:themeColor="text1"/>
                <w:lang w:eastAsia="en-AU"/>
              </w:rPr>
              <w:t>3</w:t>
            </w:r>
          </w:p>
        </w:tc>
      </w:tr>
      <w:tr w:rsidR="000D3E7D" w:rsidRPr="00537E40" w14:paraId="00A4FEEC" w14:textId="77777777" w:rsidTr="4A450472">
        <w:trPr>
          <w:trHeight w:val="340"/>
        </w:trPr>
        <w:tc>
          <w:tcPr>
            <w:tcW w:w="3061" w:type="dxa"/>
            <w:tcBorders>
              <w:top w:val="nil"/>
              <w:left w:val="single" w:sz="4" w:space="0" w:color="auto"/>
              <w:bottom w:val="single" w:sz="4" w:space="0" w:color="auto"/>
              <w:right w:val="single" w:sz="4" w:space="0" w:color="auto"/>
            </w:tcBorders>
            <w:shd w:val="clear" w:color="auto" w:fill="auto"/>
            <w:noWrap/>
            <w:vAlign w:val="center"/>
          </w:tcPr>
          <w:p w14:paraId="62BD765A" w14:textId="7810F6B1" w:rsidR="000D3E7D" w:rsidRDefault="000D3E7D" w:rsidP="110985B9">
            <w:pPr>
              <w:spacing w:after="0" w:line="240" w:lineRule="auto"/>
              <w:rPr>
                <w:rFonts w:cs="Arial"/>
                <w:b/>
                <w:bCs/>
                <w:color w:val="000000"/>
              </w:rPr>
            </w:pPr>
            <w:r w:rsidRPr="0082290B">
              <w:rPr>
                <w:rFonts w:cs="Arial"/>
                <w:b/>
                <w:bCs/>
                <w:color w:val="000000" w:themeColor="text1"/>
              </w:rPr>
              <w:t>Business services</w:t>
            </w:r>
          </w:p>
        </w:tc>
        <w:tc>
          <w:tcPr>
            <w:tcW w:w="1304" w:type="dxa"/>
            <w:tcBorders>
              <w:top w:val="nil"/>
              <w:left w:val="nil"/>
              <w:bottom w:val="single" w:sz="4" w:space="0" w:color="auto"/>
              <w:right w:val="single" w:sz="4" w:space="0" w:color="auto"/>
            </w:tcBorders>
            <w:shd w:val="clear" w:color="auto" w:fill="auto"/>
            <w:noWrap/>
            <w:vAlign w:val="center"/>
          </w:tcPr>
          <w:p w14:paraId="030C5480" w14:textId="057B8D50" w:rsidR="000D3E7D" w:rsidRPr="00D50E81" w:rsidRDefault="000D3E7D" w:rsidP="110985B9">
            <w:pPr>
              <w:spacing w:after="0" w:line="240" w:lineRule="auto"/>
              <w:jc w:val="right"/>
              <w:rPr>
                <w:rFonts w:cs="Arial"/>
                <w:color w:val="000000"/>
              </w:rPr>
            </w:pPr>
            <w:r w:rsidRPr="00D50E81">
              <w:rPr>
                <w:rFonts w:cs="Arial"/>
                <w:color w:val="000000" w:themeColor="text1"/>
              </w:rPr>
              <w:t xml:space="preserve">      </w:t>
            </w:r>
            <w:r w:rsidR="00D50E81" w:rsidRPr="00D50E81">
              <w:rPr>
                <w:rFonts w:cs="Arial"/>
                <w:color w:val="000000" w:themeColor="text1"/>
              </w:rPr>
              <w:t>87,000</w:t>
            </w:r>
            <w:r w:rsidRPr="00D50E81">
              <w:rPr>
                <w:rFonts w:cs="Arial"/>
                <w:color w:val="000000" w:themeColor="text1"/>
              </w:rPr>
              <w:t xml:space="preserve"> </w:t>
            </w:r>
          </w:p>
        </w:tc>
        <w:tc>
          <w:tcPr>
            <w:tcW w:w="1304" w:type="dxa"/>
            <w:tcBorders>
              <w:top w:val="nil"/>
              <w:left w:val="nil"/>
              <w:bottom w:val="single" w:sz="4" w:space="0" w:color="auto"/>
              <w:right w:val="single" w:sz="4" w:space="0" w:color="auto"/>
            </w:tcBorders>
            <w:shd w:val="clear" w:color="auto" w:fill="auto"/>
            <w:noWrap/>
            <w:vAlign w:val="center"/>
          </w:tcPr>
          <w:p w14:paraId="5B3CB9EE" w14:textId="0EA80569" w:rsidR="000D3E7D" w:rsidRPr="00D50E81" w:rsidRDefault="00D50E81" w:rsidP="110985B9">
            <w:pPr>
              <w:spacing w:after="0"/>
              <w:jc w:val="right"/>
              <w:rPr>
                <w:rFonts w:cs="Arial"/>
                <w:color w:val="000000"/>
              </w:rPr>
            </w:pPr>
            <w:r w:rsidRPr="00D50E81">
              <w:rPr>
                <w:rFonts w:cs="Arial"/>
                <w:color w:val="000000" w:themeColor="text1"/>
              </w:rPr>
              <w:t>111,800</w:t>
            </w:r>
            <w:r w:rsidR="000D3E7D" w:rsidRPr="00D50E81">
              <w:rPr>
                <w:rFonts w:cs="Arial"/>
                <w:color w:val="000000" w:themeColor="text1"/>
              </w:rPr>
              <w:t xml:space="preserve"> </w:t>
            </w:r>
          </w:p>
        </w:tc>
        <w:tc>
          <w:tcPr>
            <w:tcW w:w="1272" w:type="dxa"/>
            <w:tcBorders>
              <w:top w:val="nil"/>
              <w:left w:val="nil"/>
              <w:bottom w:val="single" w:sz="4" w:space="0" w:color="auto"/>
              <w:right w:val="single" w:sz="4" w:space="0" w:color="auto"/>
            </w:tcBorders>
            <w:shd w:val="clear" w:color="auto" w:fill="auto"/>
            <w:noWrap/>
            <w:vAlign w:val="center"/>
          </w:tcPr>
          <w:p w14:paraId="5E008A0D" w14:textId="1A42FA34" w:rsidR="000D3E7D" w:rsidRPr="00D50E81" w:rsidRDefault="00D50E81" w:rsidP="110985B9">
            <w:pPr>
              <w:spacing w:after="0"/>
              <w:jc w:val="right"/>
              <w:rPr>
                <w:rFonts w:cs="Arial"/>
                <w:color w:val="000000"/>
              </w:rPr>
            </w:pPr>
            <w:r w:rsidRPr="00D50E81">
              <w:rPr>
                <w:rFonts w:cs="Arial"/>
                <w:color w:val="000000" w:themeColor="text1"/>
              </w:rPr>
              <w:t>131,500</w:t>
            </w:r>
            <w:r w:rsidR="000D3E7D" w:rsidRPr="00D50E81">
              <w:rPr>
                <w:rFonts w:cs="Arial"/>
                <w:color w:val="000000" w:themeColor="text1"/>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5FFAE886" w14:textId="719297A7" w:rsidR="000D3E7D" w:rsidRPr="00D50E81" w:rsidRDefault="00D50E81" w:rsidP="110985B9">
            <w:pPr>
              <w:spacing w:after="0"/>
              <w:jc w:val="right"/>
              <w:rPr>
                <w:rFonts w:cs="Arial"/>
                <w:color w:val="000000"/>
              </w:rPr>
            </w:pPr>
            <w:r w:rsidRPr="00D50E81">
              <w:rPr>
                <w:rFonts w:cs="Arial"/>
                <w:color w:val="000000" w:themeColor="text1"/>
              </w:rPr>
              <w:t>44,500</w:t>
            </w:r>
            <w:r w:rsidR="000D3E7D" w:rsidRPr="00D50E81">
              <w:rPr>
                <w:rFonts w:cs="Arial"/>
                <w:color w:val="000000" w:themeColor="text1"/>
              </w:rPr>
              <w:t xml:space="preserve"> </w:t>
            </w:r>
          </w:p>
        </w:tc>
        <w:tc>
          <w:tcPr>
            <w:tcW w:w="1477" w:type="dxa"/>
            <w:tcBorders>
              <w:top w:val="nil"/>
              <w:left w:val="nil"/>
              <w:bottom w:val="single" w:sz="4" w:space="0" w:color="auto"/>
              <w:right w:val="single" w:sz="4" w:space="0" w:color="auto"/>
            </w:tcBorders>
            <w:shd w:val="clear" w:color="auto" w:fill="auto"/>
            <w:noWrap/>
            <w:vAlign w:val="center"/>
          </w:tcPr>
          <w:p w14:paraId="7E703BD2" w14:textId="2EF39109" w:rsidR="000D3E7D" w:rsidRPr="00D50E81" w:rsidRDefault="00D50E81" w:rsidP="110985B9">
            <w:pPr>
              <w:spacing w:after="0"/>
              <w:jc w:val="right"/>
              <w:rPr>
                <w:rFonts w:cs="Arial"/>
                <w:color w:val="000000"/>
              </w:rPr>
            </w:pPr>
            <w:r w:rsidRPr="00D50E81">
              <w:rPr>
                <w:rFonts w:cs="Arial"/>
                <w:color w:val="000000" w:themeColor="text1"/>
              </w:rPr>
              <w:t>24.7</w:t>
            </w:r>
            <w:r w:rsidR="000D3E7D" w:rsidRPr="00D50E81">
              <w:rPr>
                <w:rFonts w:cs="Arial"/>
                <w:color w:val="000000" w:themeColor="text1"/>
              </w:rPr>
              <w:t>%</w:t>
            </w:r>
          </w:p>
        </w:tc>
      </w:tr>
      <w:tr w:rsidR="000D3E7D" w:rsidRPr="00537E40" w14:paraId="25D790C3" w14:textId="77777777" w:rsidTr="4A450472">
        <w:trPr>
          <w:trHeight w:val="340"/>
        </w:trPr>
        <w:tc>
          <w:tcPr>
            <w:tcW w:w="3061" w:type="dxa"/>
            <w:tcBorders>
              <w:top w:val="nil"/>
              <w:left w:val="single" w:sz="4" w:space="0" w:color="auto"/>
              <w:bottom w:val="single" w:sz="4" w:space="0" w:color="auto"/>
              <w:right w:val="single" w:sz="4" w:space="0" w:color="auto"/>
            </w:tcBorders>
            <w:shd w:val="clear" w:color="auto" w:fill="auto"/>
            <w:noWrap/>
            <w:vAlign w:val="center"/>
          </w:tcPr>
          <w:p w14:paraId="61494C90" w14:textId="1514C874" w:rsidR="000D3E7D" w:rsidRDefault="000D3E7D" w:rsidP="110985B9">
            <w:pPr>
              <w:spacing w:after="0" w:line="240" w:lineRule="auto"/>
              <w:rPr>
                <w:rFonts w:cs="Arial"/>
                <w:b/>
                <w:bCs/>
                <w:color w:val="000000"/>
              </w:rPr>
            </w:pPr>
            <w:r w:rsidRPr="0082290B">
              <w:rPr>
                <w:rFonts w:cs="Arial"/>
                <w:b/>
                <w:bCs/>
                <w:color w:val="000000" w:themeColor="text1"/>
              </w:rPr>
              <w:t>Health care and social assistance</w:t>
            </w:r>
          </w:p>
        </w:tc>
        <w:tc>
          <w:tcPr>
            <w:tcW w:w="1304" w:type="dxa"/>
            <w:tcBorders>
              <w:top w:val="nil"/>
              <w:left w:val="nil"/>
              <w:bottom w:val="single" w:sz="4" w:space="0" w:color="auto"/>
              <w:right w:val="single" w:sz="4" w:space="0" w:color="auto"/>
            </w:tcBorders>
            <w:shd w:val="clear" w:color="auto" w:fill="auto"/>
            <w:noWrap/>
            <w:vAlign w:val="center"/>
          </w:tcPr>
          <w:p w14:paraId="46033774" w14:textId="6E54E907" w:rsidR="000D3E7D" w:rsidRPr="00D50E81" w:rsidRDefault="000D3E7D" w:rsidP="110985B9">
            <w:pPr>
              <w:spacing w:after="0"/>
              <w:jc w:val="right"/>
              <w:rPr>
                <w:rFonts w:cs="Arial"/>
                <w:color w:val="000000"/>
              </w:rPr>
            </w:pPr>
            <w:r w:rsidRPr="00D50E81">
              <w:rPr>
                <w:rFonts w:cs="Arial"/>
                <w:color w:val="000000" w:themeColor="text1"/>
              </w:rPr>
              <w:t xml:space="preserve">      </w:t>
            </w:r>
            <w:r w:rsidR="00D50E81" w:rsidRPr="00D50E81">
              <w:rPr>
                <w:rFonts w:cs="Arial"/>
                <w:color w:val="000000" w:themeColor="text1"/>
              </w:rPr>
              <w:t>48,500</w:t>
            </w:r>
            <w:r w:rsidRPr="00D50E81">
              <w:rPr>
                <w:rFonts w:cs="Arial"/>
                <w:color w:val="000000" w:themeColor="text1"/>
              </w:rPr>
              <w:t xml:space="preserve"> </w:t>
            </w:r>
          </w:p>
        </w:tc>
        <w:tc>
          <w:tcPr>
            <w:tcW w:w="1304" w:type="dxa"/>
            <w:tcBorders>
              <w:top w:val="nil"/>
              <w:left w:val="nil"/>
              <w:bottom w:val="single" w:sz="4" w:space="0" w:color="auto"/>
              <w:right w:val="single" w:sz="4" w:space="0" w:color="auto"/>
            </w:tcBorders>
            <w:shd w:val="clear" w:color="auto" w:fill="auto"/>
            <w:noWrap/>
            <w:vAlign w:val="center"/>
          </w:tcPr>
          <w:p w14:paraId="29C3F5C8" w14:textId="0EB201F5" w:rsidR="000D3E7D" w:rsidRPr="00D50E81" w:rsidRDefault="52E645DF" w:rsidP="110985B9">
            <w:pPr>
              <w:spacing w:after="0"/>
              <w:jc w:val="right"/>
              <w:rPr>
                <w:rFonts w:cs="Arial"/>
                <w:color w:val="000000"/>
              </w:rPr>
            </w:pPr>
            <w:r w:rsidRPr="4A450472">
              <w:rPr>
                <w:rFonts w:cs="Arial"/>
                <w:color w:val="000000" w:themeColor="text1"/>
              </w:rPr>
              <w:t xml:space="preserve">      63,9</w:t>
            </w:r>
            <w:r w:rsidR="39236111" w:rsidRPr="4A450472">
              <w:rPr>
                <w:rFonts w:cs="Arial"/>
                <w:color w:val="000000" w:themeColor="text1"/>
              </w:rPr>
              <w:t>00</w:t>
            </w:r>
            <w:r w:rsidRPr="4A450472">
              <w:rPr>
                <w:rFonts w:cs="Arial"/>
                <w:color w:val="000000" w:themeColor="text1"/>
              </w:rPr>
              <w:t xml:space="preserve"> </w:t>
            </w:r>
          </w:p>
        </w:tc>
        <w:tc>
          <w:tcPr>
            <w:tcW w:w="1272" w:type="dxa"/>
            <w:tcBorders>
              <w:top w:val="nil"/>
              <w:left w:val="nil"/>
              <w:bottom w:val="single" w:sz="4" w:space="0" w:color="auto"/>
              <w:right w:val="single" w:sz="4" w:space="0" w:color="auto"/>
            </w:tcBorders>
            <w:shd w:val="clear" w:color="auto" w:fill="auto"/>
            <w:noWrap/>
            <w:vAlign w:val="center"/>
          </w:tcPr>
          <w:p w14:paraId="44D7990F" w14:textId="60913091" w:rsidR="000D3E7D" w:rsidRPr="00D50E81" w:rsidRDefault="000D3E7D" w:rsidP="110985B9">
            <w:pPr>
              <w:spacing w:after="0"/>
              <w:jc w:val="right"/>
              <w:rPr>
                <w:rFonts w:cs="Arial"/>
                <w:color w:val="000000"/>
              </w:rPr>
            </w:pPr>
            <w:r w:rsidRPr="00D50E81">
              <w:rPr>
                <w:rFonts w:cs="Arial"/>
                <w:color w:val="000000" w:themeColor="text1"/>
              </w:rPr>
              <w:t>76,</w:t>
            </w:r>
            <w:r w:rsidR="00D50E81" w:rsidRPr="00D50E81">
              <w:rPr>
                <w:rFonts w:cs="Arial"/>
                <w:color w:val="000000" w:themeColor="text1"/>
              </w:rPr>
              <w:t>00</w:t>
            </w:r>
            <w:r w:rsidRPr="00D50E81">
              <w:rPr>
                <w:rFonts w:cs="Arial"/>
                <w:color w:val="000000" w:themeColor="text1"/>
              </w:rPr>
              <w:t xml:space="preserve">0 </w:t>
            </w:r>
          </w:p>
        </w:tc>
        <w:tc>
          <w:tcPr>
            <w:tcW w:w="1276" w:type="dxa"/>
            <w:tcBorders>
              <w:top w:val="nil"/>
              <w:left w:val="nil"/>
              <w:bottom w:val="single" w:sz="4" w:space="0" w:color="auto"/>
              <w:right w:val="single" w:sz="4" w:space="0" w:color="auto"/>
            </w:tcBorders>
            <w:shd w:val="clear" w:color="auto" w:fill="auto"/>
            <w:noWrap/>
            <w:vAlign w:val="center"/>
          </w:tcPr>
          <w:p w14:paraId="0647C7F4" w14:textId="6B9BE5A1" w:rsidR="000D3E7D" w:rsidRPr="00D50E81" w:rsidRDefault="00D50E81" w:rsidP="110985B9">
            <w:pPr>
              <w:spacing w:after="0"/>
              <w:jc w:val="right"/>
              <w:rPr>
                <w:rFonts w:cs="Arial"/>
                <w:color w:val="000000"/>
              </w:rPr>
            </w:pPr>
            <w:r w:rsidRPr="00D50E81">
              <w:rPr>
                <w:rFonts w:cs="Arial"/>
                <w:color w:val="000000" w:themeColor="text1"/>
              </w:rPr>
              <w:t>27,500</w:t>
            </w:r>
            <w:r w:rsidR="000D3E7D" w:rsidRPr="00D50E81">
              <w:rPr>
                <w:rFonts w:cs="Arial"/>
                <w:color w:val="000000" w:themeColor="text1"/>
              </w:rPr>
              <w:t xml:space="preserve"> </w:t>
            </w:r>
          </w:p>
        </w:tc>
        <w:tc>
          <w:tcPr>
            <w:tcW w:w="1477" w:type="dxa"/>
            <w:tcBorders>
              <w:top w:val="nil"/>
              <w:left w:val="nil"/>
              <w:bottom w:val="single" w:sz="4" w:space="0" w:color="auto"/>
              <w:right w:val="single" w:sz="4" w:space="0" w:color="auto"/>
            </w:tcBorders>
            <w:shd w:val="clear" w:color="auto" w:fill="auto"/>
            <w:noWrap/>
            <w:vAlign w:val="center"/>
          </w:tcPr>
          <w:p w14:paraId="418611F0" w14:textId="5578A9CB" w:rsidR="000D3E7D" w:rsidRPr="00D50E81" w:rsidRDefault="00D50E81" w:rsidP="110985B9">
            <w:pPr>
              <w:spacing w:after="0"/>
              <w:jc w:val="right"/>
              <w:rPr>
                <w:rFonts w:cs="Arial"/>
                <w:color w:val="000000"/>
              </w:rPr>
            </w:pPr>
            <w:r w:rsidRPr="00D50E81">
              <w:rPr>
                <w:rFonts w:cs="Arial"/>
                <w:color w:val="000000" w:themeColor="text1"/>
              </w:rPr>
              <w:t>15.3</w:t>
            </w:r>
            <w:r w:rsidR="000D3E7D" w:rsidRPr="00D50E81">
              <w:rPr>
                <w:rFonts w:cs="Arial"/>
                <w:color w:val="000000" w:themeColor="text1"/>
              </w:rPr>
              <w:t>%</w:t>
            </w:r>
          </w:p>
        </w:tc>
      </w:tr>
      <w:tr w:rsidR="000D3E7D" w:rsidRPr="00537E40" w14:paraId="3A578948" w14:textId="77777777" w:rsidTr="4A450472">
        <w:trPr>
          <w:trHeight w:val="340"/>
        </w:trPr>
        <w:tc>
          <w:tcPr>
            <w:tcW w:w="3061" w:type="dxa"/>
            <w:tcBorders>
              <w:top w:val="nil"/>
              <w:left w:val="single" w:sz="4" w:space="0" w:color="auto"/>
              <w:bottom w:val="single" w:sz="4" w:space="0" w:color="auto"/>
              <w:right w:val="single" w:sz="4" w:space="0" w:color="auto"/>
            </w:tcBorders>
            <w:shd w:val="clear" w:color="auto" w:fill="auto"/>
            <w:noWrap/>
            <w:vAlign w:val="center"/>
          </w:tcPr>
          <w:p w14:paraId="06DE95C6" w14:textId="73186468" w:rsidR="000D3E7D" w:rsidRDefault="00D50E81" w:rsidP="110985B9">
            <w:pPr>
              <w:spacing w:after="0" w:line="240" w:lineRule="auto"/>
              <w:rPr>
                <w:rFonts w:cs="Arial"/>
                <w:b/>
                <w:bCs/>
                <w:color w:val="000000"/>
              </w:rPr>
            </w:pPr>
            <w:r w:rsidRPr="0082290B">
              <w:rPr>
                <w:rFonts w:cs="Arial"/>
                <w:b/>
                <w:bCs/>
                <w:color w:val="000000" w:themeColor="text1"/>
              </w:rPr>
              <w:t xml:space="preserve">Food and beverage services </w:t>
            </w:r>
          </w:p>
        </w:tc>
        <w:tc>
          <w:tcPr>
            <w:tcW w:w="1304" w:type="dxa"/>
            <w:tcBorders>
              <w:top w:val="nil"/>
              <w:left w:val="nil"/>
              <w:bottom w:val="single" w:sz="4" w:space="0" w:color="auto"/>
              <w:right w:val="single" w:sz="4" w:space="0" w:color="auto"/>
            </w:tcBorders>
            <w:shd w:val="clear" w:color="auto" w:fill="auto"/>
            <w:noWrap/>
            <w:vAlign w:val="center"/>
          </w:tcPr>
          <w:p w14:paraId="1BDACD8F" w14:textId="5C2CB2C9" w:rsidR="000D3E7D" w:rsidRPr="001215C0" w:rsidRDefault="00D50E81" w:rsidP="110985B9">
            <w:pPr>
              <w:spacing w:after="0"/>
              <w:jc w:val="right"/>
              <w:rPr>
                <w:rFonts w:cs="Arial"/>
                <w:color w:val="000000"/>
              </w:rPr>
            </w:pPr>
            <w:r w:rsidRPr="001215C0">
              <w:rPr>
                <w:rFonts w:cs="Arial"/>
                <w:color w:val="000000" w:themeColor="text1"/>
              </w:rPr>
              <w:t>34,500</w:t>
            </w:r>
            <w:r w:rsidR="000D3E7D" w:rsidRPr="001215C0">
              <w:rPr>
                <w:rFonts w:cs="Arial"/>
                <w:color w:val="000000" w:themeColor="text1"/>
              </w:rPr>
              <w:t xml:space="preserve"> </w:t>
            </w:r>
          </w:p>
        </w:tc>
        <w:tc>
          <w:tcPr>
            <w:tcW w:w="1304" w:type="dxa"/>
            <w:tcBorders>
              <w:top w:val="nil"/>
              <w:left w:val="nil"/>
              <w:bottom w:val="single" w:sz="4" w:space="0" w:color="auto"/>
              <w:right w:val="single" w:sz="4" w:space="0" w:color="auto"/>
            </w:tcBorders>
            <w:shd w:val="clear" w:color="auto" w:fill="auto"/>
            <w:noWrap/>
            <w:vAlign w:val="center"/>
          </w:tcPr>
          <w:p w14:paraId="3B87AFA0" w14:textId="1325A028" w:rsidR="000D3E7D" w:rsidRPr="001215C0" w:rsidRDefault="52E645DF" w:rsidP="110985B9">
            <w:pPr>
              <w:spacing w:after="0"/>
              <w:jc w:val="right"/>
              <w:rPr>
                <w:rFonts w:cs="Arial"/>
                <w:color w:val="000000"/>
              </w:rPr>
            </w:pPr>
            <w:r w:rsidRPr="4A450472">
              <w:rPr>
                <w:rFonts w:cs="Arial"/>
                <w:color w:val="000000" w:themeColor="text1"/>
              </w:rPr>
              <w:t xml:space="preserve">      </w:t>
            </w:r>
            <w:r w:rsidR="39236111" w:rsidRPr="4A450472">
              <w:rPr>
                <w:rFonts w:cs="Arial"/>
                <w:color w:val="000000" w:themeColor="text1"/>
              </w:rPr>
              <w:t>49,500</w:t>
            </w:r>
            <w:r w:rsidRPr="4A450472">
              <w:rPr>
                <w:rFonts w:cs="Arial"/>
                <w:color w:val="000000" w:themeColor="text1"/>
              </w:rPr>
              <w:t xml:space="preserve"> </w:t>
            </w:r>
          </w:p>
        </w:tc>
        <w:tc>
          <w:tcPr>
            <w:tcW w:w="1272" w:type="dxa"/>
            <w:tcBorders>
              <w:top w:val="nil"/>
              <w:left w:val="nil"/>
              <w:bottom w:val="single" w:sz="4" w:space="0" w:color="auto"/>
              <w:right w:val="single" w:sz="4" w:space="0" w:color="auto"/>
            </w:tcBorders>
            <w:shd w:val="clear" w:color="auto" w:fill="auto"/>
            <w:noWrap/>
            <w:vAlign w:val="center"/>
          </w:tcPr>
          <w:p w14:paraId="1E394F9B" w14:textId="1CB1671C" w:rsidR="000D3E7D" w:rsidRPr="001215C0" w:rsidRDefault="00D50E81" w:rsidP="110985B9">
            <w:pPr>
              <w:spacing w:after="0"/>
              <w:jc w:val="right"/>
              <w:rPr>
                <w:rFonts w:cs="Arial"/>
                <w:color w:val="000000"/>
              </w:rPr>
            </w:pPr>
            <w:r w:rsidRPr="001215C0">
              <w:rPr>
                <w:rFonts w:cs="Arial"/>
                <w:color w:val="000000" w:themeColor="text1"/>
              </w:rPr>
              <w:t>53,100</w:t>
            </w:r>
          </w:p>
        </w:tc>
        <w:tc>
          <w:tcPr>
            <w:tcW w:w="1276" w:type="dxa"/>
            <w:tcBorders>
              <w:top w:val="nil"/>
              <w:left w:val="nil"/>
              <w:bottom w:val="single" w:sz="4" w:space="0" w:color="auto"/>
              <w:right w:val="single" w:sz="4" w:space="0" w:color="auto"/>
            </w:tcBorders>
            <w:shd w:val="clear" w:color="auto" w:fill="auto"/>
            <w:noWrap/>
            <w:vAlign w:val="center"/>
          </w:tcPr>
          <w:p w14:paraId="160BC919" w14:textId="23961D63" w:rsidR="000D3E7D" w:rsidRPr="001215C0" w:rsidRDefault="00D50E81" w:rsidP="110985B9">
            <w:pPr>
              <w:spacing w:after="0"/>
              <w:jc w:val="right"/>
              <w:rPr>
                <w:rFonts w:cs="Arial"/>
                <w:color w:val="000000"/>
              </w:rPr>
            </w:pPr>
            <w:r w:rsidRPr="001215C0">
              <w:rPr>
                <w:rFonts w:cs="Arial"/>
                <w:color w:val="000000" w:themeColor="text1"/>
              </w:rPr>
              <w:t>18,700</w:t>
            </w:r>
            <w:r w:rsidR="000D3E7D" w:rsidRPr="001215C0">
              <w:rPr>
                <w:rFonts w:cs="Arial"/>
                <w:color w:val="000000" w:themeColor="text1"/>
              </w:rPr>
              <w:t xml:space="preserve"> </w:t>
            </w:r>
          </w:p>
        </w:tc>
        <w:tc>
          <w:tcPr>
            <w:tcW w:w="1477" w:type="dxa"/>
            <w:tcBorders>
              <w:top w:val="nil"/>
              <w:left w:val="nil"/>
              <w:bottom w:val="single" w:sz="4" w:space="0" w:color="auto"/>
              <w:right w:val="single" w:sz="4" w:space="0" w:color="auto"/>
            </w:tcBorders>
            <w:shd w:val="clear" w:color="auto" w:fill="auto"/>
            <w:noWrap/>
            <w:vAlign w:val="center"/>
          </w:tcPr>
          <w:p w14:paraId="0CC1E51A" w14:textId="7230256B" w:rsidR="000D3E7D" w:rsidRPr="001215C0" w:rsidRDefault="000D3E7D" w:rsidP="110985B9">
            <w:pPr>
              <w:spacing w:after="0"/>
              <w:jc w:val="right"/>
              <w:rPr>
                <w:rFonts w:cs="Arial"/>
                <w:color w:val="000000"/>
              </w:rPr>
            </w:pPr>
            <w:r w:rsidRPr="001215C0">
              <w:rPr>
                <w:rFonts w:cs="Arial"/>
                <w:color w:val="000000" w:themeColor="text1"/>
              </w:rPr>
              <w:t>10.</w:t>
            </w:r>
            <w:r w:rsidR="00D50E81" w:rsidRPr="001215C0">
              <w:rPr>
                <w:rFonts w:cs="Arial"/>
                <w:color w:val="000000" w:themeColor="text1"/>
              </w:rPr>
              <w:t>4</w:t>
            </w:r>
            <w:r w:rsidRPr="001215C0">
              <w:rPr>
                <w:rFonts w:cs="Arial"/>
                <w:color w:val="000000" w:themeColor="text1"/>
              </w:rPr>
              <w:t>%</w:t>
            </w:r>
          </w:p>
        </w:tc>
      </w:tr>
      <w:tr w:rsidR="000D3E7D" w:rsidRPr="00537E40" w14:paraId="128C875B" w14:textId="77777777" w:rsidTr="4A450472">
        <w:trPr>
          <w:trHeight w:val="340"/>
        </w:trPr>
        <w:tc>
          <w:tcPr>
            <w:tcW w:w="3061" w:type="dxa"/>
            <w:tcBorders>
              <w:top w:val="nil"/>
              <w:left w:val="single" w:sz="4" w:space="0" w:color="auto"/>
              <w:bottom w:val="single" w:sz="4" w:space="0" w:color="auto"/>
              <w:right w:val="single" w:sz="4" w:space="0" w:color="auto"/>
            </w:tcBorders>
            <w:shd w:val="clear" w:color="auto" w:fill="auto"/>
            <w:noWrap/>
            <w:vAlign w:val="center"/>
          </w:tcPr>
          <w:p w14:paraId="3FE8C4B3" w14:textId="2BA51D37" w:rsidR="000D3E7D" w:rsidRDefault="00D50E81" w:rsidP="110985B9">
            <w:pPr>
              <w:spacing w:after="0" w:line="240" w:lineRule="auto"/>
              <w:rPr>
                <w:rFonts w:cs="Arial"/>
                <w:b/>
                <w:bCs/>
                <w:color w:val="000000"/>
              </w:rPr>
            </w:pPr>
            <w:r w:rsidRPr="0082290B">
              <w:rPr>
                <w:rFonts w:cs="Arial"/>
                <w:b/>
                <w:bCs/>
                <w:color w:val="000000" w:themeColor="text1"/>
              </w:rPr>
              <w:t>Education and training</w:t>
            </w:r>
          </w:p>
        </w:tc>
        <w:tc>
          <w:tcPr>
            <w:tcW w:w="1304" w:type="dxa"/>
            <w:tcBorders>
              <w:top w:val="nil"/>
              <w:left w:val="nil"/>
              <w:bottom w:val="single" w:sz="4" w:space="0" w:color="auto"/>
              <w:right w:val="single" w:sz="4" w:space="0" w:color="auto"/>
            </w:tcBorders>
            <w:shd w:val="clear" w:color="auto" w:fill="auto"/>
            <w:noWrap/>
            <w:vAlign w:val="center"/>
          </w:tcPr>
          <w:p w14:paraId="74F732E1" w14:textId="5526987F" w:rsidR="000D3E7D" w:rsidRPr="001215C0" w:rsidRDefault="001215C0" w:rsidP="110985B9">
            <w:pPr>
              <w:spacing w:after="0"/>
              <w:jc w:val="right"/>
              <w:rPr>
                <w:rFonts w:cs="Arial"/>
                <w:color w:val="000000"/>
              </w:rPr>
            </w:pPr>
            <w:r w:rsidRPr="001215C0">
              <w:rPr>
                <w:rFonts w:cs="Arial"/>
                <w:color w:val="000000" w:themeColor="text1"/>
              </w:rPr>
              <w:t>25,000</w:t>
            </w:r>
            <w:r w:rsidR="000D3E7D" w:rsidRPr="001215C0">
              <w:rPr>
                <w:rFonts w:cs="Arial"/>
                <w:color w:val="000000" w:themeColor="text1"/>
              </w:rPr>
              <w:t xml:space="preserve"> </w:t>
            </w:r>
          </w:p>
        </w:tc>
        <w:tc>
          <w:tcPr>
            <w:tcW w:w="1304" w:type="dxa"/>
            <w:tcBorders>
              <w:top w:val="nil"/>
              <w:left w:val="nil"/>
              <w:bottom w:val="single" w:sz="4" w:space="0" w:color="auto"/>
              <w:right w:val="single" w:sz="4" w:space="0" w:color="auto"/>
            </w:tcBorders>
            <w:shd w:val="clear" w:color="auto" w:fill="auto"/>
            <w:noWrap/>
            <w:vAlign w:val="center"/>
          </w:tcPr>
          <w:p w14:paraId="5303C1C1" w14:textId="212CF7ED" w:rsidR="000D3E7D" w:rsidRPr="001215C0" w:rsidRDefault="52E645DF" w:rsidP="110985B9">
            <w:pPr>
              <w:spacing w:after="0"/>
              <w:jc w:val="right"/>
              <w:rPr>
                <w:rFonts w:cs="Arial"/>
                <w:color w:val="000000"/>
              </w:rPr>
            </w:pPr>
            <w:r w:rsidRPr="4A450472">
              <w:rPr>
                <w:rFonts w:cs="Arial"/>
                <w:color w:val="000000" w:themeColor="text1"/>
              </w:rPr>
              <w:t xml:space="preserve">      </w:t>
            </w:r>
            <w:r w:rsidR="7C371EE9" w:rsidRPr="4A450472">
              <w:rPr>
                <w:rFonts w:cs="Arial"/>
                <w:color w:val="000000" w:themeColor="text1"/>
              </w:rPr>
              <w:t>37,300</w:t>
            </w:r>
            <w:r w:rsidRPr="4A450472">
              <w:rPr>
                <w:rFonts w:cs="Arial"/>
                <w:color w:val="000000" w:themeColor="text1"/>
              </w:rPr>
              <w:t xml:space="preserve"> </w:t>
            </w:r>
          </w:p>
        </w:tc>
        <w:tc>
          <w:tcPr>
            <w:tcW w:w="1272" w:type="dxa"/>
            <w:tcBorders>
              <w:top w:val="nil"/>
              <w:left w:val="nil"/>
              <w:bottom w:val="single" w:sz="4" w:space="0" w:color="auto"/>
              <w:right w:val="single" w:sz="4" w:space="0" w:color="auto"/>
            </w:tcBorders>
            <w:shd w:val="clear" w:color="auto" w:fill="auto"/>
            <w:noWrap/>
            <w:vAlign w:val="center"/>
          </w:tcPr>
          <w:p w14:paraId="6456D789" w14:textId="5374FDA8" w:rsidR="000D3E7D" w:rsidRPr="001215C0" w:rsidRDefault="001215C0" w:rsidP="110985B9">
            <w:pPr>
              <w:spacing w:after="0"/>
              <w:jc w:val="right"/>
              <w:rPr>
                <w:rFonts w:cs="Arial"/>
                <w:color w:val="000000"/>
              </w:rPr>
            </w:pPr>
            <w:r w:rsidRPr="001215C0">
              <w:rPr>
                <w:rFonts w:cs="Arial"/>
                <w:color w:val="000000" w:themeColor="text1"/>
              </w:rPr>
              <w:t>41,500</w:t>
            </w:r>
            <w:r w:rsidR="000D3E7D" w:rsidRPr="001215C0">
              <w:rPr>
                <w:rFonts w:cs="Arial"/>
                <w:color w:val="000000" w:themeColor="text1"/>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098728D4" w14:textId="180283A9" w:rsidR="000D3E7D" w:rsidRPr="001215C0" w:rsidRDefault="001215C0" w:rsidP="110985B9">
            <w:pPr>
              <w:spacing w:after="0"/>
              <w:jc w:val="right"/>
              <w:rPr>
                <w:rFonts w:cs="Arial"/>
                <w:color w:val="000000"/>
              </w:rPr>
            </w:pPr>
            <w:r w:rsidRPr="001215C0">
              <w:rPr>
                <w:rFonts w:cs="Arial"/>
                <w:color w:val="000000" w:themeColor="text1"/>
              </w:rPr>
              <w:t>16,500</w:t>
            </w:r>
            <w:r w:rsidR="000D3E7D" w:rsidRPr="001215C0">
              <w:rPr>
                <w:rFonts w:cs="Arial"/>
                <w:color w:val="000000" w:themeColor="text1"/>
              </w:rPr>
              <w:t xml:space="preserve"> </w:t>
            </w:r>
          </w:p>
        </w:tc>
        <w:tc>
          <w:tcPr>
            <w:tcW w:w="1477" w:type="dxa"/>
            <w:tcBorders>
              <w:top w:val="nil"/>
              <w:left w:val="nil"/>
              <w:bottom w:val="single" w:sz="4" w:space="0" w:color="auto"/>
              <w:right w:val="single" w:sz="4" w:space="0" w:color="auto"/>
            </w:tcBorders>
            <w:shd w:val="clear" w:color="auto" w:fill="auto"/>
            <w:noWrap/>
            <w:vAlign w:val="center"/>
          </w:tcPr>
          <w:p w14:paraId="1230BAEC" w14:textId="1104E97E" w:rsidR="000D3E7D" w:rsidRPr="001215C0" w:rsidRDefault="000D3E7D" w:rsidP="110985B9">
            <w:pPr>
              <w:spacing w:after="0"/>
              <w:jc w:val="right"/>
              <w:rPr>
                <w:rFonts w:cs="Arial"/>
                <w:color w:val="000000"/>
              </w:rPr>
            </w:pPr>
            <w:r w:rsidRPr="001215C0">
              <w:rPr>
                <w:rFonts w:cs="Arial"/>
                <w:color w:val="000000" w:themeColor="text1"/>
              </w:rPr>
              <w:t>9.</w:t>
            </w:r>
            <w:r w:rsidR="001215C0" w:rsidRPr="001215C0">
              <w:rPr>
                <w:rFonts w:cs="Arial"/>
                <w:color w:val="000000" w:themeColor="text1"/>
              </w:rPr>
              <w:t>2</w:t>
            </w:r>
            <w:r w:rsidRPr="001215C0">
              <w:rPr>
                <w:rFonts w:cs="Arial"/>
                <w:color w:val="000000" w:themeColor="text1"/>
              </w:rPr>
              <w:t>%</w:t>
            </w:r>
          </w:p>
        </w:tc>
      </w:tr>
      <w:tr w:rsidR="000D3E7D" w:rsidRPr="00537E40" w14:paraId="6097E693" w14:textId="77777777" w:rsidTr="4A450472">
        <w:trPr>
          <w:trHeight w:val="340"/>
        </w:trPr>
        <w:tc>
          <w:tcPr>
            <w:tcW w:w="3061" w:type="dxa"/>
            <w:tcBorders>
              <w:top w:val="nil"/>
              <w:left w:val="single" w:sz="4" w:space="0" w:color="auto"/>
              <w:bottom w:val="single" w:sz="4" w:space="0" w:color="auto"/>
              <w:right w:val="single" w:sz="4" w:space="0" w:color="auto"/>
            </w:tcBorders>
            <w:shd w:val="clear" w:color="auto" w:fill="auto"/>
            <w:noWrap/>
            <w:vAlign w:val="center"/>
          </w:tcPr>
          <w:p w14:paraId="0A7709BB" w14:textId="5A0B31C6" w:rsidR="000D3E7D" w:rsidRDefault="000D3E7D" w:rsidP="110985B9">
            <w:pPr>
              <w:spacing w:after="0" w:line="240" w:lineRule="auto"/>
              <w:rPr>
                <w:rFonts w:cs="Arial"/>
                <w:b/>
                <w:bCs/>
                <w:color w:val="000000"/>
              </w:rPr>
            </w:pPr>
            <w:r w:rsidRPr="0082290B">
              <w:rPr>
                <w:rFonts w:cs="Arial"/>
                <w:b/>
                <w:bCs/>
                <w:color w:val="000000" w:themeColor="text1"/>
              </w:rPr>
              <w:t>Finance and insurance</w:t>
            </w:r>
          </w:p>
        </w:tc>
        <w:tc>
          <w:tcPr>
            <w:tcW w:w="1304" w:type="dxa"/>
            <w:tcBorders>
              <w:top w:val="nil"/>
              <w:left w:val="nil"/>
              <w:bottom w:val="single" w:sz="4" w:space="0" w:color="auto"/>
              <w:right w:val="single" w:sz="4" w:space="0" w:color="auto"/>
            </w:tcBorders>
            <w:shd w:val="clear" w:color="auto" w:fill="auto"/>
            <w:noWrap/>
            <w:vAlign w:val="center"/>
          </w:tcPr>
          <w:p w14:paraId="5CFAC7CF" w14:textId="55B235CC" w:rsidR="000D3E7D" w:rsidRPr="001215C0" w:rsidRDefault="000D3E7D" w:rsidP="110985B9">
            <w:pPr>
              <w:spacing w:after="0"/>
              <w:jc w:val="right"/>
              <w:rPr>
                <w:rFonts w:cs="Arial"/>
                <w:color w:val="000000"/>
              </w:rPr>
            </w:pPr>
            <w:r w:rsidRPr="001215C0">
              <w:rPr>
                <w:rFonts w:cs="Arial"/>
                <w:color w:val="000000" w:themeColor="text1"/>
              </w:rPr>
              <w:t xml:space="preserve">      </w:t>
            </w:r>
            <w:r w:rsidR="001215C0" w:rsidRPr="001215C0">
              <w:rPr>
                <w:rFonts w:cs="Arial"/>
                <w:color w:val="000000" w:themeColor="text1"/>
              </w:rPr>
              <w:t>69,500</w:t>
            </w:r>
            <w:r w:rsidRPr="001215C0">
              <w:rPr>
                <w:rFonts w:cs="Arial"/>
                <w:color w:val="000000" w:themeColor="text1"/>
              </w:rPr>
              <w:t xml:space="preserve"> </w:t>
            </w:r>
          </w:p>
        </w:tc>
        <w:tc>
          <w:tcPr>
            <w:tcW w:w="1304" w:type="dxa"/>
            <w:tcBorders>
              <w:top w:val="nil"/>
              <w:left w:val="nil"/>
              <w:bottom w:val="single" w:sz="4" w:space="0" w:color="auto"/>
              <w:right w:val="single" w:sz="4" w:space="0" w:color="auto"/>
            </w:tcBorders>
            <w:shd w:val="clear" w:color="auto" w:fill="auto"/>
            <w:noWrap/>
            <w:vAlign w:val="center"/>
          </w:tcPr>
          <w:p w14:paraId="3F684A0F" w14:textId="02F516FC" w:rsidR="000D3E7D" w:rsidRPr="001215C0" w:rsidRDefault="001215C0" w:rsidP="110985B9">
            <w:pPr>
              <w:spacing w:after="0"/>
              <w:jc w:val="right"/>
              <w:rPr>
                <w:rFonts w:cs="Arial"/>
                <w:color w:val="000000"/>
              </w:rPr>
            </w:pPr>
            <w:r w:rsidRPr="001215C0">
              <w:rPr>
                <w:rFonts w:cs="Arial"/>
                <w:color w:val="000000" w:themeColor="text1"/>
              </w:rPr>
              <w:t>79,200</w:t>
            </w:r>
            <w:r w:rsidR="000D3E7D" w:rsidRPr="001215C0">
              <w:rPr>
                <w:rFonts w:cs="Arial"/>
                <w:color w:val="000000" w:themeColor="text1"/>
              </w:rPr>
              <w:t xml:space="preserve"> </w:t>
            </w:r>
          </w:p>
        </w:tc>
        <w:tc>
          <w:tcPr>
            <w:tcW w:w="1272" w:type="dxa"/>
            <w:tcBorders>
              <w:top w:val="nil"/>
              <w:left w:val="nil"/>
              <w:bottom w:val="single" w:sz="4" w:space="0" w:color="auto"/>
              <w:right w:val="single" w:sz="4" w:space="0" w:color="auto"/>
            </w:tcBorders>
            <w:shd w:val="clear" w:color="auto" w:fill="auto"/>
            <w:noWrap/>
            <w:vAlign w:val="center"/>
          </w:tcPr>
          <w:p w14:paraId="183B38FC" w14:textId="66D1B6E3" w:rsidR="000D3E7D" w:rsidRPr="001215C0" w:rsidRDefault="001215C0" w:rsidP="110985B9">
            <w:pPr>
              <w:spacing w:after="0"/>
              <w:jc w:val="right"/>
              <w:rPr>
                <w:rFonts w:cs="Arial"/>
                <w:color w:val="000000"/>
              </w:rPr>
            </w:pPr>
            <w:r w:rsidRPr="001215C0">
              <w:rPr>
                <w:rFonts w:cs="Arial"/>
                <w:color w:val="000000" w:themeColor="text1"/>
              </w:rPr>
              <w:t>82,800</w:t>
            </w:r>
            <w:r w:rsidR="000D3E7D" w:rsidRPr="001215C0">
              <w:rPr>
                <w:rFonts w:cs="Arial"/>
                <w:color w:val="000000" w:themeColor="text1"/>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134B77AE" w14:textId="76267A0B" w:rsidR="000D3E7D" w:rsidRPr="001215C0" w:rsidRDefault="001215C0" w:rsidP="110985B9">
            <w:pPr>
              <w:spacing w:after="0"/>
              <w:jc w:val="right"/>
              <w:rPr>
                <w:rFonts w:cs="Arial"/>
                <w:color w:val="000000"/>
              </w:rPr>
            </w:pPr>
            <w:r w:rsidRPr="001215C0">
              <w:rPr>
                <w:rFonts w:cs="Arial"/>
                <w:color w:val="000000" w:themeColor="text1"/>
              </w:rPr>
              <w:t>13,200</w:t>
            </w:r>
            <w:r w:rsidR="000D3E7D" w:rsidRPr="001215C0">
              <w:rPr>
                <w:rFonts w:cs="Arial"/>
                <w:color w:val="000000" w:themeColor="text1"/>
              </w:rPr>
              <w:t xml:space="preserve"> </w:t>
            </w:r>
          </w:p>
        </w:tc>
        <w:tc>
          <w:tcPr>
            <w:tcW w:w="1477" w:type="dxa"/>
            <w:tcBorders>
              <w:top w:val="nil"/>
              <w:left w:val="nil"/>
              <w:bottom w:val="single" w:sz="4" w:space="0" w:color="auto"/>
              <w:right w:val="single" w:sz="4" w:space="0" w:color="auto"/>
            </w:tcBorders>
            <w:shd w:val="clear" w:color="auto" w:fill="auto"/>
            <w:noWrap/>
            <w:vAlign w:val="center"/>
          </w:tcPr>
          <w:p w14:paraId="25C4F40B" w14:textId="54E12F8E" w:rsidR="000D3E7D" w:rsidRPr="001215C0" w:rsidRDefault="001215C0" w:rsidP="110985B9">
            <w:pPr>
              <w:spacing w:after="0"/>
              <w:jc w:val="right"/>
              <w:rPr>
                <w:rFonts w:cs="Arial"/>
                <w:color w:val="000000"/>
              </w:rPr>
            </w:pPr>
            <w:r w:rsidRPr="001215C0">
              <w:rPr>
                <w:rFonts w:cs="Arial"/>
                <w:color w:val="000000" w:themeColor="text1"/>
              </w:rPr>
              <w:t>7.4</w:t>
            </w:r>
            <w:r w:rsidR="000D3E7D" w:rsidRPr="001215C0">
              <w:rPr>
                <w:rFonts w:cs="Arial"/>
                <w:color w:val="000000" w:themeColor="text1"/>
              </w:rPr>
              <w:t>%</w:t>
            </w:r>
          </w:p>
        </w:tc>
      </w:tr>
      <w:tr w:rsidR="000D3E7D" w:rsidRPr="00537E40" w14:paraId="25FA83AE" w14:textId="77777777" w:rsidTr="4A450472">
        <w:trPr>
          <w:trHeight w:val="340"/>
        </w:trPr>
        <w:tc>
          <w:tcPr>
            <w:tcW w:w="3061" w:type="dxa"/>
            <w:tcBorders>
              <w:top w:val="nil"/>
              <w:left w:val="single" w:sz="4" w:space="0" w:color="auto"/>
              <w:bottom w:val="single" w:sz="4" w:space="0" w:color="auto"/>
              <w:right w:val="single" w:sz="4" w:space="0" w:color="auto"/>
            </w:tcBorders>
            <w:shd w:val="clear" w:color="auto" w:fill="auto"/>
            <w:noWrap/>
            <w:vAlign w:val="center"/>
          </w:tcPr>
          <w:p w14:paraId="3AE1D448" w14:textId="74565DBA" w:rsidR="000D3E7D" w:rsidRDefault="000D3E7D" w:rsidP="110985B9">
            <w:pPr>
              <w:spacing w:after="0" w:line="240" w:lineRule="auto"/>
              <w:rPr>
                <w:rFonts w:cs="Arial"/>
                <w:b/>
                <w:bCs/>
                <w:color w:val="000000"/>
              </w:rPr>
            </w:pPr>
            <w:r w:rsidRPr="0082290B">
              <w:rPr>
                <w:rFonts w:cs="Arial"/>
                <w:b/>
                <w:bCs/>
                <w:color w:val="000000" w:themeColor="text1"/>
              </w:rPr>
              <w:t>Retail trade</w:t>
            </w:r>
          </w:p>
        </w:tc>
        <w:tc>
          <w:tcPr>
            <w:tcW w:w="1304" w:type="dxa"/>
            <w:tcBorders>
              <w:top w:val="nil"/>
              <w:left w:val="nil"/>
              <w:bottom w:val="single" w:sz="4" w:space="0" w:color="auto"/>
              <w:right w:val="single" w:sz="4" w:space="0" w:color="auto"/>
            </w:tcBorders>
            <w:shd w:val="clear" w:color="auto" w:fill="auto"/>
            <w:noWrap/>
            <w:vAlign w:val="center"/>
          </w:tcPr>
          <w:p w14:paraId="57E61C2A" w14:textId="1F9F2C75" w:rsidR="000D3E7D" w:rsidRPr="001215C0" w:rsidRDefault="000D3E7D" w:rsidP="110985B9">
            <w:pPr>
              <w:spacing w:after="0"/>
              <w:jc w:val="right"/>
              <w:rPr>
                <w:rFonts w:cs="Arial"/>
                <w:color w:val="000000"/>
              </w:rPr>
            </w:pPr>
            <w:r w:rsidRPr="001215C0">
              <w:rPr>
                <w:rFonts w:cs="Arial"/>
                <w:color w:val="000000" w:themeColor="text1"/>
              </w:rPr>
              <w:t xml:space="preserve">      </w:t>
            </w:r>
            <w:r w:rsidR="001215C0" w:rsidRPr="001215C0">
              <w:rPr>
                <w:rFonts w:cs="Arial"/>
                <w:color w:val="000000" w:themeColor="text1"/>
              </w:rPr>
              <w:t>19,400</w:t>
            </w:r>
            <w:r w:rsidRPr="001215C0">
              <w:rPr>
                <w:rFonts w:cs="Arial"/>
                <w:color w:val="000000" w:themeColor="text1"/>
              </w:rPr>
              <w:t xml:space="preserve"> </w:t>
            </w:r>
          </w:p>
        </w:tc>
        <w:tc>
          <w:tcPr>
            <w:tcW w:w="1304" w:type="dxa"/>
            <w:tcBorders>
              <w:top w:val="nil"/>
              <w:left w:val="nil"/>
              <w:bottom w:val="single" w:sz="4" w:space="0" w:color="auto"/>
              <w:right w:val="single" w:sz="4" w:space="0" w:color="auto"/>
            </w:tcBorders>
            <w:shd w:val="clear" w:color="auto" w:fill="auto"/>
            <w:noWrap/>
            <w:vAlign w:val="center"/>
          </w:tcPr>
          <w:p w14:paraId="04A01C1A" w14:textId="18BB259C" w:rsidR="000D3E7D" w:rsidRPr="001215C0" w:rsidRDefault="52E645DF" w:rsidP="110985B9">
            <w:pPr>
              <w:spacing w:after="0"/>
              <w:jc w:val="right"/>
              <w:rPr>
                <w:rFonts w:cs="Arial"/>
                <w:color w:val="000000"/>
              </w:rPr>
            </w:pPr>
            <w:r w:rsidRPr="4A450472">
              <w:rPr>
                <w:rFonts w:cs="Arial"/>
                <w:color w:val="000000" w:themeColor="text1"/>
              </w:rPr>
              <w:t xml:space="preserve">      </w:t>
            </w:r>
            <w:r w:rsidR="7C371EE9" w:rsidRPr="4A450472">
              <w:rPr>
                <w:rFonts w:cs="Arial"/>
                <w:color w:val="000000" w:themeColor="text1"/>
              </w:rPr>
              <w:t>27,300</w:t>
            </w:r>
            <w:r w:rsidRPr="4A450472">
              <w:rPr>
                <w:rFonts w:cs="Arial"/>
                <w:color w:val="000000" w:themeColor="text1"/>
              </w:rPr>
              <w:t xml:space="preserve"> </w:t>
            </w:r>
          </w:p>
        </w:tc>
        <w:tc>
          <w:tcPr>
            <w:tcW w:w="1272" w:type="dxa"/>
            <w:tcBorders>
              <w:top w:val="nil"/>
              <w:left w:val="nil"/>
              <w:bottom w:val="single" w:sz="4" w:space="0" w:color="auto"/>
              <w:right w:val="single" w:sz="4" w:space="0" w:color="auto"/>
            </w:tcBorders>
            <w:shd w:val="clear" w:color="auto" w:fill="auto"/>
            <w:noWrap/>
            <w:vAlign w:val="center"/>
          </w:tcPr>
          <w:p w14:paraId="39883E76" w14:textId="1E725D98" w:rsidR="000D3E7D" w:rsidRPr="001215C0" w:rsidRDefault="001215C0" w:rsidP="110985B9">
            <w:pPr>
              <w:spacing w:after="0"/>
              <w:jc w:val="right"/>
              <w:rPr>
                <w:rFonts w:cs="Arial"/>
                <w:color w:val="000000"/>
              </w:rPr>
            </w:pPr>
            <w:r w:rsidRPr="001215C0">
              <w:rPr>
                <w:rFonts w:cs="Arial"/>
                <w:color w:val="000000" w:themeColor="text1"/>
              </w:rPr>
              <w:t>31,400</w:t>
            </w:r>
            <w:r w:rsidR="000D3E7D" w:rsidRPr="001215C0">
              <w:rPr>
                <w:rFonts w:cs="Arial"/>
                <w:color w:val="000000" w:themeColor="text1"/>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36C2498D" w14:textId="19FB8F5B" w:rsidR="000D3E7D" w:rsidRPr="001215C0" w:rsidRDefault="000D3E7D" w:rsidP="110985B9">
            <w:pPr>
              <w:spacing w:after="0"/>
              <w:jc w:val="right"/>
              <w:rPr>
                <w:rFonts w:cs="Arial"/>
                <w:color w:val="000000"/>
              </w:rPr>
            </w:pPr>
            <w:r w:rsidRPr="001215C0">
              <w:rPr>
                <w:rFonts w:cs="Arial"/>
                <w:color w:val="000000" w:themeColor="text1"/>
              </w:rPr>
              <w:t>12,</w:t>
            </w:r>
            <w:r w:rsidR="001215C0" w:rsidRPr="001215C0">
              <w:rPr>
                <w:rFonts w:cs="Arial"/>
                <w:color w:val="000000" w:themeColor="text1"/>
              </w:rPr>
              <w:t>000</w:t>
            </w:r>
            <w:r w:rsidRPr="001215C0">
              <w:rPr>
                <w:rFonts w:cs="Arial"/>
                <w:color w:val="000000" w:themeColor="text1"/>
              </w:rPr>
              <w:t xml:space="preserve"> </w:t>
            </w:r>
          </w:p>
        </w:tc>
        <w:tc>
          <w:tcPr>
            <w:tcW w:w="1477" w:type="dxa"/>
            <w:tcBorders>
              <w:top w:val="nil"/>
              <w:left w:val="nil"/>
              <w:bottom w:val="single" w:sz="4" w:space="0" w:color="auto"/>
              <w:right w:val="single" w:sz="4" w:space="0" w:color="auto"/>
            </w:tcBorders>
            <w:shd w:val="clear" w:color="auto" w:fill="auto"/>
            <w:noWrap/>
            <w:vAlign w:val="center"/>
          </w:tcPr>
          <w:p w14:paraId="15FAD907" w14:textId="2CFCF966" w:rsidR="000D3E7D" w:rsidRPr="001215C0" w:rsidRDefault="000D3E7D" w:rsidP="110985B9">
            <w:pPr>
              <w:spacing w:after="0"/>
              <w:jc w:val="right"/>
              <w:rPr>
                <w:rFonts w:cs="Arial"/>
                <w:color w:val="000000"/>
              </w:rPr>
            </w:pPr>
            <w:r w:rsidRPr="001215C0">
              <w:rPr>
                <w:rFonts w:cs="Arial"/>
                <w:color w:val="000000" w:themeColor="text1"/>
              </w:rPr>
              <w:t>6.</w:t>
            </w:r>
            <w:r w:rsidR="001215C0" w:rsidRPr="001215C0">
              <w:rPr>
                <w:rFonts w:cs="Arial"/>
                <w:color w:val="000000" w:themeColor="text1"/>
              </w:rPr>
              <w:t>7</w:t>
            </w:r>
            <w:r w:rsidRPr="001215C0">
              <w:rPr>
                <w:rFonts w:cs="Arial"/>
                <w:color w:val="000000" w:themeColor="text1"/>
              </w:rPr>
              <w:t>%</w:t>
            </w:r>
          </w:p>
        </w:tc>
      </w:tr>
      <w:tr w:rsidR="000D3E7D" w:rsidRPr="00537E40" w14:paraId="610D609A" w14:textId="77777777" w:rsidTr="4A450472">
        <w:trPr>
          <w:trHeight w:val="340"/>
        </w:trPr>
        <w:tc>
          <w:tcPr>
            <w:tcW w:w="3061" w:type="dxa"/>
            <w:tcBorders>
              <w:top w:val="nil"/>
              <w:left w:val="single" w:sz="4" w:space="0" w:color="auto"/>
              <w:bottom w:val="single" w:sz="4" w:space="0" w:color="auto"/>
              <w:right w:val="single" w:sz="4" w:space="0" w:color="auto"/>
            </w:tcBorders>
            <w:shd w:val="clear" w:color="auto" w:fill="auto"/>
            <w:noWrap/>
            <w:vAlign w:val="center"/>
          </w:tcPr>
          <w:p w14:paraId="504EEC73" w14:textId="4B6CD563" w:rsidR="000D3E7D" w:rsidRDefault="001215C0" w:rsidP="110985B9">
            <w:pPr>
              <w:spacing w:after="0" w:line="240" w:lineRule="auto"/>
              <w:rPr>
                <w:rFonts w:cs="Arial"/>
                <w:b/>
                <w:bCs/>
                <w:color w:val="000000"/>
              </w:rPr>
            </w:pPr>
            <w:r w:rsidRPr="0082290B">
              <w:rPr>
                <w:rFonts w:cs="Arial"/>
                <w:b/>
                <w:bCs/>
                <w:color w:val="000000" w:themeColor="text1"/>
              </w:rPr>
              <w:t xml:space="preserve">Arts and recreation services </w:t>
            </w:r>
          </w:p>
        </w:tc>
        <w:tc>
          <w:tcPr>
            <w:tcW w:w="1304" w:type="dxa"/>
            <w:tcBorders>
              <w:top w:val="nil"/>
              <w:left w:val="nil"/>
              <w:bottom w:val="single" w:sz="4" w:space="0" w:color="auto"/>
              <w:right w:val="single" w:sz="4" w:space="0" w:color="auto"/>
            </w:tcBorders>
            <w:shd w:val="clear" w:color="auto" w:fill="auto"/>
            <w:noWrap/>
            <w:vAlign w:val="center"/>
          </w:tcPr>
          <w:p w14:paraId="2866717D" w14:textId="610DDAC4" w:rsidR="000D3E7D" w:rsidRPr="001215C0" w:rsidRDefault="000D3E7D" w:rsidP="110985B9">
            <w:pPr>
              <w:spacing w:after="0"/>
              <w:jc w:val="right"/>
              <w:rPr>
                <w:rFonts w:cs="Arial"/>
                <w:color w:val="000000"/>
              </w:rPr>
            </w:pPr>
            <w:r w:rsidRPr="001215C0">
              <w:rPr>
                <w:rFonts w:cs="Arial"/>
                <w:color w:val="000000" w:themeColor="text1"/>
              </w:rPr>
              <w:t xml:space="preserve">      </w:t>
            </w:r>
            <w:r w:rsidR="001215C0" w:rsidRPr="001215C0">
              <w:rPr>
                <w:rFonts w:cs="Arial"/>
                <w:color w:val="000000" w:themeColor="text1"/>
              </w:rPr>
              <w:t>28,300</w:t>
            </w:r>
            <w:r w:rsidRPr="001215C0">
              <w:rPr>
                <w:rFonts w:cs="Arial"/>
                <w:color w:val="000000" w:themeColor="text1"/>
              </w:rPr>
              <w:t xml:space="preserve"> </w:t>
            </w:r>
          </w:p>
        </w:tc>
        <w:tc>
          <w:tcPr>
            <w:tcW w:w="1304" w:type="dxa"/>
            <w:tcBorders>
              <w:top w:val="nil"/>
              <w:left w:val="nil"/>
              <w:bottom w:val="single" w:sz="4" w:space="0" w:color="auto"/>
              <w:right w:val="single" w:sz="4" w:space="0" w:color="auto"/>
            </w:tcBorders>
            <w:shd w:val="clear" w:color="auto" w:fill="auto"/>
            <w:noWrap/>
            <w:vAlign w:val="center"/>
          </w:tcPr>
          <w:p w14:paraId="3B2E1FB6" w14:textId="4C59A63D" w:rsidR="000D3E7D" w:rsidRPr="001215C0" w:rsidRDefault="52E645DF" w:rsidP="110985B9">
            <w:pPr>
              <w:spacing w:after="0"/>
              <w:jc w:val="right"/>
              <w:rPr>
                <w:rFonts w:cs="Arial"/>
                <w:color w:val="000000"/>
              </w:rPr>
            </w:pPr>
            <w:r w:rsidRPr="4A450472">
              <w:rPr>
                <w:rFonts w:cs="Arial"/>
                <w:color w:val="000000" w:themeColor="text1"/>
              </w:rPr>
              <w:t xml:space="preserve">      </w:t>
            </w:r>
            <w:r w:rsidR="7C371EE9" w:rsidRPr="4A450472">
              <w:rPr>
                <w:rFonts w:cs="Arial"/>
                <w:color w:val="000000" w:themeColor="text1"/>
              </w:rPr>
              <w:t>34,300</w:t>
            </w:r>
            <w:r w:rsidRPr="4A450472">
              <w:rPr>
                <w:rFonts w:cs="Arial"/>
                <w:color w:val="000000" w:themeColor="text1"/>
              </w:rPr>
              <w:t xml:space="preserve"> </w:t>
            </w:r>
          </w:p>
        </w:tc>
        <w:tc>
          <w:tcPr>
            <w:tcW w:w="1272" w:type="dxa"/>
            <w:tcBorders>
              <w:top w:val="nil"/>
              <w:left w:val="nil"/>
              <w:bottom w:val="single" w:sz="4" w:space="0" w:color="auto"/>
              <w:right w:val="single" w:sz="4" w:space="0" w:color="auto"/>
            </w:tcBorders>
            <w:shd w:val="clear" w:color="auto" w:fill="auto"/>
            <w:noWrap/>
            <w:vAlign w:val="center"/>
          </w:tcPr>
          <w:p w14:paraId="189FB4B8" w14:textId="64AF55DC" w:rsidR="000D3E7D" w:rsidRPr="001215C0" w:rsidRDefault="001215C0" w:rsidP="110985B9">
            <w:pPr>
              <w:spacing w:after="0"/>
              <w:jc w:val="right"/>
              <w:rPr>
                <w:rFonts w:cs="Arial"/>
                <w:color w:val="000000"/>
              </w:rPr>
            </w:pPr>
            <w:r w:rsidRPr="001215C0">
              <w:rPr>
                <w:rFonts w:cs="Arial"/>
                <w:color w:val="000000" w:themeColor="text1"/>
              </w:rPr>
              <w:t>38,400</w:t>
            </w:r>
            <w:r w:rsidR="000D3E7D" w:rsidRPr="001215C0">
              <w:rPr>
                <w:rFonts w:cs="Arial"/>
                <w:color w:val="000000" w:themeColor="text1"/>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04CA5672" w14:textId="7ED37831" w:rsidR="000D3E7D" w:rsidRPr="001215C0" w:rsidRDefault="001215C0" w:rsidP="110985B9">
            <w:pPr>
              <w:spacing w:after="0"/>
              <w:jc w:val="right"/>
              <w:rPr>
                <w:rFonts w:cs="Arial"/>
                <w:color w:val="000000"/>
              </w:rPr>
            </w:pPr>
            <w:r w:rsidRPr="001215C0">
              <w:rPr>
                <w:rFonts w:cs="Arial"/>
                <w:color w:val="000000" w:themeColor="text1"/>
              </w:rPr>
              <w:t>10,200</w:t>
            </w:r>
            <w:r w:rsidR="000D3E7D" w:rsidRPr="001215C0">
              <w:rPr>
                <w:rFonts w:cs="Arial"/>
                <w:color w:val="000000" w:themeColor="text1"/>
              </w:rPr>
              <w:t xml:space="preserve"> </w:t>
            </w:r>
          </w:p>
        </w:tc>
        <w:tc>
          <w:tcPr>
            <w:tcW w:w="1477" w:type="dxa"/>
            <w:tcBorders>
              <w:top w:val="nil"/>
              <w:left w:val="nil"/>
              <w:bottom w:val="single" w:sz="4" w:space="0" w:color="auto"/>
              <w:right w:val="single" w:sz="4" w:space="0" w:color="auto"/>
            </w:tcBorders>
            <w:shd w:val="clear" w:color="auto" w:fill="auto"/>
            <w:noWrap/>
            <w:vAlign w:val="center"/>
          </w:tcPr>
          <w:p w14:paraId="2E1A4350" w14:textId="320E08F1" w:rsidR="000D3E7D" w:rsidRPr="001215C0" w:rsidRDefault="000D3E7D" w:rsidP="110985B9">
            <w:pPr>
              <w:spacing w:after="0"/>
              <w:jc w:val="right"/>
              <w:rPr>
                <w:rFonts w:cs="Arial"/>
                <w:color w:val="000000"/>
              </w:rPr>
            </w:pPr>
            <w:r w:rsidRPr="001215C0">
              <w:rPr>
                <w:rFonts w:cs="Arial"/>
                <w:color w:val="000000" w:themeColor="text1"/>
              </w:rPr>
              <w:t>5.</w:t>
            </w:r>
            <w:r w:rsidR="001215C0" w:rsidRPr="001215C0">
              <w:rPr>
                <w:rFonts w:cs="Arial"/>
                <w:color w:val="000000" w:themeColor="text1"/>
              </w:rPr>
              <w:t>7</w:t>
            </w:r>
            <w:r w:rsidRPr="001215C0">
              <w:rPr>
                <w:rFonts w:cs="Arial"/>
                <w:color w:val="000000" w:themeColor="text1"/>
              </w:rPr>
              <w:t>%</w:t>
            </w:r>
          </w:p>
        </w:tc>
      </w:tr>
      <w:tr w:rsidR="000D3E7D" w:rsidRPr="00537E40" w14:paraId="4A228E6B" w14:textId="77777777" w:rsidTr="4A450472">
        <w:trPr>
          <w:trHeight w:val="340"/>
        </w:trPr>
        <w:tc>
          <w:tcPr>
            <w:tcW w:w="3061" w:type="dxa"/>
            <w:tcBorders>
              <w:top w:val="nil"/>
              <w:left w:val="single" w:sz="4" w:space="0" w:color="auto"/>
              <w:bottom w:val="single" w:sz="4" w:space="0" w:color="auto"/>
              <w:right w:val="single" w:sz="4" w:space="0" w:color="auto"/>
            </w:tcBorders>
            <w:shd w:val="clear" w:color="auto" w:fill="auto"/>
            <w:noWrap/>
            <w:vAlign w:val="center"/>
          </w:tcPr>
          <w:p w14:paraId="30C68A27" w14:textId="78C405E2" w:rsidR="000D3E7D" w:rsidRDefault="001215C0" w:rsidP="110985B9">
            <w:pPr>
              <w:spacing w:after="0" w:line="240" w:lineRule="auto"/>
              <w:rPr>
                <w:rFonts w:cs="Arial"/>
                <w:b/>
                <w:bCs/>
                <w:color w:val="000000"/>
              </w:rPr>
            </w:pPr>
            <w:r w:rsidRPr="0082290B">
              <w:rPr>
                <w:rFonts w:cs="Arial"/>
                <w:b/>
                <w:bCs/>
                <w:color w:val="000000" w:themeColor="text1"/>
              </w:rPr>
              <w:t xml:space="preserve">Information media and telecommunications </w:t>
            </w:r>
          </w:p>
        </w:tc>
        <w:tc>
          <w:tcPr>
            <w:tcW w:w="1304" w:type="dxa"/>
            <w:tcBorders>
              <w:top w:val="nil"/>
              <w:left w:val="nil"/>
              <w:bottom w:val="single" w:sz="4" w:space="0" w:color="auto"/>
              <w:right w:val="single" w:sz="4" w:space="0" w:color="auto"/>
            </w:tcBorders>
            <w:shd w:val="clear" w:color="auto" w:fill="auto"/>
            <w:noWrap/>
            <w:vAlign w:val="center"/>
          </w:tcPr>
          <w:p w14:paraId="21972EF7" w14:textId="32F40ADD" w:rsidR="000D3E7D" w:rsidRPr="001215C0" w:rsidRDefault="001215C0" w:rsidP="110985B9">
            <w:pPr>
              <w:spacing w:after="0"/>
              <w:jc w:val="right"/>
              <w:rPr>
                <w:rFonts w:cs="Arial"/>
                <w:color w:val="000000"/>
              </w:rPr>
            </w:pPr>
            <w:r w:rsidRPr="001215C0">
              <w:rPr>
                <w:rFonts w:cs="Arial"/>
                <w:color w:val="000000" w:themeColor="text1"/>
              </w:rPr>
              <w:t>24,100</w:t>
            </w:r>
            <w:r w:rsidR="000D3E7D" w:rsidRPr="001215C0">
              <w:rPr>
                <w:rFonts w:cs="Arial"/>
                <w:color w:val="000000" w:themeColor="text1"/>
              </w:rPr>
              <w:t xml:space="preserve"> </w:t>
            </w:r>
          </w:p>
        </w:tc>
        <w:tc>
          <w:tcPr>
            <w:tcW w:w="1304" w:type="dxa"/>
            <w:tcBorders>
              <w:top w:val="nil"/>
              <w:left w:val="nil"/>
              <w:bottom w:val="single" w:sz="4" w:space="0" w:color="auto"/>
              <w:right w:val="single" w:sz="4" w:space="0" w:color="auto"/>
            </w:tcBorders>
            <w:shd w:val="clear" w:color="auto" w:fill="auto"/>
            <w:noWrap/>
            <w:vAlign w:val="center"/>
          </w:tcPr>
          <w:p w14:paraId="381E4C39" w14:textId="03D5BDBE" w:rsidR="000D3E7D" w:rsidRPr="001215C0" w:rsidRDefault="52E645DF" w:rsidP="110985B9">
            <w:pPr>
              <w:spacing w:after="0"/>
              <w:jc w:val="right"/>
              <w:rPr>
                <w:rFonts w:cs="Arial"/>
                <w:color w:val="000000"/>
              </w:rPr>
            </w:pPr>
            <w:r w:rsidRPr="4A450472">
              <w:rPr>
                <w:rFonts w:cs="Arial"/>
                <w:color w:val="000000" w:themeColor="text1"/>
              </w:rPr>
              <w:t xml:space="preserve">      29,</w:t>
            </w:r>
            <w:r w:rsidR="7C371EE9" w:rsidRPr="4A450472">
              <w:rPr>
                <w:rFonts w:cs="Arial"/>
                <w:color w:val="000000" w:themeColor="text1"/>
              </w:rPr>
              <w:t>200</w:t>
            </w:r>
            <w:r w:rsidRPr="4A450472">
              <w:rPr>
                <w:rFonts w:cs="Arial"/>
                <w:color w:val="000000" w:themeColor="text1"/>
              </w:rPr>
              <w:t xml:space="preserve"> </w:t>
            </w:r>
          </w:p>
        </w:tc>
        <w:tc>
          <w:tcPr>
            <w:tcW w:w="1272" w:type="dxa"/>
            <w:tcBorders>
              <w:top w:val="nil"/>
              <w:left w:val="nil"/>
              <w:bottom w:val="single" w:sz="4" w:space="0" w:color="auto"/>
              <w:right w:val="single" w:sz="4" w:space="0" w:color="auto"/>
            </w:tcBorders>
            <w:shd w:val="clear" w:color="auto" w:fill="auto"/>
            <w:noWrap/>
            <w:vAlign w:val="center"/>
          </w:tcPr>
          <w:p w14:paraId="00B05E9A" w14:textId="7858C0D2" w:rsidR="000D3E7D" w:rsidRPr="001215C0" w:rsidRDefault="001215C0" w:rsidP="110985B9">
            <w:pPr>
              <w:spacing w:after="0"/>
              <w:jc w:val="right"/>
              <w:rPr>
                <w:rFonts w:cs="Arial"/>
                <w:color w:val="000000"/>
              </w:rPr>
            </w:pPr>
            <w:r w:rsidRPr="001215C0">
              <w:rPr>
                <w:rFonts w:cs="Arial"/>
                <w:color w:val="000000" w:themeColor="text1"/>
              </w:rPr>
              <w:t>32,100</w:t>
            </w:r>
            <w:r w:rsidR="000D3E7D" w:rsidRPr="001215C0">
              <w:rPr>
                <w:rFonts w:cs="Arial"/>
                <w:color w:val="000000" w:themeColor="text1"/>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7E21DBA7" w14:textId="61AF96E2" w:rsidR="000D3E7D" w:rsidRPr="001215C0" w:rsidRDefault="001215C0" w:rsidP="110985B9">
            <w:pPr>
              <w:spacing w:after="0"/>
              <w:jc w:val="right"/>
              <w:rPr>
                <w:rFonts w:cs="Arial"/>
                <w:color w:val="000000"/>
              </w:rPr>
            </w:pPr>
            <w:r w:rsidRPr="001215C0">
              <w:rPr>
                <w:rFonts w:cs="Arial"/>
                <w:color w:val="000000" w:themeColor="text1"/>
              </w:rPr>
              <w:t>8,000</w:t>
            </w:r>
            <w:r w:rsidR="000D3E7D" w:rsidRPr="001215C0">
              <w:rPr>
                <w:rFonts w:cs="Arial"/>
                <w:color w:val="000000" w:themeColor="text1"/>
              </w:rPr>
              <w:t xml:space="preserve"> </w:t>
            </w:r>
          </w:p>
        </w:tc>
        <w:tc>
          <w:tcPr>
            <w:tcW w:w="1477" w:type="dxa"/>
            <w:tcBorders>
              <w:top w:val="nil"/>
              <w:left w:val="nil"/>
              <w:bottom w:val="single" w:sz="4" w:space="0" w:color="auto"/>
              <w:right w:val="single" w:sz="4" w:space="0" w:color="auto"/>
            </w:tcBorders>
            <w:shd w:val="clear" w:color="auto" w:fill="auto"/>
            <w:noWrap/>
            <w:vAlign w:val="center"/>
          </w:tcPr>
          <w:p w14:paraId="31F6F0DD" w14:textId="2AABBC2E" w:rsidR="000D3E7D" w:rsidRPr="001215C0" w:rsidRDefault="000D3E7D" w:rsidP="110985B9">
            <w:pPr>
              <w:spacing w:after="0"/>
              <w:jc w:val="right"/>
              <w:rPr>
                <w:rFonts w:cs="Arial"/>
                <w:color w:val="000000"/>
              </w:rPr>
            </w:pPr>
            <w:r w:rsidRPr="001215C0">
              <w:rPr>
                <w:rFonts w:cs="Arial"/>
                <w:color w:val="000000" w:themeColor="text1"/>
              </w:rPr>
              <w:t>4.</w:t>
            </w:r>
            <w:r w:rsidR="001215C0" w:rsidRPr="001215C0">
              <w:rPr>
                <w:rFonts w:cs="Arial"/>
                <w:color w:val="000000" w:themeColor="text1"/>
              </w:rPr>
              <w:t>4</w:t>
            </w:r>
            <w:r w:rsidRPr="001215C0">
              <w:rPr>
                <w:rFonts w:cs="Arial"/>
                <w:color w:val="000000" w:themeColor="text1"/>
              </w:rPr>
              <w:t>%</w:t>
            </w:r>
          </w:p>
        </w:tc>
      </w:tr>
      <w:tr w:rsidR="000D3E7D" w:rsidRPr="00537E40" w14:paraId="4F239E82" w14:textId="77777777" w:rsidTr="4A450472">
        <w:trPr>
          <w:trHeight w:val="340"/>
        </w:trPr>
        <w:tc>
          <w:tcPr>
            <w:tcW w:w="3061" w:type="dxa"/>
            <w:tcBorders>
              <w:top w:val="nil"/>
              <w:left w:val="single" w:sz="4" w:space="0" w:color="auto"/>
              <w:bottom w:val="single" w:sz="4" w:space="0" w:color="auto"/>
              <w:right w:val="single" w:sz="4" w:space="0" w:color="auto"/>
            </w:tcBorders>
            <w:shd w:val="clear" w:color="auto" w:fill="auto"/>
            <w:noWrap/>
            <w:vAlign w:val="center"/>
          </w:tcPr>
          <w:p w14:paraId="4ED0F9C6" w14:textId="1F6D08FB" w:rsidR="000D3E7D" w:rsidRDefault="001215C0" w:rsidP="110985B9">
            <w:pPr>
              <w:spacing w:after="0" w:line="240" w:lineRule="auto"/>
              <w:rPr>
                <w:rFonts w:cs="Arial"/>
                <w:b/>
                <w:bCs/>
                <w:color w:val="000000"/>
              </w:rPr>
            </w:pPr>
            <w:r w:rsidRPr="0082290B">
              <w:rPr>
                <w:rFonts w:cs="Arial"/>
                <w:b/>
                <w:bCs/>
                <w:color w:val="000000" w:themeColor="text1"/>
              </w:rPr>
              <w:t xml:space="preserve">Public administration and safety </w:t>
            </w:r>
          </w:p>
        </w:tc>
        <w:tc>
          <w:tcPr>
            <w:tcW w:w="1304" w:type="dxa"/>
            <w:tcBorders>
              <w:top w:val="nil"/>
              <w:left w:val="nil"/>
              <w:bottom w:val="single" w:sz="4" w:space="0" w:color="auto"/>
              <w:right w:val="single" w:sz="4" w:space="0" w:color="auto"/>
            </w:tcBorders>
            <w:shd w:val="clear" w:color="auto" w:fill="auto"/>
            <w:noWrap/>
            <w:vAlign w:val="center"/>
          </w:tcPr>
          <w:p w14:paraId="4777C5C6" w14:textId="616D3462" w:rsidR="000D3E7D" w:rsidRPr="001215C0" w:rsidRDefault="000D3E7D" w:rsidP="110985B9">
            <w:pPr>
              <w:spacing w:after="0"/>
              <w:jc w:val="right"/>
              <w:rPr>
                <w:rFonts w:cs="Arial"/>
                <w:color w:val="000000"/>
              </w:rPr>
            </w:pPr>
            <w:r w:rsidRPr="001215C0">
              <w:rPr>
                <w:rFonts w:cs="Arial"/>
                <w:color w:val="000000" w:themeColor="text1"/>
              </w:rPr>
              <w:t xml:space="preserve">    </w:t>
            </w:r>
            <w:r w:rsidR="001215C0" w:rsidRPr="001215C0">
              <w:rPr>
                <w:rFonts w:cs="Arial"/>
                <w:color w:val="000000" w:themeColor="text1"/>
              </w:rPr>
              <w:t>57,700</w:t>
            </w:r>
            <w:r w:rsidRPr="001215C0">
              <w:rPr>
                <w:rFonts w:cs="Arial"/>
                <w:color w:val="000000" w:themeColor="text1"/>
              </w:rPr>
              <w:t xml:space="preserve"> </w:t>
            </w:r>
          </w:p>
        </w:tc>
        <w:tc>
          <w:tcPr>
            <w:tcW w:w="1304" w:type="dxa"/>
            <w:tcBorders>
              <w:top w:val="nil"/>
              <w:left w:val="nil"/>
              <w:bottom w:val="single" w:sz="4" w:space="0" w:color="auto"/>
              <w:right w:val="single" w:sz="4" w:space="0" w:color="auto"/>
            </w:tcBorders>
            <w:shd w:val="clear" w:color="auto" w:fill="auto"/>
            <w:noWrap/>
            <w:vAlign w:val="center"/>
          </w:tcPr>
          <w:p w14:paraId="4AD96613" w14:textId="6EB4CF8A" w:rsidR="000D3E7D" w:rsidRPr="001215C0" w:rsidRDefault="000D3E7D" w:rsidP="110985B9">
            <w:pPr>
              <w:spacing w:after="0"/>
              <w:jc w:val="right"/>
              <w:rPr>
                <w:rFonts w:cs="Arial"/>
                <w:color w:val="000000"/>
              </w:rPr>
            </w:pPr>
            <w:r w:rsidRPr="001215C0">
              <w:rPr>
                <w:rFonts w:cs="Arial"/>
                <w:color w:val="000000" w:themeColor="text1"/>
              </w:rPr>
              <w:t xml:space="preserve">      </w:t>
            </w:r>
            <w:r w:rsidR="001215C0" w:rsidRPr="001215C0">
              <w:rPr>
                <w:rFonts w:cs="Arial"/>
                <w:color w:val="000000" w:themeColor="text1"/>
              </w:rPr>
              <w:t>60,100</w:t>
            </w:r>
            <w:r w:rsidRPr="001215C0">
              <w:rPr>
                <w:rFonts w:cs="Arial"/>
                <w:color w:val="000000" w:themeColor="text1"/>
              </w:rPr>
              <w:t xml:space="preserve"> </w:t>
            </w:r>
          </w:p>
        </w:tc>
        <w:tc>
          <w:tcPr>
            <w:tcW w:w="1272" w:type="dxa"/>
            <w:tcBorders>
              <w:top w:val="nil"/>
              <w:left w:val="nil"/>
              <w:bottom w:val="single" w:sz="4" w:space="0" w:color="auto"/>
              <w:right w:val="single" w:sz="4" w:space="0" w:color="auto"/>
            </w:tcBorders>
            <w:shd w:val="clear" w:color="auto" w:fill="auto"/>
            <w:noWrap/>
            <w:vAlign w:val="center"/>
          </w:tcPr>
          <w:p w14:paraId="5BF9E057" w14:textId="52609B15" w:rsidR="000D3E7D" w:rsidRPr="001215C0" w:rsidRDefault="52E645DF" w:rsidP="110985B9">
            <w:pPr>
              <w:spacing w:after="0"/>
              <w:jc w:val="right"/>
              <w:rPr>
                <w:rFonts w:cs="Arial"/>
                <w:color w:val="000000"/>
              </w:rPr>
            </w:pPr>
            <w:r w:rsidRPr="4A450472">
              <w:rPr>
                <w:rFonts w:cs="Arial"/>
                <w:color w:val="000000" w:themeColor="text1"/>
              </w:rPr>
              <w:t xml:space="preserve">    </w:t>
            </w:r>
            <w:r w:rsidR="7C371EE9" w:rsidRPr="4A450472">
              <w:rPr>
                <w:rFonts w:cs="Arial"/>
                <w:color w:val="000000" w:themeColor="text1"/>
              </w:rPr>
              <w:t>62,800</w:t>
            </w:r>
            <w:r w:rsidRPr="4A450472">
              <w:rPr>
                <w:rFonts w:cs="Arial"/>
                <w:color w:val="000000" w:themeColor="text1"/>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4049A270" w14:textId="7D0EE9FB" w:rsidR="000D3E7D" w:rsidRPr="001215C0" w:rsidRDefault="001215C0" w:rsidP="110985B9">
            <w:pPr>
              <w:spacing w:after="0"/>
              <w:jc w:val="right"/>
              <w:rPr>
                <w:rFonts w:cs="Arial"/>
                <w:color w:val="000000"/>
              </w:rPr>
            </w:pPr>
            <w:r w:rsidRPr="001215C0">
              <w:rPr>
                <w:rFonts w:cs="Arial"/>
                <w:color w:val="000000" w:themeColor="text1"/>
              </w:rPr>
              <w:t>5,100</w:t>
            </w:r>
            <w:r w:rsidR="000D3E7D" w:rsidRPr="001215C0">
              <w:rPr>
                <w:rFonts w:cs="Arial"/>
                <w:color w:val="000000" w:themeColor="text1"/>
              </w:rPr>
              <w:t xml:space="preserve"> </w:t>
            </w:r>
          </w:p>
        </w:tc>
        <w:tc>
          <w:tcPr>
            <w:tcW w:w="1477" w:type="dxa"/>
            <w:tcBorders>
              <w:top w:val="nil"/>
              <w:left w:val="nil"/>
              <w:bottom w:val="single" w:sz="4" w:space="0" w:color="auto"/>
              <w:right w:val="single" w:sz="4" w:space="0" w:color="auto"/>
            </w:tcBorders>
            <w:shd w:val="clear" w:color="auto" w:fill="auto"/>
            <w:noWrap/>
            <w:vAlign w:val="center"/>
          </w:tcPr>
          <w:p w14:paraId="2C1F2C17" w14:textId="09F8E358" w:rsidR="000D3E7D" w:rsidRPr="001215C0" w:rsidRDefault="001215C0" w:rsidP="110985B9">
            <w:pPr>
              <w:spacing w:after="0"/>
              <w:jc w:val="right"/>
              <w:rPr>
                <w:rFonts w:cs="Arial"/>
                <w:color w:val="000000"/>
              </w:rPr>
            </w:pPr>
            <w:r w:rsidRPr="001215C0">
              <w:rPr>
                <w:rFonts w:cs="Arial"/>
                <w:color w:val="000000" w:themeColor="text1"/>
              </w:rPr>
              <w:t>2.8</w:t>
            </w:r>
            <w:r w:rsidR="000D3E7D" w:rsidRPr="001215C0">
              <w:rPr>
                <w:rFonts w:cs="Arial"/>
                <w:color w:val="000000" w:themeColor="text1"/>
              </w:rPr>
              <w:t>%</w:t>
            </w:r>
          </w:p>
        </w:tc>
      </w:tr>
      <w:tr w:rsidR="000D3E7D" w:rsidRPr="00537E40" w14:paraId="781A9E01" w14:textId="77777777" w:rsidTr="4A450472">
        <w:trPr>
          <w:trHeight w:val="340"/>
        </w:trPr>
        <w:tc>
          <w:tcPr>
            <w:tcW w:w="3061" w:type="dxa"/>
            <w:tcBorders>
              <w:top w:val="nil"/>
              <w:left w:val="single" w:sz="4" w:space="0" w:color="auto"/>
              <w:bottom w:val="single" w:sz="4" w:space="0" w:color="auto"/>
              <w:right w:val="single" w:sz="4" w:space="0" w:color="auto"/>
            </w:tcBorders>
            <w:shd w:val="clear" w:color="auto" w:fill="auto"/>
            <w:noWrap/>
            <w:vAlign w:val="center"/>
          </w:tcPr>
          <w:p w14:paraId="435EAA38" w14:textId="463A051A" w:rsidR="000D3E7D" w:rsidRDefault="00E20AAC" w:rsidP="110985B9">
            <w:pPr>
              <w:spacing w:after="0" w:line="240" w:lineRule="auto"/>
              <w:rPr>
                <w:rFonts w:cs="Arial"/>
                <w:b/>
                <w:bCs/>
                <w:color w:val="000000"/>
              </w:rPr>
            </w:pPr>
            <w:r w:rsidRPr="0082290B">
              <w:rPr>
                <w:rFonts w:cs="Arial"/>
                <w:b/>
                <w:bCs/>
                <w:color w:val="000000" w:themeColor="text1"/>
              </w:rPr>
              <w:t xml:space="preserve">Admin and support services </w:t>
            </w:r>
          </w:p>
        </w:tc>
        <w:tc>
          <w:tcPr>
            <w:tcW w:w="1304" w:type="dxa"/>
            <w:tcBorders>
              <w:top w:val="nil"/>
              <w:left w:val="nil"/>
              <w:bottom w:val="single" w:sz="4" w:space="0" w:color="auto"/>
              <w:right w:val="single" w:sz="4" w:space="0" w:color="auto"/>
            </w:tcBorders>
            <w:shd w:val="clear" w:color="auto" w:fill="auto"/>
            <w:noWrap/>
            <w:vAlign w:val="center"/>
          </w:tcPr>
          <w:p w14:paraId="7249EDEB" w14:textId="5BF81C00" w:rsidR="000D3E7D" w:rsidRPr="00E20AAC" w:rsidRDefault="00E20AAC" w:rsidP="110985B9">
            <w:pPr>
              <w:spacing w:after="0"/>
              <w:jc w:val="right"/>
              <w:rPr>
                <w:rFonts w:cs="Arial"/>
                <w:color w:val="000000"/>
              </w:rPr>
            </w:pPr>
            <w:r w:rsidRPr="00E20AAC">
              <w:rPr>
                <w:rFonts w:cs="Arial"/>
                <w:color w:val="000000" w:themeColor="text1"/>
              </w:rPr>
              <w:t>12,200</w:t>
            </w:r>
            <w:r w:rsidR="000D3E7D" w:rsidRPr="00E20AAC">
              <w:rPr>
                <w:rFonts w:cs="Arial"/>
                <w:color w:val="000000" w:themeColor="text1"/>
              </w:rPr>
              <w:t xml:space="preserve"> </w:t>
            </w:r>
          </w:p>
        </w:tc>
        <w:tc>
          <w:tcPr>
            <w:tcW w:w="1304" w:type="dxa"/>
            <w:tcBorders>
              <w:top w:val="nil"/>
              <w:left w:val="nil"/>
              <w:bottom w:val="single" w:sz="4" w:space="0" w:color="auto"/>
              <w:right w:val="single" w:sz="4" w:space="0" w:color="auto"/>
            </w:tcBorders>
            <w:shd w:val="clear" w:color="auto" w:fill="auto"/>
            <w:noWrap/>
            <w:vAlign w:val="center"/>
          </w:tcPr>
          <w:p w14:paraId="1EF1A5BC" w14:textId="0AAEA0F3" w:rsidR="000D3E7D" w:rsidRPr="00E20AAC" w:rsidRDefault="00E20AAC" w:rsidP="110985B9">
            <w:pPr>
              <w:spacing w:after="0"/>
              <w:jc w:val="right"/>
              <w:rPr>
                <w:rFonts w:cs="Arial"/>
                <w:color w:val="000000"/>
              </w:rPr>
            </w:pPr>
            <w:r w:rsidRPr="00E20AAC">
              <w:rPr>
                <w:rFonts w:cs="Arial"/>
                <w:color w:val="000000" w:themeColor="text1"/>
              </w:rPr>
              <w:t>15,600</w:t>
            </w:r>
            <w:r w:rsidR="000D3E7D" w:rsidRPr="00E20AAC">
              <w:rPr>
                <w:rFonts w:cs="Arial"/>
                <w:color w:val="000000" w:themeColor="text1"/>
              </w:rPr>
              <w:t xml:space="preserve"> </w:t>
            </w:r>
          </w:p>
        </w:tc>
        <w:tc>
          <w:tcPr>
            <w:tcW w:w="1272" w:type="dxa"/>
            <w:tcBorders>
              <w:top w:val="nil"/>
              <w:left w:val="nil"/>
              <w:bottom w:val="single" w:sz="4" w:space="0" w:color="auto"/>
              <w:right w:val="single" w:sz="4" w:space="0" w:color="auto"/>
            </w:tcBorders>
            <w:shd w:val="clear" w:color="auto" w:fill="auto"/>
            <w:noWrap/>
            <w:vAlign w:val="center"/>
          </w:tcPr>
          <w:p w14:paraId="33A5865A" w14:textId="6C464F2F" w:rsidR="000D3E7D" w:rsidRPr="00E20AAC" w:rsidRDefault="00E20AAC" w:rsidP="110985B9">
            <w:pPr>
              <w:spacing w:after="0"/>
              <w:jc w:val="right"/>
              <w:rPr>
                <w:rFonts w:cs="Arial"/>
                <w:color w:val="000000"/>
              </w:rPr>
            </w:pPr>
            <w:r w:rsidRPr="00E20AAC">
              <w:rPr>
                <w:rFonts w:cs="Arial"/>
                <w:color w:val="000000" w:themeColor="text1"/>
              </w:rPr>
              <w:t>17,300</w:t>
            </w:r>
            <w:r w:rsidR="000D3E7D" w:rsidRPr="00E20AAC">
              <w:rPr>
                <w:rFonts w:cs="Arial"/>
                <w:color w:val="000000" w:themeColor="text1"/>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76EC2F9C" w14:textId="278B6F91" w:rsidR="000D3E7D" w:rsidRPr="00E20AAC" w:rsidRDefault="00E20AAC" w:rsidP="110985B9">
            <w:pPr>
              <w:spacing w:after="0"/>
              <w:jc w:val="right"/>
              <w:rPr>
                <w:rFonts w:cs="Arial"/>
                <w:color w:val="000000"/>
              </w:rPr>
            </w:pPr>
            <w:r w:rsidRPr="00E20AAC">
              <w:rPr>
                <w:rFonts w:cs="Arial"/>
                <w:color w:val="000000" w:themeColor="text1"/>
              </w:rPr>
              <w:t>5,000</w:t>
            </w:r>
            <w:r w:rsidR="000D3E7D" w:rsidRPr="00E20AAC">
              <w:rPr>
                <w:rFonts w:cs="Arial"/>
                <w:color w:val="000000" w:themeColor="text1"/>
              </w:rPr>
              <w:t xml:space="preserve"> </w:t>
            </w:r>
          </w:p>
        </w:tc>
        <w:tc>
          <w:tcPr>
            <w:tcW w:w="1477" w:type="dxa"/>
            <w:tcBorders>
              <w:top w:val="nil"/>
              <w:left w:val="nil"/>
              <w:bottom w:val="single" w:sz="4" w:space="0" w:color="auto"/>
              <w:right w:val="single" w:sz="4" w:space="0" w:color="auto"/>
            </w:tcBorders>
            <w:shd w:val="clear" w:color="auto" w:fill="auto"/>
            <w:noWrap/>
            <w:vAlign w:val="center"/>
          </w:tcPr>
          <w:p w14:paraId="3EA3D2AC" w14:textId="6335D13E" w:rsidR="000D3E7D" w:rsidRPr="00E20AAC" w:rsidRDefault="000D3E7D" w:rsidP="110985B9">
            <w:pPr>
              <w:spacing w:after="0"/>
              <w:jc w:val="right"/>
              <w:rPr>
                <w:rFonts w:cs="Arial"/>
                <w:color w:val="000000"/>
              </w:rPr>
            </w:pPr>
            <w:r w:rsidRPr="00E20AAC">
              <w:rPr>
                <w:rFonts w:cs="Arial"/>
                <w:color w:val="000000" w:themeColor="text1"/>
              </w:rPr>
              <w:t>2.</w:t>
            </w:r>
            <w:r w:rsidR="00E20AAC" w:rsidRPr="00E20AAC">
              <w:rPr>
                <w:rFonts w:cs="Arial"/>
                <w:color w:val="000000" w:themeColor="text1"/>
              </w:rPr>
              <w:t>8</w:t>
            </w:r>
            <w:r w:rsidRPr="00E20AAC">
              <w:rPr>
                <w:rFonts w:cs="Arial"/>
                <w:color w:val="000000" w:themeColor="text1"/>
              </w:rPr>
              <w:t>%</w:t>
            </w:r>
          </w:p>
        </w:tc>
      </w:tr>
      <w:tr w:rsidR="000D3E7D" w:rsidRPr="00537E40" w14:paraId="792AF121" w14:textId="77777777" w:rsidTr="4A450472">
        <w:trPr>
          <w:trHeight w:val="340"/>
        </w:trPr>
        <w:tc>
          <w:tcPr>
            <w:tcW w:w="3061" w:type="dxa"/>
            <w:tcBorders>
              <w:top w:val="nil"/>
              <w:left w:val="single" w:sz="4" w:space="0" w:color="auto"/>
              <w:bottom w:val="single" w:sz="4" w:space="0" w:color="auto"/>
              <w:right w:val="single" w:sz="4" w:space="0" w:color="auto"/>
            </w:tcBorders>
            <w:shd w:val="clear" w:color="auto" w:fill="auto"/>
            <w:noWrap/>
            <w:vAlign w:val="center"/>
          </w:tcPr>
          <w:p w14:paraId="07A59630" w14:textId="6647EE75" w:rsidR="000D3E7D" w:rsidRDefault="00E20AAC" w:rsidP="110985B9">
            <w:pPr>
              <w:spacing w:after="0" w:line="240" w:lineRule="auto"/>
              <w:rPr>
                <w:rFonts w:cs="Arial"/>
                <w:b/>
                <w:bCs/>
                <w:color w:val="000000"/>
              </w:rPr>
            </w:pPr>
            <w:r w:rsidRPr="0082290B">
              <w:rPr>
                <w:rFonts w:cs="Arial"/>
                <w:b/>
                <w:bCs/>
                <w:color w:val="000000" w:themeColor="text1"/>
              </w:rPr>
              <w:t xml:space="preserve">Other services </w:t>
            </w:r>
          </w:p>
        </w:tc>
        <w:tc>
          <w:tcPr>
            <w:tcW w:w="1304" w:type="dxa"/>
            <w:tcBorders>
              <w:top w:val="nil"/>
              <w:left w:val="nil"/>
              <w:bottom w:val="single" w:sz="4" w:space="0" w:color="auto"/>
              <w:right w:val="single" w:sz="4" w:space="0" w:color="auto"/>
            </w:tcBorders>
            <w:shd w:val="clear" w:color="auto" w:fill="auto"/>
            <w:noWrap/>
            <w:vAlign w:val="center"/>
          </w:tcPr>
          <w:p w14:paraId="019C2EC8" w14:textId="12C90E31" w:rsidR="000D3E7D" w:rsidRPr="00E20AAC" w:rsidRDefault="00E20AAC" w:rsidP="110985B9">
            <w:pPr>
              <w:spacing w:after="0"/>
              <w:jc w:val="right"/>
              <w:rPr>
                <w:rFonts w:cs="Arial"/>
                <w:color w:val="000000"/>
              </w:rPr>
            </w:pPr>
            <w:r w:rsidRPr="00E20AAC">
              <w:rPr>
                <w:rFonts w:cs="Arial"/>
                <w:color w:val="000000" w:themeColor="text1"/>
              </w:rPr>
              <w:t>12,600</w:t>
            </w:r>
            <w:r w:rsidR="000D3E7D" w:rsidRPr="00E20AAC">
              <w:rPr>
                <w:rFonts w:cs="Arial"/>
                <w:color w:val="000000" w:themeColor="text1"/>
              </w:rPr>
              <w:t xml:space="preserve"> </w:t>
            </w:r>
          </w:p>
        </w:tc>
        <w:tc>
          <w:tcPr>
            <w:tcW w:w="1304" w:type="dxa"/>
            <w:tcBorders>
              <w:top w:val="nil"/>
              <w:left w:val="nil"/>
              <w:bottom w:val="single" w:sz="4" w:space="0" w:color="auto"/>
              <w:right w:val="single" w:sz="4" w:space="0" w:color="auto"/>
            </w:tcBorders>
            <w:shd w:val="clear" w:color="auto" w:fill="auto"/>
            <w:noWrap/>
            <w:vAlign w:val="center"/>
          </w:tcPr>
          <w:p w14:paraId="32C560DE" w14:textId="2E3E6A8B" w:rsidR="000D3E7D" w:rsidRPr="00E20AAC" w:rsidRDefault="00E20AAC" w:rsidP="110985B9">
            <w:pPr>
              <w:spacing w:after="0"/>
              <w:jc w:val="right"/>
              <w:rPr>
                <w:rFonts w:cs="Arial"/>
                <w:color w:val="000000"/>
              </w:rPr>
            </w:pPr>
            <w:r w:rsidRPr="00E20AAC">
              <w:rPr>
                <w:rFonts w:cs="Arial"/>
                <w:color w:val="000000" w:themeColor="text1"/>
              </w:rPr>
              <w:t>15,700</w:t>
            </w:r>
            <w:r w:rsidR="000D3E7D" w:rsidRPr="00E20AAC">
              <w:rPr>
                <w:rFonts w:cs="Arial"/>
                <w:color w:val="000000" w:themeColor="text1"/>
              </w:rPr>
              <w:t xml:space="preserve"> </w:t>
            </w:r>
          </w:p>
        </w:tc>
        <w:tc>
          <w:tcPr>
            <w:tcW w:w="1272" w:type="dxa"/>
            <w:tcBorders>
              <w:top w:val="nil"/>
              <w:left w:val="nil"/>
              <w:bottom w:val="single" w:sz="4" w:space="0" w:color="auto"/>
              <w:right w:val="single" w:sz="4" w:space="0" w:color="auto"/>
            </w:tcBorders>
            <w:shd w:val="clear" w:color="auto" w:fill="auto"/>
            <w:noWrap/>
            <w:vAlign w:val="center"/>
          </w:tcPr>
          <w:p w14:paraId="29A1ED65" w14:textId="59F30134" w:rsidR="000D3E7D" w:rsidRPr="00E20AAC" w:rsidRDefault="00E20AAC" w:rsidP="110985B9">
            <w:pPr>
              <w:spacing w:after="0"/>
              <w:jc w:val="right"/>
              <w:rPr>
                <w:rFonts w:cs="Arial"/>
                <w:color w:val="000000"/>
              </w:rPr>
            </w:pPr>
            <w:r w:rsidRPr="00E20AAC">
              <w:rPr>
                <w:rFonts w:cs="Arial"/>
                <w:color w:val="000000" w:themeColor="text1"/>
              </w:rPr>
              <w:t>17,500</w:t>
            </w:r>
            <w:r w:rsidR="000D3E7D" w:rsidRPr="00E20AAC">
              <w:rPr>
                <w:rFonts w:cs="Arial"/>
                <w:color w:val="000000" w:themeColor="text1"/>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647E2F22" w14:textId="75D428A5" w:rsidR="000D3E7D" w:rsidRPr="00E20AAC" w:rsidRDefault="00E20AAC" w:rsidP="110985B9">
            <w:pPr>
              <w:spacing w:after="0"/>
              <w:jc w:val="right"/>
              <w:rPr>
                <w:rFonts w:cs="Arial"/>
                <w:color w:val="000000"/>
              </w:rPr>
            </w:pPr>
            <w:r w:rsidRPr="00E20AAC">
              <w:rPr>
                <w:rFonts w:cs="Arial"/>
                <w:color w:val="000000" w:themeColor="text1"/>
              </w:rPr>
              <w:t>4,900</w:t>
            </w:r>
            <w:r w:rsidR="000D3E7D" w:rsidRPr="00E20AAC">
              <w:rPr>
                <w:rFonts w:cs="Arial"/>
                <w:color w:val="000000" w:themeColor="text1"/>
              </w:rPr>
              <w:t xml:space="preserve"> </w:t>
            </w:r>
          </w:p>
        </w:tc>
        <w:tc>
          <w:tcPr>
            <w:tcW w:w="1477" w:type="dxa"/>
            <w:tcBorders>
              <w:top w:val="nil"/>
              <w:left w:val="nil"/>
              <w:bottom w:val="single" w:sz="4" w:space="0" w:color="auto"/>
              <w:right w:val="single" w:sz="4" w:space="0" w:color="auto"/>
            </w:tcBorders>
            <w:shd w:val="clear" w:color="auto" w:fill="auto"/>
            <w:noWrap/>
            <w:vAlign w:val="center"/>
          </w:tcPr>
          <w:p w14:paraId="439581C5" w14:textId="0C7EAE36" w:rsidR="000D3E7D" w:rsidRPr="00E20AAC" w:rsidRDefault="000D3E7D" w:rsidP="110985B9">
            <w:pPr>
              <w:spacing w:after="0"/>
              <w:jc w:val="right"/>
              <w:rPr>
                <w:rFonts w:cs="Arial"/>
                <w:color w:val="000000"/>
              </w:rPr>
            </w:pPr>
            <w:r w:rsidRPr="00E20AAC">
              <w:rPr>
                <w:rFonts w:cs="Arial"/>
                <w:color w:val="000000" w:themeColor="text1"/>
              </w:rPr>
              <w:t>2.</w:t>
            </w:r>
            <w:r w:rsidR="00E20AAC" w:rsidRPr="00E20AAC">
              <w:rPr>
                <w:rFonts w:cs="Arial"/>
                <w:color w:val="000000" w:themeColor="text1"/>
              </w:rPr>
              <w:t>7</w:t>
            </w:r>
            <w:r w:rsidRPr="00E20AAC">
              <w:rPr>
                <w:rFonts w:cs="Arial"/>
                <w:color w:val="000000" w:themeColor="text1"/>
              </w:rPr>
              <w:t>%</w:t>
            </w:r>
          </w:p>
        </w:tc>
      </w:tr>
      <w:tr w:rsidR="000D3E7D" w:rsidRPr="00537E40" w14:paraId="3785629C" w14:textId="77777777" w:rsidTr="4A450472">
        <w:trPr>
          <w:trHeight w:val="340"/>
        </w:trPr>
        <w:tc>
          <w:tcPr>
            <w:tcW w:w="3061" w:type="dxa"/>
            <w:tcBorders>
              <w:top w:val="nil"/>
              <w:left w:val="single" w:sz="4" w:space="0" w:color="auto"/>
              <w:bottom w:val="single" w:sz="4" w:space="0" w:color="auto"/>
              <w:right w:val="single" w:sz="4" w:space="0" w:color="auto"/>
            </w:tcBorders>
            <w:shd w:val="clear" w:color="auto" w:fill="auto"/>
            <w:noWrap/>
            <w:vAlign w:val="center"/>
          </w:tcPr>
          <w:p w14:paraId="78DB2353" w14:textId="7093EDC5" w:rsidR="000D3E7D" w:rsidRDefault="00E20AAC" w:rsidP="110985B9">
            <w:pPr>
              <w:spacing w:after="0" w:line="240" w:lineRule="auto"/>
              <w:rPr>
                <w:rFonts w:cs="Arial"/>
                <w:b/>
                <w:bCs/>
                <w:color w:val="000000"/>
              </w:rPr>
            </w:pPr>
            <w:r w:rsidRPr="0082290B">
              <w:rPr>
                <w:rFonts w:cs="Arial"/>
                <w:b/>
                <w:bCs/>
                <w:color w:val="000000" w:themeColor="text1"/>
              </w:rPr>
              <w:t>Accommodation</w:t>
            </w:r>
          </w:p>
        </w:tc>
        <w:tc>
          <w:tcPr>
            <w:tcW w:w="1304" w:type="dxa"/>
            <w:tcBorders>
              <w:top w:val="nil"/>
              <w:left w:val="nil"/>
              <w:bottom w:val="single" w:sz="4" w:space="0" w:color="auto"/>
              <w:right w:val="single" w:sz="4" w:space="0" w:color="auto"/>
            </w:tcBorders>
            <w:shd w:val="clear" w:color="auto" w:fill="auto"/>
            <w:noWrap/>
            <w:vAlign w:val="center"/>
          </w:tcPr>
          <w:p w14:paraId="22B94AAE" w14:textId="212431EC" w:rsidR="000D3E7D" w:rsidRPr="00E20AAC" w:rsidRDefault="000D3E7D" w:rsidP="110985B9">
            <w:pPr>
              <w:spacing w:after="0"/>
              <w:jc w:val="right"/>
              <w:rPr>
                <w:rFonts w:cs="Arial"/>
                <w:color w:val="000000"/>
              </w:rPr>
            </w:pPr>
            <w:r w:rsidRPr="00E20AAC">
              <w:rPr>
                <w:rFonts w:cs="Arial"/>
                <w:color w:val="000000" w:themeColor="text1"/>
              </w:rPr>
              <w:t xml:space="preserve">      </w:t>
            </w:r>
            <w:r w:rsidR="00E20AAC" w:rsidRPr="00E20AAC">
              <w:rPr>
                <w:rFonts w:cs="Arial"/>
                <w:color w:val="000000" w:themeColor="text1"/>
              </w:rPr>
              <w:t>10,100</w:t>
            </w:r>
            <w:r w:rsidRPr="00E20AAC">
              <w:rPr>
                <w:rFonts w:cs="Arial"/>
                <w:color w:val="000000" w:themeColor="text1"/>
              </w:rPr>
              <w:t xml:space="preserve"> </w:t>
            </w:r>
          </w:p>
        </w:tc>
        <w:tc>
          <w:tcPr>
            <w:tcW w:w="1304" w:type="dxa"/>
            <w:tcBorders>
              <w:top w:val="nil"/>
              <w:left w:val="nil"/>
              <w:bottom w:val="single" w:sz="4" w:space="0" w:color="auto"/>
              <w:right w:val="single" w:sz="4" w:space="0" w:color="auto"/>
            </w:tcBorders>
            <w:shd w:val="clear" w:color="auto" w:fill="auto"/>
            <w:noWrap/>
            <w:vAlign w:val="center"/>
          </w:tcPr>
          <w:p w14:paraId="054D91DD" w14:textId="7A6C5EAE" w:rsidR="000D3E7D" w:rsidRPr="00E20AAC" w:rsidRDefault="00E20AAC" w:rsidP="110985B9">
            <w:pPr>
              <w:spacing w:after="0"/>
              <w:jc w:val="right"/>
              <w:rPr>
                <w:rFonts w:cs="Arial"/>
                <w:color w:val="000000"/>
              </w:rPr>
            </w:pPr>
            <w:r w:rsidRPr="00E20AAC">
              <w:rPr>
                <w:rFonts w:cs="Arial"/>
                <w:color w:val="000000" w:themeColor="text1"/>
              </w:rPr>
              <w:t>13,600</w:t>
            </w:r>
            <w:r w:rsidR="000D3E7D" w:rsidRPr="00E20AAC">
              <w:rPr>
                <w:rFonts w:cs="Arial"/>
                <w:color w:val="000000" w:themeColor="text1"/>
              </w:rPr>
              <w:t xml:space="preserve"> </w:t>
            </w:r>
          </w:p>
        </w:tc>
        <w:tc>
          <w:tcPr>
            <w:tcW w:w="1272" w:type="dxa"/>
            <w:tcBorders>
              <w:top w:val="nil"/>
              <w:left w:val="nil"/>
              <w:bottom w:val="single" w:sz="4" w:space="0" w:color="auto"/>
              <w:right w:val="single" w:sz="4" w:space="0" w:color="auto"/>
            </w:tcBorders>
            <w:shd w:val="clear" w:color="auto" w:fill="auto"/>
            <w:noWrap/>
            <w:vAlign w:val="center"/>
          </w:tcPr>
          <w:p w14:paraId="7AA99927" w14:textId="598BD29B" w:rsidR="000D3E7D" w:rsidRPr="00E20AAC" w:rsidRDefault="00E20AAC" w:rsidP="110985B9">
            <w:pPr>
              <w:spacing w:after="0"/>
              <w:jc w:val="right"/>
              <w:rPr>
                <w:rFonts w:cs="Arial"/>
                <w:color w:val="000000"/>
              </w:rPr>
            </w:pPr>
            <w:r w:rsidRPr="00E20AAC">
              <w:rPr>
                <w:rFonts w:cs="Arial"/>
                <w:color w:val="000000" w:themeColor="text1"/>
              </w:rPr>
              <w:t>14,600</w:t>
            </w:r>
            <w:r w:rsidR="000D3E7D" w:rsidRPr="00E20AAC">
              <w:rPr>
                <w:rFonts w:cs="Arial"/>
                <w:color w:val="000000" w:themeColor="text1"/>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08AF3094" w14:textId="5BB62F26" w:rsidR="000D3E7D" w:rsidRPr="00E20AAC" w:rsidRDefault="00E20AAC" w:rsidP="110985B9">
            <w:pPr>
              <w:spacing w:after="0"/>
              <w:jc w:val="right"/>
              <w:rPr>
                <w:rFonts w:cs="Arial"/>
                <w:color w:val="000000"/>
              </w:rPr>
            </w:pPr>
            <w:r w:rsidRPr="00E20AAC">
              <w:rPr>
                <w:rFonts w:cs="Arial"/>
                <w:color w:val="000000" w:themeColor="text1"/>
              </w:rPr>
              <w:t>4,500</w:t>
            </w:r>
            <w:r w:rsidR="000D3E7D" w:rsidRPr="00E20AAC">
              <w:rPr>
                <w:rFonts w:cs="Arial"/>
                <w:color w:val="000000" w:themeColor="text1"/>
              </w:rPr>
              <w:t xml:space="preserve"> </w:t>
            </w:r>
          </w:p>
        </w:tc>
        <w:tc>
          <w:tcPr>
            <w:tcW w:w="1477" w:type="dxa"/>
            <w:tcBorders>
              <w:top w:val="nil"/>
              <w:left w:val="nil"/>
              <w:bottom w:val="single" w:sz="4" w:space="0" w:color="auto"/>
              <w:right w:val="single" w:sz="4" w:space="0" w:color="auto"/>
            </w:tcBorders>
            <w:shd w:val="clear" w:color="auto" w:fill="auto"/>
            <w:noWrap/>
            <w:vAlign w:val="center"/>
          </w:tcPr>
          <w:p w14:paraId="11376DE8" w14:textId="49DF5C76" w:rsidR="000D3E7D" w:rsidRPr="00E20AAC" w:rsidRDefault="000D3E7D" w:rsidP="110985B9">
            <w:pPr>
              <w:spacing w:after="0"/>
              <w:jc w:val="right"/>
              <w:rPr>
                <w:rFonts w:cs="Arial"/>
                <w:color w:val="000000"/>
              </w:rPr>
            </w:pPr>
            <w:r w:rsidRPr="00E20AAC">
              <w:rPr>
                <w:rFonts w:cs="Arial"/>
                <w:color w:val="000000" w:themeColor="text1"/>
              </w:rPr>
              <w:t>2.</w:t>
            </w:r>
            <w:r w:rsidR="00E20AAC" w:rsidRPr="00E20AAC">
              <w:rPr>
                <w:rFonts w:cs="Arial"/>
                <w:color w:val="000000" w:themeColor="text1"/>
              </w:rPr>
              <w:t>5</w:t>
            </w:r>
            <w:r w:rsidRPr="00E20AAC">
              <w:rPr>
                <w:rFonts w:cs="Arial"/>
                <w:color w:val="000000" w:themeColor="text1"/>
              </w:rPr>
              <w:t>%</w:t>
            </w:r>
          </w:p>
        </w:tc>
      </w:tr>
      <w:tr w:rsidR="000D3E7D" w:rsidRPr="00537E40" w14:paraId="42360273" w14:textId="77777777" w:rsidTr="4A450472">
        <w:trPr>
          <w:trHeight w:val="340"/>
        </w:trPr>
        <w:tc>
          <w:tcPr>
            <w:tcW w:w="3061" w:type="dxa"/>
            <w:tcBorders>
              <w:top w:val="nil"/>
              <w:left w:val="single" w:sz="4" w:space="0" w:color="auto"/>
              <w:bottom w:val="single" w:sz="4" w:space="0" w:color="auto"/>
              <w:right w:val="single" w:sz="4" w:space="0" w:color="auto"/>
            </w:tcBorders>
            <w:shd w:val="clear" w:color="auto" w:fill="auto"/>
            <w:noWrap/>
            <w:vAlign w:val="center"/>
          </w:tcPr>
          <w:p w14:paraId="4BB81556" w14:textId="6A865D45" w:rsidR="000D3E7D" w:rsidRDefault="000D3E7D" w:rsidP="110985B9">
            <w:pPr>
              <w:spacing w:after="0" w:line="240" w:lineRule="auto"/>
              <w:rPr>
                <w:rFonts w:cs="Arial"/>
                <w:b/>
                <w:bCs/>
                <w:color w:val="000000"/>
              </w:rPr>
            </w:pPr>
            <w:r w:rsidRPr="0082290B">
              <w:rPr>
                <w:rFonts w:cs="Arial"/>
                <w:b/>
                <w:bCs/>
                <w:color w:val="000000" w:themeColor="text1"/>
              </w:rPr>
              <w:t>Real estate services</w:t>
            </w:r>
          </w:p>
        </w:tc>
        <w:tc>
          <w:tcPr>
            <w:tcW w:w="1304" w:type="dxa"/>
            <w:tcBorders>
              <w:top w:val="nil"/>
              <w:left w:val="nil"/>
              <w:bottom w:val="single" w:sz="4" w:space="0" w:color="auto"/>
              <w:right w:val="single" w:sz="4" w:space="0" w:color="auto"/>
            </w:tcBorders>
            <w:shd w:val="clear" w:color="auto" w:fill="auto"/>
            <w:noWrap/>
            <w:vAlign w:val="center"/>
          </w:tcPr>
          <w:p w14:paraId="00145BA0" w14:textId="72FB7CB8" w:rsidR="000D3E7D" w:rsidRPr="00E20AAC" w:rsidRDefault="000D3E7D" w:rsidP="110985B9">
            <w:pPr>
              <w:spacing w:after="0"/>
              <w:jc w:val="right"/>
              <w:rPr>
                <w:rFonts w:cs="Arial"/>
                <w:color w:val="000000"/>
              </w:rPr>
            </w:pPr>
            <w:r w:rsidRPr="00E20AAC">
              <w:rPr>
                <w:rFonts w:cs="Arial"/>
                <w:color w:val="000000" w:themeColor="text1"/>
              </w:rPr>
              <w:t xml:space="preserve">        9,</w:t>
            </w:r>
            <w:r w:rsidR="00E20AAC" w:rsidRPr="00E20AAC">
              <w:rPr>
                <w:rFonts w:cs="Arial"/>
                <w:color w:val="000000" w:themeColor="text1"/>
              </w:rPr>
              <w:t>700</w:t>
            </w:r>
            <w:r w:rsidRPr="00E20AAC">
              <w:rPr>
                <w:rFonts w:cs="Arial"/>
                <w:color w:val="000000" w:themeColor="text1"/>
              </w:rPr>
              <w:t xml:space="preserve"> </w:t>
            </w:r>
          </w:p>
        </w:tc>
        <w:tc>
          <w:tcPr>
            <w:tcW w:w="1304" w:type="dxa"/>
            <w:tcBorders>
              <w:top w:val="nil"/>
              <w:left w:val="nil"/>
              <w:bottom w:val="single" w:sz="4" w:space="0" w:color="auto"/>
              <w:right w:val="single" w:sz="4" w:space="0" w:color="auto"/>
            </w:tcBorders>
            <w:shd w:val="clear" w:color="auto" w:fill="auto"/>
            <w:noWrap/>
            <w:vAlign w:val="center"/>
          </w:tcPr>
          <w:p w14:paraId="3746518C" w14:textId="16E1FB83" w:rsidR="000D3E7D" w:rsidRPr="00E20AAC" w:rsidRDefault="00E20AAC" w:rsidP="110985B9">
            <w:pPr>
              <w:spacing w:after="0"/>
              <w:jc w:val="right"/>
              <w:rPr>
                <w:rFonts w:cs="Arial"/>
                <w:color w:val="000000"/>
              </w:rPr>
            </w:pPr>
            <w:r w:rsidRPr="00E20AAC">
              <w:rPr>
                <w:rFonts w:cs="Arial"/>
                <w:color w:val="000000" w:themeColor="text1"/>
              </w:rPr>
              <w:t>12,400</w:t>
            </w:r>
            <w:r w:rsidR="000D3E7D" w:rsidRPr="00E20AAC">
              <w:rPr>
                <w:rFonts w:cs="Arial"/>
                <w:color w:val="000000" w:themeColor="text1"/>
              </w:rPr>
              <w:t xml:space="preserve"> </w:t>
            </w:r>
          </w:p>
        </w:tc>
        <w:tc>
          <w:tcPr>
            <w:tcW w:w="1272" w:type="dxa"/>
            <w:tcBorders>
              <w:top w:val="nil"/>
              <w:left w:val="nil"/>
              <w:bottom w:val="single" w:sz="4" w:space="0" w:color="auto"/>
              <w:right w:val="single" w:sz="4" w:space="0" w:color="auto"/>
            </w:tcBorders>
            <w:shd w:val="clear" w:color="auto" w:fill="auto"/>
            <w:noWrap/>
            <w:vAlign w:val="center"/>
          </w:tcPr>
          <w:p w14:paraId="1C650B92" w14:textId="7EC05C94" w:rsidR="000D3E7D" w:rsidRPr="00E20AAC" w:rsidRDefault="00E20AAC" w:rsidP="110985B9">
            <w:pPr>
              <w:spacing w:after="0"/>
              <w:jc w:val="right"/>
              <w:rPr>
                <w:rFonts w:cs="Arial"/>
                <w:color w:val="000000"/>
              </w:rPr>
            </w:pPr>
            <w:r w:rsidRPr="00E20AAC">
              <w:rPr>
                <w:rFonts w:cs="Arial"/>
                <w:color w:val="000000" w:themeColor="text1"/>
              </w:rPr>
              <w:t>13,600</w:t>
            </w:r>
            <w:r w:rsidR="000D3E7D" w:rsidRPr="00E20AAC">
              <w:rPr>
                <w:rFonts w:cs="Arial"/>
                <w:color w:val="000000" w:themeColor="text1"/>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310539A4" w14:textId="3CDB4D2B" w:rsidR="000D3E7D" w:rsidRPr="00E20AAC" w:rsidRDefault="000D3E7D" w:rsidP="110985B9">
            <w:pPr>
              <w:spacing w:after="0"/>
              <w:jc w:val="right"/>
              <w:rPr>
                <w:rFonts w:cs="Arial"/>
                <w:color w:val="000000"/>
              </w:rPr>
            </w:pPr>
            <w:r w:rsidRPr="00E20AAC">
              <w:rPr>
                <w:rFonts w:cs="Arial"/>
                <w:color w:val="000000" w:themeColor="text1"/>
              </w:rPr>
              <w:t>3,</w:t>
            </w:r>
            <w:r w:rsidR="00E20AAC" w:rsidRPr="00E20AAC">
              <w:rPr>
                <w:rFonts w:cs="Arial"/>
                <w:color w:val="000000" w:themeColor="text1"/>
              </w:rPr>
              <w:t>900</w:t>
            </w:r>
            <w:r w:rsidRPr="00E20AAC">
              <w:rPr>
                <w:rFonts w:cs="Arial"/>
                <w:color w:val="000000" w:themeColor="text1"/>
              </w:rPr>
              <w:t xml:space="preserve"> </w:t>
            </w:r>
          </w:p>
        </w:tc>
        <w:tc>
          <w:tcPr>
            <w:tcW w:w="1477" w:type="dxa"/>
            <w:tcBorders>
              <w:top w:val="nil"/>
              <w:left w:val="nil"/>
              <w:bottom w:val="single" w:sz="4" w:space="0" w:color="auto"/>
              <w:right w:val="single" w:sz="4" w:space="0" w:color="auto"/>
            </w:tcBorders>
            <w:shd w:val="clear" w:color="auto" w:fill="auto"/>
            <w:noWrap/>
            <w:vAlign w:val="center"/>
          </w:tcPr>
          <w:p w14:paraId="7D1188D5" w14:textId="04F046DA" w:rsidR="000D3E7D" w:rsidRPr="00E20AAC" w:rsidRDefault="00E20AAC" w:rsidP="110985B9">
            <w:pPr>
              <w:spacing w:after="0"/>
              <w:jc w:val="right"/>
              <w:rPr>
                <w:rFonts w:cs="Arial"/>
                <w:color w:val="000000"/>
              </w:rPr>
            </w:pPr>
            <w:r w:rsidRPr="00E20AAC">
              <w:rPr>
                <w:rFonts w:cs="Arial"/>
                <w:color w:val="000000" w:themeColor="text1"/>
              </w:rPr>
              <w:t>2.2</w:t>
            </w:r>
            <w:r w:rsidR="000D3E7D" w:rsidRPr="00E20AAC">
              <w:rPr>
                <w:rFonts w:cs="Arial"/>
                <w:color w:val="000000" w:themeColor="text1"/>
              </w:rPr>
              <w:t>%</w:t>
            </w:r>
          </w:p>
        </w:tc>
      </w:tr>
      <w:tr w:rsidR="000D3E7D" w:rsidRPr="00537E40" w14:paraId="3913E380" w14:textId="77777777" w:rsidTr="4A450472">
        <w:trPr>
          <w:trHeight w:val="340"/>
        </w:trPr>
        <w:tc>
          <w:tcPr>
            <w:tcW w:w="3061" w:type="dxa"/>
            <w:tcBorders>
              <w:top w:val="nil"/>
              <w:left w:val="single" w:sz="4" w:space="0" w:color="auto"/>
              <w:bottom w:val="single" w:sz="4" w:space="0" w:color="auto"/>
              <w:right w:val="single" w:sz="4" w:space="0" w:color="auto"/>
            </w:tcBorders>
            <w:shd w:val="clear" w:color="auto" w:fill="auto"/>
            <w:noWrap/>
            <w:vAlign w:val="center"/>
          </w:tcPr>
          <w:p w14:paraId="41E333CE" w14:textId="097C7C13" w:rsidR="000D3E7D" w:rsidRDefault="000D3E7D" w:rsidP="110985B9">
            <w:pPr>
              <w:spacing w:after="0" w:line="240" w:lineRule="auto"/>
              <w:rPr>
                <w:rFonts w:cs="Arial"/>
                <w:b/>
                <w:bCs/>
                <w:color w:val="000000"/>
              </w:rPr>
            </w:pPr>
            <w:r w:rsidRPr="0082290B">
              <w:rPr>
                <w:rFonts w:cs="Arial"/>
                <w:b/>
                <w:bCs/>
                <w:color w:val="000000" w:themeColor="text1"/>
              </w:rPr>
              <w:t>Construction</w:t>
            </w:r>
          </w:p>
        </w:tc>
        <w:tc>
          <w:tcPr>
            <w:tcW w:w="1304" w:type="dxa"/>
            <w:tcBorders>
              <w:top w:val="nil"/>
              <w:left w:val="nil"/>
              <w:bottom w:val="single" w:sz="4" w:space="0" w:color="auto"/>
              <w:right w:val="single" w:sz="4" w:space="0" w:color="auto"/>
            </w:tcBorders>
            <w:shd w:val="clear" w:color="auto" w:fill="auto"/>
            <w:noWrap/>
            <w:vAlign w:val="center"/>
          </w:tcPr>
          <w:p w14:paraId="75A764FD" w14:textId="27A69DBB" w:rsidR="000D3E7D" w:rsidRPr="00E20AAC" w:rsidRDefault="00E20AAC" w:rsidP="110985B9">
            <w:pPr>
              <w:spacing w:after="0"/>
              <w:jc w:val="right"/>
              <w:rPr>
                <w:rFonts w:cs="Arial"/>
                <w:color w:val="000000"/>
              </w:rPr>
            </w:pPr>
            <w:r w:rsidRPr="00E20AAC">
              <w:rPr>
                <w:rFonts w:cs="Arial"/>
                <w:color w:val="000000" w:themeColor="text1"/>
              </w:rPr>
              <w:t>8,500</w:t>
            </w:r>
          </w:p>
        </w:tc>
        <w:tc>
          <w:tcPr>
            <w:tcW w:w="1304" w:type="dxa"/>
            <w:tcBorders>
              <w:top w:val="nil"/>
              <w:left w:val="nil"/>
              <w:bottom w:val="single" w:sz="4" w:space="0" w:color="auto"/>
              <w:right w:val="single" w:sz="4" w:space="0" w:color="auto"/>
            </w:tcBorders>
            <w:shd w:val="clear" w:color="auto" w:fill="auto"/>
            <w:noWrap/>
            <w:vAlign w:val="center"/>
          </w:tcPr>
          <w:p w14:paraId="6127A6FB" w14:textId="71EC22FE" w:rsidR="000D3E7D" w:rsidRPr="00E20AAC" w:rsidRDefault="00E20AAC" w:rsidP="110985B9">
            <w:pPr>
              <w:spacing w:after="0"/>
              <w:jc w:val="right"/>
              <w:rPr>
                <w:rFonts w:cs="Arial"/>
                <w:color w:val="000000"/>
              </w:rPr>
            </w:pPr>
            <w:r w:rsidRPr="00E20AAC">
              <w:rPr>
                <w:rFonts w:cs="Arial"/>
                <w:color w:val="000000" w:themeColor="text1"/>
              </w:rPr>
              <w:t>9,900</w:t>
            </w:r>
            <w:r w:rsidR="000D3E7D" w:rsidRPr="00E20AAC">
              <w:rPr>
                <w:rFonts w:cs="Arial"/>
                <w:color w:val="000000" w:themeColor="text1"/>
              </w:rPr>
              <w:t xml:space="preserve"> </w:t>
            </w:r>
          </w:p>
        </w:tc>
        <w:tc>
          <w:tcPr>
            <w:tcW w:w="1272" w:type="dxa"/>
            <w:tcBorders>
              <w:top w:val="nil"/>
              <w:left w:val="nil"/>
              <w:bottom w:val="single" w:sz="4" w:space="0" w:color="auto"/>
              <w:right w:val="single" w:sz="4" w:space="0" w:color="auto"/>
            </w:tcBorders>
            <w:shd w:val="clear" w:color="auto" w:fill="auto"/>
            <w:noWrap/>
            <w:vAlign w:val="center"/>
          </w:tcPr>
          <w:p w14:paraId="179836FB" w14:textId="66F9DEA8" w:rsidR="000D3E7D" w:rsidRPr="00E20AAC" w:rsidRDefault="00E20AAC" w:rsidP="110985B9">
            <w:pPr>
              <w:spacing w:after="0"/>
              <w:jc w:val="right"/>
              <w:rPr>
                <w:rFonts w:cs="Arial"/>
                <w:color w:val="000000"/>
              </w:rPr>
            </w:pPr>
            <w:r w:rsidRPr="00E20AAC">
              <w:rPr>
                <w:rFonts w:cs="Arial"/>
                <w:color w:val="000000" w:themeColor="text1"/>
              </w:rPr>
              <w:t>10,500</w:t>
            </w:r>
          </w:p>
        </w:tc>
        <w:tc>
          <w:tcPr>
            <w:tcW w:w="1276" w:type="dxa"/>
            <w:tcBorders>
              <w:top w:val="nil"/>
              <w:left w:val="nil"/>
              <w:bottom w:val="single" w:sz="4" w:space="0" w:color="auto"/>
              <w:right w:val="single" w:sz="4" w:space="0" w:color="auto"/>
            </w:tcBorders>
            <w:shd w:val="clear" w:color="auto" w:fill="auto"/>
            <w:noWrap/>
            <w:vAlign w:val="center"/>
          </w:tcPr>
          <w:p w14:paraId="2A95D406" w14:textId="5A3C0862" w:rsidR="000D3E7D" w:rsidRPr="00E20AAC" w:rsidRDefault="00E20AAC" w:rsidP="110985B9">
            <w:pPr>
              <w:spacing w:after="0"/>
              <w:jc w:val="right"/>
              <w:rPr>
                <w:rFonts w:cs="Arial"/>
                <w:color w:val="000000"/>
              </w:rPr>
            </w:pPr>
            <w:r w:rsidRPr="00E20AAC">
              <w:rPr>
                <w:rFonts w:cs="Arial"/>
                <w:color w:val="000000" w:themeColor="text1"/>
              </w:rPr>
              <w:t>2,000</w:t>
            </w:r>
            <w:r w:rsidR="000D3E7D" w:rsidRPr="00E20AAC">
              <w:rPr>
                <w:rFonts w:cs="Arial"/>
                <w:color w:val="000000" w:themeColor="text1"/>
              </w:rPr>
              <w:t xml:space="preserve"> </w:t>
            </w:r>
          </w:p>
        </w:tc>
        <w:tc>
          <w:tcPr>
            <w:tcW w:w="1477" w:type="dxa"/>
            <w:tcBorders>
              <w:top w:val="nil"/>
              <w:left w:val="nil"/>
              <w:bottom w:val="single" w:sz="4" w:space="0" w:color="auto"/>
              <w:right w:val="single" w:sz="4" w:space="0" w:color="auto"/>
            </w:tcBorders>
            <w:shd w:val="clear" w:color="auto" w:fill="auto"/>
            <w:noWrap/>
            <w:vAlign w:val="center"/>
          </w:tcPr>
          <w:p w14:paraId="2F2FFFC8" w14:textId="319EF934" w:rsidR="000D3E7D" w:rsidRPr="00E20AAC" w:rsidRDefault="00E20AAC" w:rsidP="110985B9">
            <w:pPr>
              <w:spacing w:after="0"/>
              <w:jc w:val="right"/>
              <w:rPr>
                <w:rFonts w:cs="Arial"/>
                <w:color w:val="000000"/>
              </w:rPr>
            </w:pPr>
            <w:r w:rsidRPr="00E20AAC">
              <w:rPr>
                <w:rFonts w:cs="Arial"/>
                <w:color w:val="000000" w:themeColor="text1"/>
              </w:rPr>
              <w:t>1.1</w:t>
            </w:r>
            <w:r w:rsidR="000D3E7D" w:rsidRPr="00E20AAC">
              <w:rPr>
                <w:rFonts w:cs="Arial"/>
                <w:color w:val="000000" w:themeColor="text1"/>
              </w:rPr>
              <w:t>%</w:t>
            </w:r>
          </w:p>
        </w:tc>
      </w:tr>
      <w:tr w:rsidR="000D3E7D" w:rsidRPr="00537E40" w14:paraId="2D7F76DC" w14:textId="77777777" w:rsidTr="4A450472">
        <w:trPr>
          <w:trHeight w:val="340"/>
        </w:trPr>
        <w:tc>
          <w:tcPr>
            <w:tcW w:w="3061" w:type="dxa"/>
            <w:tcBorders>
              <w:top w:val="nil"/>
              <w:left w:val="single" w:sz="4" w:space="0" w:color="auto"/>
              <w:bottom w:val="single" w:sz="4" w:space="0" w:color="auto"/>
              <w:right w:val="single" w:sz="4" w:space="0" w:color="auto"/>
            </w:tcBorders>
            <w:shd w:val="clear" w:color="auto" w:fill="auto"/>
            <w:noWrap/>
            <w:vAlign w:val="center"/>
          </w:tcPr>
          <w:p w14:paraId="403CA92D" w14:textId="56D06B0F" w:rsidR="000D3E7D" w:rsidRDefault="000D3E7D" w:rsidP="110985B9">
            <w:pPr>
              <w:spacing w:after="0" w:line="240" w:lineRule="auto"/>
              <w:rPr>
                <w:rFonts w:cs="Arial"/>
                <w:b/>
                <w:bCs/>
                <w:color w:val="000000"/>
              </w:rPr>
            </w:pPr>
            <w:r w:rsidRPr="0082290B">
              <w:rPr>
                <w:rFonts w:cs="Arial"/>
                <w:b/>
                <w:bCs/>
                <w:color w:val="000000" w:themeColor="text1"/>
              </w:rPr>
              <w:t>Transport, postal and storage</w:t>
            </w:r>
          </w:p>
        </w:tc>
        <w:tc>
          <w:tcPr>
            <w:tcW w:w="1304" w:type="dxa"/>
            <w:tcBorders>
              <w:top w:val="nil"/>
              <w:left w:val="nil"/>
              <w:bottom w:val="single" w:sz="4" w:space="0" w:color="auto"/>
              <w:right w:val="single" w:sz="4" w:space="0" w:color="auto"/>
            </w:tcBorders>
            <w:shd w:val="clear" w:color="auto" w:fill="auto"/>
            <w:noWrap/>
            <w:vAlign w:val="center"/>
          </w:tcPr>
          <w:p w14:paraId="2861F48D" w14:textId="63F65037" w:rsidR="000D3E7D" w:rsidRPr="00E20AAC" w:rsidRDefault="000D3E7D" w:rsidP="110985B9">
            <w:pPr>
              <w:spacing w:after="0"/>
              <w:jc w:val="right"/>
              <w:rPr>
                <w:rFonts w:cs="Arial"/>
                <w:color w:val="000000"/>
              </w:rPr>
            </w:pPr>
            <w:r w:rsidRPr="00E20AAC">
              <w:rPr>
                <w:rFonts w:cs="Arial"/>
                <w:color w:val="000000" w:themeColor="text1"/>
              </w:rPr>
              <w:t xml:space="preserve">      14,</w:t>
            </w:r>
            <w:r w:rsidR="00E20AAC" w:rsidRPr="00E20AAC">
              <w:rPr>
                <w:rFonts w:cs="Arial"/>
                <w:color w:val="000000" w:themeColor="text1"/>
              </w:rPr>
              <w:t>000</w:t>
            </w:r>
            <w:r w:rsidRPr="00E20AAC">
              <w:rPr>
                <w:rFonts w:cs="Arial"/>
                <w:color w:val="000000" w:themeColor="text1"/>
              </w:rPr>
              <w:t xml:space="preserve"> </w:t>
            </w:r>
          </w:p>
        </w:tc>
        <w:tc>
          <w:tcPr>
            <w:tcW w:w="1304" w:type="dxa"/>
            <w:tcBorders>
              <w:top w:val="nil"/>
              <w:left w:val="nil"/>
              <w:bottom w:val="single" w:sz="4" w:space="0" w:color="auto"/>
              <w:right w:val="single" w:sz="4" w:space="0" w:color="auto"/>
            </w:tcBorders>
            <w:shd w:val="clear" w:color="auto" w:fill="auto"/>
            <w:noWrap/>
            <w:vAlign w:val="center"/>
          </w:tcPr>
          <w:p w14:paraId="27295347" w14:textId="46DE9423" w:rsidR="000D3E7D" w:rsidRPr="00E20AAC" w:rsidRDefault="00E20AAC" w:rsidP="110985B9">
            <w:pPr>
              <w:spacing w:after="0"/>
              <w:jc w:val="right"/>
              <w:rPr>
                <w:rFonts w:cs="Arial"/>
                <w:color w:val="000000"/>
              </w:rPr>
            </w:pPr>
            <w:r w:rsidRPr="00E20AAC">
              <w:rPr>
                <w:rFonts w:cs="Arial"/>
                <w:color w:val="000000" w:themeColor="text1"/>
              </w:rPr>
              <w:t>15,400</w:t>
            </w:r>
            <w:r w:rsidR="000D3E7D" w:rsidRPr="00E20AAC">
              <w:rPr>
                <w:rFonts w:cs="Arial"/>
                <w:color w:val="000000" w:themeColor="text1"/>
              </w:rPr>
              <w:t xml:space="preserve"> </w:t>
            </w:r>
          </w:p>
        </w:tc>
        <w:tc>
          <w:tcPr>
            <w:tcW w:w="1272" w:type="dxa"/>
            <w:tcBorders>
              <w:top w:val="nil"/>
              <w:left w:val="nil"/>
              <w:bottom w:val="single" w:sz="4" w:space="0" w:color="auto"/>
              <w:right w:val="single" w:sz="4" w:space="0" w:color="auto"/>
            </w:tcBorders>
            <w:shd w:val="clear" w:color="auto" w:fill="auto"/>
            <w:noWrap/>
            <w:vAlign w:val="center"/>
          </w:tcPr>
          <w:p w14:paraId="0AA3B08F" w14:textId="476E876D" w:rsidR="000D3E7D" w:rsidRPr="00E20AAC" w:rsidRDefault="00E20AAC" w:rsidP="110985B9">
            <w:pPr>
              <w:spacing w:after="0"/>
              <w:jc w:val="right"/>
              <w:rPr>
                <w:rFonts w:cs="Arial"/>
                <w:color w:val="000000"/>
              </w:rPr>
            </w:pPr>
            <w:r w:rsidRPr="00E20AAC">
              <w:rPr>
                <w:rFonts w:cs="Arial"/>
                <w:color w:val="000000" w:themeColor="text1"/>
              </w:rPr>
              <w:t>15,600</w:t>
            </w:r>
            <w:r w:rsidR="000D3E7D" w:rsidRPr="00E20AAC">
              <w:rPr>
                <w:rFonts w:cs="Arial"/>
                <w:color w:val="000000" w:themeColor="text1"/>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09541C75" w14:textId="04C666EB" w:rsidR="000D3E7D" w:rsidRPr="00E20AAC" w:rsidRDefault="00E20AAC" w:rsidP="110985B9">
            <w:pPr>
              <w:spacing w:after="0"/>
              <w:jc w:val="right"/>
              <w:rPr>
                <w:rFonts w:cs="Arial"/>
                <w:color w:val="000000"/>
              </w:rPr>
            </w:pPr>
            <w:r w:rsidRPr="00E20AAC">
              <w:rPr>
                <w:rFonts w:cs="Arial"/>
                <w:color w:val="000000" w:themeColor="text1"/>
              </w:rPr>
              <w:t>1,600</w:t>
            </w:r>
            <w:r w:rsidR="000D3E7D" w:rsidRPr="00E20AAC">
              <w:rPr>
                <w:rFonts w:cs="Arial"/>
                <w:color w:val="000000" w:themeColor="text1"/>
              </w:rPr>
              <w:t xml:space="preserve"> </w:t>
            </w:r>
          </w:p>
        </w:tc>
        <w:tc>
          <w:tcPr>
            <w:tcW w:w="1477" w:type="dxa"/>
            <w:tcBorders>
              <w:top w:val="nil"/>
              <w:left w:val="nil"/>
              <w:bottom w:val="single" w:sz="4" w:space="0" w:color="auto"/>
              <w:right w:val="single" w:sz="4" w:space="0" w:color="auto"/>
            </w:tcBorders>
            <w:shd w:val="clear" w:color="auto" w:fill="auto"/>
            <w:noWrap/>
            <w:vAlign w:val="center"/>
          </w:tcPr>
          <w:p w14:paraId="23599B0F" w14:textId="4958FA80" w:rsidR="000D3E7D" w:rsidRPr="00E20AAC" w:rsidRDefault="00E20AAC" w:rsidP="110985B9">
            <w:pPr>
              <w:spacing w:after="0"/>
              <w:jc w:val="right"/>
              <w:rPr>
                <w:rFonts w:cs="Arial"/>
                <w:color w:val="000000"/>
              </w:rPr>
            </w:pPr>
            <w:r w:rsidRPr="00E20AAC">
              <w:rPr>
                <w:rFonts w:cs="Arial"/>
                <w:color w:val="000000" w:themeColor="text1"/>
              </w:rPr>
              <w:t>0.9</w:t>
            </w:r>
            <w:r w:rsidR="000D3E7D" w:rsidRPr="00E20AAC">
              <w:rPr>
                <w:rFonts w:cs="Arial"/>
                <w:color w:val="000000" w:themeColor="text1"/>
              </w:rPr>
              <w:t>%</w:t>
            </w:r>
          </w:p>
        </w:tc>
      </w:tr>
      <w:tr w:rsidR="000D3E7D" w:rsidRPr="00537E40" w14:paraId="1BF42BF5" w14:textId="77777777" w:rsidTr="4A450472">
        <w:trPr>
          <w:trHeight w:val="340"/>
        </w:trPr>
        <w:tc>
          <w:tcPr>
            <w:tcW w:w="3061" w:type="dxa"/>
            <w:tcBorders>
              <w:top w:val="nil"/>
              <w:left w:val="single" w:sz="4" w:space="0" w:color="auto"/>
              <w:bottom w:val="single" w:sz="4" w:space="0" w:color="auto"/>
              <w:right w:val="single" w:sz="4" w:space="0" w:color="auto"/>
            </w:tcBorders>
            <w:shd w:val="clear" w:color="auto" w:fill="auto"/>
            <w:noWrap/>
            <w:vAlign w:val="center"/>
          </w:tcPr>
          <w:p w14:paraId="5336A7DA" w14:textId="0593C31D" w:rsidR="000D3E7D" w:rsidRDefault="00E20AAC" w:rsidP="110985B9">
            <w:pPr>
              <w:spacing w:after="0" w:line="240" w:lineRule="auto"/>
              <w:rPr>
                <w:rFonts w:cs="Arial"/>
                <w:b/>
                <w:bCs/>
                <w:color w:val="000000"/>
              </w:rPr>
            </w:pPr>
            <w:r w:rsidRPr="0082290B">
              <w:rPr>
                <w:rFonts w:cs="Arial"/>
                <w:b/>
                <w:bCs/>
                <w:color w:val="000000" w:themeColor="text1"/>
              </w:rPr>
              <w:t xml:space="preserve">Electricity, gas, water and waste services </w:t>
            </w:r>
          </w:p>
        </w:tc>
        <w:tc>
          <w:tcPr>
            <w:tcW w:w="1304" w:type="dxa"/>
            <w:tcBorders>
              <w:top w:val="nil"/>
              <w:left w:val="nil"/>
              <w:bottom w:val="single" w:sz="4" w:space="0" w:color="auto"/>
              <w:right w:val="single" w:sz="4" w:space="0" w:color="auto"/>
            </w:tcBorders>
            <w:shd w:val="clear" w:color="auto" w:fill="auto"/>
            <w:noWrap/>
            <w:vAlign w:val="center"/>
          </w:tcPr>
          <w:p w14:paraId="43DDEDA8" w14:textId="51EF8191" w:rsidR="000D3E7D" w:rsidRPr="00E20AAC" w:rsidRDefault="00E20AAC" w:rsidP="110985B9">
            <w:pPr>
              <w:spacing w:after="0"/>
              <w:jc w:val="right"/>
              <w:rPr>
                <w:rFonts w:cs="Arial"/>
                <w:color w:val="000000"/>
              </w:rPr>
            </w:pPr>
            <w:r w:rsidRPr="00E20AAC">
              <w:rPr>
                <w:rFonts w:cs="Arial"/>
                <w:color w:val="000000" w:themeColor="text1"/>
              </w:rPr>
              <w:t>13,300</w:t>
            </w:r>
            <w:r w:rsidR="000D3E7D" w:rsidRPr="00E20AAC">
              <w:rPr>
                <w:rFonts w:cs="Arial"/>
                <w:color w:val="000000" w:themeColor="text1"/>
              </w:rPr>
              <w:t xml:space="preserve"> </w:t>
            </w:r>
          </w:p>
        </w:tc>
        <w:tc>
          <w:tcPr>
            <w:tcW w:w="1304" w:type="dxa"/>
            <w:tcBorders>
              <w:top w:val="nil"/>
              <w:left w:val="nil"/>
              <w:bottom w:val="single" w:sz="4" w:space="0" w:color="auto"/>
              <w:right w:val="single" w:sz="4" w:space="0" w:color="auto"/>
            </w:tcBorders>
            <w:shd w:val="clear" w:color="auto" w:fill="auto"/>
            <w:noWrap/>
            <w:vAlign w:val="center"/>
          </w:tcPr>
          <w:p w14:paraId="10D9293B" w14:textId="6B6CA827" w:rsidR="000D3E7D" w:rsidRPr="00E20AAC" w:rsidRDefault="00E20AAC" w:rsidP="110985B9">
            <w:pPr>
              <w:spacing w:after="0"/>
              <w:jc w:val="right"/>
              <w:rPr>
                <w:rFonts w:cs="Arial"/>
                <w:color w:val="000000"/>
              </w:rPr>
            </w:pPr>
            <w:r w:rsidRPr="00E20AAC">
              <w:rPr>
                <w:rFonts w:cs="Arial"/>
                <w:color w:val="000000" w:themeColor="text1"/>
              </w:rPr>
              <w:t>14,100</w:t>
            </w:r>
            <w:r w:rsidR="000D3E7D" w:rsidRPr="00E20AAC">
              <w:rPr>
                <w:rFonts w:cs="Arial"/>
                <w:color w:val="000000" w:themeColor="text1"/>
              </w:rPr>
              <w:t xml:space="preserve"> </w:t>
            </w:r>
          </w:p>
        </w:tc>
        <w:tc>
          <w:tcPr>
            <w:tcW w:w="1272" w:type="dxa"/>
            <w:tcBorders>
              <w:top w:val="nil"/>
              <w:left w:val="nil"/>
              <w:bottom w:val="single" w:sz="4" w:space="0" w:color="auto"/>
              <w:right w:val="single" w:sz="4" w:space="0" w:color="auto"/>
            </w:tcBorders>
            <w:shd w:val="clear" w:color="auto" w:fill="auto"/>
            <w:noWrap/>
            <w:vAlign w:val="center"/>
          </w:tcPr>
          <w:p w14:paraId="3E3954A1" w14:textId="7BD49089" w:rsidR="000D3E7D" w:rsidRPr="00E20AAC" w:rsidRDefault="00E20AAC" w:rsidP="110985B9">
            <w:pPr>
              <w:spacing w:after="0"/>
              <w:jc w:val="right"/>
              <w:rPr>
                <w:rFonts w:cs="Arial"/>
                <w:color w:val="000000"/>
              </w:rPr>
            </w:pPr>
            <w:r w:rsidRPr="00E20AAC">
              <w:rPr>
                <w:rFonts w:cs="Arial"/>
                <w:color w:val="000000" w:themeColor="text1"/>
              </w:rPr>
              <w:t>14,900</w:t>
            </w:r>
            <w:r w:rsidR="000D3E7D" w:rsidRPr="00E20AAC">
              <w:rPr>
                <w:rFonts w:cs="Arial"/>
                <w:color w:val="000000" w:themeColor="text1"/>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2EC4F235" w14:textId="7E0C5D8E" w:rsidR="000D3E7D" w:rsidRPr="00E20AAC" w:rsidRDefault="00E20AAC" w:rsidP="110985B9">
            <w:pPr>
              <w:spacing w:after="0"/>
              <w:jc w:val="right"/>
              <w:rPr>
                <w:rFonts w:cs="Arial"/>
                <w:color w:val="000000"/>
              </w:rPr>
            </w:pPr>
            <w:r w:rsidRPr="00E20AAC">
              <w:rPr>
                <w:rFonts w:cs="Arial"/>
                <w:color w:val="000000" w:themeColor="text1"/>
              </w:rPr>
              <w:t>1,600</w:t>
            </w:r>
            <w:r w:rsidR="000D3E7D" w:rsidRPr="00E20AAC">
              <w:rPr>
                <w:rFonts w:cs="Arial"/>
                <w:color w:val="000000" w:themeColor="text1"/>
              </w:rPr>
              <w:t xml:space="preserve"> </w:t>
            </w:r>
          </w:p>
        </w:tc>
        <w:tc>
          <w:tcPr>
            <w:tcW w:w="1477" w:type="dxa"/>
            <w:tcBorders>
              <w:top w:val="nil"/>
              <w:left w:val="nil"/>
              <w:bottom w:val="single" w:sz="4" w:space="0" w:color="auto"/>
              <w:right w:val="single" w:sz="4" w:space="0" w:color="auto"/>
            </w:tcBorders>
            <w:shd w:val="clear" w:color="auto" w:fill="auto"/>
            <w:noWrap/>
            <w:vAlign w:val="center"/>
          </w:tcPr>
          <w:p w14:paraId="61E48E2B" w14:textId="083F0A71" w:rsidR="000D3E7D" w:rsidRPr="00E20AAC" w:rsidRDefault="000D3E7D" w:rsidP="110985B9">
            <w:pPr>
              <w:spacing w:after="0"/>
              <w:jc w:val="right"/>
              <w:rPr>
                <w:rFonts w:cs="Arial"/>
                <w:color w:val="000000"/>
              </w:rPr>
            </w:pPr>
            <w:r w:rsidRPr="00E20AAC">
              <w:rPr>
                <w:rFonts w:cs="Arial"/>
                <w:color w:val="000000" w:themeColor="text1"/>
              </w:rPr>
              <w:t>0.</w:t>
            </w:r>
            <w:r w:rsidR="00E20AAC" w:rsidRPr="00E20AAC">
              <w:rPr>
                <w:rFonts w:cs="Arial"/>
                <w:color w:val="000000" w:themeColor="text1"/>
              </w:rPr>
              <w:t>9</w:t>
            </w:r>
            <w:r w:rsidRPr="00E20AAC">
              <w:rPr>
                <w:rFonts w:cs="Arial"/>
                <w:color w:val="000000" w:themeColor="text1"/>
              </w:rPr>
              <w:t>%</w:t>
            </w:r>
          </w:p>
        </w:tc>
      </w:tr>
      <w:tr w:rsidR="000D3E7D" w:rsidRPr="00537E40" w14:paraId="6737E275" w14:textId="77777777" w:rsidTr="4A450472">
        <w:trPr>
          <w:trHeight w:val="340"/>
        </w:trPr>
        <w:tc>
          <w:tcPr>
            <w:tcW w:w="3061" w:type="dxa"/>
            <w:tcBorders>
              <w:top w:val="nil"/>
              <w:left w:val="single" w:sz="4" w:space="0" w:color="auto"/>
              <w:bottom w:val="single" w:sz="4" w:space="0" w:color="auto"/>
              <w:right w:val="single" w:sz="4" w:space="0" w:color="auto"/>
            </w:tcBorders>
            <w:shd w:val="clear" w:color="auto" w:fill="auto"/>
            <w:noWrap/>
            <w:vAlign w:val="center"/>
          </w:tcPr>
          <w:p w14:paraId="7132CE11" w14:textId="3BFE6ED2" w:rsidR="000D3E7D" w:rsidRDefault="00E20AAC" w:rsidP="110985B9">
            <w:pPr>
              <w:spacing w:after="0" w:line="240" w:lineRule="auto"/>
              <w:rPr>
                <w:rFonts w:cs="Arial"/>
                <w:b/>
                <w:bCs/>
                <w:color w:val="000000"/>
              </w:rPr>
            </w:pPr>
            <w:r w:rsidRPr="0082290B">
              <w:rPr>
                <w:rFonts w:cs="Arial"/>
                <w:b/>
                <w:bCs/>
                <w:color w:val="000000" w:themeColor="text1"/>
              </w:rPr>
              <w:t xml:space="preserve">Wholesale trade </w:t>
            </w:r>
          </w:p>
        </w:tc>
        <w:tc>
          <w:tcPr>
            <w:tcW w:w="1304" w:type="dxa"/>
            <w:tcBorders>
              <w:top w:val="nil"/>
              <w:left w:val="nil"/>
              <w:bottom w:val="single" w:sz="4" w:space="0" w:color="auto"/>
              <w:right w:val="single" w:sz="4" w:space="0" w:color="auto"/>
            </w:tcBorders>
            <w:shd w:val="clear" w:color="auto" w:fill="auto"/>
            <w:noWrap/>
            <w:vAlign w:val="center"/>
          </w:tcPr>
          <w:p w14:paraId="13A64056" w14:textId="034AB1B5" w:rsidR="000D3E7D" w:rsidRPr="00E20AAC" w:rsidRDefault="00E20AAC" w:rsidP="110985B9">
            <w:pPr>
              <w:spacing w:after="0"/>
              <w:jc w:val="right"/>
              <w:rPr>
                <w:rFonts w:cs="Arial"/>
                <w:color w:val="000000"/>
              </w:rPr>
            </w:pPr>
            <w:r w:rsidRPr="00E20AAC">
              <w:rPr>
                <w:rFonts w:cs="Arial"/>
                <w:color w:val="000000" w:themeColor="text1"/>
              </w:rPr>
              <w:t>4,900</w:t>
            </w:r>
            <w:r w:rsidR="000D3E7D" w:rsidRPr="00E20AAC">
              <w:rPr>
                <w:rFonts w:cs="Arial"/>
                <w:color w:val="000000" w:themeColor="text1"/>
              </w:rPr>
              <w:t xml:space="preserve"> </w:t>
            </w:r>
          </w:p>
        </w:tc>
        <w:tc>
          <w:tcPr>
            <w:tcW w:w="1304" w:type="dxa"/>
            <w:tcBorders>
              <w:top w:val="nil"/>
              <w:left w:val="nil"/>
              <w:bottom w:val="single" w:sz="4" w:space="0" w:color="auto"/>
              <w:right w:val="single" w:sz="4" w:space="0" w:color="auto"/>
            </w:tcBorders>
            <w:shd w:val="clear" w:color="auto" w:fill="auto"/>
            <w:noWrap/>
            <w:vAlign w:val="center"/>
          </w:tcPr>
          <w:p w14:paraId="7356317E" w14:textId="7D7B27B6" w:rsidR="000D3E7D" w:rsidRPr="00E20AAC" w:rsidRDefault="00E20AAC" w:rsidP="110985B9">
            <w:pPr>
              <w:spacing w:after="0"/>
              <w:jc w:val="right"/>
              <w:rPr>
                <w:rFonts w:cs="Arial"/>
                <w:color w:val="000000"/>
              </w:rPr>
            </w:pPr>
            <w:r w:rsidRPr="00E20AAC">
              <w:rPr>
                <w:rFonts w:cs="Arial"/>
                <w:color w:val="000000" w:themeColor="text1"/>
              </w:rPr>
              <w:t>5,700</w:t>
            </w:r>
            <w:r w:rsidR="000D3E7D" w:rsidRPr="00E20AAC">
              <w:rPr>
                <w:rFonts w:cs="Arial"/>
                <w:color w:val="000000" w:themeColor="text1"/>
              </w:rPr>
              <w:t xml:space="preserve"> </w:t>
            </w:r>
          </w:p>
        </w:tc>
        <w:tc>
          <w:tcPr>
            <w:tcW w:w="1272" w:type="dxa"/>
            <w:tcBorders>
              <w:top w:val="nil"/>
              <w:left w:val="nil"/>
              <w:bottom w:val="single" w:sz="4" w:space="0" w:color="auto"/>
              <w:right w:val="single" w:sz="4" w:space="0" w:color="auto"/>
            </w:tcBorders>
            <w:shd w:val="clear" w:color="auto" w:fill="auto"/>
            <w:noWrap/>
            <w:vAlign w:val="center"/>
          </w:tcPr>
          <w:p w14:paraId="0A8BC7D5" w14:textId="20D6A7B9" w:rsidR="000D3E7D" w:rsidRPr="00E20AAC" w:rsidRDefault="00E20AAC" w:rsidP="110985B9">
            <w:pPr>
              <w:spacing w:after="0"/>
              <w:jc w:val="right"/>
              <w:rPr>
                <w:rFonts w:cs="Arial"/>
                <w:color w:val="000000"/>
              </w:rPr>
            </w:pPr>
            <w:r w:rsidRPr="00E20AAC">
              <w:rPr>
                <w:rFonts w:cs="Arial"/>
                <w:color w:val="000000" w:themeColor="text1"/>
              </w:rPr>
              <w:t>6,000</w:t>
            </w:r>
            <w:r w:rsidR="000D3E7D" w:rsidRPr="00E20AAC">
              <w:rPr>
                <w:rFonts w:cs="Arial"/>
                <w:color w:val="000000" w:themeColor="text1"/>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5D313D1D" w14:textId="52B0CB55" w:rsidR="000D3E7D" w:rsidRPr="00E20AAC" w:rsidRDefault="00E20AAC" w:rsidP="110985B9">
            <w:pPr>
              <w:spacing w:after="0"/>
              <w:jc w:val="right"/>
              <w:rPr>
                <w:rFonts w:cs="Arial"/>
                <w:color w:val="000000"/>
              </w:rPr>
            </w:pPr>
            <w:r w:rsidRPr="00E20AAC">
              <w:rPr>
                <w:rFonts w:cs="Arial"/>
                <w:color w:val="000000" w:themeColor="text1"/>
              </w:rPr>
              <w:t>1,100</w:t>
            </w:r>
            <w:r w:rsidR="000D3E7D" w:rsidRPr="00E20AAC">
              <w:rPr>
                <w:rFonts w:cs="Arial"/>
                <w:color w:val="000000" w:themeColor="text1"/>
              </w:rPr>
              <w:t xml:space="preserve"> </w:t>
            </w:r>
          </w:p>
        </w:tc>
        <w:tc>
          <w:tcPr>
            <w:tcW w:w="1477" w:type="dxa"/>
            <w:tcBorders>
              <w:top w:val="nil"/>
              <w:left w:val="nil"/>
              <w:bottom w:val="single" w:sz="4" w:space="0" w:color="auto"/>
              <w:right w:val="single" w:sz="4" w:space="0" w:color="auto"/>
            </w:tcBorders>
            <w:shd w:val="clear" w:color="auto" w:fill="auto"/>
            <w:noWrap/>
            <w:vAlign w:val="center"/>
          </w:tcPr>
          <w:p w14:paraId="73A98537" w14:textId="29C4CA3B" w:rsidR="000D3E7D" w:rsidRPr="00E20AAC" w:rsidRDefault="000D3E7D" w:rsidP="110985B9">
            <w:pPr>
              <w:spacing w:after="0"/>
              <w:jc w:val="right"/>
              <w:rPr>
                <w:rFonts w:cs="Arial"/>
                <w:color w:val="000000"/>
              </w:rPr>
            </w:pPr>
            <w:r w:rsidRPr="00E20AAC">
              <w:rPr>
                <w:rFonts w:cs="Arial"/>
                <w:color w:val="000000" w:themeColor="text1"/>
              </w:rPr>
              <w:t>0.</w:t>
            </w:r>
            <w:r w:rsidR="00E20AAC" w:rsidRPr="00E20AAC">
              <w:rPr>
                <w:rFonts w:cs="Arial"/>
                <w:color w:val="000000" w:themeColor="text1"/>
              </w:rPr>
              <w:t>6</w:t>
            </w:r>
            <w:r w:rsidRPr="00E20AAC">
              <w:rPr>
                <w:rFonts w:cs="Arial"/>
                <w:color w:val="000000" w:themeColor="text1"/>
              </w:rPr>
              <w:t>%</w:t>
            </w:r>
          </w:p>
        </w:tc>
      </w:tr>
      <w:tr w:rsidR="000D3E7D" w:rsidRPr="00537E40" w14:paraId="129B787C" w14:textId="77777777" w:rsidTr="4A450472">
        <w:trPr>
          <w:trHeight w:val="340"/>
        </w:trPr>
        <w:tc>
          <w:tcPr>
            <w:tcW w:w="3061" w:type="dxa"/>
            <w:tcBorders>
              <w:top w:val="nil"/>
              <w:left w:val="single" w:sz="4" w:space="0" w:color="auto"/>
              <w:bottom w:val="single" w:sz="4" w:space="0" w:color="auto"/>
              <w:right w:val="single" w:sz="4" w:space="0" w:color="auto"/>
            </w:tcBorders>
            <w:shd w:val="clear" w:color="auto" w:fill="auto"/>
            <w:noWrap/>
            <w:vAlign w:val="center"/>
          </w:tcPr>
          <w:p w14:paraId="2435C125" w14:textId="10B0EC74" w:rsidR="000D3E7D" w:rsidRDefault="00E20AAC" w:rsidP="110985B9">
            <w:pPr>
              <w:spacing w:after="0" w:line="240" w:lineRule="auto"/>
              <w:rPr>
                <w:rFonts w:cs="Arial"/>
                <w:b/>
                <w:bCs/>
                <w:color w:val="000000"/>
              </w:rPr>
            </w:pPr>
            <w:r w:rsidRPr="0082290B">
              <w:rPr>
                <w:rFonts w:cs="Arial"/>
                <w:b/>
                <w:bCs/>
                <w:color w:val="000000" w:themeColor="text1"/>
              </w:rPr>
              <w:t>Agriculture and mining</w:t>
            </w:r>
          </w:p>
        </w:tc>
        <w:tc>
          <w:tcPr>
            <w:tcW w:w="1304" w:type="dxa"/>
            <w:tcBorders>
              <w:top w:val="nil"/>
              <w:left w:val="nil"/>
              <w:bottom w:val="single" w:sz="4" w:space="0" w:color="auto"/>
              <w:right w:val="single" w:sz="4" w:space="0" w:color="auto"/>
            </w:tcBorders>
            <w:shd w:val="clear" w:color="auto" w:fill="auto"/>
            <w:noWrap/>
            <w:vAlign w:val="center"/>
          </w:tcPr>
          <w:p w14:paraId="7C644BAD" w14:textId="25E3A515" w:rsidR="000D3E7D" w:rsidRPr="00E95B81" w:rsidRDefault="000D3E7D" w:rsidP="110985B9">
            <w:pPr>
              <w:spacing w:after="0"/>
              <w:jc w:val="right"/>
              <w:rPr>
                <w:rFonts w:cs="Arial"/>
                <w:color w:val="000000"/>
              </w:rPr>
            </w:pPr>
            <w:r w:rsidRPr="00E95B81">
              <w:rPr>
                <w:rFonts w:cs="Arial"/>
                <w:color w:val="000000" w:themeColor="text1"/>
              </w:rPr>
              <w:t xml:space="preserve">      </w:t>
            </w:r>
            <w:r w:rsidR="00E95B81" w:rsidRPr="00E95B81">
              <w:rPr>
                <w:rFonts w:cs="Arial"/>
                <w:color w:val="000000" w:themeColor="text1"/>
              </w:rPr>
              <w:t>2,900</w:t>
            </w:r>
            <w:r w:rsidRPr="00E95B81">
              <w:rPr>
                <w:rFonts w:cs="Arial"/>
                <w:color w:val="000000" w:themeColor="text1"/>
              </w:rPr>
              <w:t xml:space="preserve"> </w:t>
            </w:r>
          </w:p>
        </w:tc>
        <w:tc>
          <w:tcPr>
            <w:tcW w:w="1304" w:type="dxa"/>
            <w:tcBorders>
              <w:top w:val="nil"/>
              <w:left w:val="nil"/>
              <w:bottom w:val="single" w:sz="4" w:space="0" w:color="auto"/>
              <w:right w:val="single" w:sz="4" w:space="0" w:color="auto"/>
            </w:tcBorders>
            <w:shd w:val="clear" w:color="auto" w:fill="auto"/>
            <w:noWrap/>
            <w:vAlign w:val="center"/>
          </w:tcPr>
          <w:p w14:paraId="2FECEC69" w14:textId="484FDA4A" w:rsidR="000D3E7D" w:rsidRPr="00E95B81" w:rsidRDefault="00E95B81" w:rsidP="110985B9">
            <w:pPr>
              <w:spacing w:after="0"/>
              <w:jc w:val="right"/>
              <w:rPr>
                <w:rFonts w:cs="Arial"/>
                <w:color w:val="000000"/>
              </w:rPr>
            </w:pPr>
            <w:r w:rsidRPr="00E95B81">
              <w:rPr>
                <w:rFonts w:cs="Arial"/>
                <w:color w:val="000000" w:themeColor="text1"/>
              </w:rPr>
              <w:t>3,100</w:t>
            </w:r>
            <w:r w:rsidR="000D3E7D" w:rsidRPr="00E95B81">
              <w:rPr>
                <w:rFonts w:cs="Arial"/>
                <w:color w:val="000000" w:themeColor="text1"/>
              </w:rPr>
              <w:t xml:space="preserve"> </w:t>
            </w:r>
          </w:p>
        </w:tc>
        <w:tc>
          <w:tcPr>
            <w:tcW w:w="1272" w:type="dxa"/>
            <w:tcBorders>
              <w:top w:val="nil"/>
              <w:left w:val="nil"/>
              <w:bottom w:val="single" w:sz="4" w:space="0" w:color="auto"/>
              <w:right w:val="single" w:sz="4" w:space="0" w:color="auto"/>
            </w:tcBorders>
            <w:shd w:val="clear" w:color="auto" w:fill="auto"/>
            <w:noWrap/>
            <w:vAlign w:val="center"/>
          </w:tcPr>
          <w:p w14:paraId="747A4AC7" w14:textId="1615F2F6" w:rsidR="000D3E7D" w:rsidRPr="00E95B81" w:rsidRDefault="00E95B81" w:rsidP="110985B9">
            <w:pPr>
              <w:spacing w:after="0"/>
              <w:jc w:val="right"/>
              <w:rPr>
                <w:rFonts w:cs="Arial"/>
                <w:color w:val="000000"/>
              </w:rPr>
            </w:pPr>
            <w:r w:rsidRPr="00E95B81">
              <w:rPr>
                <w:rFonts w:cs="Arial"/>
                <w:color w:val="000000" w:themeColor="text1"/>
              </w:rPr>
              <w:t>3,500</w:t>
            </w:r>
            <w:r w:rsidR="000D3E7D" w:rsidRPr="00E95B81">
              <w:rPr>
                <w:rFonts w:cs="Arial"/>
                <w:color w:val="000000" w:themeColor="text1"/>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571652E5" w14:textId="067B55C0" w:rsidR="000D3E7D" w:rsidRPr="00E95B81" w:rsidRDefault="00E95B81" w:rsidP="110985B9">
            <w:pPr>
              <w:spacing w:after="0"/>
              <w:jc w:val="right"/>
              <w:rPr>
                <w:rFonts w:cs="Arial"/>
                <w:color w:val="000000"/>
              </w:rPr>
            </w:pPr>
            <w:r w:rsidRPr="00E95B81">
              <w:rPr>
                <w:rFonts w:cs="Arial"/>
                <w:color w:val="000000" w:themeColor="text1"/>
              </w:rPr>
              <w:t>600</w:t>
            </w:r>
            <w:r w:rsidR="000D3E7D" w:rsidRPr="00E95B81">
              <w:rPr>
                <w:rFonts w:cs="Arial"/>
                <w:color w:val="000000" w:themeColor="text1"/>
              </w:rPr>
              <w:t xml:space="preserve"> </w:t>
            </w:r>
          </w:p>
        </w:tc>
        <w:tc>
          <w:tcPr>
            <w:tcW w:w="1477" w:type="dxa"/>
            <w:tcBorders>
              <w:top w:val="nil"/>
              <w:left w:val="nil"/>
              <w:bottom w:val="single" w:sz="4" w:space="0" w:color="auto"/>
              <w:right w:val="single" w:sz="4" w:space="0" w:color="auto"/>
            </w:tcBorders>
            <w:shd w:val="clear" w:color="auto" w:fill="auto"/>
            <w:noWrap/>
            <w:vAlign w:val="center"/>
          </w:tcPr>
          <w:p w14:paraId="4DB88635" w14:textId="3003DCA2" w:rsidR="000D3E7D" w:rsidRPr="00E95B81" w:rsidRDefault="000D3E7D" w:rsidP="110985B9">
            <w:pPr>
              <w:spacing w:after="0"/>
              <w:jc w:val="right"/>
              <w:rPr>
                <w:rFonts w:cs="Arial"/>
                <w:color w:val="000000"/>
              </w:rPr>
            </w:pPr>
            <w:r w:rsidRPr="00E95B81">
              <w:rPr>
                <w:rFonts w:cs="Arial"/>
                <w:color w:val="000000" w:themeColor="text1"/>
              </w:rPr>
              <w:t>0.</w:t>
            </w:r>
            <w:r w:rsidR="00E95B81" w:rsidRPr="00E95B81">
              <w:rPr>
                <w:rFonts w:cs="Arial"/>
                <w:color w:val="000000" w:themeColor="text1"/>
              </w:rPr>
              <w:t>3</w:t>
            </w:r>
            <w:r w:rsidRPr="00E95B81">
              <w:rPr>
                <w:rFonts w:cs="Arial"/>
                <w:color w:val="000000" w:themeColor="text1"/>
              </w:rPr>
              <w:t>%</w:t>
            </w:r>
          </w:p>
        </w:tc>
      </w:tr>
      <w:tr w:rsidR="000D3E7D" w:rsidRPr="00537E40" w14:paraId="7A7D56D1" w14:textId="77777777" w:rsidTr="4A450472">
        <w:trPr>
          <w:trHeight w:val="340"/>
        </w:trPr>
        <w:tc>
          <w:tcPr>
            <w:tcW w:w="3061" w:type="dxa"/>
            <w:tcBorders>
              <w:top w:val="nil"/>
              <w:left w:val="single" w:sz="4" w:space="0" w:color="auto"/>
              <w:bottom w:val="single" w:sz="4" w:space="0" w:color="auto"/>
              <w:right w:val="single" w:sz="4" w:space="0" w:color="auto"/>
            </w:tcBorders>
            <w:shd w:val="clear" w:color="auto" w:fill="auto"/>
            <w:noWrap/>
            <w:vAlign w:val="center"/>
          </w:tcPr>
          <w:p w14:paraId="0724F70F" w14:textId="2AEE3912" w:rsidR="000D3E7D" w:rsidRDefault="00E20AAC" w:rsidP="110985B9">
            <w:pPr>
              <w:spacing w:after="0" w:line="240" w:lineRule="auto"/>
              <w:rPr>
                <w:rFonts w:cs="Arial"/>
                <w:b/>
                <w:bCs/>
                <w:color w:val="000000"/>
              </w:rPr>
            </w:pPr>
            <w:r w:rsidRPr="0082290B">
              <w:rPr>
                <w:rFonts w:cs="Arial"/>
                <w:b/>
                <w:bCs/>
                <w:color w:val="000000" w:themeColor="text1"/>
              </w:rPr>
              <w:t>Rental and hiring services</w:t>
            </w:r>
          </w:p>
        </w:tc>
        <w:tc>
          <w:tcPr>
            <w:tcW w:w="1304" w:type="dxa"/>
            <w:tcBorders>
              <w:top w:val="nil"/>
              <w:left w:val="nil"/>
              <w:bottom w:val="single" w:sz="4" w:space="0" w:color="auto"/>
              <w:right w:val="single" w:sz="4" w:space="0" w:color="auto"/>
            </w:tcBorders>
            <w:shd w:val="clear" w:color="auto" w:fill="auto"/>
            <w:noWrap/>
            <w:vAlign w:val="center"/>
          </w:tcPr>
          <w:p w14:paraId="6C2C59AC" w14:textId="56F12368" w:rsidR="000D3E7D" w:rsidRPr="00E95B81" w:rsidRDefault="00E95B81" w:rsidP="110985B9">
            <w:pPr>
              <w:spacing w:after="0"/>
              <w:jc w:val="right"/>
              <w:rPr>
                <w:rFonts w:cs="Arial"/>
                <w:color w:val="000000"/>
              </w:rPr>
            </w:pPr>
            <w:r w:rsidRPr="00E95B81">
              <w:rPr>
                <w:rFonts w:cs="Arial"/>
                <w:color w:val="000000" w:themeColor="text1"/>
              </w:rPr>
              <w:t>300</w:t>
            </w:r>
            <w:r w:rsidR="000D3E7D" w:rsidRPr="00E95B81">
              <w:rPr>
                <w:rFonts w:cs="Arial"/>
                <w:color w:val="000000" w:themeColor="text1"/>
              </w:rPr>
              <w:t xml:space="preserve"> </w:t>
            </w:r>
          </w:p>
        </w:tc>
        <w:tc>
          <w:tcPr>
            <w:tcW w:w="1304" w:type="dxa"/>
            <w:tcBorders>
              <w:top w:val="nil"/>
              <w:left w:val="nil"/>
              <w:bottom w:val="single" w:sz="4" w:space="0" w:color="auto"/>
              <w:right w:val="single" w:sz="4" w:space="0" w:color="auto"/>
            </w:tcBorders>
            <w:shd w:val="clear" w:color="auto" w:fill="auto"/>
            <w:noWrap/>
            <w:vAlign w:val="center"/>
          </w:tcPr>
          <w:p w14:paraId="6FDCC20B" w14:textId="46886A33" w:rsidR="000D3E7D" w:rsidRPr="00E95B81" w:rsidRDefault="00E95B81" w:rsidP="110985B9">
            <w:pPr>
              <w:spacing w:after="0"/>
              <w:jc w:val="right"/>
              <w:rPr>
                <w:rFonts w:cs="Arial"/>
                <w:color w:val="000000"/>
              </w:rPr>
            </w:pPr>
            <w:r w:rsidRPr="00E95B81">
              <w:rPr>
                <w:rFonts w:cs="Arial"/>
                <w:color w:val="000000" w:themeColor="text1"/>
              </w:rPr>
              <w:t>500</w:t>
            </w:r>
            <w:r w:rsidR="000D3E7D" w:rsidRPr="00E95B81">
              <w:rPr>
                <w:rFonts w:cs="Arial"/>
                <w:color w:val="000000" w:themeColor="text1"/>
              </w:rPr>
              <w:t xml:space="preserve"> </w:t>
            </w:r>
          </w:p>
        </w:tc>
        <w:tc>
          <w:tcPr>
            <w:tcW w:w="1272" w:type="dxa"/>
            <w:tcBorders>
              <w:top w:val="nil"/>
              <w:left w:val="nil"/>
              <w:bottom w:val="single" w:sz="4" w:space="0" w:color="auto"/>
              <w:right w:val="single" w:sz="4" w:space="0" w:color="auto"/>
            </w:tcBorders>
            <w:shd w:val="clear" w:color="auto" w:fill="auto"/>
            <w:noWrap/>
            <w:vAlign w:val="center"/>
          </w:tcPr>
          <w:p w14:paraId="314157F5" w14:textId="02E4034D" w:rsidR="000D3E7D" w:rsidRPr="00E95B81" w:rsidRDefault="00E95B81" w:rsidP="110985B9">
            <w:pPr>
              <w:spacing w:after="0"/>
              <w:jc w:val="right"/>
              <w:rPr>
                <w:rFonts w:cs="Arial"/>
                <w:color w:val="000000"/>
              </w:rPr>
            </w:pPr>
            <w:r w:rsidRPr="00E95B81">
              <w:rPr>
                <w:rFonts w:cs="Arial"/>
                <w:color w:val="000000" w:themeColor="text1"/>
              </w:rPr>
              <w:t>600</w:t>
            </w:r>
            <w:r w:rsidR="000D3E7D" w:rsidRPr="00E95B81">
              <w:rPr>
                <w:rFonts w:cs="Arial"/>
                <w:color w:val="000000" w:themeColor="text1"/>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60E773E5" w14:textId="50E9A05B" w:rsidR="000D3E7D" w:rsidRPr="00E95B81" w:rsidRDefault="00E95B81" w:rsidP="110985B9">
            <w:pPr>
              <w:spacing w:after="0"/>
              <w:jc w:val="right"/>
              <w:rPr>
                <w:rFonts w:cs="Arial"/>
                <w:color w:val="000000"/>
              </w:rPr>
            </w:pPr>
            <w:r w:rsidRPr="00E95B81">
              <w:rPr>
                <w:rFonts w:cs="Arial"/>
                <w:color w:val="000000" w:themeColor="text1"/>
              </w:rPr>
              <w:t>300</w:t>
            </w:r>
            <w:r w:rsidR="000D3E7D" w:rsidRPr="00E95B81">
              <w:rPr>
                <w:rFonts w:cs="Arial"/>
                <w:color w:val="000000" w:themeColor="text1"/>
              </w:rPr>
              <w:t xml:space="preserve"> </w:t>
            </w:r>
          </w:p>
        </w:tc>
        <w:tc>
          <w:tcPr>
            <w:tcW w:w="1477" w:type="dxa"/>
            <w:tcBorders>
              <w:top w:val="nil"/>
              <w:left w:val="nil"/>
              <w:bottom w:val="single" w:sz="4" w:space="0" w:color="auto"/>
              <w:right w:val="single" w:sz="4" w:space="0" w:color="auto"/>
            </w:tcBorders>
            <w:shd w:val="clear" w:color="auto" w:fill="auto"/>
            <w:noWrap/>
            <w:vAlign w:val="center"/>
          </w:tcPr>
          <w:p w14:paraId="4799A1C1" w14:textId="22CE30C2" w:rsidR="000D3E7D" w:rsidRPr="00E95B81" w:rsidRDefault="00E95B81" w:rsidP="110985B9">
            <w:pPr>
              <w:spacing w:after="0"/>
              <w:jc w:val="right"/>
              <w:rPr>
                <w:rFonts w:cs="Arial"/>
                <w:color w:val="000000"/>
              </w:rPr>
            </w:pPr>
            <w:r w:rsidRPr="00E95B81">
              <w:rPr>
                <w:rFonts w:cs="Arial"/>
                <w:color w:val="000000" w:themeColor="text1"/>
              </w:rPr>
              <w:t>0.2</w:t>
            </w:r>
            <w:r w:rsidR="000D3E7D" w:rsidRPr="00E95B81">
              <w:rPr>
                <w:rFonts w:cs="Arial"/>
                <w:color w:val="000000" w:themeColor="text1"/>
              </w:rPr>
              <w:t>%</w:t>
            </w:r>
          </w:p>
        </w:tc>
      </w:tr>
      <w:tr w:rsidR="000D3E7D" w:rsidRPr="00537E40" w14:paraId="5CEFC653" w14:textId="77777777" w:rsidTr="4A450472">
        <w:trPr>
          <w:trHeight w:val="340"/>
        </w:trPr>
        <w:tc>
          <w:tcPr>
            <w:tcW w:w="3061" w:type="dxa"/>
            <w:tcBorders>
              <w:top w:val="nil"/>
              <w:left w:val="single" w:sz="4" w:space="0" w:color="auto"/>
              <w:bottom w:val="single" w:sz="4" w:space="0" w:color="auto"/>
              <w:right w:val="single" w:sz="4" w:space="0" w:color="auto"/>
            </w:tcBorders>
            <w:shd w:val="clear" w:color="auto" w:fill="auto"/>
            <w:noWrap/>
            <w:vAlign w:val="center"/>
          </w:tcPr>
          <w:p w14:paraId="4A569D60" w14:textId="1675CC53" w:rsidR="000D3E7D" w:rsidRDefault="000D3E7D" w:rsidP="110985B9">
            <w:pPr>
              <w:spacing w:after="0" w:line="240" w:lineRule="auto"/>
              <w:rPr>
                <w:rFonts w:cs="Arial"/>
                <w:b/>
                <w:bCs/>
                <w:color w:val="000000"/>
              </w:rPr>
            </w:pPr>
            <w:r w:rsidRPr="0082290B">
              <w:rPr>
                <w:rFonts w:cs="Arial"/>
                <w:b/>
                <w:bCs/>
                <w:color w:val="000000" w:themeColor="text1"/>
              </w:rPr>
              <w:t>Manufacturing</w:t>
            </w:r>
          </w:p>
        </w:tc>
        <w:tc>
          <w:tcPr>
            <w:tcW w:w="1304" w:type="dxa"/>
            <w:tcBorders>
              <w:top w:val="nil"/>
              <w:left w:val="nil"/>
              <w:bottom w:val="single" w:sz="4" w:space="0" w:color="auto"/>
              <w:right w:val="single" w:sz="4" w:space="0" w:color="auto"/>
            </w:tcBorders>
            <w:shd w:val="clear" w:color="auto" w:fill="auto"/>
            <w:noWrap/>
            <w:vAlign w:val="center"/>
          </w:tcPr>
          <w:p w14:paraId="682B04B3" w14:textId="0DB7FB0C" w:rsidR="000D3E7D" w:rsidRPr="00E95B81" w:rsidRDefault="00E95B81" w:rsidP="110985B9">
            <w:pPr>
              <w:spacing w:after="0"/>
              <w:jc w:val="right"/>
              <w:rPr>
                <w:rFonts w:cs="Arial"/>
                <w:color w:val="000000"/>
              </w:rPr>
            </w:pPr>
            <w:r w:rsidRPr="00E95B81">
              <w:rPr>
                <w:rFonts w:cs="Arial"/>
                <w:color w:val="000000" w:themeColor="text1"/>
              </w:rPr>
              <w:t>12,900</w:t>
            </w:r>
            <w:r w:rsidR="000D3E7D" w:rsidRPr="00E95B81">
              <w:rPr>
                <w:rFonts w:cs="Arial"/>
                <w:color w:val="000000" w:themeColor="text1"/>
              </w:rPr>
              <w:t xml:space="preserve"> </w:t>
            </w:r>
          </w:p>
        </w:tc>
        <w:tc>
          <w:tcPr>
            <w:tcW w:w="1304" w:type="dxa"/>
            <w:tcBorders>
              <w:top w:val="nil"/>
              <w:left w:val="nil"/>
              <w:bottom w:val="single" w:sz="4" w:space="0" w:color="auto"/>
              <w:right w:val="single" w:sz="4" w:space="0" w:color="auto"/>
            </w:tcBorders>
            <w:shd w:val="clear" w:color="auto" w:fill="auto"/>
            <w:noWrap/>
            <w:vAlign w:val="center"/>
          </w:tcPr>
          <w:p w14:paraId="329CB8FF" w14:textId="273506D4" w:rsidR="000D3E7D" w:rsidRPr="00E95B81" w:rsidRDefault="00E95B81" w:rsidP="110985B9">
            <w:pPr>
              <w:spacing w:after="0"/>
              <w:jc w:val="right"/>
              <w:rPr>
                <w:rFonts w:cs="Arial"/>
                <w:color w:val="000000"/>
              </w:rPr>
            </w:pPr>
            <w:r w:rsidRPr="00E95B81">
              <w:rPr>
                <w:rFonts w:cs="Arial"/>
                <w:color w:val="000000" w:themeColor="text1"/>
              </w:rPr>
              <w:t>12,100</w:t>
            </w:r>
            <w:r w:rsidR="000D3E7D" w:rsidRPr="00E95B81">
              <w:rPr>
                <w:rFonts w:cs="Arial"/>
                <w:color w:val="000000" w:themeColor="text1"/>
              </w:rPr>
              <w:t xml:space="preserve"> </w:t>
            </w:r>
          </w:p>
        </w:tc>
        <w:tc>
          <w:tcPr>
            <w:tcW w:w="1272" w:type="dxa"/>
            <w:tcBorders>
              <w:top w:val="nil"/>
              <w:left w:val="nil"/>
              <w:bottom w:val="single" w:sz="4" w:space="0" w:color="auto"/>
              <w:right w:val="single" w:sz="4" w:space="0" w:color="auto"/>
            </w:tcBorders>
            <w:shd w:val="clear" w:color="auto" w:fill="auto"/>
            <w:noWrap/>
            <w:vAlign w:val="center"/>
          </w:tcPr>
          <w:p w14:paraId="7076235B" w14:textId="3BE019AF" w:rsidR="000D3E7D" w:rsidRPr="00E95B81" w:rsidRDefault="00E95B81" w:rsidP="110985B9">
            <w:pPr>
              <w:spacing w:after="0"/>
              <w:jc w:val="right"/>
              <w:rPr>
                <w:rFonts w:cs="Arial"/>
                <w:color w:val="000000"/>
              </w:rPr>
            </w:pPr>
            <w:r w:rsidRPr="00E95B81">
              <w:rPr>
                <w:rFonts w:cs="Arial"/>
                <w:color w:val="000000" w:themeColor="text1"/>
              </w:rPr>
              <w:t>11,700</w:t>
            </w:r>
          </w:p>
        </w:tc>
        <w:tc>
          <w:tcPr>
            <w:tcW w:w="1276" w:type="dxa"/>
            <w:tcBorders>
              <w:top w:val="nil"/>
              <w:left w:val="nil"/>
              <w:bottom w:val="single" w:sz="4" w:space="0" w:color="auto"/>
              <w:right w:val="single" w:sz="4" w:space="0" w:color="auto"/>
            </w:tcBorders>
            <w:shd w:val="clear" w:color="auto" w:fill="auto"/>
            <w:noWrap/>
            <w:vAlign w:val="center"/>
          </w:tcPr>
          <w:p w14:paraId="357DC8FD" w14:textId="0449A9C3" w:rsidR="000D3E7D" w:rsidRPr="00E95B81" w:rsidRDefault="00E95B81" w:rsidP="110985B9">
            <w:pPr>
              <w:spacing w:after="0"/>
              <w:jc w:val="right"/>
              <w:rPr>
                <w:rFonts w:cs="Arial"/>
                <w:color w:val="000000"/>
              </w:rPr>
            </w:pPr>
            <w:r w:rsidRPr="00E95B81">
              <w:rPr>
                <w:rFonts w:cs="Arial"/>
                <w:color w:val="000000" w:themeColor="text1"/>
              </w:rPr>
              <w:t>-1,100</w:t>
            </w:r>
          </w:p>
        </w:tc>
        <w:tc>
          <w:tcPr>
            <w:tcW w:w="1477" w:type="dxa"/>
            <w:tcBorders>
              <w:top w:val="nil"/>
              <w:left w:val="nil"/>
              <w:bottom w:val="single" w:sz="4" w:space="0" w:color="auto"/>
              <w:right w:val="single" w:sz="4" w:space="0" w:color="auto"/>
            </w:tcBorders>
            <w:shd w:val="clear" w:color="auto" w:fill="auto"/>
            <w:noWrap/>
            <w:vAlign w:val="center"/>
          </w:tcPr>
          <w:p w14:paraId="4618A9B6" w14:textId="2D50E391" w:rsidR="000D3E7D" w:rsidRPr="00E95B81" w:rsidRDefault="000D3E7D" w:rsidP="110985B9">
            <w:pPr>
              <w:spacing w:after="0"/>
              <w:jc w:val="right"/>
              <w:rPr>
                <w:rFonts w:cs="Arial"/>
                <w:color w:val="000000"/>
              </w:rPr>
            </w:pPr>
            <w:r w:rsidRPr="00E95B81">
              <w:rPr>
                <w:rFonts w:cs="Arial"/>
                <w:color w:val="000000" w:themeColor="text1"/>
              </w:rPr>
              <w:t>-0.</w:t>
            </w:r>
            <w:r w:rsidR="00E95B81" w:rsidRPr="00E95B81">
              <w:rPr>
                <w:rFonts w:cs="Arial"/>
                <w:color w:val="000000" w:themeColor="text1"/>
              </w:rPr>
              <w:t>6</w:t>
            </w:r>
            <w:r w:rsidRPr="00E95B81">
              <w:rPr>
                <w:rFonts w:cs="Arial"/>
                <w:color w:val="000000" w:themeColor="text1"/>
              </w:rPr>
              <w:t>%</w:t>
            </w:r>
          </w:p>
        </w:tc>
      </w:tr>
      <w:tr w:rsidR="001B5DAD" w:rsidRPr="00537E40" w14:paraId="57558C4E" w14:textId="77777777" w:rsidTr="4A450472">
        <w:trPr>
          <w:trHeight w:val="340"/>
        </w:trPr>
        <w:tc>
          <w:tcPr>
            <w:tcW w:w="3061" w:type="dxa"/>
            <w:tcBorders>
              <w:top w:val="nil"/>
              <w:left w:val="single" w:sz="4" w:space="0" w:color="auto"/>
              <w:bottom w:val="single" w:sz="4" w:space="0" w:color="auto"/>
              <w:right w:val="single" w:sz="4" w:space="0" w:color="auto"/>
            </w:tcBorders>
            <w:shd w:val="clear" w:color="auto" w:fill="auto"/>
            <w:noWrap/>
            <w:vAlign w:val="center"/>
          </w:tcPr>
          <w:p w14:paraId="5EE0DD93" w14:textId="77777777" w:rsidR="001B5DAD" w:rsidRDefault="001B5DAD" w:rsidP="001B5DAD">
            <w:pPr>
              <w:spacing w:after="0" w:line="240" w:lineRule="auto"/>
              <w:rPr>
                <w:rFonts w:cs="Arial"/>
                <w:b/>
                <w:bCs/>
                <w:color w:val="000000"/>
                <w:szCs w:val="20"/>
              </w:rPr>
            </w:pPr>
            <w:r>
              <w:rPr>
                <w:rFonts w:cs="Arial"/>
                <w:b/>
                <w:bCs/>
                <w:color w:val="000000"/>
                <w:szCs w:val="20"/>
              </w:rPr>
              <w:t>Total (City of Melbourne)</w:t>
            </w:r>
          </w:p>
        </w:tc>
        <w:tc>
          <w:tcPr>
            <w:tcW w:w="1304" w:type="dxa"/>
            <w:tcBorders>
              <w:top w:val="nil"/>
              <w:left w:val="nil"/>
              <w:bottom w:val="single" w:sz="4" w:space="0" w:color="auto"/>
              <w:right w:val="single" w:sz="4" w:space="0" w:color="auto"/>
            </w:tcBorders>
            <w:shd w:val="clear" w:color="auto" w:fill="auto"/>
            <w:noWrap/>
            <w:vAlign w:val="center"/>
          </w:tcPr>
          <w:p w14:paraId="333CC1A1" w14:textId="78943D5C" w:rsidR="001B5DAD" w:rsidRPr="00BB3E86" w:rsidRDefault="77E32AB4" w:rsidP="110985B9">
            <w:pPr>
              <w:spacing w:after="0"/>
              <w:jc w:val="right"/>
              <w:rPr>
                <w:rFonts w:cs="Arial"/>
                <w:b/>
                <w:bCs/>
                <w:color w:val="000000"/>
              </w:rPr>
            </w:pPr>
            <w:r w:rsidRPr="4A450472">
              <w:rPr>
                <w:rFonts w:cs="Arial"/>
                <w:b/>
                <w:bCs/>
                <w:color w:val="000000" w:themeColor="text1"/>
              </w:rPr>
              <w:t xml:space="preserve">    </w:t>
            </w:r>
            <w:r w:rsidR="1356170B" w:rsidRPr="4A450472">
              <w:rPr>
                <w:rFonts w:cs="Arial"/>
                <w:b/>
                <w:bCs/>
                <w:color w:val="000000" w:themeColor="text1"/>
              </w:rPr>
              <w:t>495,400</w:t>
            </w:r>
            <w:r w:rsidRPr="4A450472">
              <w:rPr>
                <w:rFonts w:cs="Arial"/>
                <w:b/>
                <w:bCs/>
                <w:color w:val="000000" w:themeColor="text1"/>
              </w:rPr>
              <w:t xml:space="preserve"> </w:t>
            </w:r>
          </w:p>
        </w:tc>
        <w:tc>
          <w:tcPr>
            <w:tcW w:w="1304" w:type="dxa"/>
            <w:tcBorders>
              <w:top w:val="nil"/>
              <w:left w:val="nil"/>
              <w:bottom w:val="single" w:sz="4" w:space="0" w:color="auto"/>
              <w:right w:val="single" w:sz="4" w:space="0" w:color="auto"/>
            </w:tcBorders>
            <w:shd w:val="clear" w:color="auto" w:fill="auto"/>
            <w:noWrap/>
            <w:vAlign w:val="center"/>
          </w:tcPr>
          <w:p w14:paraId="75F59266" w14:textId="767FD3DF" w:rsidR="001B5DAD" w:rsidRPr="00BB3E86" w:rsidRDefault="77E32AB4" w:rsidP="110985B9">
            <w:pPr>
              <w:spacing w:after="0"/>
              <w:jc w:val="right"/>
              <w:rPr>
                <w:rFonts w:cs="Arial"/>
                <w:b/>
                <w:bCs/>
                <w:color w:val="000000"/>
              </w:rPr>
            </w:pPr>
            <w:r w:rsidRPr="4A450472">
              <w:rPr>
                <w:rFonts w:cs="Arial"/>
                <w:b/>
                <w:bCs/>
                <w:color w:val="000000" w:themeColor="text1"/>
              </w:rPr>
              <w:t xml:space="preserve">    </w:t>
            </w:r>
            <w:r w:rsidR="1356170B" w:rsidRPr="4A450472">
              <w:rPr>
                <w:rFonts w:cs="Arial"/>
                <w:b/>
                <w:bCs/>
                <w:color w:val="000000" w:themeColor="text1"/>
              </w:rPr>
              <w:t>610,800</w:t>
            </w:r>
            <w:r w:rsidRPr="4A450472">
              <w:rPr>
                <w:rFonts w:cs="Arial"/>
                <w:b/>
                <w:bCs/>
                <w:color w:val="000000" w:themeColor="text1"/>
              </w:rPr>
              <w:t xml:space="preserve"> </w:t>
            </w:r>
          </w:p>
        </w:tc>
        <w:tc>
          <w:tcPr>
            <w:tcW w:w="1272" w:type="dxa"/>
            <w:tcBorders>
              <w:top w:val="nil"/>
              <w:left w:val="nil"/>
              <w:bottom w:val="single" w:sz="4" w:space="0" w:color="auto"/>
              <w:right w:val="single" w:sz="4" w:space="0" w:color="auto"/>
            </w:tcBorders>
            <w:shd w:val="clear" w:color="auto" w:fill="auto"/>
            <w:noWrap/>
            <w:vAlign w:val="center"/>
          </w:tcPr>
          <w:p w14:paraId="13FF7939" w14:textId="67C69E25" w:rsidR="001B5DAD" w:rsidRPr="00BB3E86" w:rsidRDefault="00BB3E86" w:rsidP="110985B9">
            <w:pPr>
              <w:spacing w:after="0"/>
              <w:jc w:val="right"/>
              <w:rPr>
                <w:rFonts w:cs="Arial"/>
                <w:b/>
                <w:bCs/>
                <w:color w:val="000000"/>
              </w:rPr>
            </w:pPr>
            <w:r w:rsidRPr="00BB3E86">
              <w:rPr>
                <w:rFonts w:cs="Arial"/>
                <w:b/>
                <w:bCs/>
                <w:color w:val="000000" w:themeColor="text1"/>
              </w:rPr>
              <w:t>675,300</w:t>
            </w:r>
            <w:r w:rsidR="001B5DAD" w:rsidRPr="00BB3E86">
              <w:rPr>
                <w:rFonts w:cs="Arial"/>
                <w:b/>
                <w:bCs/>
                <w:color w:val="000000" w:themeColor="text1"/>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5A52757B" w14:textId="5BB68CB8" w:rsidR="001B5DAD" w:rsidRPr="00BB3E86" w:rsidRDefault="00BB3E86" w:rsidP="110985B9">
            <w:pPr>
              <w:spacing w:after="0"/>
              <w:jc w:val="right"/>
              <w:rPr>
                <w:rFonts w:cs="Arial"/>
                <w:b/>
                <w:bCs/>
                <w:color w:val="000000"/>
              </w:rPr>
            </w:pPr>
            <w:r w:rsidRPr="00BB3E86">
              <w:rPr>
                <w:rFonts w:cs="Arial"/>
                <w:b/>
                <w:bCs/>
                <w:color w:val="000000" w:themeColor="text1"/>
              </w:rPr>
              <w:t>179,900</w:t>
            </w:r>
            <w:r w:rsidR="001B5DAD" w:rsidRPr="00BB3E86">
              <w:rPr>
                <w:rFonts w:cs="Arial"/>
                <w:b/>
                <w:bCs/>
                <w:color w:val="000000" w:themeColor="text1"/>
              </w:rPr>
              <w:t xml:space="preserve"> </w:t>
            </w:r>
          </w:p>
        </w:tc>
        <w:tc>
          <w:tcPr>
            <w:tcW w:w="1477" w:type="dxa"/>
            <w:tcBorders>
              <w:top w:val="nil"/>
              <w:left w:val="nil"/>
              <w:bottom w:val="single" w:sz="4" w:space="0" w:color="auto"/>
              <w:right w:val="single" w:sz="4" w:space="0" w:color="auto"/>
            </w:tcBorders>
            <w:shd w:val="clear" w:color="auto" w:fill="auto"/>
            <w:noWrap/>
            <w:vAlign w:val="center"/>
          </w:tcPr>
          <w:p w14:paraId="424E0C57" w14:textId="77777777" w:rsidR="001B5DAD" w:rsidRPr="00BB3E86" w:rsidRDefault="001B5DAD" w:rsidP="001B5DAD">
            <w:pPr>
              <w:spacing w:after="0"/>
              <w:jc w:val="right"/>
              <w:rPr>
                <w:rFonts w:cs="Arial"/>
                <w:b/>
                <w:bCs/>
                <w:color w:val="000000"/>
                <w:szCs w:val="20"/>
              </w:rPr>
            </w:pPr>
            <w:r w:rsidRPr="00BB3E86">
              <w:rPr>
                <w:rFonts w:cs="Arial"/>
                <w:b/>
                <w:bCs/>
                <w:color w:val="000000"/>
                <w:szCs w:val="20"/>
              </w:rPr>
              <w:t>100.0%</w:t>
            </w:r>
          </w:p>
        </w:tc>
      </w:tr>
    </w:tbl>
    <w:p w14:paraId="403EB29E" w14:textId="73EEA658" w:rsidR="007121A4" w:rsidRPr="00537E40" w:rsidRDefault="007121A4" w:rsidP="110985B9">
      <w:pPr>
        <w:spacing w:before="120"/>
        <w:rPr>
          <w:sz w:val="16"/>
          <w:szCs w:val="16"/>
        </w:rPr>
      </w:pPr>
      <w:r w:rsidRPr="110985B9">
        <w:rPr>
          <w:sz w:val="16"/>
          <w:szCs w:val="16"/>
        </w:rPr>
        <w:t>Source: SGS Economics and Planning, 202</w:t>
      </w:r>
      <w:r w:rsidR="00E95B81">
        <w:rPr>
          <w:sz w:val="16"/>
          <w:szCs w:val="16"/>
        </w:rPr>
        <w:t>4</w:t>
      </w:r>
      <w:r w:rsidR="00345820" w:rsidRPr="110985B9">
        <w:rPr>
          <w:sz w:val="16"/>
          <w:szCs w:val="16"/>
        </w:rPr>
        <w:t xml:space="preserve">.  </w:t>
      </w:r>
      <w:r w:rsidR="00915EAC" w:rsidRPr="110985B9">
        <w:rPr>
          <w:sz w:val="16"/>
          <w:szCs w:val="16"/>
        </w:rPr>
        <w:t>Table shows rounded figures.</w:t>
      </w:r>
    </w:p>
    <w:p w14:paraId="2496F9D0" w14:textId="58F3125B" w:rsidR="004C6848" w:rsidRPr="00537E40" w:rsidRDefault="007121A4" w:rsidP="00E34073">
      <w:pPr>
        <w:pStyle w:val="Heading2"/>
        <w:rPr>
          <w:rFonts w:hint="eastAsia"/>
        </w:rPr>
      </w:pPr>
      <w:r w:rsidRPr="110985B9">
        <w:rPr>
          <w:sz w:val="16"/>
          <w:szCs w:val="16"/>
        </w:rPr>
        <w:br w:type="page"/>
      </w:r>
      <w:bookmarkStart w:id="26" w:name="_Toc180519458"/>
      <w:r w:rsidR="004C6848" w:rsidRPr="00B70B50">
        <w:lastRenderedPageBreak/>
        <w:t>Floor space</w:t>
      </w:r>
      <w:r w:rsidR="00343CD2" w:rsidRPr="00B70B50">
        <w:t xml:space="preserve"> (</w:t>
      </w:r>
      <w:r w:rsidR="00C55026" w:rsidRPr="00B70B50">
        <w:t xml:space="preserve">‘000 </w:t>
      </w:r>
      <w:r w:rsidR="00343CD2" w:rsidRPr="00B70B50">
        <w:t>sqm)</w:t>
      </w:r>
      <w:r w:rsidR="004C6848" w:rsidRPr="00B70B50">
        <w:t xml:space="preserve"> by space use </w:t>
      </w:r>
      <w:r w:rsidR="00070E34" w:rsidRPr="00B70B50">
        <w:t>202</w:t>
      </w:r>
      <w:r w:rsidR="00B70B50" w:rsidRPr="00B70B50">
        <w:t>3</w:t>
      </w:r>
      <w:r w:rsidR="004C6848" w:rsidRPr="00B70B50">
        <w:t xml:space="preserve">, </w:t>
      </w:r>
      <w:r w:rsidR="00070E34" w:rsidRPr="00B70B50">
        <w:t>203</w:t>
      </w:r>
      <w:r w:rsidR="00B70B50" w:rsidRPr="00B70B50">
        <w:t>3</w:t>
      </w:r>
      <w:r w:rsidR="00070E34" w:rsidRPr="00B70B50">
        <w:t xml:space="preserve"> </w:t>
      </w:r>
      <w:r w:rsidR="004C6848" w:rsidRPr="00B70B50">
        <w:t xml:space="preserve">and </w:t>
      </w:r>
      <w:r w:rsidR="00070E34" w:rsidRPr="00B70B50">
        <w:t>204</w:t>
      </w:r>
      <w:r w:rsidR="00B70B50" w:rsidRPr="00B70B50">
        <w:t>3</w:t>
      </w:r>
      <w:bookmarkEnd w:id="26"/>
    </w:p>
    <w:tbl>
      <w:tblPr>
        <w:tblW w:w="9694" w:type="dxa"/>
        <w:tblLayout w:type="fixed"/>
        <w:tblLook w:val="04A0" w:firstRow="1" w:lastRow="0" w:firstColumn="1" w:lastColumn="0" w:noHBand="0" w:noVBand="1"/>
      </w:tblPr>
      <w:tblGrid>
        <w:gridCol w:w="3114"/>
        <w:gridCol w:w="1251"/>
        <w:gridCol w:w="1304"/>
        <w:gridCol w:w="1304"/>
        <w:gridCol w:w="1244"/>
        <w:gridCol w:w="1477"/>
      </w:tblGrid>
      <w:tr w:rsidR="00E57B1C" w:rsidRPr="00537E40" w14:paraId="66CF8DEC" w14:textId="77777777" w:rsidTr="110985B9">
        <w:trPr>
          <w:trHeight w:val="285"/>
        </w:trPr>
        <w:tc>
          <w:tcPr>
            <w:tcW w:w="3114"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hideMark/>
          </w:tcPr>
          <w:p w14:paraId="1751DC95" w14:textId="77777777" w:rsidR="00E57B1C" w:rsidRPr="00B07612" w:rsidRDefault="00E57B1C" w:rsidP="00E57B1C">
            <w:pPr>
              <w:spacing w:after="0" w:line="240" w:lineRule="auto"/>
              <w:rPr>
                <w:rFonts w:eastAsia="Times New Roman" w:cs="Arial"/>
                <w:b/>
                <w:bCs/>
                <w:color w:val="000000"/>
                <w:szCs w:val="20"/>
                <w:lang w:eastAsia="en-AU"/>
              </w:rPr>
            </w:pPr>
            <w:r>
              <w:rPr>
                <w:rFonts w:eastAsia="Times New Roman" w:cs="Arial"/>
                <w:b/>
                <w:bCs/>
                <w:color w:val="000000"/>
                <w:szCs w:val="20"/>
                <w:lang w:eastAsia="en-AU"/>
              </w:rPr>
              <w:t>Space use</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E4BFA4" w14:textId="27A6C628" w:rsidR="00E57B1C" w:rsidRPr="00B07612" w:rsidRDefault="00070E34" w:rsidP="110985B9">
            <w:pPr>
              <w:spacing w:after="0" w:line="240" w:lineRule="auto"/>
              <w:jc w:val="center"/>
              <w:rPr>
                <w:rFonts w:eastAsia="Times New Roman" w:cs="Arial"/>
                <w:b/>
                <w:bCs/>
                <w:color w:val="000000"/>
                <w:lang w:eastAsia="en-AU"/>
              </w:rPr>
            </w:pPr>
            <w:r w:rsidRPr="110985B9">
              <w:rPr>
                <w:rFonts w:eastAsia="Times New Roman" w:cs="Arial"/>
                <w:b/>
                <w:bCs/>
                <w:color w:val="000000" w:themeColor="text1"/>
                <w:lang w:eastAsia="en-AU"/>
              </w:rPr>
              <w:t>202</w:t>
            </w:r>
            <w:r w:rsidR="00B70B50">
              <w:rPr>
                <w:rFonts w:eastAsia="Times New Roman" w:cs="Arial"/>
                <w:b/>
                <w:bCs/>
                <w:color w:val="000000" w:themeColor="text1"/>
                <w:lang w:eastAsia="en-AU"/>
              </w:rPr>
              <w:t>3</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3CE372" w14:textId="36F55546" w:rsidR="00E57B1C" w:rsidRPr="00B07612" w:rsidRDefault="00070E34" w:rsidP="110985B9">
            <w:pPr>
              <w:spacing w:after="0" w:line="240" w:lineRule="auto"/>
              <w:jc w:val="center"/>
              <w:rPr>
                <w:rFonts w:eastAsia="Times New Roman" w:cs="Arial"/>
                <w:b/>
                <w:bCs/>
                <w:color w:val="000000"/>
                <w:lang w:eastAsia="en-AU"/>
              </w:rPr>
            </w:pPr>
            <w:r w:rsidRPr="110985B9">
              <w:rPr>
                <w:rFonts w:eastAsia="Times New Roman" w:cs="Arial"/>
                <w:b/>
                <w:bCs/>
                <w:color w:val="000000" w:themeColor="text1"/>
                <w:lang w:eastAsia="en-AU"/>
              </w:rPr>
              <w:t>203</w:t>
            </w:r>
            <w:r w:rsidR="00B70B50">
              <w:rPr>
                <w:rFonts w:eastAsia="Times New Roman" w:cs="Arial"/>
                <w:b/>
                <w:bCs/>
                <w:color w:val="000000" w:themeColor="text1"/>
                <w:lang w:eastAsia="en-AU"/>
              </w:rPr>
              <w:t>3</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79DDEE" w14:textId="19DF8C1F" w:rsidR="00E57B1C" w:rsidRPr="00B07612" w:rsidRDefault="00070E34" w:rsidP="110985B9">
            <w:pPr>
              <w:spacing w:after="0" w:line="240" w:lineRule="auto"/>
              <w:jc w:val="center"/>
              <w:rPr>
                <w:rFonts w:eastAsia="Times New Roman" w:cs="Arial"/>
                <w:b/>
                <w:bCs/>
                <w:color w:val="000000"/>
                <w:lang w:eastAsia="en-AU"/>
              </w:rPr>
            </w:pPr>
            <w:r w:rsidRPr="110985B9">
              <w:rPr>
                <w:rFonts w:eastAsia="Times New Roman" w:cs="Arial"/>
                <w:b/>
                <w:bCs/>
                <w:color w:val="000000" w:themeColor="text1"/>
                <w:lang w:eastAsia="en-AU"/>
              </w:rPr>
              <w:t>204</w:t>
            </w:r>
            <w:r w:rsidR="00B70B50">
              <w:rPr>
                <w:rFonts w:eastAsia="Times New Roman" w:cs="Arial"/>
                <w:b/>
                <w:bCs/>
                <w:color w:val="000000" w:themeColor="text1"/>
                <w:lang w:eastAsia="en-AU"/>
              </w:rPr>
              <w:t>3</w:t>
            </w:r>
          </w:p>
        </w:tc>
        <w:tc>
          <w:tcPr>
            <w:tcW w:w="1244" w:type="dxa"/>
            <w:tcBorders>
              <w:top w:val="single" w:sz="4" w:space="0" w:color="auto"/>
              <w:left w:val="nil"/>
              <w:bottom w:val="single" w:sz="4" w:space="0" w:color="auto"/>
              <w:right w:val="single" w:sz="4" w:space="0" w:color="auto"/>
            </w:tcBorders>
            <w:shd w:val="clear" w:color="auto" w:fill="auto"/>
            <w:noWrap/>
            <w:vAlign w:val="center"/>
            <w:hideMark/>
          </w:tcPr>
          <w:p w14:paraId="5410CA82" w14:textId="6B6B5985" w:rsidR="00E57B1C" w:rsidRPr="00B07612" w:rsidRDefault="00E57B1C" w:rsidP="110985B9">
            <w:pPr>
              <w:spacing w:after="0" w:line="240" w:lineRule="auto"/>
              <w:jc w:val="center"/>
              <w:rPr>
                <w:rFonts w:eastAsia="Times New Roman" w:cs="Arial"/>
                <w:b/>
                <w:bCs/>
                <w:color w:val="000000"/>
                <w:lang w:eastAsia="en-AU"/>
              </w:rPr>
            </w:pPr>
            <w:r w:rsidRPr="110985B9">
              <w:rPr>
                <w:rFonts w:eastAsia="Times New Roman" w:cs="Arial"/>
                <w:b/>
                <w:bCs/>
                <w:color w:val="000000" w:themeColor="text1"/>
                <w:lang w:eastAsia="en-AU"/>
              </w:rPr>
              <w:t xml:space="preserve">Change </w:t>
            </w:r>
            <w:r w:rsidR="00070E34" w:rsidRPr="110985B9">
              <w:rPr>
                <w:rFonts w:eastAsia="Times New Roman" w:cs="Arial"/>
                <w:b/>
                <w:bCs/>
                <w:color w:val="000000" w:themeColor="text1"/>
                <w:lang w:eastAsia="en-AU"/>
              </w:rPr>
              <w:t>202</w:t>
            </w:r>
            <w:r w:rsidR="00B70B50">
              <w:rPr>
                <w:rFonts w:eastAsia="Times New Roman" w:cs="Arial"/>
                <w:b/>
                <w:bCs/>
                <w:color w:val="000000" w:themeColor="text1"/>
                <w:lang w:eastAsia="en-AU"/>
              </w:rPr>
              <w:t>3</w:t>
            </w:r>
            <w:r w:rsidRPr="110985B9">
              <w:rPr>
                <w:rFonts w:eastAsia="Times New Roman" w:cs="Arial"/>
                <w:b/>
                <w:bCs/>
                <w:color w:val="000000" w:themeColor="text1"/>
                <w:lang w:eastAsia="en-AU"/>
              </w:rPr>
              <w:t>-</w:t>
            </w:r>
            <w:r w:rsidR="00070E34" w:rsidRPr="110985B9">
              <w:rPr>
                <w:rFonts w:eastAsia="Times New Roman" w:cs="Arial"/>
                <w:b/>
                <w:bCs/>
                <w:color w:val="000000" w:themeColor="text1"/>
                <w:lang w:eastAsia="en-AU"/>
              </w:rPr>
              <w:t>204</w:t>
            </w:r>
            <w:r w:rsidR="00B70B50">
              <w:rPr>
                <w:rFonts w:eastAsia="Times New Roman" w:cs="Arial"/>
                <w:b/>
                <w:bCs/>
                <w:color w:val="000000" w:themeColor="text1"/>
                <w:lang w:eastAsia="en-AU"/>
              </w:rPr>
              <w:t>3</w:t>
            </w:r>
          </w:p>
        </w:tc>
        <w:tc>
          <w:tcPr>
            <w:tcW w:w="1477" w:type="dxa"/>
            <w:tcBorders>
              <w:top w:val="single" w:sz="4" w:space="0" w:color="auto"/>
              <w:left w:val="nil"/>
              <w:bottom w:val="single" w:sz="4" w:space="0" w:color="auto"/>
              <w:right w:val="single" w:sz="4" w:space="0" w:color="auto"/>
            </w:tcBorders>
            <w:shd w:val="clear" w:color="auto" w:fill="auto"/>
            <w:vAlign w:val="center"/>
          </w:tcPr>
          <w:p w14:paraId="0FA62362" w14:textId="68324044" w:rsidR="00E57B1C" w:rsidRPr="00B07612" w:rsidRDefault="00E57B1C" w:rsidP="110985B9">
            <w:pPr>
              <w:spacing w:after="0" w:line="240" w:lineRule="auto"/>
              <w:jc w:val="center"/>
              <w:rPr>
                <w:rFonts w:eastAsia="Times New Roman" w:cs="Arial"/>
                <w:b/>
                <w:bCs/>
                <w:color w:val="000000"/>
                <w:lang w:eastAsia="en-AU"/>
              </w:rPr>
            </w:pPr>
            <w:r w:rsidRPr="110985B9">
              <w:rPr>
                <w:rFonts w:eastAsia="Times New Roman" w:cs="Arial"/>
                <w:b/>
                <w:bCs/>
                <w:color w:val="000000" w:themeColor="text1"/>
                <w:lang w:eastAsia="en-AU"/>
              </w:rPr>
              <w:t xml:space="preserve">Contribution to Growth </w:t>
            </w:r>
            <w:r w:rsidR="00070E34" w:rsidRPr="110985B9">
              <w:rPr>
                <w:rFonts w:eastAsia="Times New Roman" w:cs="Arial"/>
                <w:b/>
                <w:bCs/>
                <w:color w:val="000000" w:themeColor="text1"/>
                <w:lang w:eastAsia="en-AU"/>
              </w:rPr>
              <w:t>202</w:t>
            </w:r>
            <w:r w:rsidR="00B70B50">
              <w:rPr>
                <w:rFonts w:eastAsia="Times New Roman" w:cs="Arial"/>
                <w:b/>
                <w:bCs/>
                <w:color w:val="000000" w:themeColor="text1"/>
                <w:lang w:eastAsia="en-AU"/>
              </w:rPr>
              <w:t>3</w:t>
            </w:r>
            <w:r w:rsidRPr="110985B9">
              <w:rPr>
                <w:rFonts w:eastAsia="Times New Roman" w:cs="Arial"/>
                <w:b/>
                <w:bCs/>
                <w:color w:val="000000" w:themeColor="text1"/>
                <w:lang w:eastAsia="en-AU"/>
              </w:rPr>
              <w:t>-</w:t>
            </w:r>
            <w:r w:rsidR="00070E34" w:rsidRPr="110985B9">
              <w:rPr>
                <w:rFonts w:eastAsia="Times New Roman" w:cs="Arial"/>
                <w:b/>
                <w:bCs/>
                <w:color w:val="000000" w:themeColor="text1"/>
                <w:lang w:eastAsia="en-AU"/>
              </w:rPr>
              <w:t>204</w:t>
            </w:r>
            <w:r w:rsidR="00B70B50">
              <w:rPr>
                <w:rFonts w:eastAsia="Times New Roman" w:cs="Arial"/>
                <w:b/>
                <w:bCs/>
                <w:color w:val="000000" w:themeColor="text1"/>
                <w:lang w:eastAsia="en-AU"/>
              </w:rPr>
              <w:t>3</w:t>
            </w:r>
          </w:p>
        </w:tc>
      </w:tr>
      <w:tr w:rsidR="00D84DF5" w:rsidRPr="00537E40" w14:paraId="1FF41C0F" w14:textId="77777777" w:rsidTr="004973A9">
        <w:trPr>
          <w:trHeight w:val="340"/>
        </w:trPr>
        <w:tc>
          <w:tcPr>
            <w:tcW w:w="3114" w:type="dxa"/>
            <w:tcBorders>
              <w:top w:val="nil"/>
              <w:left w:val="single" w:sz="4" w:space="0" w:color="auto"/>
              <w:bottom w:val="single" w:sz="4" w:space="0" w:color="auto"/>
              <w:right w:val="single" w:sz="4" w:space="0" w:color="auto"/>
            </w:tcBorders>
            <w:shd w:val="clear" w:color="auto" w:fill="auto"/>
            <w:noWrap/>
            <w:vAlign w:val="center"/>
          </w:tcPr>
          <w:p w14:paraId="0C13AE97" w14:textId="77777777" w:rsidR="00D84DF5" w:rsidRDefault="00D84DF5">
            <w:pPr>
              <w:spacing w:after="0"/>
              <w:rPr>
                <w:rFonts w:cs="Arial"/>
                <w:b/>
                <w:bCs/>
                <w:color w:val="000000"/>
                <w:szCs w:val="20"/>
              </w:rPr>
            </w:pPr>
            <w:r>
              <w:rPr>
                <w:rFonts w:cs="Arial"/>
                <w:b/>
                <w:bCs/>
                <w:color w:val="000000"/>
                <w:szCs w:val="20"/>
              </w:rPr>
              <w:t>Residential</w:t>
            </w:r>
          </w:p>
        </w:tc>
        <w:tc>
          <w:tcPr>
            <w:tcW w:w="1251" w:type="dxa"/>
            <w:tcBorders>
              <w:top w:val="nil"/>
              <w:left w:val="nil"/>
              <w:bottom w:val="single" w:sz="4" w:space="0" w:color="auto"/>
              <w:right w:val="single" w:sz="4" w:space="0" w:color="auto"/>
            </w:tcBorders>
            <w:shd w:val="clear" w:color="auto" w:fill="auto"/>
            <w:noWrap/>
            <w:vAlign w:val="center"/>
          </w:tcPr>
          <w:p w14:paraId="10219CF8" w14:textId="55619BCC" w:rsidR="00D84DF5" w:rsidRPr="00B70B50" w:rsidRDefault="00B70B50">
            <w:pPr>
              <w:spacing w:after="0"/>
              <w:jc w:val="right"/>
              <w:rPr>
                <w:rFonts w:cs="Arial"/>
                <w:color w:val="000000" w:themeColor="text1"/>
              </w:rPr>
            </w:pPr>
            <w:r w:rsidRPr="00B70B50">
              <w:rPr>
                <w:rFonts w:cs="Arial"/>
                <w:color w:val="000000" w:themeColor="text1"/>
              </w:rPr>
              <w:t>9,392</w:t>
            </w:r>
            <w:r w:rsidR="00D84DF5" w:rsidRPr="00B70B50">
              <w:rPr>
                <w:rFonts w:cs="Arial"/>
                <w:color w:val="000000" w:themeColor="text1"/>
              </w:rPr>
              <w:t xml:space="preserve"> </w:t>
            </w:r>
          </w:p>
        </w:tc>
        <w:tc>
          <w:tcPr>
            <w:tcW w:w="1304" w:type="dxa"/>
            <w:tcBorders>
              <w:top w:val="nil"/>
              <w:left w:val="nil"/>
              <w:bottom w:val="single" w:sz="4" w:space="0" w:color="auto"/>
              <w:right w:val="single" w:sz="4" w:space="0" w:color="auto"/>
            </w:tcBorders>
            <w:shd w:val="clear" w:color="auto" w:fill="auto"/>
            <w:noWrap/>
            <w:vAlign w:val="center"/>
          </w:tcPr>
          <w:p w14:paraId="46050902" w14:textId="2DFD7576" w:rsidR="00D84DF5" w:rsidRPr="00B70B50" w:rsidRDefault="00D84DF5">
            <w:pPr>
              <w:spacing w:after="0"/>
              <w:jc w:val="right"/>
              <w:rPr>
                <w:rFonts w:cs="Arial"/>
                <w:color w:val="000000" w:themeColor="text1"/>
              </w:rPr>
            </w:pPr>
            <w:r w:rsidRPr="00B70B50">
              <w:rPr>
                <w:rFonts w:cs="Arial"/>
                <w:color w:val="000000" w:themeColor="text1"/>
              </w:rPr>
              <w:t>9,</w:t>
            </w:r>
            <w:r w:rsidR="00B70B50" w:rsidRPr="00B70B50">
              <w:rPr>
                <w:rFonts w:cs="Arial"/>
                <w:color w:val="000000" w:themeColor="text1"/>
              </w:rPr>
              <w:t>951</w:t>
            </w:r>
            <w:r w:rsidRPr="00B70B50">
              <w:rPr>
                <w:rFonts w:cs="Arial"/>
                <w:color w:val="000000" w:themeColor="text1"/>
              </w:rPr>
              <w:t xml:space="preserve"> </w:t>
            </w:r>
          </w:p>
        </w:tc>
        <w:tc>
          <w:tcPr>
            <w:tcW w:w="1304" w:type="dxa"/>
            <w:tcBorders>
              <w:top w:val="nil"/>
              <w:left w:val="nil"/>
              <w:bottom w:val="single" w:sz="4" w:space="0" w:color="auto"/>
              <w:right w:val="single" w:sz="4" w:space="0" w:color="auto"/>
            </w:tcBorders>
            <w:shd w:val="clear" w:color="auto" w:fill="auto"/>
            <w:noWrap/>
            <w:vAlign w:val="center"/>
          </w:tcPr>
          <w:p w14:paraId="63724C32" w14:textId="1C2ECD22" w:rsidR="00D84DF5" w:rsidRPr="00B70B50" w:rsidRDefault="00D84DF5">
            <w:pPr>
              <w:spacing w:after="0"/>
              <w:jc w:val="right"/>
              <w:rPr>
                <w:rFonts w:cs="Arial"/>
                <w:color w:val="000000" w:themeColor="text1"/>
              </w:rPr>
            </w:pPr>
            <w:r w:rsidRPr="00B70B50">
              <w:rPr>
                <w:rFonts w:cs="Arial"/>
                <w:color w:val="000000" w:themeColor="text1"/>
              </w:rPr>
              <w:t xml:space="preserve">    11,</w:t>
            </w:r>
            <w:r w:rsidR="00B70B50" w:rsidRPr="00B70B50">
              <w:rPr>
                <w:rFonts w:cs="Arial"/>
                <w:color w:val="000000" w:themeColor="text1"/>
              </w:rPr>
              <w:t>522</w:t>
            </w:r>
            <w:r w:rsidRPr="00B70B50">
              <w:rPr>
                <w:rFonts w:cs="Arial"/>
                <w:color w:val="000000" w:themeColor="text1"/>
              </w:rPr>
              <w:t xml:space="preserve"> </w:t>
            </w:r>
          </w:p>
        </w:tc>
        <w:tc>
          <w:tcPr>
            <w:tcW w:w="1244" w:type="dxa"/>
            <w:tcBorders>
              <w:top w:val="nil"/>
              <w:left w:val="nil"/>
              <w:bottom w:val="single" w:sz="4" w:space="0" w:color="auto"/>
              <w:right w:val="single" w:sz="4" w:space="0" w:color="auto"/>
            </w:tcBorders>
            <w:shd w:val="clear" w:color="auto" w:fill="auto"/>
            <w:noWrap/>
            <w:vAlign w:val="center"/>
          </w:tcPr>
          <w:p w14:paraId="4F00C82A" w14:textId="563CAE2F" w:rsidR="00D84DF5" w:rsidRPr="00B70B50" w:rsidRDefault="00D84DF5">
            <w:pPr>
              <w:spacing w:after="0"/>
              <w:jc w:val="right"/>
              <w:rPr>
                <w:rFonts w:cs="Arial"/>
                <w:color w:val="000000" w:themeColor="text1"/>
              </w:rPr>
            </w:pPr>
            <w:r w:rsidRPr="00B70B50">
              <w:rPr>
                <w:rFonts w:cs="Arial"/>
                <w:color w:val="000000" w:themeColor="text1"/>
              </w:rPr>
              <w:t>2,</w:t>
            </w:r>
            <w:r w:rsidR="00B70B50" w:rsidRPr="00B70B50">
              <w:rPr>
                <w:rFonts w:cs="Arial"/>
                <w:color w:val="000000" w:themeColor="text1"/>
              </w:rPr>
              <w:t>130</w:t>
            </w:r>
            <w:r w:rsidRPr="00B70B50">
              <w:rPr>
                <w:rFonts w:cs="Arial"/>
                <w:color w:val="000000" w:themeColor="text1"/>
              </w:rPr>
              <w:t xml:space="preserve"> </w:t>
            </w:r>
          </w:p>
        </w:tc>
        <w:tc>
          <w:tcPr>
            <w:tcW w:w="1477" w:type="dxa"/>
            <w:tcBorders>
              <w:top w:val="nil"/>
              <w:left w:val="nil"/>
              <w:bottom w:val="single" w:sz="4" w:space="0" w:color="auto"/>
              <w:right w:val="single" w:sz="4" w:space="0" w:color="auto"/>
            </w:tcBorders>
            <w:shd w:val="clear" w:color="auto" w:fill="auto"/>
            <w:noWrap/>
            <w:vAlign w:val="center"/>
          </w:tcPr>
          <w:p w14:paraId="01A12B89" w14:textId="18CB0EB7" w:rsidR="00D84DF5" w:rsidRPr="00B70B50" w:rsidRDefault="00B70B50">
            <w:pPr>
              <w:spacing w:after="0"/>
              <w:jc w:val="right"/>
              <w:rPr>
                <w:rFonts w:cs="Arial"/>
                <w:color w:val="000000" w:themeColor="text1"/>
              </w:rPr>
            </w:pPr>
            <w:r w:rsidRPr="00B70B50">
              <w:rPr>
                <w:rFonts w:cs="Arial"/>
                <w:color w:val="000000" w:themeColor="text1"/>
              </w:rPr>
              <w:t>31.9</w:t>
            </w:r>
            <w:r w:rsidR="00D84DF5" w:rsidRPr="00B70B50">
              <w:rPr>
                <w:rFonts w:cs="Arial"/>
                <w:color w:val="000000" w:themeColor="text1"/>
              </w:rPr>
              <w:t>%</w:t>
            </w:r>
          </w:p>
        </w:tc>
      </w:tr>
      <w:tr w:rsidR="00D84DF5" w:rsidRPr="00537E40" w14:paraId="502592BD" w14:textId="77777777" w:rsidTr="004973A9">
        <w:trPr>
          <w:trHeight w:val="340"/>
        </w:trPr>
        <w:tc>
          <w:tcPr>
            <w:tcW w:w="3114" w:type="dxa"/>
            <w:tcBorders>
              <w:top w:val="nil"/>
              <w:left w:val="single" w:sz="4" w:space="0" w:color="auto"/>
              <w:bottom w:val="single" w:sz="4" w:space="0" w:color="auto"/>
              <w:right w:val="single" w:sz="4" w:space="0" w:color="auto"/>
            </w:tcBorders>
            <w:shd w:val="clear" w:color="auto" w:fill="auto"/>
            <w:noWrap/>
            <w:vAlign w:val="center"/>
          </w:tcPr>
          <w:p w14:paraId="34B5983A" w14:textId="77777777" w:rsidR="00D84DF5" w:rsidRDefault="00D84DF5">
            <w:pPr>
              <w:spacing w:after="0" w:line="240" w:lineRule="auto"/>
              <w:rPr>
                <w:rFonts w:cs="Arial"/>
                <w:b/>
                <w:bCs/>
                <w:color w:val="000000"/>
                <w:szCs w:val="20"/>
                <w:lang w:eastAsia="en-AU"/>
              </w:rPr>
            </w:pPr>
            <w:r>
              <w:rPr>
                <w:rFonts w:cs="Arial"/>
                <w:b/>
                <w:bCs/>
                <w:color w:val="000000"/>
                <w:szCs w:val="20"/>
              </w:rPr>
              <w:t>Office</w:t>
            </w:r>
          </w:p>
        </w:tc>
        <w:tc>
          <w:tcPr>
            <w:tcW w:w="1251" w:type="dxa"/>
            <w:tcBorders>
              <w:top w:val="nil"/>
              <w:left w:val="nil"/>
              <w:bottom w:val="single" w:sz="4" w:space="0" w:color="auto"/>
              <w:right w:val="single" w:sz="4" w:space="0" w:color="auto"/>
            </w:tcBorders>
            <w:shd w:val="clear" w:color="auto" w:fill="auto"/>
            <w:noWrap/>
            <w:vAlign w:val="center"/>
          </w:tcPr>
          <w:p w14:paraId="0481FA77" w14:textId="7BE4841C" w:rsidR="00D84DF5" w:rsidRPr="00B70B50" w:rsidRDefault="00D84DF5">
            <w:pPr>
              <w:spacing w:after="0"/>
              <w:jc w:val="right"/>
              <w:rPr>
                <w:rFonts w:cs="Arial"/>
                <w:color w:val="000000" w:themeColor="text1"/>
              </w:rPr>
            </w:pPr>
            <w:r w:rsidRPr="00B70B50">
              <w:rPr>
                <w:rFonts w:cs="Arial"/>
                <w:color w:val="000000" w:themeColor="text1"/>
              </w:rPr>
              <w:t>5,</w:t>
            </w:r>
            <w:r w:rsidR="00B70B50" w:rsidRPr="00B70B50">
              <w:rPr>
                <w:rFonts w:cs="Arial"/>
                <w:color w:val="000000" w:themeColor="text1"/>
              </w:rPr>
              <w:t>687</w:t>
            </w:r>
            <w:r w:rsidRPr="00B70B50">
              <w:rPr>
                <w:rFonts w:cs="Arial"/>
                <w:color w:val="000000" w:themeColor="text1"/>
              </w:rPr>
              <w:t xml:space="preserve"> </w:t>
            </w:r>
          </w:p>
        </w:tc>
        <w:tc>
          <w:tcPr>
            <w:tcW w:w="1304" w:type="dxa"/>
            <w:tcBorders>
              <w:top w:val="nil"/>
              <w:left w:val="nil"/>
              <w:bottom w:val="single" w:sz="4" w:space="0" w:color="auto"/>
              <w:right w:val="single" w:sz="4" w:space="0" w:color="auto"/>
            </w:tcBorders>
            <w:shd w:val="clear" w:color="auto" w:fill="auto"/>
            <w:noWrap/>
            <w:vAlign w:val="center"/>
          </w:tcPr>
          <w:p w14:paraId="732D7738" w14:textId="065D382D" w:rsidR="00D84DF5" w:rsidRPr="00B70B50" w:rsidRDefault="00D84DF5">
            <w:pPr>
              <w:spacing w:after="0"/>
              <w:jc w:val="right"/>
              <w:rPr>
                <w:rFonts w:cs="Arial"/>
                <w:color w:val="000000" w:themeColor="text1"/>
              </w:rPr>
            </w:pPr>
            <w:r w:rsidRPr="00B70B50">
              <w:rPr>
                <w:rFonts w:cs="Arial"/>
                <w:color w:val="000000" w:themeColor="text1"/>
              </w:rPr>
              <w:t>5,</w:t>
            </w:r>
            <w:r w:rsidR="00B70B50" w:rsidRPr="00B70B50">
              <w:rPr>
                <w:rFonts w:cs="Arial"/>
                <w:color w:val="000000" w:themeColor="text1"/>
              </w:rPr>
              <w:t>884</w:t>
            </w:r>
            <w:r w:rsidRPr="00B70B50">
              <w:rPr>
                <w:rFonts w:cs="Arial"/>
                <w:color w:val="000000" w:themeColor="text1"/>
              </w:rPr>
              <w:t xml:space="preserve"> </w:t>
            </w:r>
          </w:p>
        </w:tc>
        <w:tc>
          <w:tcPr>
            <w:tcW w:w="1304" w:type="dxa"/>
            <w:tcBorders>
              <w:top w:val="nil"/>
              <w:left w:val="nil"/>
              <w:bottom w:val="single" w:sz="4" w:space="0" w:color="auto"/>
              <w:right w:val="single" w:sz="4" w:space="0" w:color="auto"/>
            </w:tcBorders>
            <w:shd w:val="clear" w:color="auto" w:fill="auto"/>
            <w:noWrap/>
            <w:vAlign w:val="center"/>
          </w:tcPr>
          <w:p w14:paraId="01F79763" w14:textId="7916F364" w:rsidR="00D84DF5" w:rsidRPr="00B70B50" w:rsidRDefault="00D84DF5">
            <w:pPr>
              <w:spacing w:after="0"/>
              <w:jc w:val="right"/>
              <w:rPr>
                <w:rFonts w:cs="Arial"/>
                <w:color w:val="000000" w:themeColor="text1"/>
              </w:rPr>
            </w:pPr>
            <w:r w:rsidRPr="00B70B50">
              <w:rPr>
                <w:rFonts w:cs="Arial"/>
                <w:color w:val="000000" w:themeColor="text1"/>
              </w:rPr>
              <w:t xml:space="preserve">      </w:t>
            </w:r>
            <w:r w:rsidR="00B70B50" w:rsidRPr="00B70B50">
              <w:rPr>
                <w:rFonts w:cs="Arial"/>
                <w:color w:val="000000" w:themeColor="text1"/>
              </w:rPr>
              <w:t>6,136</w:t>
            </w:r>
            <w:r w:rsidRPr="00B70B50">
              <w:rPr>
                <w:rFonts w:cs="Arial"/>
                <w:color w:val="000000" w:themeColor="text1"/>
              </w:rPr>
              <w:t xml:space="preserve"> </w:t>
            </w:r>
          </w:p>
        </w:tc>
        <w:tc>
          <w:tcPr>
            <w:tcW w:w="1244" w:type="dxa"/>
            <w:tcBorders>
              <w:top w:val="nil"/>
              <w:left w:val="nil"/>
              <w:bottom w:val="single" w:sz="4" w:space="0" w:color="auto"/>
              <w:right w:val="single" w:sz="4" w:space="0" w:color="auto"/>
            </w:tcBorders>
            <w:shd w:val="clear" w:color="auto" w:fill="auto"/>
            <w:noWrap/>
            <w:vAlign w:val="center"/>
          </w:tcPr>
          <w:p w14:paraId="70183708" w14:textId="6FC8C19C" w:rsidR="00D84DF5" w:rsidRPr="00B70B50" w:rsidRDefault="00D84DF5">
            <w:pPr>
              <w:spacing w:after="0"/>
              <w:jc w:val="right"/>
              <w:rPr>
                <w:rFonts w:cs="Arial"/>
                <w:color w:val="000000" w:themeColor="text1"/>
              </w:rPr>
            </w:pPr>
            <w:r w:rsidRPr="00B70B50">
              <w:rPr>
                <w:rFonts w:cs="Arial"/>
                <w:color w:val="000000" w:themeColor="text1"/>
              </w:rPr>
              <w:t>4</w:t>
            </w:r>
            <w:r w:rsidR="00B70B50" w:rsidRPr="00B70B50">
              <w:rPr>
                <w:rFonts w:cs="Arial"/>
                <w:color w:val="000000" w:themeColor="text1"/>
              </w:rPr>
              <w:t>49</w:t>
            </w:r>
            <w:r w:rsidRPr="00B70B50">
              <w:rPr>
                <w:rFonts w:cs="Arial"/>
                <w:color w:val="000000" w:themeColor="text1"/>
              </w:rPr>
              <w:t xml:space="preserve"> </w:t>
            </w:r>
          </w:p>
        </w:tc>
        <w:tc>
          <w:tcPr>
            <w:tcW w:w="1477" w:type="dxa"/>
            <w:tcBorders>
              <w:top w:val="nil"/>
              <w:left w:val="nil"/>
              <w:bottom w:val="single" w:sz="4" w:space="0" w:color="auto"/>
              <w:right w:val="single" w:sz="4" w:space="0" w:color="auto"/>
            </w:tcBorders>
            <w:shd w:val="clear" w:color="auto" w:fill="auto"/>
            <w:noWrap/>
            <w:vAlign w:val="center"/>
          </w:tcPr>
          <w:p w14:paraId="66C1FB03" w14:textId="57AACD28" w:rsidR="00D84DF5" w:rsidRPr="00B70B50" w:rsidRDefault="00D84DF5" w:rsidP="004973A9">
            <w:pPr>
              <w:spacing w:after="0"/>
              <w:jc w:val="right"/>
              <w:rPr>
                <w:rFonts w:cs="Arial"/>
                <w:color w:val="000000" w:themeColor="text1"/>
              </w:rPr>
            </w:pPr>
            <w:r w:rsidRPr="00B70B50">
              <w:rPr>
                <w:rFonts w:cs="Arial"/>
                <w:color w:val="000000" w:themeColor="text1"/>
              </w:rPr>
              <w:t>6</w:t>
            </w:r>
            <w:r w:rsidR="00B70B50" w:rsidRPr="00B70B50">
              <w:rPr>
                <w:rFonts w:cs="Arial"/>
                <w:color w:val="000000" w:themeColor="text1"/>
              </w:rPr>
              <w:t>.7</w:t>
            </w:r>
            <w:r w:rsidRPr="00B70B50">
              <w:rPr>
                <w:rFonts w:cs="Arial"/>
                <w:color w:val="000000" w:themeColor="text1"/>
              </w:rPr>
              <w:t>%</w:t>
            </w:r>
          </w:p>
        </w:tc>
      </w:tr>
      <w:tr w:rsidR="00D84DF5" w:rsidRPr="00537E40" w14:paraId="034A6320" w14:textId="77777777" w:rsidTr="004973A9">
        <w:trPr>
          <w:trHeight w:val="340"/>
        </w:trPr>
        <w:tc>
          <w:tcPr>
            <w:tcW w:w="3114" w:type="dxa"/>
            <w:tcBorders>
              <w:top w:val="nil"/>
              <w:left w:val="single" w:sz="4" w:space="0" w:color="auto"/>
              <w:bottom w:val="single" w:sz="4" w:space="0" w:color="auto"/>
              <w:right w:val="single" w:sz="4" w:space="0" w:color="auto"/>
            </w:tcBorders>
            <w:shd w:val="clear" w:color="auto" w:fill="auto"/>
            <w:noWrap/>
            <w:vAlign w:val="center"/>
          </w:tcPr>
          <w:p w14:paraId="315D7AEE" w14:textId="77777777" w:rsidR="00D84DF5" w:rsidRDefault="00D84DF5">
            <w:pPr>
              <w:spacing w:after="0"/>
              <w:rPr>
                <w:rFonts w:cs="Arial"/>
                <w:b/>
                <w:bCs/>
                <w:color w:val="000000"/>
                <w:szCs w:val="20"/>
              </w:rPr>
            </w:pPr>
            <w:r>
              <w:rPr>
                <w:rFonts w:cs="Arial"/>
                <w:b/>
                <w:bCs/>
                <w:color w:val="000000"/>
                <w:szCs w:val="20"/>
              </w:rPr>
              <w:t>Accommodation - Commercial</w:t>
            </w:r>
          </w:p>
        </w:tc>
        <w:tc>
          <w:tcPr>
            <w:tcW w:w="1251" w:type="dxa"/>
            <w:tcBorders>
              <w:top w:val="nil"/>
              <w:left w:val="nil"/>
              <w:bottom w:val="single" w:sz="4" w:space="0" w:color="auto"/>
              <w:right w:val="single" w:sz="4" w:space="0" w:color="auto"/>
            </w:tcBorders>
            <w:shd w:val="clear" w:color="auto" w:fill="auto"/>
            <w:noWrap/>
            <w:vAlign w:val="center"/>
          </w:tcPr>
          <w:p w14:paraId="6F29F534" w14:textId="0981F9B4" w:rsidR="00D84DF5" w:rsidRPr="00B70B50" w:rsidRDefault="00B70B50">
            <w:pPr>
              <w:spacing w:after="0"/>
              <w:jc w:val="right"/>
              <w:rPr>
                <w:rFonts w:cs="Arial"/>
                <w:color w:val="000000" w:themeColor="text1"/>
              </w:rPr>
            </w:pPr>
            <w:r w:rsidRPr="00B70B50">
              <w:rPr>
                <w:rFonts w:cs="Arial"/>
                <w:color w:val="000000" w:themeColor="text1"/>
              </w:rPr>
              <w:t>1,662</w:t>
            </w:r>
            <w:r w:rsidR="00D84DF5" w:rsidRPr="00B70B50">
              <w:rPr>
                <w:rFonts w:cs="Arial"/>
                <w:color w:val="000000" w:themeColor="text1"/>
              </w:rPr>
              <w:t xml:space="preserve"> </w:t>
            </w:r>
          </w:p>
        </w:tc>
        <w:tc>
          <w:tcPr>
            <w:tcW w:w="1304" w:type="dxa"/>
            <w:tcBorders>
              <w:top w:val="nil"/>
              <w:left w:val="nil"/>
              <w:bottom w:val="single" w:sz="4" w:space="0" w:color="auto"/>
              <w:right w:val="single" w:sz="4" w:space="0" w:color="auto"/>
            </w:tcBorders>
            <w:shd w:val="clear" w:color="auto" w:fill="auto"/>
            <w:noWrap/>
            <w:vAlign w:val="center"/>
          </w:tcPr>
          <w:p w14:paraId="01DA2265" w14:textId="73210E9E" w:rsidR="00D84DF5" w:rsidRPr="00B70B50" w:rsidRDefault="00B70B50">
            <w:pPr>
              <w:spacing w:after="0"/>
              <w:jc w:val="right"/>
              <w:rPr>
                <w:rFonts w:cs="Arial"/>
                <w:color w:val="000000" w:themeColor="text1"/>
              </w:rPr>
            </w:pPr>
            <w:r w:rsidRPr="00B70B50">
              <w:rPr>
                <w:rFonts w:cs="Arial"/>
                <w:color w:val="000000" w:themeColor="text1"/>
              </w:rPr>
              <w:t>2,463</w:t>
            </w:r>
            <w:r w:rsidR="00D84DF5" w:rsidRPr="00B70B50">
              <w:rPr>
                <w:rFonts w:cs="Arial"/>
                <w:color w:val="000000" w:themeColor="text1"/>
              </w:rPr>
              <w:t xml:space="preserve"> </w:t>
            </w:r>
          </w:p>
        </w:tc>
        <w:tc>
          <w:tcPr>
            <w:tcW w:w="1304" w:type="dxa"/>
            <w:tcBorders>
              <w:top w:val="nil"/>
              <w:left w:val="nil"/>
              <w:bottom w:val="single" w:sz="4" w:space="0" w:color="auto"/>
              <w:right w:val="single" w:sz="4" w:space="0" w:color="auto"/>
            </w:tcBorders>
            <w:shd w:val="clear" w:color="auto" w:fill="auto"/>
            <w:noWrap/>
            <w:vAlign w:val="center"/>
          </w:tcPr>
          <w:p w14:paraId="28EB370C" w14:textId="49DB5296" w:rsidR="00D84DF5" w:rsidRPr="00B70B50" w:rsidRDefault="00D84DF5">
            <w:pPr>
              <w:spacing w:after="0"/>
              <w:jc w:val="right"/>
              <w:rPr>
                <w:rFonts w:cs="Arial"/>
                <w:color w:val="000000" w:themeColor="text1"/>
              </w:rPr>
            </w:pPr>
            <w:r w:rsidRPr="00B70B50">
              <w:rPr>
                <w:rFonts w:cs="Arial"/>
                <w:color w:val="000000" w:themeColor="text1"/>
              </w:rPr>
              <w:t xml:space="preserve">      2,</w:t>
            </w:r>
            <w:r w:rsidR="00B70B50" w:rsidRPr="00B70B50">
              <w:rPr>
                <w:rFonts w:cs="Arial"/>
                <w:color w:val="000000" w:themeColor="text1"/>
              </w:rPr>
              <w:t>654</w:t>
            </w:r>
            <w:r w:rsidRPr="00B70B50">
              <w:rPr>
                <w:rFonts w:cs="Arial"/>
                <w:color w:val="000000" w:themeColor="text1"/>
              </w:rPr>
              <w:t xml:space="preserve"> </w:t>
            </w:r>
          </w:p>
        </w:tc>
        <w:tc>
          <w:tcPr>
            <w:tcW w:w="1244" w:type="dxa"/>
            <w:tcBorders>
              <w:top w:val="nil"/>
              <w:left w:val="nil"/>
              <w:bottom w:val="single" w:sz="4" w:space="0" w:color="auto"/>
              <w:right w:val="single" w:sz="4" w:space="0" w:color="auto"/>
            </w:tcBorders>
            <w:shd w:val="clear" w:color="auto" w:fill="auto"/>
            <w:noWrap/>
            <w:vAlign w:val="center"/>
          </w:tcPr>
          <w:p w14:paraId="623AFC86" w14:textId="181C402B" w:rsidR="00D84DF5" w:rsidRPr="00B70B50" w:rsidRDefault="00B70B50">
            <w:pPr>
              <w:spacing w:after="0"/>
              <w:jc w:val="right"/>
              <w:rPr>
                <w:rFonts w:cs="Arial"/>
                <w:color w:val="000000" w:themeColor="text1"/>
              </w:rPr>
            </w:pPr>
            <w:r w:rsidRPr="00B70B50">
              <w:rPr>
                <w:rFonts w:cs="Arial"/>
                <w:color w:val="000000" w:themeColor="text1"/>
              </w:rPr>
              <w:t>992</w:t>
            </w:r>
            <w:r w:rsidR="00D84DF5" w:rsidRPr="00B70B50">
              <w:rPr>
                <w:rFonts w:cs="Arial"/>
                <w:color w:val="000000" w:themeColor="text1"/>
              </w:rPr>
              <w:t xml:space="preserve"> </w:t>
            </w:r>
          </w:p>
        </w:tc>
        <w:tc>
          <w:tcPr>
            <w:tcW w:w="1477" w:type="dxa"/>
            <w:tcBorders>
              <w:top w:val="nil"/>
              <w:left w:val="nil"/>
              <w:bottom w:val="single" w:sz="4" w:space="0" w:color="auto"/>
              <w:right w:val="single" w:sz="4" w:space="0" w:color="auto"/>
            </w:tcBorders>
            <w:shd w:val="clear" w:color="auto" w:fill="auto"/>
            <w:noWrap/>
            <w:vAlign w:val="center"/>
          </w:tcPr>
          <w:p w14:paraId="6EFD48CB" w14:textId="219FD563" w:rsidR="00D84DF5" w:rsidRPr="00B70B50" w:rsidRDefault="00D84DF5">
            <w:pPr>
              <w:spacing w:after="0"/>
              <w:jc w:val="right"/>
              <w:rPr>
                <w:rFonts w:cs="Arial"/>
                <w:color w:val="000000" w:themeColor="text1"/>
              </w:rPr>
            </w:pPr>
            <w:r w:rsidRPr="00B70B50">
              <w:rPr>
                <w:rFonts w:cs="Arial"/>
                <w:color w:val="000000" w:themeColor="text1"/>
              </w:rPr>
              <w:t>1</w:t>
            </w:r>
            <w:r w:rsidR="00B70B50" w:rsidRPr="00B70B50">
              <w:rPr>
                <w:rFonts w:cs="Arial"/>
                <w:color w:val="000000" w:themeColor="text1"/>
              </w:rPr>
              <w:t>4.8</w:t>
            </w:r>
            <w:r w:rsidRPr="00B70B50">
              <w:rPr>
                <w:rFonts w:cs="Arial"/>
                <w:color w:val="000000" w:themeColor="text1"/>
              </w:rPr>
              <w:t>%</w:t>
            </w:r>
          </w:p>
        </w:tc>
      </w:tr>
      <w:tr w:rsidR="00D84DF5" w:rsidRPr="00537E40" w14:paraId="099AC082" w14:textId="77777777" w:rsidTr="004973A9">
        <w:trPr>
          <w:trHeight w:val="340"/>
        </w:trPr>
        <w:tc>
          <w:tcPr>
            <w:tcW w:w="3114" w:type="dxa"/>
            <w:tcBorders>
              <w:top w:val="nil"/>
              <w:left w:val="single" w:sz="4" w:space="0" w:color="auto"/>
              <w:bottom w:val="single" w:sz="4" w:space="0" w:color="auto"/>
              <w:right w:val="single" w:sz="4" w:space="0" w:color="auto"/>
            </w:tcBorders>
            <w:shd w:val="clear" w:color="auto" w:fill="auto"/>
            <w:noWrap/>
            <w:vAlign w:val="center"/>
          </w:tcPr>
          <w:p w14:paraId="14C7AFDD" w14:textId="77777777" w:rsidR="00D84DF5" w:rsidRDefault="00D84DF5">
            <w:pPr>
              <w:spacing w:after="0"/>
              <w:rPr>
                <w:rFonts w:cs="Arial"/>
                <w:b/>
                <w:bCs/>
                <w:color w:val="000000"/>
                <w:szCs w:val="20"/>
              </w:rPr>
            </w:pPr>
            <w:r>
              <w:rPr>
                <w:rFonts w:cs="Arial"/>
                <w:b/>
                <w:bCs/>
                <w:color w:val="000000"/>
                <w:szCs w:val="20"/>
              </w:rPr>
              <w:t>Other - Employment</w:t>
            </w:r>
          </w:p>
        </w:tc>
        <w:tc>
          <w:tcPr>
            <w:tcW w:w="1251" w:type="dxa"/>
            <w:tcBorders>
              <w:top w:val="nil"/>
              <w:left w:val="nil"/>
              <w:bottom w:val="single" w:sz="4" w:space="0" w:color="auto"/>
              <w:right w:val="single" w:sz="4" w:space="0" w:color="auto"/>
            </w:tcBorders>
            <w:shd w:val="clear" w:color="auto" w:fill="auto"/>
            <w:noWrap/>
            <w:vAlign w:val="center"/>
          </w:tcPr>
          <w:p w14:paraId="42ACCD80" w14:textId="371454FB" w:rsidR="00D84DF5" w:rsidRPr="00B70B50" w:rsidRDefault="00D84DF5">
            <w:pPr>
              <w:spacing w:after="0"/>
              <w:jc w:val="right"/>
              <w:rPr>
                <w:rFonts w:cs="Arial"/>
                <w:color w:val="000000" w:themeColor="text1"/>
              </w:rPr>
            </w:pPr>
            <w:r w:rsidRPr="00B70B50">
              <w:rPr>
                <w:rFonts w:cs="Arial"/>
                <w:color w:val="000000" w:themeColor="text1"/>
              </w:rPr>
              <w:t>1,</w:t>
            </w:r>
            <w:r w:rsidR="00B70B50" w:rsidRPr="00B70B50">
              <w:rPr>
                <w:rFonts w:cs="Arial"/>
                <w:color w:val="000000" w:themeColor="text1"/>
              </w:rPr>
              <w:t>467</w:t>
            </w:r>
            <w:r w:rsidRPr="00B70B50">
              <w:rPr>
                <w:rFonts w:cs="Arial"/>
                <w:color w:val="000000" w:themeColor="text1"/>
              </w:rPr>
              <w:t xml:space="preserve"> </w:t>
            </w:r>
          </w:p>
        </w:tc>
        <w:tc>
          <w:tcPr>
            <w:tcW w:w="1304" w:type="dxa"/>
            <w:tcBorders>
              <w:top w:val="nil"/>
              <w:left w:val="nil"/>
              <w:bottom w:val="single" w:sz="4" w:space="0" w:color="auto"/>
              <w:right w:val="single" w:sz="4" w:space="0" w:color="auto"/>
            </w:tcBorders>
            <w:shd w:val="clear" w:color="auto" w:fill="auto"/>
            <w:noWrap/>
            <w:vAlign w:val="center"/>
          </w:tcPr>
          <w:p w14:paraId="47F7A340" w14:textId="2DC39433" w:rsidR="00D84DF5" w:rsidRPr="00B70B50" w:rsidRDefault="00B70B50">
            <w:pPr>
              <w:spacing w:after="0"/>
              <w:jc w:val="right"/>
              <w:rPr>
                <w:rFonts w:cs="Arial"/>
                <w:color w:val="000000" w:themeColor="text1"/>
              </w:rPr>
            </w:pPr>
            <w:r w:rsidRPr="00B70B50">
              <w:rPr>
                <w:rFonts w:cs="Arial"/>
                <w:color w:val="000000" w:themeColor="text1"/>
              </w:rPr>
              <w:t>2,081</w:t>
            </w:r>
            <w:r w:rsidR="00D84DF5" w:rsidRPr="00B70B50">
              <w:rPr>
                <w:rFonts w:cs="Arial"/>
                <w:color w:val="000000" w:themeColor="text1"/>
              </w:rPr>
              <w:t xml:space="preserve"> </w:t>
            </w:r>
          </w:p>
        </w:tc>
        <w:tc>
          <w:tcPr>
            <w:tcW w:w="1304" w:type="dxa"/>
            <w:tcBorders>
              <w:top w:val="nil"/>
              <w:left w:val="nil"/>
              <w:bottom w:val="single" w:sz="4" w:space="0" w:color="auto"/>
              <w:right w:val="single" w:sz="4" w:space="0" w:color="auto"/>
            </w:tcBorders>
            <w:shd w:val="clear" w:color="auto" w:fill="auto"/>
            <w:noWrap/>
            <w:vAlign w:val="center"/>
          </w:tcPr>
          <w:p w14:paraId="159BD04B" w14:textId="0E1CC05C" w:rsidR="00D84DF5" w:rsidRPr="00B70B50" w:rsidRDefault="00D84DF5">
            <w:pPr>
              <w:spacing w:after="0"/>
              <w:jc w:val="right"/>
              <w:rPr>
                <w:rFonts w:cs="Arial"/>
                <w:color w:val="000000" w:themeColor="text1"/>
              </w:rPr>
            </w:pPr>
            <w:r w:rsidRPr="00B70B50">
              <w:rPr>
                <w:rFonts w:cs="Arial"/>
                <w:color w:val="000000" w:themeColor="text1"/>
              </w:rPr>
              <w:t xml:space="preserve">      2,</w:t>
            </w:r>
            <w:r w:rsidR="00B70B50" w:rsidRPr="00B70B50">
              <w:rPr>
                <w:rFonts w:cs="Arial"/>
                <w:color w:val="000000" w:themeColor="text1"/>
              </w:rPr>
              <w:t>439</w:t>
            </w:r>
            <w:r w:rsidRPr="00B70B50">
              <w:rPr>
                <w:rFonts w:cs="Arial"/>
                <w:color w:val="000000" w:themeColor="text1"/>
              </w:rPr>
              <w:t xml:space="preserve"> </w:t>
            </w:r>
          </w:p>
        </w:tc>
        <w:tc>
          <w:tcPr>
            <w:tcW w:w="1244" w:type="dxa"/>
            <w:tcBorders>
              <w:top w:val="nil"/>
              <w:left w:val="nil"/>
              <w:bottom w:val="single" w:sz="4" w:space="0" w:color="auto"/>
              <w:right w:val="single" w:sz="4" w:space="0" w:color="auto"/>
            </w:tcBorders>
            <w:shd w:val="clear" w:color="auto" w:fill="auto"/>
            <w:noWrap/>
            <w:vAlign w:val="center"/>
          </w:tcPr>
          <w:p w14:paraId="77531713" w14:textId="499DEA39" w:rsidR="00D84DF5" w:rsidRPr="00B70B50" w:rsidRDefault="00D84DF5">
            <w:pPr>
              <w:spacing w:after="0"/>
              <w:jc w:val="right"/>
              <w:rPr>
                <w:rFonts w:cs="Arial"/>
                <w:color w:val="000000" w:themeColor="text1"/>
              </w:rPr>
            </w:pPr>
            <w:r w:rsidRPr="00B70B50">
              <w:rPr>
                <w:rFonts w:cs="Arial"/>
                <w:color w:val="000000" w:themeColor="text1"/>
              </w:rPr>
              <w:t>9</w:t>
            </w:r>
            <w:r w:rsidR="00B70B50" w:rsidRPr="00B70B50">
              <w:rPr>
                <w:rFonts w:cs="Arial"/>
                <w:color w:val="000000" w:themeColor="text1"/>
              </w:rPr>
              <w:t>72</w:t>
            </w:r>
            <w:r w:rsidRPr="00B70B50">
              <w:rPr>
                <w:rFonts w:cs="Arial"/>
                <w:color w:val="000000" w:themeColor="text1"/>
              </w:rPr>
              <w:t xml:space="preserve"> </w:t>
            </w:r>
          </w:p>
        </w:tc>
        <w:tc>
          <w:tcPr>
            <w:tcW w:w="1477" w:type="dxa"/>
            <w:tcBorders>
              <w:top w:val="nil"/>
              <w:left w:val="nil"/>
              <w:bottom w:val="single" w:sz="4" w:space="0" w:color="auto"/>
              <w:right w:val="single" w:sz="4" w:space="0" w:color="auto"/>
            </w:tcBorders>
            <w:shd w:val="clear" w:color="auto" w:fill="auto"/>
            <w:noWrap/>
            <w:vAlign w:val="center"/>
          </w:tcPr>
          <w:p w14:paraId="70CC5532" w14:textId="0E2F5EC5" w:rsidR="00D84DF5" w:rsidRPr="00B70B50" w:rsidRDefault="00D84DF5">
            <w:pPr>
              <w:spacing w:after="0"/>
              <w:jc w:val="right"/>
              <w:rPr>
                <w:rFonts w:cs="Arial"/>
                <w:color w:val="000000" w:themeColor="text1"/>
              </w:rPr>
            </w:pPr>
            <w:r w:rsidRPr="00B70B50">
              <w:rPr>
                <w:rFonts w:cs="Arial"/>
                <w:color w:val="000000" w:themeColor="text1"/>
              </w:rPr>
              <w:t>1</w:t>
            </w:r>
            <w:r w:rsidR="00B70B50" w:rsidRPr="00B70B50">
              <w:rPr>
                <w:rFonts w:cs="Arial"/>
                <w:color w:val="000000" w:themeColor="text1"/>
              </w:rPr>
              <w:t>4.5</w:t>
            </w:r>
            <w:r w:rsidRPr="00B70B50">
              <w:rPr>
                <w:rFonts w:cs="Arial"/>
                <w:color w:val="000000" w:themeColor="text1"/>
              </w:rPr>
              <w:t>%</w:t>
            </w:r>
          </w:p>
        </w:tc>
      </w:tr>
      <w:tr w:rsidR="00D84DF5" w:rsidRPr="00537E40" w14:paraId="7A2EB9D9" w14:textId="77777777" w:rsidTr="004973A9">
        <w:trPr>
          <w:trHeight w:val="340"/>
        </w:trPr>
        <w:tc>
          <w:tcPr>
            <w:tcW w:w="3114" w:type="dxa"/>
            <w:tcBorders>
              <w:top w:val="nil"/>
              <w:left w:val="single" w:sz="4" w:space="0" w:color="auto"/>
              <w:bottom w:val="single" w:sz="4" w:space="0" w:color="auto"/>
              <w:right w:val="single" w:sz="4" w:space="0" w:color="auto"/>
            </w:tcBorders>
            <w:shd w:val="clear" w:color="auto" w:fill="auto"/>
            <w:noWrap/>
            <w:vAlign w:val="center"/>
          </w:tcPr>
          <w:p w14:paraId="69D0C959" w14:textId="77777777" w:rsidR="00D84DF5" w:rsidRDefault="00D84DF5">
            <w:pPr>
              <w:spacing w:after="0"/>
              <w:rPr>
                <w:rFonts w:cs="Arial"/>
                <w:b/>
                <w:bCs/>
                <w:color w:val="000000"/>
                <w:szCs w:val="20"/>
              </w:rPr>
            </w:pPr>
            <w:r>
              <w:rPr>
                <w:rFonts w:cs="Arial"/>
                <w:b/>
                <w:bCs/>
                <w:color w:val="000000"/>
                <w:szCs w:val="20"/>
              </w:rPr>
              <w:t>Education</w:t>
            </w:r>
          </w:p>
        </w:tc>
        <w:tc>
          <w:tcPr>
            <w:tcW w:w="1251" w:type="dxa"/>
            <w:tcBorders>
              <w:top w:val="nil"/>
              <w:left w:val="nil"/>
              <w:bottom w:val="single" w:sz="4" w:space="0" w:color="auto"/>
              <w:right w:val="single" w:sz="4" w:space="0" w:color="auto"/>
            </w:tcBorders>
            <w:shd w:val="clear" w:color="auto" w:fill="auto"/>
            <w:noWrap/>
            <w:vAlign w:val="center"/>
          </w:tcPr>
          <w:p w14:paraId="15467C78" w14:textId="4734E60B" w:rsidR="00D84DF5" w:rsidRPr="00B70B50" w:rsidRDefault="00D84DF5">
            <w:pPr>
              <w:spacing w:after="0"/>
              <w:jc w:val="right"/>
              <w:rPr>
                <w:rFonts w:cs="Arial"/>
                <w:color w:val="000000" w:themeColor="text1"/>
              </w:rPr>
            </w:pPr>
            <w:r w:rsidRPr="00B70B50">
              <w:rPr>
                <w:rFonts w:cs="Arial"/>
                <w:color w:val="000000" w:themeColor="text1"/>
              </w:rPr>
              <w:t>1,</w:t>
            </w:r>
            <w:r w:rsidR="00B70B50" w:rsidRPr="00B70B50">
              <w:rPr>
                <w:rFonts w:cs="Arial"/>
                <w:color w:val="000000" w:themeColor="text1"/>
              </w:rPr>
              <w:t>467</w:t>
            </w:r>
            <w:r w:rsidRPr="00B70B50">
              <w:rPr>
                <w:rFonts w:cs="Arial"/>
                <w:color w:val="000000" w:themeColor="text1"/>
              </w:rPr>
              <w:t xml:space="preserve"> </w:t>
            </w:r>
          </w:p>
        </w:tc>
        <w:tc>
          <w:tcPr>
            <w:tcW w:w="1304" w:type="dxa"/>
            <w:tcBorders>
              <w:top w:val="nil"/>
              <w:left w:val="nil"/>
              <w:bottom w:val="single" w:sz="4" w:space="0" w:color="auto"/>
              <w:right w:val="single" w:sz="4" w:space="0" w:color="auto"/>
            </w:tcBorders>
            <w:shd w:val="clear" w:color="auto" w:fill="auto"/>
            <w:noWrap/>
            <w:vAlign w:val="center"/>
          </w:tcPr>
          <w:p w14:paraId="32A1B674" w14:textId="193FBA8A" w:rsidR="00D84DF5" w:rsidRPr="00B70B50" w:rsidRDefault="00D84DF5">
            <w:pPr>
              <w:spacing w:after="0"/>
              <w:jc w:val="right"/>
              <w:rPr>
                <w:rFonts w:cs="Arial"/>
                <w:color w:val="000000" w:themeColor="text1"/>
              </w:rPr>
            </w:pPr>
            <w:r w:rsidRPr="00B70B50">
              <w:rPr>
                <w:rFonts w:cs="Arial"/>
                <w:color w:val="000000" w:themeColor="text1"/>
              </w:rPr>
              <w:t>2,0</w:t>
            </w:r>
            <w:r w:rsidR="00B70B50" w:rsidRPr="00B70B50">
              <w:rPr>
                <w:rFonts w:cs="Arial"/>
                <w:color w:val="000000" w:themeColor="text1"/>
              </w:rPr>
              <w:t>80</w:t>
            </w:r>
            <w:r w:rsidRPr="00B70B50">
              <w:rPr>
                <w:rFonts w:cs="Arial"/>
                <w:color w:val="000000" w:themeColor="text1"/>
              </w:rPr>
              <w:t xml:space="preserve"> </w:t>
            </w:r>
          </w:p>
        </w:tc>
        <w:tc>
          <w:tcPr>
            <w:tcW w:w="1304" w:type="dxa"/>
            <w:tcBorders>
              <w:top w:val="nil"/>
              <w:left w:val="nil"/>
              <w:bottom w:val="single" w:sz="4" w:space="0" w:color="auto"/>
              <w:right w:val="single" w:sz="4" w:space="0" w:color="auto"/>
            </w:tcBorders>
            <w:shd w:val="clear" w:color="auto" w:fill="auto"/>
            <w:noWrap/>
            <w:vAlign w:val="center"/>
          </w:tcPr>
          <w:p w14:paraId="2F16F405" w14:textId="3932F5F1" w:rsidR="00D84DF5" w:rsidRPr="00B70B50" w:rsidRDefault="00D84DF5">
            <w:pPr>
              <w:spacing w:after="0"/>
              <w:jc w:val="right"/>
              <w:rPr>
                <w:rFonts w:cs="Arial"/>
                <w:color w:val="000000" w:themeColor="text1"/>
              </w:rPr>
            </w:pPr>
            <w:r w:rsidRPr="00B70B50">
              <w:rPr>
                <w:rFonts w:cs="Arial"/>
                <w:color w:val="000000" w:themeColor="text1"/>
              </w:rPr>
              <w:t xml:space="preserve">      2,</w:t>
            </w:r>
            <w:r w:rsidR="00B70B50" w:rsidRPr="00B70B50">
              <w:rPr>
                <w:rFonts w:cs="Arial"/>
                <w:color w:val="000000" w:themeColor="text1"/>
              </w:rPr>
              <w:t>306</w:t>
            </w:r>
            <w:r w:rsidRPr="00B70B50">
              <w:rPr>
                <w:rFonts w:cs="Arial"/>
                <w:color w:val="000000" w:themeColor="text1"/>
              </w:rPr>
              <w:t xml:space="preserve"> </w:t>
            </w:r>
          </w:p>
        </w:tc>
        <w:tc>
          <w:tcPr>
            <w:tcW w:w="1244" w:type="dxa"/>
            <w:tcBorders>
              <w:top w:val="nil"/>
              <w:left w:val="nil"/>
              <w:bottom w:val="single" w:sz="4" w:space="0" w:color="auto"/>
              <w:right w:val="single" w:sz="4" w:space="0" w:color="auto"/>
            </w:tcBorders>
            <w:shd w:val="clear" w:color="auto" w:fill="auto"/>
            <w:noWrap/>
            <w:vAlign w:val="center"/>
          </w:tcPr>
          <w:p w14:paraId="17F29BE4" w14:textId="14251DFC" w:rsidR="00D84DF5" w:rsidRPr="00B70B50" w:rsidRDefault="00B70B50">
            <w:pPr>
              <w:spacing w:after="0"/>
              <w:jc w:val="right"/>
              <w:rPr>
                <w:rFonts w:cs="Arial"/>
                <w:color w:val="000000" w:themeColor="text1"/>
              </w:rPr>
            </w:pPr>
            <w:r w:rsidRPr="00B70B50">
              <w:rPr>
                <w:rFonts w:cs="Arial"/>
                <w:color w:val="000000" w:themeColor="text1"/>
              </w:rPr>
              <w:t>8</w:t>
            </w:r>
            <w:r w:rsidR="00D84DF5" w:rsidRPr="00B70B50">
              <w:rPr>
                <w:rFonts w:cs="Arial"/>
                <w:color w:val="000000" w:themeColor="text1"/>
              </w:rPr>
              <w:t xml:space="preserve">39 </w:t>
            </w:r>
          </w:p>
        </w:tc>
        <w:tc>
          <w:tcPr>
            <w:tcW w:w="1477" w:type="dxa"/>
            <w:tcBorders>
              <w:top w:val="nil"/>
              <w:left w:val="nil"/>
              <w:bottom w:val="single" w:sz="4" w:space="0" w:color="auto"/>
              <w:right w:val="single" w:sz="4" w:space="0" w:color="auto"/>
            </w:tcBorders>
            <w:shd w:val="clear" w:color="auto" w:fill="auto"/>
            <w:noWrap/>
            <w:vAlign w:val="center"/>
          </w:tcPr>
          <w:p w14:paraId="5E566145" w14:textId="69ECE75E" w:rsidR="00D84DF5" w:rsidRPr="00B70B50" w:rsidRDefault="00B70B50">
            <w:pPr>
              <w:spacing w:after="0"/>
              <w:jc w:val="right"/>
              <w:rPr>
                <w:rFonts w:cs="Arial"/>
                <w:color w:val="000000" w:themeColor="text1"/>
              </w:rPr>
            </w:pPr>
            <w:r w:rsidRPr="00B70B50">
              <w:rPr>
                <w:rFonts w:cs="Arial"/>
                <w:color w:val="000000" w:themeColor="text1"/>
              </w:rPr>
              <w:t>12.6</w:t>
            </w:r>
            <w:r w:rsidR="00D84DF5" w:rsidRPr="00B70B50">
              <w:rPr>
                <w:rFonts w:cs="Arial"/>
                <w:color w:val="000000" w:themeColor="text1"/>
              </w:rPr>
              <w:t>%</w:t>
            </w:r>
          </w:p>
        </w:tc>
      </w:tr>
      <w:tr w:rsidR="00D84DF5" w:rsidRPr="00537E40" w14:paraId="57419965" w14:textId="77777777" w:rsidTr="004973A9">
        <w:trPr>
          <w:trHeight w:val="340"/>
        </w:trPr>
        <w:tc>
          <w:tcPr>
            <w:tcW w:w="3114" w:type="dxa"/>
            <w:tcBorders>
              <w:top w:val="nil"/>
              <w:left w:val="single" w:sz="4" w:space="0" w:color="auto"/>
              <w:bottom w:val="single" w:sz="4" w:space="0" w:color="auto"/>
              <w:right w:val="single" w:sz="4" w:space="0" w:color="auto"/>
            </w:tcBorders>
            <w:shd w:val="clear" w:color="auto" w:fill="auto"/>
            <w:noWrap/>
            <w:vAlign w:val="center"/>
          </w:tcPr>
          <w:p w14:paraId="66E36F63" w14:textId="77777777" w:rsidR="00D84DF5" w:rsidRDefault="00D84DF5">
            <w:pPr>
              <w:spacing w:after="0"/>
              <w:rPr>
                <w:rFonts w:cs="Arial"/>
                <w:b/>
                <w:bCs/>
                <w:color w:val="000000"/>
                <w:szCs w:val="20"/>
              </w:rPr>
            </w:pPr>
            <w:r>
              <w:rPr>
                <w:rFonts w:cs="Arial"/>
                <w:b/>
                <w:bCs/>
                <w:color w:val="000000"/>
                <w:szCs w:val="20"/>
              </w:rPr>
              <w:t>Entertainment - Other</w:t>
            </w:r>
          </w:p>
        </w:tc>
        <w:tc>
          <w:tcPr>
            <w:tcW w:w="1251" w:type="dxa"/>
            <w:tcBorders>
              <w:top w:val="nil"/>
              <w:left w:val="nil"/>
              <w:bottom w:val="single" w:sz="4" w:space="0" w:color="auto"/>
              <w:right w:val="single" w:sz="4" w:space="0" w:color="auto"/>
            </w:tcBorders>
            <w:shd w:val="clear" w:color="auto" w:fill="auto"/>
            <w:noWrap/>
            <w:vAlign w:val="center"/>
          </w:tcPr>
          <w:p w14:paraId="362DFE81" w14:textId="091379DA" w:rsidR="00D84DF5" w:rsidRPr="00B70B50" w:rsidRDefault="00D84DF5">
            <w:pPr>
              <w:spacing w:after="0"/>
              <w:jc w:val="right"/>
              <w:rPr>
                <w:rFonts w:cs="Arial"/>
                <w:color w:val="000000" w:themeColor="text1"/>
              </w:rPr>
            </w:pPr>
            <w:r w:rsidRPr="00B70B50">
              <w:rPr>
                <w:rFonts w:cs="Arial"/>
                <w:color w:val="000000" w:themeColor="text1"/>
              </w:rPr>
              <w:t>2,</w:t>
            </w:r>
            <w:r w:rsidR="00B70B50" w:rsidRPr="00B70B50">
              <w:rPr>
                <w:rFonts w:cs="Arial"/>
                <w:color w:val="000000" w:themeColor="text1"/>
              </w:rPr>
              <w:t>405</w:t>
            </w:r>
            <w:r w:rsidRPr="00B70B50">
              <w:rPr>
                <w:rFonts w:cs="Arial"/>
                <w:color w:val="000000" w:themeColor="text1"/>
              </w:rPr>
              <w:t xml:space="preserve"> </w:t>
            </w:r>
          </w:p>
        </w:tc>
        <w:tc>
          <w:tcPr>
            <w:tcW w:w="1304" w:type="dxa"/>
            <w:tcBorders>
              <w:top w:val="nil"/>
              <w:left w:val="nil"/>
              <w:bottom w:val="single" w:sz="4" w:space="0" w:color="auto"/>
              <w:right w:val="single" w:sz="4" w:space="0" w:color="auto"/>
            </w:tcBorders>
            <w:shd w:val="clear" w:color="auto" w:fill="auto"/>
            <w:noWrap/>
            <w:vAlign w:val="center"/>
          </w:tcPr>
          <w:p w14:paraId="5981F580" w14:textId="51849E88" w:rsidR="00D84DF5" w:rsidRPr="00B70B50" w:rsidRDefault="00D84DF5">
            <w:pPr>
              <w:spacing w:after="0"/>
              <w:jc w:val="right"/>
              <w:rPr>
                <w:rFonts w:cs="Arial"/>
                <w:color w:val="000000" w:themeColor="text1"/>
              </w:rPr>
            </w:pPr>
            <w:r w:rsidRPr="00B70B50">
              <w:rPr>
                <w:rFonts w:cs="Arial"/>
                <w:color w:val="000000" w:themeColor="text1"/>
              </w:rPr>
              <w:t>2,</w:t>
            </w:r>
            <w:r w:rsidR="00B70B50" w:rsidRPr="00B70B50">
              <w:rPr>
                <w:rFonts w:cs="Arial"/>
                <w:color w:val="000000" w:themeColor="text1"/>
              </w:rPr>
              <w:t>858</w:t>
            </w:r>
            <w:r w:rsidRPr="00B70B50">
              <w:rPr>
                <w:rFonts w:cs="Arial"/>
                <w:color w:val="000000" w:themeColor="text1"/>
              </w:rPr>
              <w:t xml:space="preserve"> </w:t>
            </w:r>
          </w:p>
        </w:tc>
        <w:tc>
          <w:tcPr>
            <w:tcW w:w="1304" w:type="dxa"/>
            <w:tcBorders>
              <w:top w:val="nil"/>
              <w:left w:val="nil"/>
              <w:bottom w:val="single" w:sz="4" w:space="0" w:color="auto"/>
              <w:right w:val="single" w:sz="4" w:space="0" w:color="auto"/>
            </w:tcBorders>
            <w:shd w:val="clear" w:color="auto" w:fill="auto"/>
            <w:noWrap/>
            <w:vAlign w:val="center"/>
          </w:tcPr>
          <w:p w14:paraId="1DA33ECB" w14:textId="1D6C82A1" w:rsidR="00D84DF5" w:rsidRPr="00B70B50" w:rsidRDefault="00D84DF5">
            <w:pPr>
              <w:spacing w:after="0"/>
              <w:jc w:val="right"/>
              <w:rPr>
                <w:rFonts w:cs="Arial"/>
                <w:color w:val="000000" w:themeColor="text1"/>
              </w:rPr>
            </w:pPr>
            <w:r w:rsidRPr="00B70B50">
              <w:rPr>
                <w:rFonts w:cs="Arial"/>
                <w:color w:val="000000" w:themeColor="text1"/>
              </w:rPr>
              <w:t xml:space="preserve">      </w:t>
            </w:r>
            <w:r w:rsidR="00B70B50" w:rsidRPr="00B70B50">
              <w:rPr>
                <w:rFonts w:cs="Arial"/>
                <w:color w:val="000000" w:themeColor="text1"/>
              </w:rPr>
              <w:t>3,186</w:t>
            </w:r>
            <w:r w:rsidRPr="00B70B50">
              <w:rPr>
                <w:rFonts w:cs="Arial"/>
                <w:color w:val="000000" w:themeColor="text1"/>
              </w:rPr>
              <w:t xml:space="preserve"> </w:t>
            </w:r>
          </w:p>
        </w:tc>
        <w:tc>
          <w:tcPr>
            <w:tcW w:w="1244" w:type="dxa"/>
            <w:tcBorders>
              <w:top w:val="nil"/>
              <w:left w:val="nil"/>
              <w:bottom w:val="single" w:sz="4" w:space="0" w:color="auto"/>
              <w:right w:val="single" w:sz="4" w:space="0" w:color="auto"/>
            </w:tcBorders>
            <w:shd w:val="clear" w:color="auto" w:fill="auto"/>
            <w:noWrap/>
            <w:vAlign w:val="center"/>
          </w:tcPr>
          <w:p w14:paraId="0E64C9FB" w14:textId="0C85639F" w:rsidR="00D84DF5" w:rsidRPr="00B70B50" w:rsidRDefault="00B70B50">
            <w:pPr>
              <w:spacing w:after="0"/>
              <w:jc w:val="right"/>
              <w:rPr>
                <w:rFonts w:cs="Arial"/>
                <w:color w:val="000000" w:themeColor="text1"/>
              </w:rPr>
            </w:pPr>
            <w:r w:rsidRPr="00B70B50">
              <w:rPr>
                <w:rFonts w:cs="Arial"/>
                <w:color w:val="000000" w:themeColor="text1"/>
              </w:rPr>
              <w:t>781</w:t>
            </w:r>
            <w:r w:rsidR="00D84DF5" w:rsidRPr="00B70B50">
              <w:rPr>
                <w:rFonts w:cs="Arial"/>
                <w:color w:val="000000" w:themeColor="text1"/>
              </w:rPr>
              <w:t xml:space="preserve"> </w:t>
            </w:r>
          </w:p>
        </w:tc>
        <w:tc>
          <w:tcPr>
            <w:tcW w:w="1477" w:type="dxa"/>
            <w:tcBorders>
              <w:top w:val="nil"/>
              <w:left w:val="nil"/>
              <w:bottom w:val="single" w:sz="4" w:space="0" w:color="auto"/>
              <w:right w:val="single" w:sz="4" w:space="0" w:color="auto"/>
            </w:tcBorders>
            <w:shd w:val="clear" w:color="auto" w:fill="auto"/>
            <w:noWrap/>
            <w:vAlign w:val="center"/>
          </w:tcPr>
          <w:p w14:paraId="709765D5" w14:textId="416A3FE5" w:rsidR="00D84DF5" w:rsidRPr="00B70B50" w:rsidRDefault="00B70B50">
            <w:pPr>
              <w:spacing w:after="0"/>
              <w:jc w:val="right"/>
              <w:rPr>
                <w:rFonts w:cs="Arial"/>
                <w:color w:val="000000" w:themeColor="text1"/>
              </w:rPr>
            </w:pPr>
            <w:r w:rsidRPr="00B70B50">
              <w:rPr>
                <w:rFonts w:cs="Arial"/>
                <w:color w:val="000000" w:themeColor="text1"/>
              </w:rPr>
              <w:t>11.7</w:t>
            </w:r>
            <w:r w:rsidR="00D84DF5" w:rsidRPr="00B70B50">
              <w:rPr>
                <w:rFonts w:cs="Arial"/>
                <w:color w:val="000000" w:themeColor="text1"/>
              </w:rPr>
              <w:t>%</w:t>
            </w:r>
          </w:p>
        </w:tc>
      </w:tr>
      <w:tr w:rsidR="00D84DF5" w:rsidRPr="00537E40" w14:paraId="0270B6C0" w14:textId="77777777" w:rsidTr="004973A9">
        <w:trPr>
          <w:trHeight w:val="340"/>
        </w:trPr>
        <w:tc>
          <w:tcPr>
            <w:tcW w:w="3114" w:type="dxa"/>
            <w:tcBorders>
              <w:top w:val="nil"/>
              <w:left w:val="single" w:sz="4" w:space="0" w:color="auto"/>
              <w:bottom w:val="single" w:sz="4" w:space="0" w:color="auto"/>
              <w:right w:val="single" w:sz="4" w:space="0" w:color="auto"/>
            </w:tcBorders>
            <w:shd w:val="clear" w:color="auto" w:fill="auto"/>
            <w:noWrap/>
            <w:vAlign w:val="center"/>
          </w:tcPr>
          <w:p w14:paraId="23A15D1F" w14:textId="77777777" w:rsidR="00D84DF5" w:rsidRDefault="00D84DF5">
            <w:pPr>
              <w:spacing w:after="0"/>
              <w:rPr>
                <w:rFonts w:cs="Arial"/>
                <w:b/>
                <w:bCs/>
                <w:color w:val="000000"/>
                <w:szCs w:val="20"/>
              </w:rPr>
            </w:pPr>
            <w:r>
              <w:rPr>
                <w:rFonts w:cs="Arial"/>
                <w:b/>
                <w:bCs/>
                <w:color w:val="000000"/>
                <w:szCs w:val="20"/>
              </w:rPr>
              <w:t>Health</w:t>
            </w:r>
          </w:p>
        </w:tc>
        <w:tc>
          <w:tcPr>
            <w:tcW w:w="1251" w:type="dxa"/>
            <w:tcBorders>
              <w:top w:val="nil"/>
              <w:left w:val="nil"/>
              <w:bottom w:val="single" w:sz="4" w:space="0" w:color="auto"/>
              <w:right w:val="single" w:sz="4" w:space="0" w:color="auto"/>
            </w:tcBorders>
            <w:shd w:val="clear" w:color="auto" w:fill="auto"/>
            <w:noWrap/>
            <w:vAlign w:val="center"/>
          </w:tcPr>
          <w:p w14:paraId="6CD7BA23" w14:textId="47E3D646" w:rsidR="00D84DF5" w:rsidRPr="00B70B50" w:rsidRDefault="00D84DF5">
            <w:pPr>
              <w:spacing w:after="0"/>
              <w:jc w:val="right"/>
              <w:rPr>
                <w:rFonts w:cs="Arial"/>
                <w:color w:val="000000" w:themeColor="text1"/>
              </w:rPr>
            </w:pPr>
            <w:r w:rsidRPr="00B70B50">
              <w:rPr>
                <w:rFonts w:cs="Arial"/>
                <w:color w:val="000000" w:themeColor="text1"/>
              </w:rPr>
              <w:t>7</w:t>
            </w:r>
            <w:r w:rsidR="00B70B50" w:rsidRPr="00B70B50">
              <w:rPr>
                <w:rFonts w:cs="Arial"/>
                <w:color w:val="000000" w:themeColor="text1"/>
              </w:rPr>
              <w:t>18</w:t>
            </w:r>
            <w:r w:rsidRPr="00B70B50">
              <w:rPr>
                <w:rFonts w:cs="Arial"/>
                <w:color w:val="000000" w:themeColor="text1"/>
              </w:rPr>
              <w:t xml:space="preserve"> </w:t>
            </w:r>
          </w:p>
        </w:tc>
        <w:tc>
          <w:tcPr>
            <w:tcW w:w="1304" w:type="dxa"/>
            <w:tcBorders>
              <w:top w:val="nil"/>
              <w:left w:val="nil"/>
              <w:bottom w:val="single" w:sz="4" w:space="0" w:color="auto"/>
              <w:right w:val="single" w:sz="4" w:space="0" w:color="auto"/>
            </w:tcBorders>
            <w:shd w:val="clear" w:color="auto" w:fill="auto"/>
            <w:noWrap/>
            <w:vAlign w:val="center"/>
          </w:tcPr>
          <w:p w14:paraId="6A436051" w14:textId="56FAD47E" w:rsidR="00D84DF5" w:rsidRPr="00B70B50" w:rsidRDefault="00B70B50">
            <w:pPr>
              <w:spacing w:after="0"/>
              <w:jc w:val="right"/>
              <w:rPr>
                <w:rFonts w:cs="Arial"/>
                <w:color w:val="000000" w:themeColor="text1"/>
              </w:rPr>
            </w:pPr>
            <w:r w:rsidRPr="00B70B50">
              <w:rPr>
                <w:rFonts w:cs="Arial"/>
                <w:color w:val="000000" w:themeColor="text1"/>
              </w:rPr>
              <w:t>959</w:t>
            </w:r>
            <w:r w:rsidR="00D84DF5" w:rsidRPr="00B70B50">
              <w:rPr>
                <w:rFonts w:cs="Arial"/>
                <w:color w:val="000000" w:themeColor="text1"/>
              </w:rPr>
              <w:t xml:space="preserve"> </w:t>
            </w:r>
          </w:p>
        </w:tc>
        <w:tc>
          <w:tcPr>
            <w:tcW w:w="1304" w:type="dxa"/>
            <w:tcBorders>
              <w:top w:val="nil"/>
              <w:left w:val="nil"/>
              <w:bottom w:val="single" w:sz="4" w:space="0" w:color="auto"/>
              <w:right w:val="single" w:sz="4" w:space="0" w:color="auto"/>
            </w:tcBorders>
            <w:shd w:val="clear" w:color="auto" w:fill="auto"/>
            <w:noWrap/>
            <w:vAlign w:val="center"/>
          </w:tcPr>
          <w:p w14:paraId="47C821F6" w14:textId="1BFCCE29" w:rsidR="00D84DF5" w:rsidRPr="00B70B50" w:rsidRDefault="00D84DF5">
            <w:pPr>
              <w:spacing w:after="0"/>
              <w:jc w:val="right"/>
              <w:rPr>
                <w:rFonts w:cs="Arial"/>
                <w:color w:val="000000" w:themeColor="text1"/>
              </w:rPr>
            </w:pPr>
            <w:r w:rsidRPr="00B70B50">
              <w:rPr>
                <w:rFonts w:cs="Arial"/>
                <w:color w:val="000000" w:themeColor="text1"/>
              </w:rPr>
              <w:t xml:space="preserve">      </w:t>
            </w:r>
            <w:r w:rsidR="00B70B50" w:rsidRPr="00B70B50">
              <w:rPr>
                <w:rFonts w:cs="Arial"/>
                <w:color w:val="000000" w:themeColor="text1"/>
              </w:rPr>
              <w:t>1,150</w:t>
            </w:r>
            <w:r w:rsidRPr="00B70B50">
              <w:rPr>
                <w:rFonts w:cs="Arial"/>
                <w:color w:val="000000" w:themeColor="text1"/>
              </w:rPr>
              <w:t xml:space="preserve"> </w:t>
            </w:r>
          </w:p>
        </w:tc>
        <w:tc>
          <w:tcPr>
            <w:tcW w:w="1244" w:type="dxa"/>
            <w:tcBorders>
              <w:top w:val="nil"/>
              <w:left w:val="nil"/>
              <w:bottom w:val="single" w:sz="4" w:space="0" w:color="auto"/>
              <w:right w:val="single" w:sz="4" w:space="0" w:color="auto"/>
            </w:tcBorders>
            <w:shd w:val="clear" w:color="auto" w:fill="auto"/>
            <w:noWrap/>
            <w:vAlign w:val="center"/>
          </w:tcPr>
          <w:p w14:paraId="303DE480" w14:textId="6EDC2612" w:rsidR="00D84DF5" w:rsidRPr="00B70B50" w:rsidRDefault="00B70B50">
            <w:pPr>
              <w:spacing w:after="0"/>
              <w:jc w:val="right"/>
              <w:rPr>
                <w:rFonts w:cs="Arial"/>
                <w:color w:val="000000" w:themeColor="text1"/>
              </w:rPr>
            </w:pPr>
            <w:r w:rsidRPr="00B70B50">
              <w:rPr>
                <w:rFonts w:cs="Arial"/>
                <w:color w:val="000000" w:themeColor="text1"/>
              </w:rPr>
              <w:t>432</w:t>
            </w:r>
            <w:r w:rsidR="00D84DF5" w:rsidRPr="00B70B50">
              <w:rPr>
                <w:rFonts w:cs="Arial"/>
                <w:color w:val="000000" w:themeColor="text1"/>
              </w:rPr>
              <w:t xml:space="preserve"> </w:t>
            </w:r>
          </w:p>
        </w:tc>
        <w:tc>
          <w:tcPr>
            <w:tcW w:w="1477" w:type="dxa"/>
            <w:tcBorders>
              <w:top w:val="nil"/>
              <w:left w:val="nil"/>
              <w:bottom w:val="single" w:sz="4" w:space="0" w:color="auto"/>
              <w:right w:val="single" w:sz="4" w:space="0" w:color="auto"/>
            </w:tcBorders>
            <w:shd w:val="clear" w:color="auto" w:fill="auto"/>
            <w:noWrap/>
            <w:vAlign w:val="center"/>
          </w:tcPr>
          <w:p w14:paraId="1ABF0CBE" w14:textId="245DC9CB" w:rsidR="00D84DF5" w:rsidRPr="00B70B50" w:rsidRDefault="00B70B50">
            <w:pPr>
              <w:spacing w:after="0"/>
              <w:jc w:val="right"/>
              <w:rPr>
                <w:rFonts w:cs="Arial"/>
                <w:color w:val="000000" w:themeColor="text1"/>
              </w:rPr>
            </w:pPr>
            <w:r w:rsidRPr="00B70B50">
              <w:rPr>
                <w:rFonts w:cs="Arial"/>
                <w:color w:val="000000" w:themeColor="text1"/>
              </w:rPr>
              <w:t>6.5</w:t>
            </w:r>
            <w:r w:rsidR="00D84DF5" w:rsidRPr="00B70B50">
              <w:rPr>
                <w:rFonts w:cs="Arial"/>
                <w:color w:val="000000" w:themeColor="text1"/>
              </w:rPr>
              <w:t>%</w:t>
            </w:r>
          </w:p>
        </w:tc>
      </w:tr>
      <w:tr w:rsidR="00D84DF5" w:rsidRPr="00537E40" w14:paraId="20D4AEF4" w14:textId="77777777" w:rsidTr="004973A9">
        <w:trPr>
          <w:trHeight w:val="340"/>
        </w:trPr>
        <w:tc>
          <w:tcPr>
            <w:tcW w:w="3114" w:type="dxa"/>
            <w:tcBorders>
              <w:top w:val="nil"/>
              <w:left w:val="single" w:sz="4" w:space="0" w:color="auto"/>
              <w:bottom w:val="single" w:sz="4" w:space="0" w:color="auto"/>
              <w:right w:val="single" w:sz="4" w:space="0" w:color="auto"/>
            </w:tcBorders>
            <w:shd w:val="clear" w:color="auto" w:fill="auto"/>
            <w:noWrap/>
            <w:vAlign w:val="center"/>
          </w:tcPr>
          <w:p w14:paraId="2FBB1C91" w14:textId="77777777" w:rsidR="00D84DF5" w:rsidRDefault="00D84DF5">
            <w:pPr>
              <w:spacing w:after="0"/>
              <w:rPr>
                <w:rFonts w:cs="Arial"/>
                <w:b/>
                <w:bCs/>
                <w:color w:val="000000"/>
                <w:szCs w:val="20"/>
              </w:rPr>
            </w:pPr>
            <w:r>
              <w:rPr>
                <w:rFonts w:cs="Arial"/>
                <w:b/>
                <w:bCs/>
                <w:color w:val="000000"/>
                <w:szCs w:val="20"/>
              </w:rPr>
              <w:t>Entertainment - Hospitality</w:t>
            </w:r>
          </w:p>
        </w:tc>
        <w:tc>
          <w:tcPr>
            <w:tcW w:w="1251" w:type="dxa"/>
            <w:tcBorders>
              <w:top w:val="nil"/>
              <w:left w:val="nil"/>
              <w:bottom w:val="single" w:sz="4" w:space="0" w:color="auto"/>
              <w:right w:val="single" w:sz="4" w:space="0" w:color="auto"/>
            </w:tcBorders>
            <w:shd w:val="clear" w:color="auto" w:fill="auto"/>
            <w:noWrap/>
            <w:vAlign w:val="center"/>
          </w:tcPr>
          <w:p w14:paraId="4219FB8E" w14:textId="0A989BDD" w:rsidR="00D84DF5" w:rsidRPr="00B70B50" w:rsidRDefault="00D84DF5">
            <w:pPr>
              <w:spacing w:after="0"/>
              <w:jc w:val="right"/>
              <w:rPr>
                <w:rFonts w:cs="Arial"/>
                <w:color w:val="000000" w:themeColor="text1"/>
              </w:rPr>
            </w:pPr>
            <w:r w:rsidRPr="00B70B50">
              <w:rPr>
                <w:rFonts w:cs="Arial"/>
                <w:color w:val="000000" w:themeColor="text1"/>
              </w:rPr>
              <w:t>5</w:t>
            </w:r>
            <w:r w:rsidR="00B70B50" w:rsidRPr="00B70B50">
              <w:rPr>
                <w:rFonts w:cs="Arial"/>
                <w:color w:val="000000" w:themeColor="text1"/>
              </w:rPr>
              <w:t>26</w:t>
            </w:r>
            <w:r w:rsidRPr="00B70B50">
              <w:rPr>
                <w:rFonts w:cs="Arial"/>
                <w:color w:val="000000" w:themeColor="text1"/>
              </w:rPr>
              <w:t xml:space="preserve"> </w:t>
            </w:r>
          </w:p>
        </w:tc>
        <w:tc>
          <w:tcPr>
            <w:tcW w:w="1304" w:type="dxa"/>
            <w:tcBorders>
              <w:top w:val="nil"/>
              <w:left w:val="nil"/>
              <w:bottom w:val="single" w:sz="4" w:space="0" w:color="auto"/>
              <w:right w:val="single" w:sz="4" w:space="0" w:color="auto"/>
            </w:tcBorders>
            <w:shd w:val="clear" w:color="auto" w:fill="auto"/>
            <w:noWrap/>
            <w:vAlign w:val="center"/>
          </w:tcPr>
          <w:p w14:paraId="2CAA533C" w14:textId="518392EE" w:rsidR="00D84DF5" w:rsidRPr="00B70B50" w:rsidRDefault="00D84DF5">
            <w:pPr>
              <w:spacing w:after="0"/>
              <w:jc w:val="right"/>
              <w:rPr>
                <w:rFonts w:cs="Arial"/>
                <w:color w:val="000000" w:themeColor="text1"/>
              </w:rPr>
            </w:pPr>
            <w:r w:rsidRPr="00B70B50">
              <w:rPr>
                <w:rFonts w:cs="Arial"/>
                <w:color w:val="000000" w:themeColor="text1"/>
              </w:rPr>
              <w:t xml:space="preserve">         </w:t>
            </w:r>
            <w:r w:rsidR="00B70B50" w:rsidRPr="00B70B50">
              <w:rPr>
                <w:rFonts w:cs="Arial"/>
                <w:color w:val="000000" w:themeColor="text1"/>
              </w:rPr>
              <w:t>752</w:t>
            </w:r>
            <w:r w:rsidRPr="00B70B50">
              <w:rPr>
                <w:rFonts w:cs="Arial"/>
                <w:color w:val="000000" w:themeColor="text1"/>
              </w:rPr>
              <w:t xml:space="preserve"> </w:t>
            </w:r>
          </w:p>
        </w:tc>
        <w:tc>
          <w:tcPr>
            <w:tcW w:w="1304" w:type="dxa"/>
            <w:tcBorders>
              <w:top w:val="nil"/>
              <w:left w:val="nil"/>
              <w:bottom w:val="single" w:sz="4" w:space="0" w:color="auto"/>
              <w:right w:val="single" w:sz="4" w:space="0" w:color="auto"/>
            </w:tcBorders>
            <w:shd w:val="clear" w:color="auto" w:fill="auto"/>
            <w:noWrap/>
            <w:vAlign w:val="center"/>
          </w:tcPr>
          <w:p w14:paraId="7D872CF1" w14:textId="0ACC2160" w:rsidR="00D84DF5" w:rsidRPr="00B70B50" w:rsidRDefault="00D84DF5">
            <w:pPr>
              <w:spacing w:after="0"/>
              <w:jc w:val="right"/>
              <w:rPr>
                <w:rFonts w:cs="Arial"/>
                <w:color w:val="000000" w:themeColor="text1"/>
              </w:rPr>
            </w:pPr>
            <w:r w:rsidRPr="00B70B50">
              <w:rPr>
                <w:rFonts w:cs="Arial"/>
                <w:color w:val="000000" w:themeColor="text1"/>
              </w:rPr>
              <w:t xml:space="preserve">         </w:t>
            </w:r>
            <w:r w:rsidR="00B70B50" w:rsidRPr="00B70B50">
              <w:rPr>
                <w:rFonts w:cs="Arial"/>
                <w:color w:val="000000" w:themeColor="text1"/>
              </w:rPr>
              <w:t>809</w:t>
            </w:r>
            <w:r w:rsidRPr="00B70B50">
              <w:rPr>
                <w:rFonts w:cs="Arial"/>
                <w:color w:val="000000" w:themeColor="text1"/>
              </w:rPr>
              <w:t xml:space="preserve"> </w:t>
            </w:r>
          </w:p>
        </w:tc>
        <w:tc>
          <w:tcPr>
            <w:tcW w:w="1244" w:type="dxa"/>
            <w:tcBorders>
              <w:top w:val="nil"/>
              <w:left w:val="nil"/>
              <w:bottom w:val="single" w:sz="4" w:space="0" w:color="auto"/>
              <w:right w:val="single" w:sz="4" w:space="0" w:color="auto"/>
            </w:tcBorders>
            <w:shd w:val="clear" w:color="auto" w:fill="auto"/>
            <w:noWrap/>
            <w:vAlign w:val="center"/>
          </w:tcPr>
          <w:p w14:paraId="1CFED33B" w14:textId="7F3D3069" w:rsidR="00D84DF5" w:rsidRPr="00B70B50" w:rsidRDefault="00B70B50">
            <w:pPr>
              <w:spacing w:after="0"/>
              <w:jc w:val="right"/>
              <w:rPr>
                <w:rFonts w:cs="Arial"/>
                <w:color w:val="000000" w:themeColor="text1"/>
              </w:rPr>
            </w:pPr>
            <w:r w:rsidRPr="00B70B50">
              <w:rPr>
                <w:rFonts w:cs="Arial"/>
                <w:color w:val="000000" w:themeColor="text1"/>
              </w:rPr>
              <w:t>283</w:t>
            </w:r>
            <w:r w:rsidR="00D84DF5" w:rsidRPr="00B70B50">
              <w:rPr>
                <w:rFonts w:cs="Arial"/>
                <w:color w:val="000000" w:themeColor="text1"/>
              </w:rPr>
              <w:t xml:space="preserve"> </w:t>
            </w:r>
          </w:p>
        </w:tc>
        <w:tc>
          <w:tcPr>
            <w:tcW w:w="1477" w:type="dxa"/>
            <w:tcBorders>
              <w:top w:val="nil"/>
              <w:left w:val="nil"/>
              <w:bottom w:val="single" w:sz="4" w:space="0" w:color="auto"/>
              <w:right w:val="single" w:sz="4" w:space="0" w:color="auto"/>
            </w:tcBorders>
            <w:shd w:val="clear" w:color="auto" w:fill="auto"/>
            <w:noWrap/>
            <w:vAlign w:val="center"/>
          </w:tcPr>
          <w:p w14:paraId="652D0569" w14:textId="50C77624" w:rsidR="00D84DF5" w:rsidRPr="00B70B50" w:rsidRDefault="00B70B50">
            <w:pPr>
              <w:spacing w:after="0"/>
              <w:jc w:val="right"/>
              <w:rPr>
                <w:rFonts w:cs="Arial"/>
                <w:color w:val="000000" w:themeColor="text1"/>
              </w:rPr>
            </w:pPr>
            <w:r w:rsidRPr="00B70B50">
              <w:rPr>
                <w:rFonts w:cs="Arial"/>
                <w:color w:val="000000" w:themeColor="text1"/>
              </w:rPr>
              <w:t>4.2</w:t>
            </w:r>
            <w:r w:rsidR="00D84DF5" w:rsidRPr="00B70B50">
              <w:rPr>
                <w:rFonts w:cs="Arial"/>
                <w:color w:val="000000" w:themeColor="text1"/>
              </w:rPr>
              <w:t>%</w:t>
            </w:r>
          </w:p>
        </w:tc>
      </w:tr>
      <w:tr w:rsidR="00D84DF5" w:rsidRPr="00537E40" w14:paraId="076BE365" w14:textId="77777777" w:rsidTr="004973A9">
        <w:trPr>
          <w:trHeight w:val="340"/>
        </w:trPr>
        <w:tc>
          <w:tcPr>
            <w:tcW w:w="3114" w:type="dxa"/>
            <w:tcBorders>
              <w:top w:val="nil"/>
              <w:left w:val="single" w:sz="4" w:space="0" w:color="auto"/>
              <w:bottom w:val="single" w:sz="4" w:space="0" w:color="auto"/>
              <w:right w:val="single" w:sz="4" w:space="0" w:color="auto"/>
            </w:tcBorders>
            <w:shd w:val="clear" w:color="auto" w:fill="auto"/>
            <w:noWrap/>
            <w:vAlign w:val="center"/>
          </w:tcPr>
          <w:p w14:paraId="6A1E29DD" w14:textId="77777777" w:rsidR="00D84DF5" w:rsidRDefault="00D84DF5">
            <w:pPr>
              <w:spacing w:after="0"/>
              <w:rPr>
                <w:rFonts w:cs="Arial"/>
                <w:b/>
                <w:bCs/>
                <w:color w:val="000000"/>
                <w:szCs w:val="20"/>
              </w:rPr>
            </w:pPr>
            <w:r>
              <w:rPr>
                <w:rFonts w:cs="Arial"/>
                <w:b/>
                <w:bCs/>
                <w:color w:val="000000"/>
                <w:szCs w:val="20"/>
              </w:rPr>
              <w:t>Retail</w:t>
            </w:r>
          </w:p>
        </w:tc>
        <w:tc>
          <w:tcPr>
            <w:tcW w:w="1251" w:type="dxa"/>
            <w:tcBorders>
              <w:top w:val="nil"/>
              <w:left w:val="nil"/>
              <w:bottom w:val="single" w:sz="4" w:space="0" w:color="auto"/>
              <w:right w:val="single" w:sz="4" w:space="0" w:color="auto"/>
            </w:tcBorders>
            <w:shd w:val="clear" w:color="auto" w:fill="auto"/>
            <w:noWrap/>
            <w:vAlign w:val="center"/>
          </w:tcPr>
          <w:p w14:paraId="1A680444" w14:textId="319CC7DC" w:rsidR="00D84DF5" w:rsidRPr="00B70B50" w:rsidRDefault="00B70B50">
            <w:pPr>
              <w:spacing w:after="0"/>
              <w:jc w:val="right"/>
              <w:rPr>
                <w:rFonts w:cs="Arial"/>
                <w:color w:val="000000" w:themeColor="text1"/>
              </w:rPr>
            </w:pPr>
            <w:r w:rsidRPr="00B70B50">
              <w:rPr>
                <w:rFonts w:cs="Arial"/>
                <w:color w:val="000000" w:themeColor="text1"/>
              </w:rPr>
              <w:t>713</w:t>
            </w:r>
            <w:r w:rsidR="00D84DF5" w:rsidRPr="00B70B50">
              <w:rPr>
                <w:rFonts w:cs="Arial"/>
                <w:color w:val="000000" w:themeColor="text1"/>
              </w:rPr>
              <w:t xml:space="preserve"> </w:t>
            </w:r>
          </w:p>
        </w:tc>
        <w:tc>
          <w:tcPr>
            <w:tcW w:w="1304" w:type="dxa"/>
            <w:tcBorders>
              <w:top w:val="nil"/>
              <w:left w:val="nil"/>
              <w:bottom w:val="single" w:sz="4" w:space="0" w:color="auto"/>
              <w:right w:val="single" w:sz="4" w:space="0" w:color="auto"/>
            </w:tcBorders>
            <w:shd w:val="clear" w:color="auto" w:fill="auto"/>
            <w:noWrap/>
            <w:vAlign w:val="center"/>
          </w:tcPr>
          <w:p w14:paraId="11EDB111" w14:textId="5C4B975F" w:rsidR="00D84DF5" w:rsidRPr="00B70B50" w:rsidRDefault="00D84DF5">
            <w:pPr>
              <w:spacing w:after="0"/>
              <w:jc w:val="right"/>
              <w:rPr>
                <w:rFonts w:cs="Arial"/>
                <w:color w:val="000000" w:themeColor="text1"/>
              </w:rPr>
            </w:pPr>
            <w:r w:rsidRPr="00B70B50">
              <w:rPr>
                <w:rFonts w:cs="Arial"/>
                <w:color w:val="000000" w:themeColor="text1"/>
              </w:rPr>
              <w:t xml:space="preserve">         </w:t>
            </w:r>
            <w:r w:rsidR="00B70B50" w:rsidRPr="00B70B50">
              <w:rPr>
                <w:rFonts w:cs="Arial"/>
                <w:color w:val="000000" w:themeColor="text1"/>
              </w:rPr>
              <w:t>869</w:t>
            </w:r>
            <w:r w:rsidRPr="00B70B50">
              <w:rPr>
                <w:rFonts w:cs="Arial"/>
                <w:color w:val="000000" w:themeColor="text1"/>
              </w:rPr>
              <w:t xml:space="preserve"> </w:t>
            </w:r>
          </w:p>
        </w:tc>
        <w:tc>
          <w:tcPr>
            <w:tcW w:w="1304" w:type="dxa"/>
            <w:tcBorders>
              <w:top w:val="nil"/>
              <w:left w:val="nil"/>
              <w:bottom w:val="single" w:sz="4" w:space="0" w:color="auto"/>
              <w:right w:val="single" w:sz="4" w:space="0" w:color="auto"/>
            </w:tcBorders>
            <w:shd w:val="clear" w:color="auto" w:fill="auto"/>
            <w:noWrap/>
            <w:vAlign w:val="center"/>
          </w:tcPr>
          <w:p w14:paraId="673C035D" w14:textId="4B2D80D4" w:rsidR="00D84DF5" w:rsidRPr="00B70B50" w:rsidRDefault="00D84DF5">
            <w:pPr>
              <w:spacing w:after="0"/>
              <w:jc w:val="right"/>
              <w:rPr>
                <w:rFonts w:cs="Arial"/>
                <w:color w:val="000000" w:themeColor="text1"/>
              </w:rPr>
            </w:pPr>
            <w:r w:rsidRPr="00B70B50">
              <w:rPr>
                <w:rFonts w:cs="Arial"/>
                <w:color w:val="000000" w:themeColor="text1"/>
              </w:rPr>
              <w:t xml:space="preserve">         </w:t>
            </w:r>
            <w:r w:rsidR="00B70B50" w:rsidRPr="00B70B50">
              <w:rPr>
                <w:rFonts w:cs="Arial"/>
                <w:color w:val="000000" w:themeColor="text1"/>
              </w:rPr>
              <w:t>944</w:t>
            </w:r>
            <w:r w:rsidRPr="00B70B50">
              <w:rPr>
                <w:rFonts w:cs="Arial"/>
                <w:color w:val="000000" w:themeColor="text1"/>
              </w:rPr>
              <w:t xml:space="preserve"> </w:t>
            </w:r>
          </w:p>
        </w:tc>
        <w:tc>
          <w:tcPr>
            <w:tcW w:w="1244" w:type="dxa"/>
            <w:tcBorders>
              <w:top w:val="nil"/>
              <w:left w:val="nil"/>
              <w:bottom w:val="single" w:sz="4" w:space="0" w:color="auto"/>
              <w:right w:val="single" w:sz="4" w:space="0" w:color="auto"/>
            </w:tcBorders>
            <w:shd w:val="clear" w:color="auto" w:fill="auto"/>
            <w:noWrap/>
            <w:vAlign w:val="center"/>
          </w:tcPr>
          <w:p w14:paraId="3E68F701" w14:textId="50B32907" w:rsidR="00D84DF5" w:rsidRPr="00B70B50" w:rsidRDefault="00B70B50">
            <w:pPr>
              <w:spacing w:after="0"/>
              <w:jc w:val="right"/>
              <w:rPr>
                <w:rFonts w:cs="Arial"/>
                <w:color w:val="000000" w:themeColor="text1"/>
              </w:rPr>
            </w:pPr>
            <w:r w:rsidRPr="00B70B50">
              <w:rPr>
                <w:rFonts w:cs="Arial"/>
                <w:color w:val="000000" w:themeColor="text1"/>
              </w:rPr>
              <w:t>231</w:t>
            </w:r>
            <w:r w:rsidR="00D84DF5" w:rsidRPr="00B70B50">
              <w:rPr>
                <w:rFonts w:cs="Arial"/>
                <w:color w:val="000000" w:themeColor="text1"/>
              </w:rPr>
              <w:t xml:space="preserve"> </w:t>
            </w:r>
          </w:p>
        </w:tc>
        <w:tc>
          <w:tcPr>
            <w:tcW w:w="1477" w:type="dxa"/>
            <w:tcBorders>
              <w:top w:val="nil"/>
              <w:left w:val="nil"/>
              <w:bottom w:val="single" w:sz="4" w:space="0" w:color="auto"/>
              <w:right w:val="single" w:sz="4" w:space="0" w:color="auto"/>
            </w:tcBorders>
            <w:shd w:val="clear" w:color="auto" w:fill="auto"/>
            <w:noWrap/>
            <w:vAlign w:val="center"/>
          </w:tcPr>
          <w:p w14:paraId="1579CC20" w14:textId="0986A5AE" w:rsidR="00D84DF5" w:rsidRPr="00B70B50" w:rsidRDefault="00B70B50">
            <w:pPr>
              <w:spacing w:after="0"/>
              <w:jc w:val="right"/>
              <w:rPr>
                <w:rFonts w:cs="Arial"/>
                <w:color w:val="000000" w:themeColor="text1"/>
              </w:rPr>
            </w:pPr>
            <w:r w:rsidRPr="00B70B50">
              <w:rPr>
                <w:rFonts w:cs="Arial"/>
                <w:color w:val="000000" w:themeColor="text1"/>
              </w:rPr>
              <w:t>3.5</w:t>
            </w:r>
            <w:r w:rsidR="00D84DF5" w:rsidRPr="00B70B50">
              <w:rPr>
                <w:rFonts w:cs="Arial"/>
                <w:color w:val="000000" w:themeColor="text1"/>
              </w:rPr>
              <w:t>%</w:t>
            </w:r>
          </w:p>
        </w:tc>
      </w:tr>
      <w:tr w:rsidR="00D84DF5" w:rsidRPr="00537E40" w14:paraId="7DFC50FF" w14:textId="77777777" w:rsidTr="004973A9">
        <w:trPr>
          <w:trHeight w:val="340"/>
        </w:trPr>
        <w:tc>
          <w:tcPr>
            <w:tcW w:w="3114" w:type="dxa"/>
            <w:tcBorders>
              <w:top w:val="nil"/>
              <w:left w:val="single" w:sz="4" w:space="0" w:color="auto"/>
              <w:bottom w:val="single" w:sz="4" w:space="0" w:color="auto"/>
              <w:right w:val="single" w:sz="4" w:space="0" w:color="auto"/>
            </w:tcBorders>
            <w:shd w:val="clear" w:color="auto" w:fill="auto"/>
            <w:noWrap/>
            <w:vAlign w:val="center"/>
          </w:tcPr>
          <w:p w14:paraId="10878EEE" w14:textId="77777777" w:rsidR="00D84DF5" w:rsidRDefault="00D84DF5">
            <w:pPr>
              <w:spacing w:after="0"/>
              <w:rPr>
                <w:rFonts w:cs="Arial"/>
                <w:b/>
                <w:bCs/>
                <w:color w:val="000000"/>
                <w:szCs w:val="20"/>
              </w:rPr>
            </w:pPr>
            <w:r>
              <w:rPr>
                <w:rFonts w:cs="Arial"/>
                <w:b/>
                <w:bCs/>
                <w:color w:val="000000"/>
                <w:szCs w:val="20"/>
              </w:rPr>
              <w:t>Industrial</w:t>
            </w:r>
          </w:p>
        </w:tc>
        <w:tc>
          <w:tcPr>
            <w:tcW w:w="1251" w:type="dxa"/>
            <w:tcBorders>
              <w:top w:val="nil"/>
              <w:left w:val="nil"/>
              <w:bottom w:val="single" w:sz="4" w:space="0" w:color="auto"/>
              <w:right w:val="single" w:sz="4" w:space="0" w:color="auto"/>
            </w:tcBorders>
            <w:shd w:val="clear" w:color="auto" w:fill="auto"/>
            <w:noWrap/>
            <w:vAlign w:val="center"/>
          </w:tcPr>
          <w:p w14:paraId="217F287C" w14:textId="06A77A76" w:rsidR="00D84DF5" w:rsidRPr="00B70B50" w:rsidRDefault="00B70B50">
            <w:pPr>
              <w:spacing w:after="0"/>
              <w:jc w:val="right"/>
              <w:rPr>
                <w:rFonts w:cs="Arial"/>
                <w:color w:val="000000" w:themeColor="text1"/>
              </w:rPr>
            </w:pPr>
            <w:r w:rsidRPr="00B70B50">
              <w:rPr>
                <w:rFonts w:cs="Arial"/>
                <w:color w:val="000000" w:themeColor="text1"/>
              </w:rPr>
              <w:t>4,150</w:t>
            </w:r>
            <w:r w:rsidR="00D84DF5" w:rsidRPr="00B70B50">
              <w:rPr>
                <w:rFonts w:cs="Arial"/>
                <w:color w:val="000000" w:themeColor="text1"/>
              </w:rPr>
              <w:t xml:space="preserve"> </w:t>
            </w:r>
          </w:p>
        </w:tc>
        <w:tc>
          <w:tcPr>
            <w:tcW w:w="1304" w:type="dxa"/>
            <w:tcBorders>
              <w:top w:val="nil"/>
              <w:left w:val="nil"/>
              <w:bottom w:val="single" w:sz="4" w:space="0" w:color="auto"/>
              <w:right w:val="single" w:sz="4" w:space="0" w:color="auto"/>
            </w:tcBorders>
            <w:shd w:val="clear" w:color="auto" w:fill="auto"/>
            <w:noWrap/>
            <w:vAlign w:val="center"/>
          </w:tcPr>
          <w:p w14:paraId="474A1744" w14:textId="0C6E7F6C" w:rsidR="00D84DF5" w:rsidRPr="00B70B50" w:rsidRDefault="00D84DF5">
            <w:pPr>
              <w:spacing w:after="0"/>
              <w:jc w:val="right"/>
              <w:rPr>
                <w:rFonts w:cs="Arial"/>
                <w:color w:val="000000" w:themeColor="text1"/>
              </w:rPr>
            </w:pPr>
            <w:r w:rsidRPr="00B70B50">
              <w:rPr>
                <w:rFonts w:cs="Arial"/>
                <w:color w:val="000000" w:themeColor="text1"/>
              </w:rPr>
              <w:t xml:space="preserve">      </w:t>
            </w:r>
            <w:r w:rsidR="00B70B50" w:rsidRPr="00B70B50">
              <w:rPr>
                <w:rFonts w:cs="Arial"/>
                <w:color w:val="000000" w:themeColor="text1"/>
              </w:rPr>
              <w:t>3,818</w:t>
            </w:r>
            <w:r w:rsidRPr="00B70B50">
              <w:rPr>
                <w:rFonts w:cs="Arial"/>
                <w:color w:val="000000" w:themeColor="text1"/>
              </w:rPr>
              <w:t xml:space="preserve"> </w:t>
            </w:r>
          </w:p>
        </w:tc>
        <w:tc>
          <w:tcPr>
            <w:tcW w:w="1304" w:type="dxa"/>
            <w:tcBorders>
              <w:top w:val="nil"/>
              <w:left w:val="nil"/>
              <w:bottom w:val="single" w:sz="4" w:space="0" w:color="auto"/>
              <w:right w:val="single" w:sz="4" w:space="0" w:color="auto"/>
            </w:tcBorders>
            <w:shd w:val="clear" w:color="auto" w:fill="auto"/>
            <w:noWrap/>
            <w:vAlign w:val="center"/>
          </w:tcPr>
          <w:p w14:paraId="4552E144" w14:textId="52ACDADF" w:rsidR="00D84DF5" w:rsidRPr="00B70B50" w:rsidRDefault="00D84DF5">
            <w:pPr>
              <w:spacing w:after="0"/>
              <w:jc w:val="right"/>
              <w:rPr>
                <w:rFonts w:cs="Arial"/>
                <w:color w:val="000000" w:themeColor="text1"/>
              </w:rPr>
            </w:pPr>
            <w:r w:rsidRPr="00B70B50">
              <w:rPr>
                <w:rFonts w:cs="Arial"/>
                <w:color w:val="000000" w:themeColor="text1"/>
              </w:rPr>
              <w:t xml:space="preserve">      </w:t>
            </w:r>
            <w:r w:rsidR="00B70B50" w:rsidRPr="00B70B50">
              <w:rPr>
                <w:rFonts w:cs="Arial"/>
                <w:color w:val="000000" w:themeColor="text1"/>
              </w:rPr>
              <w:t>3,724</w:t>
            </w:r>
            <w:r w:rsidRPr="00B70B50">
              <w:rPr>
                <w:rFonts w:cs="Arial"/>
                <w:color w:val="000000" w:themeColor="text1"/>
              </w:rPr>
              <w:t xml:space="preserve"> </w:t>
            </w:r>
          </w:p>
        </w:tc>
        <w:tc>
          <w:tcPr>
            <w:tcW w:w="1244" w:type="dxa"/>
            <w:tcBorders>
              <w:top w:val="nil"/>
              <w:left w:val="nil"/>
              <w:bottom w:val="single" w:sz="4" w:space="0" w:color="auto"/>
              <w:right w:val="single" w:sz="4" w:space="0" w:color="auto"/>
            </w:tcBorders>
            <w:shd w:val="clear" w:color="auto" w:fill="auto"/>
            <w:noWrap/>
            <w:vAlign w:val="center"/>
          </w:tcPr>
          <w:p w14:paraId="310AF213" w14:textId="59EB2EB5" w:rsidR="00D84DF5" w:rsidRPr="00B70B50" w:rsidRDefault="00B70B50">
            <w:pPr>
              <w:spacing w:after="0"/>
              <w:jc w:val="right"/>
              <w:rPr>
                <w:rFonts w:cs="Arial"/>
                <w:color w:val="000000" w:themeColor="text1"/>
              </w:rPr>
            </w:pPr>
            <w:r w:rsidRPr="00B70B50">
              <w:rPr>
                <w:rFonts w:cs="Arial"/>
                <w:color w:val="000000" w:themeColor="text1"/>
              </w:rPr>
              <w:t>-426</w:t>
            </w:r>
            <w:r w:rsidR="00D84DF5" w:rsidRPr="00B70B50">
              <w:rPr>
                <w:rFonts w:cs="Arial"/>
                <w:color w:val="000000" w:themeColor="text1"/>
              </w:rPr>
              <w:t xml:space="preserve"> </w:t>
            </w:r>
          </w:p>
        </w:tc>
        <w:tc>
          <w:tcPr>
            <w:tcW w:w="1477" w:type="dxa"/>
            <w:tcBorders>
              <w:top w:val="nil"/>
              <w:left w:val="nil"/>
              <w:bottom w:val="single" w:sz="4" w:space="0" w:color="auto"/>
              <w:right w:val="single" w:sz="4" w:space="0" w:color="auto"/>
            </w:tcBorders>
            <w:shd w:val="clear" w:color="auto" w:fill="auto"/>
            <w:noWrap/>
            <w:vAlign w:val="center"/>
          </w:tcPr>
          <w:p w14:paraId="14AD69E1" w14:textId="357B7035" w:rsidR="00D84DF5" w:rsidRPr="00B70B50" w:rsidRDefault="00D84DF5">
            <w:pPr>
              <w:spacing w:after="0"/>
              <w:jc w:val="right"/>
              <w:rPr>
                <w:rFonts w:cs="Arial"/>
                <w:color w:val="000000" w:themeColor="text1"/>
              </w:rPr>
            </w:pPr>
            <w:r w:rsidRPr="00B70B50">
              <w:rPr>
                <w:rFonts w:cs="Arial"/>
                <w:color w:val="000000" w:themeColor="text1"/>
              </w:rPr>
              <w:t>-</w:t>
            </w:r>
            <w:r w:rsidR="00B70B50" w:rsidRPr="00B70B50">
              <w:rPr>
                <w:rFonts w:cs="Arial"/>
                <w:color w:val="000000" w:themeColor="text1"/>
              </w:rPr>
              <w:t>6.4</w:t>
            </w:r>
            <w:r w:rsidRPr="00B70B50">
              <w:rPr>
                <w:rFonts w:cs="Arial"/>
                <w:color w:val="000000" w:themeColor="text1"/>
              </w:rPr>
              <w:t>%</w:t>
            </w:r>
          </w:p>
        </w:tc>
      </w:tr>
      <w:tr w:rsidR="00D84DF5" w:rsidRPr="00537E40" w14:paraId="77C40DB1" w14:textId="77777777" w:rsidTr="004973A9">
        <w:trPr>
          <w:trHeight w:val="340"/>
        </w:trPr>
        <w:tc>
          <w:tcPr>
            <w:tcW w:w="3114" w:type="dxa"/>
            <w:tcBorders>
              <w:top w:val="nil"/>
              <w:left w:val="single" w:sz="4" w:space="0" w:color="auto"/>
              <w:bottom w:val="single" w:sz="4" w:space="0" w:color="auto"/>
              <w:right w:val="single" w:sz="4" w:space="0" w:color="auto"/>
            </w:tcBorders>
            <w:shd w:val="clear" w:color="auto" w:fill="auto"/>
            <w:noWrap/>
            <w:vAlign w:val="center"/>
          </w:tcPr>
          <w:p w14:paraId="2AFF1CDC" w14:textId="77777777" w:rsidR="00D84DF5" w:rsidRDefault="00D84DF5">
            <w:pPr>
              <w:spacing w:after="0"/>
              <w:rPr>
                <w:rFonts w:cs="Arial"/>
                <w:b/>
                <w:bCs/>
                <w:color w:val="000000"/>
                <w:szCs w:val="20"/>
              </w:rPr>
            </w:pPr>
            <w:r>
              <w:rPr>
                <w:rFonts w:cs="Arial"/>
                <w:b/>
                <w:bCs/>
                <w:color w:val="000000"/>
                <w:szCs w:val="20"/>
              </w:rPr>
              <w:t>Total (City of Melbourne)</w:t>
            </w:r>
          </w:p>
        </w:tc>
        <w:tc>
          <w:tcPr>
            <w:tcW w:w="1251" w:type="dxa"/>
            <w:tcBorders>
              <w:top w:val="nil"/>
              <w:left w:val="nil"/>
              <w:bottom w:val="single" w:sz="4" w:space="0" w:color="auto"/>
              <w:right w:val="single" w:sz="4" w:space="0" w:color="auto"/>
            </w:tcBorders>
            <w:shd w:val="clear" w:color="auto" w:fill="auto"/>
            <w:noWrap/>
            <w:vAlign w:val="center"/>
          </w:tcPr>
          <w:p w14:paraId="35546216" w14:textId="1D98433E" w:rsidR="00D84DF5" w:rsidRPr="00B70B50" w:rsidRDefault="00B70B50">
            <w:pPr>
              <w:spacing w:after="0"/>
              <w:jc w:val="right"/>
              <w:rPr>
                <w:rFonts w:cs="Arial"/>
                <w:b/>
                <w:bCs/>
                <w:color w:val="000000" w:themeColor="text1"/>
              </w:rPr>
            </w:pPr>
            <w:r w:rsidRPr="00B70B50">
              <w:rPr>
                <w:rFonts w:cs="Arial"/>
                <w:b/>
                <w:bCs/>
                <w:color w:val="000000" w:themeColor="text1"/>
              </w:rPr>
              <w:t>28,187</w:t>
            </w:r>
            <w:r w:rsidR="00D84DF5" w:rsidRPr="00B70B50">
              <w:rPr>
                <w:rFonts w:cs="Arial"/>
                <w:b/>
                <w:bCs/>
                <w:color w:val="000000" w:themeColor="text1"/>
              </w:rPr>
              <w:t xml:space="preserve"> </w:t>
            </w:r>
          </w:p>
        </w:tc>
        <w:tc>
          <w:tcPr>
            <w:tcW w:w="1304" w:type="dxa"/>
            <w:tcBorders>
              <w:top w:val="nil"/>
              <w:left w:val="nil"/>
              <w:bottom w:val="single" w:sz="4" w:space="0" w:color="auto"/>
              <w:right w:val="single" w:sz="4" w:space="0" w:color="auto"/>
            </w:tcBorders>
            <w:shd w:val="clear" w:color="auto" w:fill="auto"/>
            <w:noWrap/>
            <w:vAlign w:val="center"/>
          </w:tcPr>
          <w:p w14:paraId="21F15C3D" w14:textId="06F705C0" w:rsidR="00D84DF5" w:rsidRPr="00B70B50" w:rsidRDefault="00D84DF5">
            <w:pPr>
              <w:spacing w:after="0"/>
              <w:jc w:val="right"/>
              <w:rPr>
                <w:rFonts w:cs="Arial"/>
                <w:b/>
                <w:bCs/>
                <w:color w:val="000000" w:themeColor="text1"/>
              </w:rPr>
            </w:pPr>
            <w:r w:rsidRPr="00B70B50">
              <w:rPr>
                <w:rFonts w:cs="Arial"/>
                <w:b/>
                <w:bCs/>
                <w:color w:val="000000" w:themeColor="text1"/>
              </w:rPr>
              <w:t xml:space="preserve">    </w:t>
            </w:r>
            <w:r w:rsidR="00B70B50" w:rsidRPr="00B70B50">
              <w:rPr>
                <w:rFonts w:cs="Arial"/>
                <w:b/>
                <w:bCs/>
                <w:color w:val="000000" w:themeColor="text1"/>
              </w:rPr>
              <w:t>31,715</w:t>
            </w:r>
            <w:r w:rsidRPr="00B70B50">
              <w:rPr>
                <w:rFonts w:cs="Arial"/>
                <w:b/>
                <w:bCs/>
                <w:color w:val="000000" w:themeColor="text1"/>
              </w:rPr>
              <w:t xml:space="preserve"> </w:t>
            </w:r>
          </w:p>
        </w:tc>
        <w:tc>
          <w:tcPr>
            <w:tcW w:w="1304" w:type="dxa"/>
            <w:tcBorders>
              <w:top w:val="nil"/>
              <w:left w:val="nil"/>
              <w:bottom w:val="single" w:sz="4" w:space="0" w:color="auto"/>
              <w:right w:val="single" w:sz="4" w:space="0" w:color="auto"/>
            </w:tcBorders>
            <w:shd w:val="clear" w:color="auto" w:fill="auto"/>
            <w:noWrap/>
            <w:vAlign w:val="center"/>
          </w:tcPr>
          <w:p w14:paraId="49B3817C" w14:textId="0E9C5386" w:rsidR="00D84DF5" w:rsidRPr="00B70B50" w:rsidRDefault="00D84DF5">
            <w:pPr>
              <w:spacing w:after="0"/>
              <w:jc w:val="right"/>
              <w:rPr>
                <w:rFonts w:cs="Arial"/>
                <w:b/>
                <w:bCs/>
                <w:color w:val="000000" w:themeColor="text1"/>
              </w:rPr>
            </w:pPr>
            <w:r w:rsidRPr="00B70B50">
              <w:rPr>
                <w:rFonts w:cs="Arial"/>
                <w:b/>
                <w:bCs/>
                <w:color w:val="000000" w:themeColor="text1"/>
              </w:rPr>
              <w:t xml:space="preserve">    </w:t>
            </w:r>
            <w:r w:rsidR="00B70B50" w:rsidRPr="00B70B50">
              <w:rPr>
                <w:rFonts w:cs="Arial"/>
                <w:b/>
                <w:bCs/>
                <w:color w:val="000000" w:themeColor="text1"/>
              </w:rPr>
              <w:t>34,868</w:t>
            </w:r>
            <w:r w:rsidRPr="00B70B50">
              <w:rPr>
                <w:rFonts w:cs="Arial"/>
                <w:b/>
                <w:bCs/>
                <w:color w:val="000000" w:themeColor="text1"/>
              </w:rPr>
              <w:t xml:space="preserve"> </w:t>
            </w:r>
          </w:p>
        </w:tc>
        <w:tc>
          <w:tcPr>
            <w:tcW w:w="1244" w:type="dxa"/>
            <w:tcBorders>
              <w:top w:val="nil"/>
              <w:left w:val="nil"/>
              <w:bottom w:val="single" w:sz="4" w:space="0" w:color="auto"/>
              <w:right w:val="single" w:sz="4" w:space="0" w:color="auto"/>
            </w:tcBorders>
            <w:shd w:val="clear" w:color="auto" w:fill="auto"/>
            <w:noWrap/>
            <w:vAlign w:val="center"/>
          </w:tcPr>
          <w:p w14:paraId="131B7C2F" w14:textId="1413768F" w:rsidR="00D84DF5" w:rsidRPr="00B70B50" w:rsidRDefault="00B70B50">
            <w:pPr>
              <w:spacing w:after="0"/>
              <w:jc w:val="right"/>
              <w:rPr>
                <w:rFonts w:cs="Arial"/>
                <w:b/>
                <w:bCs/>
                <w:color w:val="000000" w:themeColor="text1"/>
              </w:rPr>
            </w:pPr>
            <w:r w:rsidRPr="00B70B50">
              <w:rPr>
                <w:rFonts w:cs="Arial"/>
                <w:b/>
                <w:bCs/>
                <w:color w:val="000000" w:themeColor="text1"/>
              </w:rPr>
              <w:t>6,683</w:t>
            </w:r>
            <w:r w:rsidR="00D84DF5" w:rsidRPr="00B70B50">
              <w:rPr>
                <w:rFonts w:cs="Arial"/>
                <w:b/>
                <w:bCs/>
                <w:color w:val="000000" w:themeColor="text1"/>
              </w:rPr>
              <w:t xml:space="preserve"> </w:t>
            </w:r>
          </w:p>
        </w:tc>
        <w:tc>
          <w:tcPr>
            <w:tcW w:w="1477" w:type="dxa"/>
            <w:tcBorders>
              <w:top w:val="nil"/>
              <w:left w:val="nil"/>
              <w:bottom w:val="single" w:sz="4" w:space="0" w:color="auto"/>
              <w:right w:val="single" w:sz="4" w:space="0" w:color="auto"/>
            </w:tcBorders>
            <w:shd w:val="clear" w:color="auto" w:fill="auto"/>
            <w:noWrap/>
            <w:vAlign w:val="center"/>
          </w:tcPr>
          <w:p w14:paraId="21084E7D" w14:textId="1527AD61" w:rsidR="00D84DF5" w:rsidRPr="00B70B50" w:rsidRDefault="00D84DF5">
            <w:pPr>
              <w:spacing w:after="0"/>
              <w:jc w:val="right"/>
              <w:rPr>
                <w:rFonts w:cs="Arial"/>
                <w:b/>
                <w:bCs/>
                <w:color w:val="000000" w:themeColor="text1"/>
              </w:rPr>
            </w:pPr>
            <w:r w:rsidRPr="00B70B50">
              <w:rPr>
                <w:rFonts w:cs="Arial"/>
                <w:b/>
                <w:bCs/>
                <w:color w:val="000000" w:themeColor="text1"/>
              </w:rPr>
              <w:t>100%</w:t>
            </w:r>
          </w:p>
        </w:tc>
      </w:tr>
    </w:tbl>
    <w:p w14:paraId="0FA7DD52" w14:textId="35586D0B" w:rsidR="004C6848" w:rsidRPr="00537E40" w:rsidRDefault="004C6848" w:rsidP="110985B9">
      <w:pPr>
        <w:spacing w:before="120"/>
        <w:rPr>
          <w:sz w:val="16"/>
          <w:szCs w:val="16"/>
        </w:rPr>
      </w:pPr>
      <w:r w:rsidRPr="110985B9">
        <w:rPr>
          <w:sz w:val="16"/>
          <w:szCs w:val="16"/>
        </w:rPr>
        <w:t xml:space="preserve">Source: SGS Economics and Planning, </w:t>
      </w:r>
      <w:r w:rsidR="00070E34" w:rsidRPr="110985B9">
        <w:rPr>
          <w:sz w:val="16"/>
          <w:szCs w:val="16"/>
        </w:rPr>
        <w:t>202</w:t>
      </w:r>
      <w:r w:rsidR="00B70B50">
        <w:rPr>
          <w:sz w:val="16"/>
          <w:szCs w:val="16"/>
        </w:rPr>
        <w:t>4</w:t>
      </w:r>
      <w:r w:rsidR="00345820" w:rsidRPr="110985B9">
        <w:rPr>
          <w:sz w:val="16"/>
          <w:szCs w:val="16"/>
        </w:rPr>
        <w:t xml:space="preserve">.  </w:t>
      </w:r>
      <w:r w:rsidR="00915EAC" w:rsidRPr="110985B9">
        <w:rPr>
          <w:sz w:val="16"/>
          <w:szCs w:val="16"/>
        </w:rPr>
        <w:t>Table shows rounded figures.</w:t>
      </w:r>
    </w:p>
    <w:p w14:paraId="37B0DCB9" w14:textId="77777777" w:rsidR="00B61D4E" w:rsidRDefault="00B61D4E" w:rsidP="00E34073">
      <w:pPr>
        <w:pStyle w:val="Heading1"/>
        <w:rPr>
          <w:rFonts w:hint="eastAsia"/>
        </w:rPr>
      </w:pPr>
      <w:r>
        <w:rPr>
          <w:sz w:val="16"/>
        </w:rPr>
        <w:br w:type="page"/>
      </w:r>
      <w:bookmarkStart w:id="27" w:name="_Toc180519459"/>
      <w:r w:rsidRPr="00537E40">
        <w:lastRenderedPageBreak/>
        <w:t>Appendix</w:t>
      </w:r>
      <w:r w:rsidR="00363025">
        <w:t xml:space="preserve"> </w:t>
      </w:r>
      <w:r>
        <w:t>2</w:t>
      </w:r>
      <w:r w:rsidR="00363025">
        <w:t>:</w:t>
      </w:r>
      <w:r w:rsidRPr="00537E40">
        <w:t xml:space="preserve"> </w:t>
      </w:r>
      <w:r w:rsidRPr="00B61D4E">
        <w:t>Industr</w:t>
      </w:r>
      <w:r>
        <w:t xml:space="preserve">y </w:t>
      </w:r>
      <w:r w:rsidR="008C23CF">
        <w:t>c</w:t>
      </w:r>
      <w:r>
        <w:t>ate</w:t>
      </w:r>
      <w:r w:rsidRPr="00B61D4E">
        <w:t>gories</w:t>
      </w:r>
      <w:bookmarkEnd w:id="27"/>
    </w:p>
    <w:p w14:paraId="5E23189B" w14:textId="77777777" w:rsidR="00363025" w:rsidRDefault="008C23CF" w:rsidP="00363025">
      <w:pPr>
        <w:rPr>
          <w:lang w:val="en-US"/>
        </w:rPr>
      </w:pPr>
      <w:r>
        <w:rPr>
          <w:lang w:val="en-US"/>
        </w:rPr>
        <w:t xml:space="preserve">The following presents the list of broad industry categories used in the </w:t>
      </w:r>
      <w:r w:rsidR="007A4524">
        <w:rPr>
          <w:lang w:val="en-US"/>
        </w:rPr>
        <w:t>forecast model</w:t>
      </w:r>
      <w:r>
        <w:rPr>
          <w:lang w:val="en-US"/>
        </w:rPr>
        <w:t xml:space="preserve"> which come from CLUE. These broad categories roughly map to</w:t>
      </w:r>
      <w:bookmarkEnd w:id="8"/>
      <w:bookmarkEnd w:id="9"/>
      <w:bookmarkEnd w:id="10"/>
      <w:r w:rsidR="00BF4912">
        <w:rPr>
          <w:lang w:val="en-US"/>
        </w:rPr>
        <w:t xml:space="preserve"> level one of</w:t>
      </w:r>
      <w:r>
        <w:rPr>
          <w:lang w:val="en-US"/>
        </w:rPr>
        <w:t xml:space="preserve"> the </w:t>
      </w:r>
      <w:hyperlink r:id="rId16" w:history="1">
        <w:r w:rsidR="00363025" w:rsidRPr="001D104E">
          <w:rPr>
            <w:rStyle w:val="Hyperlink"/>
            <w:lang w:val="en-US"/>
          </w:rPr>
          <w:t>Australian New Zealand Standard Industrial Classification (ANZSIC)</w:t>
        </w:r>
      </w:hyperlink>
      <w:r w:rsidR="00363025">
        <w:rPr>
          <w:rStyle w:val="FootnoteReference"/>
          <w:lang w:val="en-US"/>
        </w:rPr>
        <w:footnoteReference w:id="5"/>
      </w:r>
      <w:r w:rsidR="001D104E">
        <w:rPr>
          <w:lang w:val="en-US"/>
        </w:rPr>
        <w:t xml:space="preserve"> developed by the ABS.</w:t>
      </w:r>
    </w:p>
    <w:p w14:paraId="7AB300EE" w14:textId="77777777" w:rsidR="00363025" w:rsidRDefault="00363025" w:rsidP="00363025">
      <w:pPr>
        <w:rPr>
          <w:lang w:val="en-US"/>
        </w:rPr>
      </w:pPr>
      <w:r>
        <w:rPr>
          <w:lang w:val="en-US"/>
        </w:rPr>
        <w:t xml:space="preserve">More </w:t>
      </w:r>
      <w:r w:rsidR="007A4524">
        <w:rPr>
          <w:lang w:val="en-US"/>
        </w:rPr>
        <w:t xml:space="preserve">information about CLUE industries </w:t>
      </w:r>
      <w:r>
        <w:rPr>
          <w:lang w:val="en-US"/>
        </w:rPr>
        <w:t>can be found</w:t>
      </w:r>
      <w:r w:rsidR="00551CD9">
        <w:rPr>
          <w:lang w:val="en-US"/>
        </w:rPr>
        <w:t xml:space="preserve"> in</w:t>
      </w:r>
      <w:r>
        <w:rPr>
          <w:lang w:val="en-US"/>
        </w:rPr>
        <w:t xml:space="preserve"> the </w:t>
      </w:r>
      <w:hyperlink r:id="rId17" w:history="1">
        <w:r>
          <w:rPr>
            <w:rStyle w:val="Hyperlink"/>
            <w:lang w:val="en-US"/>
          </w:rPr>
          <w:t>CLUE Definition</w:t>
        </w:r>
        <w:r w:rsidR="001D104E">
          <w:rPr>
            <w:rStyle w:val="Hyperlink"/>
            <w:lang w:val="en-US"/>
          </w:rPr>
          <w:t>s (</w:t>
        </w:r>
      </w:hyperlink>
      <w:r w:rsidR="001D104E">
        <w:rPr>
          <w:rStyle w:val="Hyperlink"/>
          <w:lang w:val="en-US"/>
        </w:rPr>
        <w:t>PDF)</w:t>
      </w:r>
      <w:bookmarkStart w:id="28" w:name="_Ref84260856"/>
      <w:r w:rsidR="00C2251F" w:rsidRPr="00C2251F">
        <w:rPr>
          <w:rStyle w:val="FootnoteReference"/>
        </w:rPr>
        <w:footnoteReference w:id="6"/>
      </w:r>
      <w:bookmarkEnd w:id="28"/>
      <w:r w:rsidR="008C23CF">
        <w:rPr>
          <w:lang w:val="en-US"/>
        </w:rPr>
        <w:t xml:space="preserve"> on City of Melb</w:t>
      </w:r>
      <w:r w:rsidR="008E0C7D">
        <w:rPr>
          <w:lang w:val="en-US"/>
        </w:rPr>
        <w:t>ourne’s Open Data P</w:t>
      </w:r>
      <w:r w:rsidR="008C23CF">
        <w:rPr>
          <w:lang w:val="en-US"/>
        </w:rPr>
        <w:t>latform.</w:t>
      </w:r>
    </w:p>
    <w:tbl>
      <w:tblPr>
        <w:tblW w:w="9520" w:type="dxa"/>
        <w:tblLook w:val="04A0" w:firstRow="1" w:lastRow="0" w:firstColumn="1" w:lastColumn="0" w:noHBand="0" w:noVBand="1"/>
      </w:tblPr>
      <w:tblGrid>
        <w:gridCol w:w="4760"/>
        <w:gridCol w:w="4760"/>
      </w:tblGrid>
      <w:tr w:rsidR="007A4524" w:rsidRPr="008C23CF" w14:paraId="6EB42507" w14:textId="77777777" w:rsidTr="00551CD9">
        <w:trPr>
          <w:trHeight w:val="340"/>
        </w:trPr>
        <w:tc>
          <w:tcPr>
            <w:tcW w:w="4760" w:type="dxa"/>
            <w:tcBorders>
              <w:top w:val="single" w:sz="4" w:space="0" w:color="auto"/>
              <w:left w:val="single" w:sz="4" w:space="0" w:color="auto"/>
              <w:bottom w:val="single" w:sz="4" w:space="0" w:color="auto"/>
              <w:right w:val="single" w:sz="4" w:space="0" w:color="auto"/>
            </w:tcBorders>
            <w:vAlign w:val="center"/>
          </w:tcPr>
          <w:p w14:paraId="2B1A7F41" w14:textId="77777777" w:rsidR="007A4524" w:rsidRPr="007A4524" w:rsidRDefault="007A4524" w:rsidP="007A4524">
            <w:pPr>
              <w:spacing w:after="0" w:line="240" w:lineRule="auto"/>
              <w:rPr>
                <w:rFonts w:eastAsia="Times New Roman" w:cs="Arial"/>
                <w:b/>
                <w:color w:val="000000"/>
                <w:szCs w:val="22"/>
                <w:lang w:eastAsia="en-AU"/>
              </w:rPr>
            </w:pPr>
            <w:r>
              <w:rPr>
                <w:rFonts w:eastAsia="Times New Roman" w:cs="Arial"/>
                <w:b/>
                <w:color w:val="000000"/>
                <w:szCs w:val="22"/>
                <w:lang w:eastAsia="en-AU"/>
              </w:rPr>
              <w:t>ABS ANZSIC1</w:t>
            </w:r>
          </w:p>
        </w:tc>
        <w:tc>
          <w:tcPr>
            <w:tcW w:w="4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E2D4E8" w14:textId="77777777" w:rsidR="007A4524" w:rsidRPr="008C23CF" w:rsidRDefault="007A4524" w:rsidP="007A4524">
            <w:pPr>
              <w:spacing w:after="0" w:line="240" w:lineRule="auto"/>
              <w:rPr>
                <w:rFonts w:eastAsia="Times New Roman" w:cs="Arial"/>
                <w:b/>
                <w:color w:val="000000"/>
                <w:szCs w:val="22"/>
                <w:lang w:eastAsia="en-AU"/>
              </w:rPr>
            </w:pPr>
            <w:r w:rsidRPr="007A4524">
              <w:rPr>
                <w:rFonts w:eastAsia="Times New Roman" w:cs="Arial"/>
                <w:b/>
                <w:color w:val="000000"/>
                <w:szCs w:val="22"/>
                <w:lang w:eastAsia="en-AU"/>
              </w:rPr>
              <w:t>Forecast model industries</w:t>
            </w:r>
          </w:p>
        </w:tc>
      </w:tr>
      <w:tr w:rsidR="007A4524" w:rsidRPr="008C23CF" w14:paraId="005AFF9E" w14:textId="77777777" w:rsidTr="00551CD9">
        <w:trPr>
          <w:trHeight w:val="340"/>
        </w:trPr>
        <w:tc>
          <w:tcPr>
            <w:tcW w:w="4760" w:type="dxa"/>
            <w:tcBorders>
              <w:top w:val="nil"/>
              <w:left w:val="single" w:sz="4" w:space="0" w:color="auto"/>
              <w:bottom w:val="single" w:sz="4" w:space="0" w:color="auto"/>
              <w:right w:val="single" w:sz="4" w:space="0" w:color="auto"/>
            </w:tcBorders>
            <w:vAlign w:val="center"/>
          </w:tcPr>
          <w:p w14:paraId="783E2AFD" w14:textId="77777777" w:rsidR="007A4524" w:rsidRPr="008C23CF" w:rsidRDefault="007A4524" w:rsidP="007A4524">
            <w:pPr>
              <w:spacing w:after="0" w:line="240" w:lineRule="auto"/>
              <w:rPr>
                <w:rFonts w:eastAsia="Times New Roman" w:cs="Arial"/>
                <w:color w:val="000000"/>
                <w:szCs w:val="22"/>
                <w:lang w:eastAsia="en-AU"/>
              </w:rPr>
            </w:pPr>
            <w:r w:rsidRPr="008C23CF">
              <w:rPr>
                <w:rFonts w:eastAsia="Times New Roman" w:cs="Arial"/>
                <w:color w:val="000000"/>
                <w:szCs w:val="22"/>
                <w:lang w:eastAsia="en-AU"/>
              </w:rPr>
              <w:t>Accommodation and Food Services</w:t>
            </w:r>
          </w:p>
        </w:tc>
        <w:tc>
          <w:tcPr>
            <w:tcW w:w="4760" w:type="dxa"/>
            <w:tcBorders>
              <w:top w:val="nil"/>
              <w:left w:val="single" w:sz="4" w:space="0" w:color="auto"/>
              <w:bottom w:val="single" w:sz="4" w:space="0" w:color="auto"/>
              <w:right w:val="single" w:sz="4" w:space="0" w:color="auto"/>
            </w:tcBorders>
            <w:shd w:val="clear" w:color="auto" w:fill="auto"/>
            <w:noWrap/>
            <w:vAlign w:val="center"/>
            <w:hideMark/>
          </w:tcPr>
          <w:p w14:paraId="1799DED6" w14:textId="77777777" w:rsidR="007A4524" w:rsidRPr="008C23CF" w:rsidRDefault="007A4524" w:rsidP="007A4524">
            <w:pPr>
              <w:spacing w:after="0" w:line="240" w:lineRule="auto"/>
              <w:rPr>
                <w:rFonts w:eastAsia="Times New Roman" w:cs="Arial"/>
                <w:color w:val="000000"/>
                <w:szCs w:val="22"/>
                <w:lang w:eastAsia="en-AU"/>
              </w:rPr>
            </w:pPr>
            <w:r w:rsidRPr="008C23CF">
              <w:rPr>
                <w:rFonts w:eastAsia="Times New Roman" w:cs="Arial"/>
                <w:color w:val="000000"/>
                <w:szCs w:val="22"/>
                <w:lang w:eastAsia="en-AU"/>
              </w:rPr>
              <w:t>Accommodation</w:t>
            </w:r>
          </w:p>
        </w:tc>
      </w:tr>
      <w:tr w:rsidR="007A4524" w:rsidRPr="008C23CF" w14:paraId="7E5BCBB9" w14:textId="77777777" w:rsidTr="00551CD9">
        <w:trPr>
          <w:trHeight w:val="340"/>
        </w:trPr>
        <w:tc>
          <w:tcPr>
            <w:tcW w:w="4760" w:type="dxa"/>
            <w:tcBorders>
              <w:top w:val="nil"/>
              <w:left w:val="single" w:sz="4" w:space="0" w:color="auto"/>
              <w:bottom w:val="single" w:sz="4" w:space="0" w:color="auto"/>
              <w:right w:val="single" w:sz="4" w:space="0" w:color="auto"/>
            </w:tcBorders>
            <w:vAlign w:val="center"/>
          </w:tcPr>
          <w:p w14:paraId="0B90398E" w14:textId="77777777" w:rsidR="007A4524" w:rsidRPr="008C23CF" w:rsidRDefault="007A4524" w:rsidP="007A4524">
            <w:pPr>
              <w:spacing w:after="0" w:line="240" w:lineRule="auto"/>
              <w:rPr>
                <w:rFonts w:eastAsia="Times New Roman" w:cs="Arial"/>
                <w:color w:val="000000"/>
                <w:szCs w:val="22"/>
                <w:lang w:eastAsia="en-AU"/>
              </w:rPr>
            </w:pPr>
            <w:r w:rsidRPr="008C23CF">
              <w:rPr>
                <w:rFonts w:eastAsia="Times New Roman" w:cs="Arial"/>
                <w:color w:val="000000"/>
                <w:szCs w:val="22"/>
                <w:lang w:eastAsia="en-AU"/>
              </w:rPr>
              <w:t>Administrative and Support Services</w:t>
            </w:r>
          </w:p>
        </w:tc>
        <w:tc>
          <w:tcPr>
            <w:tcW w:w="4760" w:type="dxa"/>
            <w:tcBorders>
              <w:top w:val="nil"/>
              <w:left w:val="single" w:sz="4" w:space="0" w:color="auto"/>
              <w:bottom w:val="single" w:sz="4" w:space="0" w:color="auto"/>
              <w:right w:val="single" w:sz="4" w:space="0" w:color="auto"/>
            </w:tcBorders>
            <w:shd w:val="clear" w:color="auto" w:fill="auto"/>
            <w:noWrap/>
            <w:vAlign w:val="center"/>
            <w:hideMark/>
          </w:tcPr>
          <w:p w14:paraId="0049C6E5" w14:textId="77777777" w:rsidR="007A4524" w:rsidRPr="008C23CF" w:rsidRDefault="007A4524" w:rsidP="007A4524">
            <w:pPr>
              <w:spacing w:after="0" w:line="240" w:lineRule="auto"/>
              <w:rPr>
                <w:rFonts w:eastAsia="Times New Roman" w:cs="Arial"/>
                <w:color w:val="000000"/>
                <w:szCs w:val="22"/>
                <w:lang w:eastAsia="en-AU"/>
              </w:rPr>
            </w:pPr>
            <w:r w:rsidRPr="008C23CF">
              <w:rPr>
                <w:rFonts w:eastAsia="Times New Roman" w:cs="Arial"/>
                <w:color w:val="000000"/>
                <w:szCs w:val="22"/>
                <w:lang w:eastAsia="en-AU"/>
              </w:rPr>
              <w:t>Admin and Support Services</w:t>
            </w:r>
          </w:p>
        </w:tc>
      </w:tr>
      <w:tr w:rsidR="007A4524" w:rsidRPr="008C23CF" w14:paraId="36D8F56C" w14:textId="77777777" w:rsidTr="00551CD9">
        <w:trPr>
          <w:trHeight w:val="340"/>
        </w:trPr>
        <w:tc>
          <w:tcPr>
            <w:tcW w:w="4760" w:type="dxa"/>
            <w:tcBorders>
              <w:top w:val="nil"/>
              <w:left w:val="single" w:sz="4" w:space="0" w:color="auto"/>
              <w:bottom w:val="single" w:sz="4" w:space="0" w:color="auto"/>
              <w:right w:val="single" w:sz="4" w:space="0" w:color="auto"/>
            </w:tcBorders>
            <w:vAlign w:val="center"/>
          </w:tcPr>
          <w:p w14:paraId="492506D0" w14:textId="77777777" w:rsidR="007A4524" w:rsidRPr="008C23CF" w:rsidRDefault="007A4524" w:rsidP="007A4524">
            <w:pPr>
              <w:spacing w:after="0" w:line="240" w:lineRule="auto"/>
              <w:rPr>
                <w:rFonts w:eastAsia="Times New Roman" w:cs="Arial"/>
                <w:color w:val="000000"/>
                <w:szCs w:val="22"/>
                <w:lang w:eastAsia="en-AU"/>
              </w:rPr>
            </w:pPr>
            <w:r w:rsidRPr="008C23CF">
              <w:rPr>
                <w:rFonts w:eastAsia="Times New Roman" w:cs="Arial"/>
                <w:color w:val="000000"/>
                <w:szCs w:val="22"/>
                <w:lang w:eastAsia="en-AU"/>
              </w:rPr>
              <w:t>Agriculture, Forestry and Fishing</w:t>
            </w:r>
          </w:p>
        </w:tc>
        <w:tc>
          <w:tcPr>
            <w:tcW w:w="4760" w:type="dxa"/>
            <w:tcBorders>
              <w:top w:val="nil"/>
              <w:left w:val="single" w:sz="4" w:space="0" w:color="auto"/>
              <w:bottom w:val="single" w:sz="4" w:space="0" w:color="auto"/>
              <w:right w:val="single" w:sz="4" w:space="0" w:color="auto"/>
            </w:tcBorders>
            <w:shd w:val="clear" w:color="auto" w:fill="auto"/>
            <w:noWrap/>
            <w:vAlign w:val="center"/>
            <w:hideMark/>
          </w:tcPr>
          <w:p w14:paraId="65E0B5CC" w14:textId="77777777" w:rsidR="007A4524" w:rsidRPr="008C23CF" w:rsidRDefault="007A4524" w:rsidP="007A4524">
            <w:pPr>
              <w:spacing w:after="0" w:line="240" w:lineRule="auto"/>
              <w:rPr>
                <w:rFonts w:eastAsia="Times New Roman" w:cs="Arial"/>
                <w:color w:val="000000"/>
                <w:szCs w:val="22"/>
                <w:lang w:eastAsia="en-AU"/>
              </w:rPr>
            </w:pPr>
            <w:r w:rsidRPr="008C23CF">
              <w:rPr>
                <w:rFonts w:eastAsia="Times New Roman" w:cs="Arial"/>
                <w:color w:val="000000"/>
                <w:szCs w:val="22"/>
                <w:lang w:eastAsia="en-AU"/>
              </w:rPr>
              <w:t>Agriculture and Mining</w:t>
            </w:r>
          </w:p>
        </w:tc>
      </w:tr>
      <w:tr w:rsidR="007A4524" w:rsidRPr="008C23CF" w14:paraId="4BA1AE2C" w14:textId="77777777" w:rsidTr="00551CD9">
        <w:trPr>
          <w:trHeight w:val="340"/>
        </w:trPr>
        <w:tc>
          <w:tcPr>
            <w:tcW w:w="4760" w:type="dxa"/>
            <w:tcBorders>
              <w:top w:val="nil"/>
              <w:left w:val="single" w:sz="4" w:space="0" w:color="auto"/>
              <w:bottom w:val="single" w:sz="4" w:space="0" w:color="auto"/>
              <w:right w:val="single" w:sz="4" w:space="0" w:color="auto"/>
            </w:tcBorders>
            <w:vAlign w:val="center"/>
          </w:tcPr>
          <w:p w14:paraId="23F51495" w14:textId="77777777" w:rsidR="007A4524" w:rsidRPr="008C23CF" w:rsidRDefault="007A4524" w:rsidP="007A4524">
            <w:pPr>
              <w:spacing w:after="0" w:line="240" w:lineRule="auto"/>
              <w:rPr>
                <w:rFonts w:eastAsia="Times New Roman" w:cs="Arial"/>
                <w:color w:val="000000"/>
                <w:szCs w:val="22"/>
                <w:lang w:eastAsia="en-AU"/>
              </w:rPr>
            </w:pPr>
            <w:r w:rsidRPr="008C23CF">
              <w:rPr>
                <w:rFonts w:eastAsia="Times New Roman" w:cs="Arial"/>
                <w:color w:val="000000"/>
                <w:szCs w:val="22"/>
                <w:lang w:eastAsia="en-AU"/>
              </w:rPr>
              <w:t>Mining</w:t>
            </w:r>
          </w:p>
        </w:tc>
        <w:tc>
          <w:tcPr>
            <w:tcW w:w="4760" w:type="dxa"/>
            <w:tcBorders>
              <w:top w:val="nil"/>
              <w:left w:val="single" w:sz="4" w:space="0" w:color="auto"/>
              <w:bottom w:val="single" w:sz="4" w:space="0" w:color="auto"/>
              <w:right w:val="single" w:sz="4" w:space="0" w:color="auto"/>
            </w:tcBorders>
            <w:shd w:val="clear" w:color="auto" w:fill="auto"/>
            <w:noWrap/>
            <w:vAlign w:val="center"/>
            <w:hideMark/>
          </w:tcPr>
          <w:p w14:paraId="2FC5915C" w14:textId="77777777" w:rsidR="007A4524" w:rsidRPr="008C23CF" w:rsidRDefault="007A4524" w:rsidP="007A4524">
            <w:pPr>
              <w:spacing w:after="0" w:line="240" w:lineRule="auto"/>
              <w:rPr>
                <w:rFonts w:eastAsia="Times New Roman" w:cs="Arial"/>
                <w:color w:val="000000"/>
                <w:szCs w:val="22"/>
                <w:lang w:eastAsia="en-AU"/>
              </w:rPr>
            </w:pPr>
            <w:r w:rsidRPr="008C23CF">
              <w:rPr>
                <w:rFonts w:eastAsia="Times New Roman" w:cs="Arial"/>
                <w:color w:val="000000"/>
                <w:szCs w:val="22"/>
                <w:lang w:eastAsia="en-AU"/>
              </w:rPr>
              <w:t>Agriculture and Mining</w:t>
            </w:r>
          </w:p>
        </w:tc>
      </w:tr>
      <w:tr w:rsidR="007A4524" w:rsidRPr="008C23CF" w14:paraId="3AF90ACC" w14:textId="77777777" w:rsidTr="00551CD9">
        <w:trPr>
          <w:trHeight w:val="340"/>
        </w:trPr>
        <w:tc>
          <w:tcPr>
            <w:tcW w:w="4760" w:type="dxa"/>
            <w:tcBorders>
              <w:top w:val="nil"/>
              <w:left w:val="single" w:sz="4" w:space="0" w:color="auto"/>
              <w:bottom w:val="single" w:sz="4" w:space="0" w:color="auto"/>
              <w:right w:val="single" w:sz="4" w:space="0" w:color="auto"/>
            </w:tcBorders>
            <w:vAlign w:val="center"/>
          </w:tcPr>
          <w:p w14:paraId="2F246DBC" w14:textId="77777777" w:rsidR="007A4524" w:rsidRPr="008C23CF" w:rsidRDefault="007A4524" w:rsidP="007A4524">
            <w:pPr>
              <w:spacing w:after="0" w:line="240" w:lineRule="auto"/>
              <w:rPr>
                <w:rFonts w:eastAsia="Times New Roman" w:cs="Arial"/>
                <w:color w:val="000000"/>
                <w:szCs w:val="22"/>
                <w:lang w:eastAsia="en-AU"/>
              </w:rPr>
            </w:pPr>
            <w:r w:rsidRPr="008C23CF">
              <w:rPr>
                <w:rFonts w:eastAsia="Times New Roman" w:cs="Arial"/>
                <w:color w:val="000000"/>
                <w:szCs w:val="22"/>
                <w:lang w:eastAsia="en-AU"/>
              </w:rPr>
              <w:t>Arts and Recreation Services</w:t>
            </w:r>
          </w:p>
        </w:tc>
        <w:tc>
          <w:tcPr>
            <w:tcW w:w="4760" w:type="dxa"/>
            <w:tcBorders>
              <w:top w:val="nil"/>
              <w:left w:val="single" w:sz="4" w:space="0" w:color="auto"/>
              <w:bottom w:val="single" w:sz="4" w:space="0" w:color="auto"/>
              <w:right w:val="single" w:sz="4" w:space="0" w:color="auto"/>
            </w:tcBorders>
            <w:shd w:val="clear" w:color="auto" w:fill="auto"/>
            <w:noWrap/>
            <w:vAlign w:val="center"/>
            <w:hideMark/>
          </w:tcPr>
          <w:p w14:paraId="2B3E8F19" w14:textId="77777777" w:rsidR="007A4524" w:rsidRPr="008C23CF" w:rsidRDefault="007A4524" w:rsidP="007A4524">
            <w:pPr>
              <w:spacing w:after="0" w:line="240" w:lineRule="auto"/>
              <w:rPr>
                <w:rFonts w:eastAsia="Times New Roman" w:cs="Arial"/>
                <w:color w:val="000000"/>
                <w:szCs w:val="22"/>
                <w:lang w:eastAsia="en-AU"/>
              </w:rPr>
            </w:pPr>
            <w:r w:rsidRPr="008C23CF">
              <w:rPr>
                <w:rFonts w:eastAsia="Times New Roman" w:cs="Arial"/>
                <w:color w:val="000000"/>
                <w:szCs w:val="22"/>
                <w:lang w:eastAsia="en-AU"/>
              </w:rPr>
              <w:t>Arts and Recreation Services</w:t>
            </w:r>
          </w:p>
        </w:tc>
      </w:tr>
      <w:tr w:rsidR="007A4524" w:rsidRPr="008C23CF" w14:paraId="22A15365" w14:textId="77777777" w:rsidTr="00551CD9">
        <w:trPr>
          <w:trHeight w:val="340"/>
        </w:trPr>
        <w:tc>
          <w:tcPr>
            <w:tcW w:w="4760" w:type="dxa"/>
            <w:tcBorders>
              <w:top w:val="nil"/>
              <w:left w:val="single" w:sz="4" w:space="0" w:color="auto"/>
              <w:bottom w:val="single" w:sz="4" w:space="0" w:color="auto"/>
              <w:right w:val="single" w:sz="4" w:space="0" w:color="auto"/>
            </w:tcBorders>
            <w:vAlign w:val="center"/>
          </w:tcPr>
          <w:p w14:paraId="168104D0" w14:textId="77777777" w:rsidR="007A4524" w:rsidRPr="008C23CF" w:rsidRDefault="007A4524" w:rsidP="007A4524">
            <w:pPr>
              <w:spacing w:after="0" w:line="240" w:lineRule="auto"/>
              <w:rPr>
                <w:rFonts w:eastAsia="Times New Roman" w:cs="Arial"/>
                <w:color w:val="000000"/>
                <w:szCs w:val="22"/>
                <w:lang w:eastAsia="en-AU"/>
              </w:rPr>
            </w:pPr>
            <w:r w:rsidRPr="008C23CF">
              <w:rPr>
                <w:rFonts w:eastAsia="Times New Roman" w:cs="Arial"/>
                <w:color w:val="000000"/>
                <w:szCs w:val="22"/>
                <w:lang w:eastAsia="en-AU"/>
              </w:rPr>
              <w:t>Professional, Scientific and Technical Services</w:t>
            </w:r>
          </w:p>
        </w:tc>
        <w:tc>
          <w:tcPr>
            <w:tcW w:w="4760" w:type="dxa"/>
            <w:tcBorders>
              <w:top w:val="nil"/>
              <w:left w:val="single" w:sz="4" w:space="0" w:color="auto"/>
              <w:bottom w:val="single" w:sz="4" w:space="0" w:color="auto"/>
              <w:right w:val="single" w:sz="4" w:space="0" w:color="auto"/>
            </w:tcBorders>
            <w:shd w:val="clear" w:color="auto" w:fill="auto"/>
            <w:noWrap/>
            <w:vAlign w:val="center"/>
            <w:hideMark/>
          </w:tcPr>
          <w:p w14:paraId="36F8A640" w14:textId="77777777" w:rsidR="007A4524" w:rsidRPr="008C23CF" w:rsidRDefault="007A4524" w:rsidP="007A4524">
            <w:pPr>
              <w:spacing w:after="0" w:line="240" w:lineRule="auto"/>
              <w:rPr>
                <w:rFonts w:eastAsia="Times New Roman" w:cs="Arial"/>
                <w:color w:val="000000"/>
                <w:szCs w:val="22"/>
                <w:lang w:eastAsia="en-AU"/>
              </w:rPr>
            </w:pPr>
            <w:r w:rsidRPr="008C23CF">
              <w:rPr>
                <w:rFonts w:eastAsia="Times New Roman" w:cs="Arial"/>
                <w:color w:val="000000"/>
                <w:szCs w:val="22"/>
                <w:lang w:eastAsia="en-AU"/>
              </w:rPr>
              <w:t>Business Services</w:t>
            </w:r>
          </w:p>
        </w:tc>
      </w:tr>
      <w:tr w:rsidR="007A4524" w:rsidRPr="008C23CF" w14:paraId="25237730" w14:textId="77777777" w:rsidTr="00551CD9">
        <w:trPr>
          <w:trHeight w:val="340"/>
        </w:trPr>
        <w:tc>
          <w:tcPr>
            <w:tcW w:w="4760" w:type="dxa"/>
            <w:tcBorders>
              <w:top w:val="nil"/>
              <w:left w:val="single" w:sz="4" w:space="0" w:color="auto"/>
              <w:bottom w:val="single" w:sz="4" w:space="0" w:color="auto"/>
              <w:right w:val="single" w:sz="4" w:space="0" w:color="auto"/>
            </w:tcBorders>
            <w:vAlign w:val="center"/>
          </w:tcPr>
          <w:p w14:paraId="3076922F" w14:textId="77777777" w:rsidR="007A4524" w:rsidRPr="008C23CF" w:rsidRDefault="007A4524" w:rsidP="007A4524">
            <w:pPr>
              <w:spacing w:after="0" w:line="240" w:lineRule="auto"/>
              <w:rPr>
                <w:rFonts w:eastAsia="Times New Roman" w:cs="Arial"/>
                <w:color w:val="000000"/>
                <w:szCs w:val="22"/>
                <w:lang w:eastAsia="en-AU"/>
              </w:rPr>
            </w:pPr>
            <w:r w:rsidRPr="008C23CF">
              <w:rPr>
                <w:rFonts w:eastAsia="Times New Roman" w:cs="Arial"/>
                <w:color w:val="000000"/>
                <w:szCs w:val="22"/>
                <w:lang w:eastAsia="en-AU"/>
              </w:rPr>
              <w:t>Construction</w:t>
            </w:r>
          </w:p>
        </w:tc>
        <w:tc>
          <w:tcPr>
            <w:tcW w:w="4760" w:type="dxa"/>
            <w:tcBorders>
              <w:top w:val="nil"/>
              <w:left w:val="single" w:sz="4" w:space="0" w:color="auto"/>
              <w:bottom w:val="single" w:sz="4" w:space="0" w:color="auto"/>
              <w:right w:val="single" w:sz="4" w:space="0" w:color="auto"/>
            </w:tcBorders>
            <w:shd w:val="clear" w:color="auto" w:fill="auto"/>
            <w:noWrap/>
            <w:vAlign w:val="center"/>
            <w:hideMark/>
          </w:tcPr>
          <w:p w14:paraId="7817F8B2" w14:textId="77777777" w:rsidR="007A4524" w:rsidRPr="008C23CF" w:rsidRDefault="007A4524" w:rsidP="007A4524">
            <w:pPr>
              <w:spacing w:after="0" w:line="240" w:lineRule="auto"/>
              <w:rPr>
                <w:rFonts w:eastAsia="Times New Roman" w:cs="Arial"/>
                <w:color w:val="000000"/>
                <w:szCs w:val="22"/>
                <w:lang w:eastAsia="en-AU"/>
              </w:rPr>
            </w:pPr>
            <w:r w:rsidRPr="008C23CF">
              <w:rPr>
                <w:rFonts w:eastAsia="Times New Roman" w:cs="Arial"/>
                <w:color w:val="000000"/>
                <w:szCs w:val="22"/>
                <w:lang w:eastAsia="en-AU"/>
              </w:rPr>
              <w:t>Construction</w:t>
            </w:r>
          </w:p>
        </w:tc>
      </w:tr>
      <w:tr w:rsidR="007A4524" w:rsidRPr="008C23CF" w14:paraId="7FF8400C" w14:textId="77777777" w:rsidTr="00551CD9">
        <w:trPr>
          <w:trHeight w:val="340"/>
        </w:trPr>
        <w:tc>
          <w:tcPr>
            <w:tcW w:w="4760" w:type="dxa"/>
            <w:tcBorders>
              <w:top w:val="nil"/>
              <w:left w:val="single" w:sz="4" w:space="0" w:color="auto"/>
              <w:bottom w:val="single" w:sz="4" w:space="0" w:color="auto"/>
              <w:right w:val="single" w:sz="4" w:space="0" w:color="auto"/>
            </w:tcBorders>
            <w:vAlign w:val="center"/>
          </w:tcPr>
          <w:p w14:paraId="213D0E9E" w14:textId="77777777" w:rsidR="007A4524" w:rsidRPr="008C23CF" w:rsidRDefault="007A4524" w:rsidP="007A4524">
            <w:pPr>
              <w:spacing w:after="0" w:line="240" w:lineRule="auto"/>
              <w:rPr>
                <w:rFonts w:eastAsia="Times New Roman" w:cs="Arial"/>
                <w:color w:val="000000"/>
                <w:szCs w:val="22"/>
                <w:lang w:eastAsia="en-AU"/>
              </w:rPr>
            </w:pPr>
            <w:r w:rsidRPr="008C23CF">
              <w:rPr>
                <w:rFonts w:eastAsia="Times New Roman" w:cs="Arial"/>
                <w:color w:val="000000"/>
                <w:szCs w:val="22"/>
                <w:lang w:eastAsia="en-AU"/>
              </w:rPr>
              <w:t>Education and Training</w:t>
            </w:r>
          </w:p>
        </w:tc>
        <w:tc>
          <w:tcPr>
            <w:tcW w:w="4760" w:type="dxa"/>
            <w:tcBorders>
              <w:top w:val="nil"/>
              <w:left w:val="single" w:sz="4" w:space="0" w:color="auto"/>
              <w:bottom w:val="single" w:sz="4" w:space="0" w:color="auto"/>
              <w:right w:val="single" w:sz="4" w:space="0" w:color="auto"/>
            </w:tcBorders>
            <w:shd w:val="clear" w:color="auto" w:fill="auto"/>
            <w:noWrap/>
            <w:vAlign w:val="center"/>
            <w:hideMark/>
          </w:tcPr>
          <w:p w14:paraId="1E6DEBD5" w14:textId="77777777" w:rsidR="007A4524" w:rsidRPr="008C23CF" w:rsidRDefault="007A4524" w:rsidP="007A4524">
            <w:pPr>
              <w:spacing w:after="0" w:line="240" w:lineRule="auto"/>
              <w:rPr>
                <w:rFonts w:eastAsia="Times New Roman" w:cs="Arial"/>
                <w:color w:val="000000"/>
                <w:szCs w:val="22"/>
                <w:lang w:eastAsia="en-AU"/>
              </w:rPr>
            </w:pPr>
            <w:r w:rsidRPr="008C23CF">
              <w:rPr>
                <w:rFonts w:eastAsia="Times New Roman" w:cs="Arial"/>
                <w:color w:val="000000"/>
                <w:szCs w:val="22"/>
                <w:lang w:eastAsia="en-AU"/>
              </w:rPr>
              <w:t>Education and Training</w:t>
            </w:r>
          </w:p>
        </w:tc>
      </w:tr>
      <w:tr w:rsidR="007A4524" w:rsidRPr="008C23CF" w14:paraId="757E2E09" w14:textId="77777777" w:rsidTr="00551CD9">
        <w:trPr>
          <w:trHeight w:val="340"/>
        </w:trPr>
        <w:tc>
          <w:tcPr>
            <w:tcW w:w="4760" w:type="dxa"/>
            <w:tcBorders>
              <w:top w:val="nil"/>
              <w:left w:val="single" w:sz="4" w:space="0" w:color="auto"/>
              <w:bottom w:val="single" w:sz="4" w:space="0" w:color="auto"/>
              <w:right w:val="single" w:sz="4" w:space="0" w:color="auto"/>
            </w:tcBorders>
            <w:vAlign w:val="center"/>
          </w:tcPr>
          <w:p w14:paraId="683EEFBA" w14:textId="77777777" w:rsidR="007A4524" w:rsidRPr="008C23CF" w:rsidRDefault="007A4524" w:rsidP="007A4524">
            <w:pPr>
              <w:spacing w:after="0" w:line="240" w:lineRule="auto"/>
              <w:rPr>
                <w:rFonts w:eastAsia="Times New Roman" w:cs="Arial"/>
                <w:color w:val="000000"/>
                <w:szCs w:val="22"/>
                <w:lang w:eastAsia="en-AU"/>
              </w:rPr>
            </w:pPr>
            <w:r w:rsidRPr="008C23CF">
              <w:rPr>
                <w:rFonts w:eastAsia="Times New Roman" w:cs="Arial"/>
                <w:color w:val="000000"/>
                <w:szCs w:val="22"/>
                <w:lang w:eastAsia="en-AU"/>
              </w:rPr>
              <w:t>Electricity, Gas, Water and Waste Services</w:t>
            </w:r>
          </w:p>
        </w:tc>
        <w:tc>
          <w:tcPr>
            <w:tcW w:w="4760" w:type="dxa"/>
            <w:tcBorders>
              <w:top w:val="nil"/>
              <w:left w:val="single" w:sz="4" w:space="0" w:color="auto"/>
              <w:bottom w:val="single" w:sz="4" w:space="0" w:color="auto"/>
              <w:right w:val="single" w:sz="4" w:space="0" w:color="auto"/>
            </w:tcBorders>
            <w:shd w:val="clear" w:color="auto" w:fill="auto"/>
            <w:noWrap/>
            <w:vAlign w:val="center"/>
            <w:hideMark/>
          </w:tcPr>
          <w:p w14:paraId="751E1733" w14:textId="77777777" w:rsidR="007A4524" w:rsidRPr="008C23CF" w:rsidRDefault="007A4524" w:rsidP="007A4524">
            <w:pPr>
              <w:spacing w:after="0" w:line="240" w:lineRule="auto"/>
              <w:rPr>
                <w:rFonts w:eastAsia="Times New Roman" w:cs="Arial"/>
                <w:color w:val="000000"/>
                <w:szCs w:val="22"/>
                <w:lang w:eastAsia="en-AU"/>
              </w:rPr>
            </w:pPr>
            <w:r w:rsidRPr="008C23CF">
              <w:rPr>
                <w:rFonts w:eastAsia="Times New Roman" w:cs="Arial"/>
                <w:color w:val="000000"/>
                <w:szCs w:val="22"/>
                <w:lang w:eastAsia="en-AU"/>
              </w:rPr>
              <w:t>Electricity, Gas, Water and Waste Services</w:t>
            </w:r>
          </w:p>
        </w:tc>
      </w:tr>
      <w:tr w:rsidR="007A4524" w:rsidRPr="008C23CF" w14:paraId="4A1F7180" w14:textId="77777777" w:rsidTr="00551CD9">
        <w:trPr>
          <w:trHeight w:val="340"/>
        </w:trPr>
        <w:tc>
          <w:tcPr>
            <w:tcW w:w="4760" w:type="dxa"/>
            <w:tcBorders>
              <w:top w:val="nil"/>
              <w:left w:val="single" w:sz="4" w:space="0" w:color="auto"/>
              <w:bottom w:val="single" w:sz="4" w:space="0" w:color="auto"/>
              <w:right w:val="single" w:sz="4" w:space="0" w:color="auto"/>
            </w:tcBorders>
            <w:vAlign w:val="center"/>
          </w:tcPr>
          <w:p w14:paraId="144E7286" w14:textId="77777777" w:rsidR="007A4524" w:rsidRPr="008C23CF" w:rsidRDefault="007A4524" w:rsidP="007A4524">
            <w:pPr>
              <w:spacing w:after="0" w:line="240" w:lineRule="auto"/>
              <w:rPr>
                <w:rFonts w:eastAsia="Times New Roman" w:cs="Arial"/>
                <w:color w:val="000000"/>
                <w:szCs w:val="22"/>
                <w:lang w:eastAsia="en-AU"/>
              </w:rPr>
            </w:pPr>
            <w:r w:rsidRPr="008C23CF">
              <w:rPr>
                <w:rFonts w:eastAsia="Times New Roman" w:cs="Arial"/>
                <w:color w:val="000000"/>
                <w:szCs w:val="22"/>
                <w:lang w:eastAsia="en-AU"/>
              </w:rPr>
              <w:t>Financial and Insurance Services</w:t>
            </w:r>
          </w:p>
        </w:tc>
        <w:tc>
          <w:tcPr>
            <w:tcW w:w="4760" w:type="dxa"/>
            <w:tcBorders>
              <w:top w:val="nil"/>
              <w:left w:val="single" w:sz="4" w:space="0" w:color="auto"/>
              <w:bottom w:val="single" w:sz="4" w:space="0" w:color="auto"/>
              <w:right w:val="single" w:sz="4" w:space="0" w:color="auto"/>
            </w:tcBorders>
            <w:shd w:val="clear" w:color="auto" w:fill="auto"/>
            <w:noWrap/>
            <w:vAlign w:val="center"/>
            <w:hideMark/>
          </w:tcPr>
          <w:p w14:paraId="5ABD78C3" w14:textId="77777777" w:rsidR="007A4524" w:rsidRPr="008C23CF" w:rsidRDefault="007A4524" w:rsidP="007A4524">
            <w:pPr>
              <w:spacing w:after="0" w:line="240" w:lineRule="auto"/>
              <w:rPr>
                <w:rFonts w:eastAsia="Times New Roman" w:cs="Arial"/>
                <w:color w:val="000000"/>
                <w:szCs w:val="22"/>
                <w:lang w:eastAsia="en-AU"/>
              </w:rPr>
            </w:pPr>
            <w:r w:rsidRPr="008C23CF">
              <w:rPr>
                <w:rFonts w:eastAsia="Times New Roman" w:cs="Arial"/>
                <w:color w:val="000000"/>
                <w:szCs w:val="22"/>
                <w:lang w:eastAsia="en-AU"/>
              </w:rPr>
              <w:t>Finance and Insurance</w:t>
            </w:r>
          </w:p>
        </w:tc>
      </w:tr>
      <w:tr w:rsidR="007A4524" w:rsidRPr="008C23CF" w14:paraId="687E4125" w14:textId="77777777" w:rsidTr="00551CD9">
        <w:trPr>
          <w:trHeight w:val="340"/>
        </w:trPr>
        <w:tc>
          <w:tcPr>
            <w:tcW w:w="4760" w:type="dxa"/>
            <w:tcBorders>
              <w:top w:val="nil"/>
              <w:left w:val="single" w:sz="4" w:space="0" w:color="auto"/>
              <w:bottom w:val="single" w:sz="4" w:space="0" w:color="auto"/>
              <w:right w:val="single" w:sz="4" w:space="0" w:color="auto"/>
            </w:tcBorders>
            <w:vAlign w:val="center"/>
          </w:tcPr>
          <w:p w14:paraId="65D91DD8" w14:textId="77777777" w:rsidR="007A4524" w:rsidRPr="008C23CF" w:rsidRDefault="007A4524" w:rsidP="007A4524">
            <w:pPr>
              <w:spacing w:after="0" w:line="240" w:lineRule="auto"/>
              <w:rPr>
                <w:rFonts w:eastAsia="Times New Roman" w:cs="Arial"/>
                <w:color w:val="000000"/>
                <w:szCs w:val="22"/>
                <w:lang w:eastAsia="en-AU"/>
              </w:rPr>
            </w:pPr>
            <w:r w:rsidRPr="008C23CF">
              <w:rPr>
                <w:rFonts w:eastAsia="Times New Roman" w:cs="Arial"/>
                <w:color w:val="000000"/>
                <w:szCs w:val="22"/>
                <w:lang w:eastAsia="en-AU"/>
              </w:rPr>
              <w:t>Accommodation and Food Services</w:t>
            </w:r>
          </w:p>
        </w:tc>
        <w:tc>
          <w:tcPr>
            <w:tcW w:w="4760" w:type="dxa"/>
            <w:tcBorders>
              <w:top w:val="nil"/>
              <w:left w:val="single" w:sz="4" w:space="0" w:color="auto"/>
              <w:bottom w:val="single" w:sz="4" w:space="0" w:color="auto"/>
              <w:right w:val="single" w:sz="4" w:space="0" w:color="auto"/>
            </w:tcBorders>
            <w:shd w:val="clear" w:color="auto" w:fill="auto"/>
            <w:noWrap/>
            <w:vAlign w:val="center"/>
            <w:hideMark/>
          </w:tcPr>
          <w:p w14:paraId="6599F8A0" w14:textId="77777777" w:rsidR="007A4524" w:rsidRPr="008C23CF" w:rsidRDefault="007A4524" w:rsidP="007A4524">
            <w:pPr>
              <w:spacing w:after="0" w:line="240" w:lineRule="auto"/>
              <w:rPr>
                <w:rFonts w:eastAsia="Times New Roman" w:cs="Arial"/>
                <w:color w:val="000000"/>
                <w:szCs w:val="22"/>
                <w:lang w:eastAsia="en-AU"/>
              </w:rPr>
            </w:pPr>
            <w:r w:rsidRPr="008C23CF">
              <w:rPr>
                <w:rFonts w:eastAsia="Times New Roman" w:cs="Arial"/>
                <w:color w:val="000000"/>
                <w:szCs w:val="22"/>
                <w:lang w:eastAsia="en-AU"/>
              </w:rPr>
              <w:t>Food and Beverage Services</w:t>
            </w:r>
          </w:p>
        </w:tc>
      </w:tr>
      <w:tr w:rsidR="007A4524" w:rsidRPr="008C23CF" w14:paraId="4EBE2EF8" w14:textId="77777777" w:rsidTr="00551CD9">
        <w:trPr>
          <w:trHeight w:val="340"/>
        </w:trPr>
        <w:tc>
          <w:tcPr>
            <w:tcW w:w="4760" w:type="dxa"/>
            <w:tcBorders>
              <w:top w:val="nil"/>
              <w:left w:val="single" w:sz="4" w:space="0" w:color="auto"/>
              <w:bottom w:val="single" w:sz="4" w:space="0" w:color="auto"/>
              <w:right w:val="single" w:sz="4" w:space="0" w:color="auto"/>
            </w:tcBorders>
            <w:vAlign w:val="center"/>
          </w:tcPr>
          <w:p w14:paraId="3BFB8499" w14:textId="77777777" w:rsidR="007A4524" w:rsidRPr="008C23CF" w:rsidRDefault="007A4524" w:rsidP="007A4524">
            <w:pPr>
              <w:spacing w:after="0" w:line="240" w:lineRule="auto"/>
              <w:rPr>
                <w:rFonts w:eastAsia="Times New Roman" w:cs="Arial"/>
                <w:color w:val="000000"/>
                <w:szCs w:val="22"/>
                <w:lang w:eastAsia="en-AU"/>
              </w:rPr>
            </w:pPr>
            <w:r w:rsidRPr="008C23CF">
              <w:rPr>
                <w:rFonts w:eastAsia="Times New Roman" w:cs="Arial"/>
                <w:color w:val="000000"/>
                <w:szCs w:val="22"/>
                <w:lang w:eastAsia="en-AU"/>
              </w:rPr>
              <w:t>Health Care and Social Assistance</w:t>
            </w:r>
          </w:p>
        </w:tc>
        <w:tc>
          <w:tcPr>
            <w:tcW w:w="4760" w:type="dxa"/>
            <w:tcBorders>
              <w:top w:val="nil"/>
              <w:left w:val="single" w:sz="4" w:space="0" w:color="auto"/>
              <w:bottom w:val="single" w:sz="4" w:space="0" w:color="auto"/>
              <w:right w:val="single" w:sz="4" w:space="0" w:color="auto"/>
            </w:tcBorders>
            <w:shd w:val="clear" w:color="auto" w:fill="auto"/>
            <w:noWrap/>
            <w:vAlign w:val="center"/>
            <w:hideMark/>
          </w:tcPr>
          <w:p w14:paraId="5D21AD42" w14:textId="77777777" w:rsidR="007A4524" w:rsidRPr="008C23CF" w:rsidRDefault="007A4524" w:rsidP="007A4524">
            <w:pPr>
              <w:spacing w:after="0" w:line="240" w:lineRule="auto"/>
              <w:rPr>
                <w:rFonts w:eastAsia="Times New Roman" w:cs="Arial"/>
                <w:color w:val="000000"/>
                <w:szCs w:val="22"/>
                <w:lang w:eastAsia="en-AU"/>
              </w:rPr>
            </w:pPr>
            <w:r w:rsidRPr="008C23CF">
              <w:rPr>
                <w:rFonts w:eastAsia="Times New Roman" w:cs="Arial"/>
                <w:color w:val="000000"/>
                <w:szCs w:val="22"/>
                <w:lang w:eastAsia="en-AU"/>
              </w:rPr>
              <w:t>Health Care and Social Assistance</w:t>
            </w:r>
          </w:p>
        </w:tc>
      </w:tr>
      <w:tr w:rsidR="007A4524" w:rsidRPr="008C23CF" w14:paraId="09ECDF65" w14:textId="77777777" w:rsidTr="00551CD9">
        <w:trPr>
          <w:trHeight w:val="340"/>
        </w:trPr>
        <w:tc>
          <w:tcPr>
            <w:tcW w:w="4760" w:type="dxa"/>
            <w:tcBorders>
              <w:top w:val="nil"/>
              <w:left w:val="single" w:sz="4" w:space="0" w:color="auto"/>
              <w:bottom w:val="single" w:sz="4" w:space="0" w:color="auto"/>
              <w:right w:val="single" w:sz="4" w:space="0" w:color="auto"/>
            </w:tcBorders>
            <w:vAlign w:val="center"/>
          </w:tcPr>
          <w:p w14:paraId="01C54892" w14:textId="77777777" w:rsidR="007A4524" w:rsidRPr="008C23CF" w:rsidRDefault="007A4524" w:rsidP="007A4524">
            <w:pPr>
              <w:spacing w:after="0" w:line="240" w:lineRule="auto"/>
              <w:rPr>
                <w:rFonts w:eastAsia="Times New Roman" w:cs="Arial"/>
                <w:color w:val="000000"/>
                <w:szCs w:val="22"/>
                <w:lang w:eastAsia="en-AU"/>
              </w:rPr>
            </w:pPr>
            <w:r w:rsidRPr="008C23CF">
              <w:rPr>
                <w:rFonts w:eastAsia="Times New Roman" w:cs="Arial"/>
                <w:color w:val="000000"/>
                <w:szCs w:val="22"/>
                <w:lang w:eastAsia="en-AU"/>
              </w:rPr>
              <w:t>Information Media and Telecommunications</w:t>
            </w:r>
          </w:p>
        </w:tc>
        <w:tc>
          <w:tcPr>
            <w:tcW w:w="4760" w:type="dxa"/>
            <w:tcBorders>
              <w:top w:val="nil"/>
              <w:left w:val="single" w:sz="4" w:space="0" w:color="auto"/>
              <w:bottom w:val="single" w:sz="4" w:space="0" w:color="auto"/>
              <w:right w:val="single" w:sz="4" w:space="0" w:color="auto"/>
            </w:tcBorders>
            <w:shd w:val="clear" w:color="auto" w:fill="auto"/>
            <w:noWrap/>
            <w:vAlign w:val="center"/>
            <w:hideMark/>
          </w:tcPr>
          <w:p w14:paraId="33123DF0" w14:textId="77777777" w:rsidR="007A4524" w:rsidRPr="008C23CF" w:rsidRDefault="007A4524" w:rsidP="007A4524">
            <w:pPr>
              <w:spacing w:after="0" w:line="240" w:lineRule="auto"/>
              <w:rPr>
                <w:rFonts w:eastAsia="Times New Roman" w:cs="Arial"/>
                <w:color w:val="000000"/>
                <w:szCs w:val="22"/>
                <w:lang w:eastAsia="en-AU"/>
              </w:rPr>
            </w:pPr>
            <w:r w:rsidRPr="008C23CF">
              <w:rPr>
                <w:rFonts w:eastAsia="Times New Roman" w:cs="Arial"/>
                <w:color w:val="000000"/>
                <w:szCs w:val="22"/>
                <w:lang w:eastAsia="en-AU"/>
              </w:rPr>
              <w:t>Information Media and Telecommunications</w:t>
            </w:r>
          </w:p>
        </w:tc>
      </w:tr>
      <w:tr w:rsidR="007A4524" w:rsidRPr="008C23CF" w14:paraId="12BAFDD8" w14:textId="77777777" w:rsidTr="00551CD9">
        <w:trPr>
          <w:trHeight w:val="340"/>
        </w:trPr>
        <w:tc>
          <w:tcPr>
            <w:tcW w:w="4760" w:type="dxa"/>
            <w:tcBorders>
              <w:top w:val="nil"/>
              <w:left w:val="single" w:sz="4" w:space="0" w:color="auto"/>
              <w:bottom w:val="single" w:sz="4" w:space="0" w:color="auto"/>
              <w:right w:val="single" w:sz="4" w:space="0" w:color="auto"/>
            </w:tcBorders>
            <w:vAlign w:val="center"/>
          </w:tcPr>
          <w:p w14:paraId="4D1AE0EE" w14:textId="77777777" w:rsidR="007A4524" w:rsidRPr="008C23CF" w:rsidRDefault="007A4524" w:rsidP="007A4524">
            <w:pPr>
              <w:spacing w:after="0" w:line="240" w:lineRule="auto"/>
              <w:rPr>
                <w:rFonts w:eastAsia="Times New Roman" w:cs="Arial"/>
                <w:color w:val="000000"/>
                <w:szCs w:val="22"/>
                <w:lang w:eastAsia="en-AU"/>
              </w:rPr>
            </w:pPr>
            <w:r w:rsidRPr="008C23CF">
              <w:rPr>
                <w:rFonts w:eastAsia="Times New Roman" w:cs="Arial"/>
                <w:color w:val="000000"/>
                <w:szCs w:val="22"/>
                <w:lang w:eastAsia="en-AU"/>
              </w:rPr>
              <w:t>Manufacturing</w:t>
            </w:r>
          </w:p>
        </w:tc>
        <w:tc>
          <w:tcPr>
            <w:tcW w:w="4760" w:type="dxa"/>
            <w:tcBorders>
              <w:top w:val="nil"/>
              <w:left w:val="single" w:sz="4" w:space="0" w:color="auto"/>
              <w:bottom w:val="single" w:sz="4" w:space="0" w:color="auto"/>
              <w:right w:val="single" w:sz="4" w:space="0" w:color="auto"/>
            </w:tcBorders>
            <w:shd w:val="clear" w:color="auto" w:fill="auto"/>
            <w:noWrap/>
            <w:vAlign w:val="center"/>
            <w:hideMark/>
          </w:tcPr>
          <w:p w14:paraId="4CE5BC70" w14:textId="77777777" w:rsidR="007A4524" w:rsidRPr="008C23CF" w:rsidRDefault="007A4524" w:rsidP="007A4524">
            <w:pPr>
              <w:spacing w:after="0" w:line="240" w:lineRule="auto"/>
              <w:rPr>
                <w:rFonts w:eastAsia="Times New Roman" w:cs="Arial"/>
                <w:color w:val="000000"/>
                <w:szCs w:val="22"/>
                <w:lang w:eastAsia="en-AU"/>
              </w:rPr>
            </w:pPr>
            <w:r w:rsidRPr="008C23CF">
              <w:rPr>
                <w:rFonts w:eastAsia="Times New Roman" w:cs="Arial"/>
                <w:color w:val="000000"/>
                <w:szCs w:val="22"/>
                <w:lang w:eastAsia="en-AU"/>
              </w:rPr>
              <w:t>Manufacturing</w:t>
            </w:r>
          </w:p>
        </w:tc>
      </w:tr>
      <w:tr w:rsidR="007A4524" w:rsidRPr="008C23CF" w14:paraId="6BA391C7" w14:textId="77777777" w:rsidTr="00551CD9">
        <w:trPr>
          <w:trHeight w:val="340"/>
        </w:trPr>
        <w:tc>
          <w:tcPr>
            <w:tcW w:w="4760" w:type="dxa"/>
            <w:tcBorders>
              <w:top w:val="nil"/>
              <w:left w:val="single" w:sz="4" w:space="0" w:color="auto"/>
              <w:bottom w:val="single" w:sz="4" w:space="0" w:color="auto"/>
              <w:right w:val="single" w:sz="4" w:space="0" w:color="auto"/>
            </w:tcBorders>
            <w:vAlign w:val="center"/>
          </w:tcPr>
          <w:p w14:paraId="335D1708" w14:textId="77777777" w:rsidR="007A4524" w:rsidRPr="008C23CF" w:rsidRDefault="007A4524" w:rsidP="007A4524">
            <w:pPr>
              <w:spacing w:after="0" w:line="240" w:lineRule="auto"/>
              <w:rPr>
                <w:rFonts w:eastAsia="Times New Roman" w:cs="Arial"/>
                <w:color w:val="000000"/>
                <w:szCs w:val="22"/>
                <w:lang w:eastAsia="en-AU"/>
              </w:rPr>
            </w:pPr>
            <w:r w:rsidRPr="008C23CF">
              <w:rPr>
                <w:rFonts w:eastAsia="Times New Roman" w:cs="Arial"/>
                <w:color w:val="000000"/>
                <w:szCs w:val="22"/>
                <w:lang w:eastAsia="en-AU"/>
              </w:rPr>
              <w:t>Other Services</w:t>
            </w:r>
          </w:p>
        </w:tc>
        <w:tc>
          <w:tcPr>
            <w:tcW w:w="4760" w:type="dxa"/>
            <w:tcBorders>
              <w:top w:val="nil"/>
              <w:left w:val="single" w:sz="4" w:space="0" w:color="auto"/>
              <w:bottom w:val="single" w:sz="4" w:space="0" w:color="auto"/>
              <w:right w:val="single" w:sz="4" w:space="0" w:color="auto"/>
            </w:tcBorders>
            <w:shd w:val="clear" w:color="auto" w:fill="auto"/>
            <w:noWrap/>
            <w:vAlign w:val="center"/>
            <w:hideMark/>
          </w:tcPr>
          <w:p w14:paraId="399B270B" w14:textId="77777777" w:rsidR="007A4524" w:rsidRPr="008C23CF" w:rsidRDefault="007A4524" w:rsidP="007A4524">
            <w:pPr>
              <w:spacing w:after="0" w:line="240" w:lineRule="auto"/>
              <w:rPr>
                <w:rFonts w:eastAsia="Times New Roman" w:cs="Arial"/>
                <w:color w:val="000000"/>
                <w:szCs w:val="22"/>
                <w:lang w:eastAsia="en-AU"/>
              </w:rPr>
            </w:pPr>
            <w:r w:rsidRPr="008C23CF">
              <w:rPr>
                <w:rFonts w:eastAsia="Times New Roman" w:cs="Arial"/>
                <w:color w:val="000000"/>
                <w:szCs w:val="22"/>
                <w:lang w:eastAsia="en-AU"/>
              </w:rPr>
              <w:t>Other Services</w:t>
            </w:r>
          </w:p>
        </w:tc>
      </w:tr>
      <w:tr w:rsidR="007A4524" w:rsidRPr="008C23CF" w14:paraId="035C3E38" w14:textId="77777777" w:rsidTr="00551CD9">
        <w:trPr>
          <w:trHeight w:val="340"/>
        </w:trPr>
        <w:tc>
          <w:tcPr>
            <w:tcW w:w="4760" w:type="dxa"/>
            <w:tcBorders>
              <w:top w:val="nil"/>
              <w:left w:val="single" w:sz="4" w:space="0" w:color="auto"/>
              <w:bottom w:val="single" w:sz="4" w:space="0" w:color="auto"/>
              <w:right w:val="single" w:sz="4" w:space="0" w:color="auto"/>
            </w:tcBorders>
            <w:vAlign w:val="center"/>
          </w:tcPr>
          <w:p w14:paraId="63D3F384" w14:textId="77777777" w:rsidR="007A4524" w:rsidRPr="008C23CF" w:rsidRDefault="007A4524" w:rsidP="007A4524">
            <w:pPr>
              <w:spacing w:after="0" w:line="240" w:lineRule="auto"/>
              <w:rPr>
                <w:rFonts w:eastAsia="Times New Roman" w:cs="Arial"/>
                <w:color w:val="000000"/>
                <w:szCs w:val="22"/>
                <w:lang w:eastAsia="en-AU"/>
              </w:rPr>
            </w:pPr>
            <w:r w:rsidRPr="008C23CF">
              <w:rPr>
                <w:rFonts w:eastAsia="Times New Roman" w:cs="Arial"/>
                <w:color w:val="000000"/>
                <w:szCs w:val="22"/>
                <w:lang w:eastAsia="en-AU"/>
              </w:rPr>
              <w:t>Public Administration and Safety</w:t>
            </w:r>
          </w:p>
        </w:tc>
        <w:tc>
          <w:tcPr>
            <w:tcW w:w="4760" w:type="dxa"/>
            <w:tcBorders>
              <w:top w:val="nil"/>
              <w:left w:val="single" w:sz="4" w:space="0" w:color="auto"/>
              <w:bottom w:val="single" w:sz="4" w:space="0" w:color="auto"/>
              <w:right w:val="single" w:sz="4" w:space="0" w:color="auto"/>
            </w:tcBorders>
            <w:shd w:val="clear" w:color="auto" w:fill="auto"/>
            <w:noWrap/>
            <w:vAlign w:val="center"/>
            <w:hideMark/>
          </w:tcPr>
          <w:p w14:paraId="6934CA23" w14:textId="77777777" w:rsidR="007A4524" w:rsidRPr="008C23CF" w:rsidRDefault="007A4524" w:rsidP="007A4524">
            <w:pPr>
              <w:spacing w:after="0" w:line="240" w:lineRule="auto"/>
              <w:rPr>
                <w:rFonts w:eastAsia="Times New Roman" w:cs="Arial"/>
                <w:color w:val="000000"/>
                <w:szCs w:val="22"/>
                <w:lang w:eastAsia="en-AU"/>
              </w:rPr>
            </w:pPr>
            <w:r w:rsidRPr="008C23CF">
              <w:rPr>
                <w:rFonts w:eastAsia="Times New Roman" w:cs="Arial"/>
                <w:color w:val="000000"/>
                <w:szCs w:val="22"/>
                <w:lang w:eastAsia="en-AU"/>
              </w:rPr>
              <w:t>Public Administration and Safety</w:t>
            </w:r>
          </w:p>
        </w:tc>
      </w:tr>
      <w:tr w:rsidR="007A4524" w:rsidRPr="008C23CF" w14:paraId="77A87C99" w14:textId="77777777" w:rsidTr="00551CD9">
        <w:trPr>
          <w:trHeight w:val="340"/>
        </w:trPr>
        <w:tc>
          <w:tcPr>
            <w:tcW w:w="4760" w:type="dxa"/>
            <w:tcBorders>
              <w:top w:val="nil"/>
              <w:left w:val="single" w:sz="4" w:space="0" w:color="auto"/>
              <w:bottom w:val="single" w:sz="4" w:space="0" w:color="auto"/>
              <w:right w:val="single" w:sz="4" w:space="0" w:color="auto"/>
            </w:tcBorders>
            <w:vAlign w:val="center"/>
          </w:tcPr>
          <w:p w14:paraId="6205190A" w14:textId="77777777" w:rsidR="007A4524" w:rsidRPr="008C23CF" w:rsidRDefault="007A4524" w:rsidP="007A4524">
            <w:pPr>
              <w:spacing w:after="0" w:line="240" w:lineRule="auto"/>
              <w:rPr>
                <w:rFonts w:eastAsia="Times New Roman" w:cs="Arial"/>
                <w:color w:val="000000"/>
                <w:szCs w:val="22"/>
                <w:lang w:eastAsia="en-AU"/>
              </w:rPr>
            </w:pPr>
            <w:r w:rsidRPr="008C23CF">
              <w:rPr>
                <w:rFonts w:eastAsia="Times New Roman" w:cs="Arial"/>
                <w:color w:val="000000"/>
                <w:szCs w:val="22"/>
                <w:lang w:eastAsia="en-AU"/>
              </w:rPr>
              <w:t>Rental, Hiring and Real Estate Services</w:t>
            </w:r>
          </w:p>
        </w:tc>
        <w:tc>
          <w:tcPr>
            <w:tcW w:w="4760" w:type="dxa"/>
            <w:tcBorders>
              <w:top w:val="nil"/>
              <w:left w:val="single" w:sz="4" w:space="0" w:color="auto"/>
              <w:bottom w:val="single" w:sz="4" w:space="0" w:color="auto"/>
              <w:right w:val="single" w:sz="4" w:space="0" w:color="auto"/>
            </w:tcBorders>
            <w:shd w:val="clear" w:color="auto" w:fill="auto"/>
            <w:noWrap/>
            <w:vAlign w:val="center"/>
            <w:hideMark/>
          </w:tcPr>
          <w:p w14:paraId="4C0CF054" w14:textId="77777777" w:rsidR="007A4524" w:rsidRPr="008C23CF" w:rsidRDefault="007A4524" w:rsidP="007A4524">
            <w:pPr>
              <w:spacing w:after="0" w:line="240" w:lineRule="auto"/>
              <w:rPr>
                <w:rFonts w:eastAsia="Times New Roman" w:cs="Arial"/>
                <w:color w:val="000000"/>
                <w:szCs w:val="22"/>
                <w:lang w:eastAsia="en-AU"/>
              </w:rPr>
            </w:pPr>
            <w:r w:rsidRPr="008C23CF">
              <w:rPr>
                <w:rFonts w:eastAsia="Times New Roman" w:cs="Arial"/>
                <w:color w:val="000000"/>
                <w:szCs w:val="22"/>
                <w:lang w:eastAsia="en-AU"/>
              </w:rPr>
              <w:t>Real Estate Services</w:t>
            </w:r>
          </w:p>
        </w:tc>
      </w:tr>
      <w:tr w:rsidR="007A4524" w:rsidRPr="008C23CF" w14:paraId="20DD60B0" w14:textId="77777777" w:rsidTr="00551CD9">
        <w:trPr>
          <w:trHeight w:val="340"/>
        </w:trPr>
        <w:tc>
          <w:tcPr>
            <w:tcW w:w="4760" w:type="dxa"/>
            <w:tcBorders>
              <w:top w:val="nil"/>
              <w:left w:val="single" w:sz="4" w:space="0" w:color="auto"/>
              <w:bottom w:val="single" w:sz="4" w:space="0" w:color="auto"/>
              <w:right w:val="single" w:sz="4" w:space="0" w:color="auto"/>
            </w:tcBorders>
            <w:vAlign w:val="center"/>
          </w:tcPr>
          <w:p w14:paraId="54678CE2" w14:textId="77777777" w:rsidR="007A4524" w:rsidRPr="008C23CF" w:rsidRDefault="007A4524" w:rsidP="007A4524">
            <w:pPr>
              <w:spacing w:after="0" w:line="240" w:lineRule="auto"/>
              <w:rPr>
                <w:rFonts w:eastAsia="Times New Roman" w:cs="Arial"/>
                <w:color w:val="000000"/>
                <w:szCs w:val="22"/>
                <w:lang w:eastAsia="en-AU"/>
              </w:rPr>
            </w:pPr>
            <w:r w:rsidRPr="008C23CF">
              <w:rPr>
                <w:rFonts w:eastAsia="Times New Roman" w:cs="Arial"/>
                <w:color w:val="000000"/>
                <w:szCs w:val="22"/>
                <w:lang w:eastAsia="en-AU"/>
              </w:rPr>
              <w:t>Rental, Hiring and Real Estate Services</w:t>
            </w:r>
          </w:p>
        </w:tc>
        <w:tc>
          <w:tcPr>
            <w:tcW w:w="4760" w:type="dxa"/>
            <w:tcBorders>
              <w:top w:val="nil"/>
              <w:left w:val="single" w:sz="4" w:space="0" w:color="auto"/>
              <w:bottom w:val="single" w:sz="4" w:space="0" w:color="auto"/>
              <w:right w:val="single" w:sz="4" w:space="0" w:color="auto"/>
            </w:tcBorders>
            <w:shd w:val="clear" w:color="auto" w:fill="auto"/>
            <w:noWrap/>
            <w:vAlign w:val="center"/>
            <w:hideMark/>
          </w:tcPr>
          <w:p w14:paraId="1D8C5ABF" w14:textId="77777777" w:rsidR="007A4524" w:rsidRPr="008C23CF" w:rsidRDefault="007A4524" w:rsidP="007A4524">
            <w:pPr>
              <w:spacing w:after="0" w:line="240" w:lineRule="auto"/>
              <w:rPr>
                <w:rFonts w:eastAsia="Times New Roman" w:cs="Arial"/>
                <w:color w:val="000000"/>
                <w:szCs w:val="22"/>
                <w:lang w:eastAsia="en-AU"/>
              </w:rPr>
            </w:pPr>
            <w:r w:rsidRPr="008C23CF">
              <w:rPr>
                <w:rFonts w:eastAsia="Times New Roman" w:cs="Arial"/>
                <w:color w:val="000000"/>
                <w:szCs w:val="22"/>
                <w:lang w:eastAsia="en-AU"/>
              </w:rPr>
              <w:t>Rental and Hiring Services</w:t>
            </w:r>
          </w:p>
        </w:tc>
      </w:tr>
      <w:tr w:rsidR="007A4524" w:rsidRPr="008C23CF" w14:paraId="5EFA2371" w14:textId="77777777" w:rsidTr="00551CD9">
        <w:trPr>
          <w:trHeight w:val="340"/>
        </w:trPr>
        <w:tc>
          <w:tcPr>
            <w:tcW w:w="4760" w:type="dxa"/>
            <w:tcBorders>
              <w:top w:val="nil"/>
              <w:left w:val="single" w:sz="4" w:space="0" w:color="auto"/>
              <w:bottom w:val="single" w:sz="4" w:space="0" w:color="auto"/>
              <w:right w:val="single" w:sz="4" w:space="0" w:color="auto"/>
            </w:tcBorders>
            <w:vAlign w:val="center"/>
          </w:tcPr>
          <w:p w14:paraId="27EB7EA1" w14:textId="77777777" w:rsidR="007A4524" w:rsidRPr="008C23CF" w:rsidRDefault="007A4524" w:rsidP="007A4524">
            <w:pPr>
              <w:spacing w:after="0" w:line="240" w:lineRule="auto"/>
              <w:rPr>
                <w:rFonts w:eastAsia="Times New Roman" w:cs="Arial"/>
                <w:color w:val="000000"/>
                <w:szCs w:val="22"/>
                <w:lang w:eastAsia="en-AU"/>
              </w:rPr>
            </w:pPr>
            <w:r w:rsidRPr="008C23CF">
              <w:rPr>
                <w:rFonts w:eastAsia="Times New Roman" w:cs="Arial"/>
                <w:color w:val="000000"/>
                <w:szCs w:val="22"/>
                <w:lang w:eastAsia="en-AU"/>
              </w:rPr>
              <w:t>Retail Trade</w:t>
            </w:r>
          </w:p>
        </w:tc>
        <w:tc>
          <w:tcPr>
            <w:tcW w:w="4760" w:type="dxa"/>
            <w:tcBorders>
              <w:top w:val="nil"/>
              <w:left w:val="single" w:sz="4" w:space="0" w:color="auto"/>
              <w:bottom w:val="single" w:sz="4" w:space="0" w:color="auto"/>
              <w:right w:val="single" w:sz="4" w:space="0" w:color="auto"/>
            </w:tcBorders>
            <w:shd w:val="clear" w:color="auto" w:fill="auto"/>
            <w:noWrap/>
            <w:vAlign w:val="center"/>
            <w:hideMark/>
          </w:tcPr>
          <w:p w14:paraId="3EB9D01A" w14:textId="77777777" w:rsidR="007A4524" w:rsidRPr="008C23CF" w:rsidRDefault="007A4524" w:rsidP="007A4524">
            <w:pPr>
              <w:spacing w:after="0" w:line="240" w:lineRule="auto"/>
              <w:rPr>
                <w:rFonts w:eastAsia="Times New Roman" w:cs="Arial"/>
                <w:color w:val="000000"/>
                <w:szCs w:val="22"/>
                <w:lang w:eastAsia="en-AU"/>
              </w:rPr>
            </w:pPr>
            <w:r w:rsidRPr="008C23CF">
              <w:rPr>
                <w:rFonts w:eastAsia="Times New Roman" w:cs="Arial"/>
                <w:color w:val="000000"/>
                <w:szCs w:val="22"/>
                <w:lang w:eastAsia="en-AU"/>
              </w:rPr>
              <w:t>Retail Trade</w:t>
            </w:r>
          </w:p>
        </w:tc>
      </w:tr>
      <w:tr w:rsidR="007A4524" w:rsidRPr="008C23CF" w14:paraId="73F052C3" w14:textId="77777777" w:rsidTr="00551CD9">
        <w:trPr>
          <w:trHeight w:val="340"/>
        </w:trPr>
        <w:tc>
          <w:tcPr>
            <w:tcW w:w="4760" w:type="dxa"/>
            <w:tcBorders>
              <w:top w:val="nil"/>
              <w:left w:val="single" w:sz="4" w:space="0" w:color="auto"/>
              <w:bottom w:val="single" w:sz="4" w:space="0" w:color="auto"/>
              <w:right w:val="single" w:sz="4" w:space="0" w:color="auto"/>
            </w:tcBorders>
            <w:vAlign w:val="center"/>
          </w:tcPr>
          <w:p w14:paraId="4DC0FFE4" w14:textId="77777777" w:rsidR="007A4524" w:rsidRPr="008C23CF" w:rsidRDefault="007A4524" w:rsidP="007A4524">
            <w:pPr>
              <w:spacing w:after="0" w:line="240" w:lineRule="auto"/>
              <w:rPr>
                <w:rFonts w:eastAsia="Times New Roman" w:cs="Arial"/>
                <w:color w:val="000000"/>
                <w:szCs w:val="22"/>
                <w:lang w:eastAsia="en-AU"/>
              </w:rPr>
            </w:pPr>
            <w:r w:rsidRPr="008C23CF">
              <w:rPr>
                <w:rFonts w:eastAsia="Times New Roman" w:cs="Arial"/>
                <w:color w:val="000000"/>
                <w:szCs w:val="22"/>
                <w:lang w:eastAsia="en-AU"/>
              </w:rPr>
              <w:t>Transport, Postal and Warehousing</w:t>
            </w:r>
          </w:p>
        </w:tc>
        <w:tc>
          <w:tcPr>
            <w:tcW w:w="4760" w:type="dxa"/>
            <w:tcBorders>
              <w:top w:val="nil"/>
              <w:left w:val="single" w:sz="4" w:space="0" w:color="auto"/>
              <w:bottom w:val="single" w:sz="4" w:space="0" w:color="auto"/>
              <w:right w:val="single" w:sz="4" w:space="0" w:color="auto"/>
            </w:tcBorders>
            <w:shd w:val="clear" w:color="auto" w:fill="auto"/>
            <w:noWrap/>
            <w:vAlign w:val="center"/>
            <w:hideMark/>
          </w:tcPr>
          <w:p w14:paraId="049B65F8" w14:textId="77777777" w:rsidR="007A4524" w:rsidRPr="008C23CF" w:rsidRDefault="007A4524" w:rsidP="007A4524">
            <w:pPr>
              <w:spacing w:after="0" w:line="240" w:lineRule="auto"/>
              <w:rPr>
                <w:rFonts w:eastAsia="Times New Roman" w:cs="Arial"/>
                <w:color w:val="000000"/>
                <w:szCs w:val="22"/>
                <w:lang w:eastAsia="en-AU"/>
              </w:rPr>
            </w:pPr>
            <w:r w:rsidRPr="008C23CF">
              <w:rPr>
                <w:rFonts w:eastAsia="Times New Roman" w:cs="Arial"/>
                <w:color w:val="000000"/>
                <w:szCs w:val="22"/>
                <w:lang w:eastAsia="en-AU"/>
              </w:rPr>
              <w:t>Transport, Postal and Storage</w:t>
            </w:r>
          </w:p>
        </w:tc>
      </w:tr>
      <w:tr w:rsidR="007A4524" w:rsidRPr="008C23CF" w14:paraId="23A8EAC6" w14:textId="77777777" w:rsidTr="00551CD9">
        <w:trPr>
          <w:trHeight w:val="340"/>
        </w:trPr>
        <w:tc>
          <w:tcPr>
            <w:tcW w:w="4760" w:type="dxa"/>
            <w:tcBorders>
              <w:top w:val="nil"/>
              <w:left w:val="single" w:sz="4" w:space="0" w:color="auto"/>
              <w:bottom w:val="single" w:sz="4" w:space="0" w:color="auto"/>
              <w:right w:val="single" w:sz="4" w:space="0" w:color="auto"/>
            </w:tcBorders>
            <w:vAlign w:val="center"/>
          </w:tcPr>
          <w:p w14:paraId="3236F232" w14:textId="77777777" w:rsidR="007A4524" w:rsidRPr="008C23CF" w:rsidRDefault="007A4524" w:rsidP="007A4524">
            <w:pPr>
              <w:spacing w:after="0" w:line="240" w:lineRule="auto"/>
              <w:rPr>
                <w:rFonts w:eastAsia="Times New Roman" w:cs="Arial"/>
                <w:color w:val="000000"/>
                <w:szCs w:val="22"/>
                <w:lang w:eastAsia="en-AU"/>
              </w:rPr>
            </w:pPr>
            <w:r w:rsidRPr="008C23CF">
              <w:rPr>
                <w:rFonts w:eastAsia="Times New Roman" w:cs="Arial"/>
                <w:color w:val="000000"/>
                <w:szCs w:val="22"/>
                <w:lang w:eastAsia="en-AU"/>
              </w:rPr>
              <w:t>Wholesale Trade</w:t>
            </w:r>
          </w:p>
        </w:tc>
        <w:tc>
          <w:tcPr>
            <w:tcW w:w="4760" w:type="dxa"/>
            <w:tcBorders>
              <w:top w:val="nil"/>
              <w:left w:val="single" w:sz="4" w:space="0" w:color="auto"/>
              <w:bottom w:val="single" w:sz="4" w:space="0" w:color="auto"/>
              <w:right w:val="single" w:sz="4" w:space="0" w:color="auto"/>
            </w:tcBorders>
            <w:shd w:val="clear" w:color="auto" w:fill="auto"/>
            <w:noWrap/>
            <w:vAlign w:val="center"/>
            <w:hideMark/>
          </w:tcPr>
          <w:p w14:paraId="51C76C67" w14:textId="77777777" w:rsidR="007A4524" w:rsidRPr="008C23CF" w:rsidRDefault="007A4524" w:rsidP="007A4524">
            <w:pPr>
              <w:spacing w:after="0" w:line="240" w:lineRule="auto"/>
              <w:rPr>
                <w:rFonts w:eastAsia="Times New Roman" w:cs="Arial"/>
                <w:color w:val="000000"/>
                <w:szCs w:val="22"/>
                <w:lang w:eastAsia="en-AU"/>
              </w:rPr>
            </w:pPr>
            <w:r w:rsidRPr="008C23CF">
              <w:rPr>
                <w:rFonts w:eastAsia="Times New Roman" w:cs="Arial"/>
                <w:color w:val="000000"/>
                <w:szCs w:val="22"/>
                <w:lang w:eastAsia="en-AU"/>
              </w:rPr>
              <w:t>Wholesale Trade</w:t>
            </w:r>
          </w:p>
        </w:tc>
      </w:tr>
    </w:tbl>
    <w:p w14:paraId="02EB378F" w14:textId="77777777" w:rsidR="008C23CF" w:rsidRDefault="008C23CF" w:rsidP="00363025">
      <w:pPr>
        <w:rPr>
          <w:lang w:val="en-US"/>
        </w:rPr>
      </w:pPr>
    </w:p>
    <w:p w14:paraId="1E9965FF" w14:textId="77777777" w:rsidR="008C23CF" w:rsidRDefault="008C23CF" w:rsidP="00E34073">
      <w:pPr>
        <w:pStyle w:val="Heading1"/>
        <w:rPr>
          <w:rFonts w:hint="eastAsia"/>
        </w:rPr>
      </w:pPr>
      <w:r>
        <w:br w:type="page"/>
      </w:r>
      <w:bookmarkStart w:id="29" w:name="_Toc180519460"/>
      <w:r w:rsidRPr="00537E40">
        <w:lastRenderedPageBreak/>
        <w:t>Appendix</w:t>
      </w:r>
      <w:r>
        <w:t xml:space="preserve"> 3:</w:t>
      </w:r>
      <w:r w:rsidRPr="00537E40">
        <w:t xml:space="preserve"> </w:t>
      </w:r>
      <w:r>
        <w:t>Space use cate</w:t>
      </w:r>
      <w:r w:rsidRPr="00B61D4E">
        <w:t>gories</w:t>
      </w:r>
      <w:bookmarkEnd w:id="29"/>
    </w:p>
    <w:p w14:paraId="5EEA96EB" w14:textId="77777777" w:rsidR="007A4524" w:rsidRDefault="008C23CF" w:rsidP="008C23CF">
      <w:pPr>
        <w:rPr>
          <w:lang w:val="en-US"/>
        </w:rPr>
      </w:pPr>
      <w:r>
        <w:rPr>
          <w:lang w:val="en-US"/>
        </w:rPr>
        <w:t xml:space="preserve">The following presents the list of </w:t>
      </w:r>
      <w:r w:rsidR="007A4524">
        <w:rPr>
          <w:lang w:val="en-US"/>
        </w:rPr>
        <w:t>space use categories</w:t>
      </w:r>
      <w:r>
        <w:rPr>
          <w:lang w:val="en-US"/>
        </w:rPr>
        <w:t xml:space="preserve"> </w:t>
      </w:r>
      <w:r w:rsidR="007A4524">
        <w:rPr>
          <w:lang w:val="en-US"/>
        </w:rPr>
        <w:t>used in the forecast model</w:t>
      </w:r>
      <w:r>
        <w:rPr>
          <w:lang w:val="en-US"/>
        </w:rPr>
        <w:t xml:space="preserve"> which </w:t>
      </w:r>
      <w:r w:rsidR="007A4524">
        <w:rPr>
          <w:lang w:val="en-US"/>
        </w:rPr>
        <w:t>correspond to space use codes and industries in CLUE.</w:t>
      </w:r>
    </w:p>
    <w:p w14:paraId="4BD28BE9" w14:textId="5529BF3A" w:rsidR="007A4524" w:rsidRDefault="007A4524" w:rsidP="008C23CF">
      <w:pPr>
        <w:rPr>
          <w:lang w:val="en-US"/>
        </w:rPr>
      </w:pPr>
      <w:r>
        <w:rPr>
          <w:lang w:val="en-US"/>
        </w:rPr>
        <w:t>More information about CLUE industries and CLUE space use codes can be found</w:t>
      </w:r>
      <w:r w:rsidR="00551CD9">
        <w:rPr>
          <w:lang w:val="en-US"/>
        </w:rPr>
        <w:t xml:space="preserve"> in</w:t>
      </w:r>
      <w:r>
        <w:rPr>
          <w:lang w:val="en-US"/>
        </w:rPr>
        <w:t xml:space="preserve"> the </w:t>
      </w:r>
      <w:hyperlink r:id="rId18" w:history="1">
        <w:r>
          <w:rPr>
            <w:rStyle w:val="Hyperlink"/>
            <w:lang w:val="en-US"/>
          </w:rPr>
          <w:t>CLUE Definition</w:t>
        </w:r>
        <w:r w:rsidR="001D104E">
          <w:rPr>
            <w:rStyle w:val="Hyperlink"/>
            <w:lang w:val="en-US"/>
          </w:rPr>
          <w:t>s (PDF)</w:t>
        </w:r>
      </w:hyperlink>
      <w:r w:rsidR="0075075B">
        <w:rPr>
          <w:rStyle w:val="FootnoteReference"/>
          <w:color w:val="0000FF"/>
          <w:u w:val="single"/>
          <w:lang w:val="en-US"/>
        </w:rPr>
        <w:footnoteReference w:id="7"/>
      </w:r>
      <w:r>
        <w:rPr>
          <w:lang w:val="en-US"/>
        </w:rPr>
        <w:t xml:space="preserve"> on the</w:t>
      </w:r>
      <w:r w:rsidR="008D084B">
        <w:rPr>
          <w:lang w:val="en-US"/>
        </w:rPr>
        <w:t xml:space="preserve"> City of Melbourne’s Open Data P</w:t>
      </w:r>
      <w:r>
        <w:rPr>
          <w:lang w:val="en-US"/>
        </w:rPr>
        <w:t>latform.</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8"/>
        <w:gridCol w:w="4888"/>
      </w:tblGrid>
      <w:tr w:rsidR="007A4524" w:rsidRPr="007A4524" w14:paraId="081F6E19" w14:textId="77777777" w:rsidTr="00551CD9">
        <w:trPr>
          <w:trHeight w:val="340"/>
        </w:trPr>
        <w:tc>
          <w:tcPr>
            <w:tcW w:w="4888" w:type="dxa"/>
            <w:shd w:val="clear" w:color="auto" w:fill="auto"/>
            <w:noWrap/>
            <w:vAlign w:val="center"/>
            <w:hideMark/>
          </w:tcPr>
          <w:p w14:paraId="4A76C4A1" w14:textId="77777777" w:rsidR="007A4524" w:rsidRPr="007A4524" w:rsidRDefault="007A4524" w:rsidP="007A4524">
            <w:pPr>
              <w:spacing w:after="0" w:line="240" w:lineRule="auto"/>
              <w:rPr>
                <w:rFonts w:eastAsia="Times New Roman" w:cs="Arial"/>
                <w:b/>
                <w:bCs/>
                <w:color w:val="000000"/>
                <w:szCs w:val="20"/>
                <w:lang w:eastAsia="en-AU"/>
              </w:rPr>
            </w:pPr>
            <w:r>
              <w:rPr>
                <w:rFonts w:eastAsia="Times New Roman" w:cs="Arial"/>
                <w:b/>
                <w:bCs/>
                <w:color w:val="000000"/>
                <w:szCs w:val="20"/>
                <w:lang w:eastAsia="en-AU"/>
              </w:rPr>
              <w:t>CLUE s</w:t>
            </w:r>
            <w:r w:rsidRPr="007A4524">
              <w:rPr>
                <w:rFonts w:eastAsia="Times New Roman" w:cs="Arial"/>
                <w:b/>
                <w:bCs/>
                <w:color w:val="000000"/>
                <w:szCs w:val="20"/>
                <w:lang w:eastAsia="en-AU"/>
              </w:rPr>
              <w:t>pace use</w:t>
            </w:r>
            <w:r>
              <w:rPr>
                <w:rFonts w:eastAsia="Times New Roman" w:cs="Arial"/>
                <w:b/>
                <w:bCs/>
                <w:color w:val="000000"/>
                <w:szCs w:val="20"/>
                <w:lang w:eastAsia="en-AU"/>
              </w:rPr>
              <w:t xml:space="preserve"> codes</w:t>
            </w:r>
          </w:p>
        </w:tc>
        <w:tc>
          <w:tcPr>
            <w:tcW w:w="4888" w:type="dxa"/>
            <w:shd w:val="clear" w:color="auto" w:fill="auto"/>
            <w:vAlign w:val="center"/>
          </w:tcPr>
          <w:p w14:paraId="539EB0F0" w14:textId="77777777" w:rsidR="007A4524" w:rsidRPr="007A4524" w:rsidRDefault="007A4524" w:rsidP="007A4524">
            <w:pPr>
              <w:spacing w:after="0" w:line="240" w:lineRule="auto"/>
              <w:rPr>
                <w:rFonts w:eastAsia="Times New Roman" w:cs="Arial"/>
                <w:b/>
                <w:bCs/>
                <w:color w:val="000000"/>
                <w:szCs w:val="20"/>
                <w:lang w:eastAsia="en-AU"/>
              </w:rPr>
            </w:pPr>
            <w:r w:rsidRPr="007A4524">
              <w:rPr>
                <w:rFonts w:eastAsia="Times New Roman" w:cs="Arial"/>
                <w:b/>
                <w:bCs/>
                <w:color w:val="000000"/>
                <w:szCs w:val="20"/>
                <w:lang w:eastAsia="en-AU"/>
              </w:rPr>
              <w:t>Forecasts model space use</w:t>
            </w:r>
          </w:p>
        </w:tc>
      </w:tr>
      <w:tr w:rsidR="007A4524" w:rsidRPr="007A4524" w14:paraId="1BB07037" w14:textId="77777777" w:rsidTr="00551CD9">
        <w:trPr>
          <w:trHeight w:val="340"/>
        </w:trPr>
        <w:tc>
          <w:tcPr>
            <w:tcW w:w="4888" w:type="dxa"/>
            <w:shd w:val="clear" w:color="auto" w:fill="auto"/>
            <w:noWrap/>
            <w:vAlign w:val="center"/>
            <w:hideMark/>
          </w:tcPr>
          <w:p w14:paraId="062DD897" w14:textId="77777777" w:rsidR="007A4524" w:rsidRPr="007A4524" w:rsidRDefault="007A4524" w:rsidP="007A4524">
            <w:pPr>
              <w:spacing w:after="0" w:line="240" w:lineRule="auto"/>
              <w:rPr>
                <w:rFonts w:eastAsia="Times New Roman" w:cs="Arial"/>
                <w:color w:val="000000"/>
                <w:szCs w:val="20"/>
                <w:lang w:eastAsia="en-AU"/>
              </w:rPr>
            </w:pPr>
            <w:r w:rsidRPr="007A4524">
              <w:rPr>
                <w:rFonts w:eastAsia="Times New Roman" w:cs="Arial"/>
                <w:color w:val="000000"/>
                <w:szCs w:val="20"/>
                <w:lang w:eastAsia="en-AU"/>
              </w:rPr>
              <w:t>Commercial Accommodation</w:t>
            </w:r>
          </w:p>
        </w:tc>
        <w:tc>
          <w:tcPr>
            <w:tcW w:w="4888" w:type="dxa"/>
            <w:shd w:val="clear" w:color="auto" w:fill="auto"/>
            <w:vAlign w:val="center"/>
          </w:tcPr>
          <w:p w14:paraId="4D99AFF2" w14:textId="77777777" w:rsidR="007A4524" w:rsidRPr="007A4524" w:rsidRDefault="007A4524" w:rsidP="007A4524">
            <w:pPr>
              <w:spacing w:after="0" w:line="240" w:lineRule="auto"/>
              <w:rPr>
                <w:rFonts w:eastAsia="Times New Roman" w:cs="Arial"/>
                <w:color w:val="000000"/>
                <w:szCs w:val="20"/>
                <w:lang w:eastAsia="en-AU"/>
              </w:rPr>
            </w:pPr>
            <w:r w:rsidRPr="007A4524">
              <w:rPr>
                <w:rFonts w:eastAsia="Times New Roman" w:cs="Arial"/>
                <w:color w:val="000000"/>
                <w:szCs w:val="20"/>
                <w:lang w:eastAsia="en-AU"/>
              </w:rPr>
              <w:t>Accommodation - Commercial</w:t>
            </w:r>
          </w:p>
        </w:tc>
      </w:tr>
      <w:tr w:rsidR="007A4524" w:rsidRPr="007A4524" w14:paraId="1A375B4A" w14:textId="77777777" w:rsidTr="00551CD9">
        <w:trPr>
          <w:trHeight w:val="340"/>
        </w:trPr>
        <w:tc>
          <w:tcPr>
            <w:tcW w:w="4888" w:type="dxa"/>
            <w:shd w:val="clear" w:color="auto" w:fill="auto"/>
            <w:noWrap/>
            <w:vAlign w:val="center"/>
            <w:hideMark/>
          </w:tcPr>
          <w:p w14:paraId="40BAE028" w14:textId="77777777" w:rsidR="007A4524" w:rsidRPr="007A4524" w:rsidRDefault="007A4524" w:rsidP="007A4524">
            <w:pPr>
              <w:spacing w:after="0" w:line="240" w:lineRule="auto"/>
              <w:rPr>
                <w:rFonts w:eastAsia="Times New Roman" w:cs="Arial"/>
                <w:color w:val="000000"/>
                <w:szCs w:val="20"/>
                <w:lang w:eastAsia="en-AU"/>
              </w:rPr>
            </w:pPr>
            <w:r w:rsidRPr="007A4524">
              <w:rPr>
                <w:rFonts w:eastAsia="Times New Roman" w:cs="Arial"/>
                <w:color w:val="000000"/>
                <w:szCs w:val="20"/>
                <w:lang w:eastAsia="en-AU"/>
              </w:rPr>
              <w:t>Common Area</w:t>
            </w:r>
          </w:p>
        </w:tc>
        <w:tc>
          <w:tcPr>
            <w:tcW w:w="4888" w:type="dxa"/>
            <w:shd w:val="clear" w:color="auto" w:fill="auto"/>
            <w:vAlign w:val="center"/>
          </w:tcPr>
          <w:p w14:paraId="162D764C" w14:textId="77777777" w:rsidR="007A4524" w:rsidRPr="007A4524" w:rsidRDefault="007A4524" w:rsidP="007A4524">
            <w:pPr>
              <w:spacing w:after="0" w:line="240" w:lineRule="auto"/>
              <w:rPr>
                <w:rFonts w:eastAsia="Times New Roman" w:cs="Arial"/>
                <w:color w:val="000000"/>
                <w:szCs w:val="20"/>
                <w:lang w:eastAsia="en-AU"/>
              </w:rPr>
            </w:pPr>
            <w:r w:rsidRPr="007A4524">
              <w:rPr>
                <w:rFonts w:eastAsia="Times New Roman" w:cs="Arial"/>
                <w:color w:val="000000"/>
                <w:szCs w:val="20"/>
                <w:lang w:eastAsia="en-AU"/>
              </w:rPr>
              <w:t xml:space="preserve">Other - </w:t>
            </w:r>
            <w:proofErr w:type="gramStart"/>
            <w:r w:rsidRPr="007A4524">
              <w:rPr>
                <w:rFonts w:eastAsia="Times New Roman" w:cs="Arial"/>
                <w:color w:val="000000"/>
                <w:szCs w:val="20"/>
                <w:lang w:eastAsia="en-AU"/>
              </w:rPr>
              <w:t>Non Employment</w:t>
            </w:r>
            <w:proofErr w:type="gramEnd"/>
          </w:p>
        </w:tc>
      </w:tr>
      <w:tr w:rsidR="007A4524" w:rsidRPr="007A4524" w14:paraId="355156DF" w14:textId="77777777" w:rsidTr="00551CD9">
        <w:trPr>
          <w:trHeight w:val="340"/>
        </w:trPr>
        <w:tc>
          <w:tcPr>
            <w:tcW w:w="4888" w:type="dxa"/>
            <w:shd w:val="clear" w:color="auto" w:fill="auto"/>
            <w:noWrap/>
            <w:vAlign w:val="center"/>
            <w:hideMark/>
          </w:tcPr>
          <w:p w14:paraId="7B52C8F7" w14:textId="77777777" w:rsidR="007A4524" w:rsidRPr="007A4524" w:rsidRDefault="007A4524" w:rsidP="007A4524">
            <w:pPr>
              <w:spacing w:after="0" w:line="240" w:lineRule="auto"/>
              <w:rPr>
                <w:rFonts w:eastAsia="Times New Roman" w:cs="Arial"/>
                <w:color w:val="000000"/>
                <w:szCs w:val="20"/>
                <w:lang w:eastAsia="en-AU"/>
              </w:rPr>
            </w:pPr>
            <w:r w:rsidRPr="007A4524">
              <w:rPr>
                <w:rFonts w:eastAsia="Times New Roman" w:cs="Arial"/>
                <w:color w:val="000000"/>
                <w:szCs w:val="20"/>
                <w:lang w:eastAsia="en-AU"/>
              </w:rPr>
              <w:t>Community Use</w:t>
            </w:r>
          </w:p>
        </w:tc>
        <w:tc>
          <w:tcPr>
            <w:tcW w:w="4888" w:type="dxa"/>
            <w:shd w:val="clear" w:color="auto" w:fill="auto"/>
            <w:vAlign w:val="center"/>
          </w:tcPr>
          <w:p w14:paraId="622DACC2" w14:textId="77777777" w:rsidR="007A4524" w:rsidRPr="007A4524" w:rsidRDefault="007A4524" w:rsidP="007A4524">
            <w:pPr>
              <w:spacing w:after="0" w:line="240" w:lineRule="auto"/>
              <w:rPr>
                <w:rFonts w:eastAsia="Times New Roman" w:cs="Arial"/>
                <w:color w:val="000000"/>
                <w:szCs w:val="20"/>
                <w:lang w:eastAsia="en-AU"/>
              </w:rPr>
            </w:pPr>
            <w:r w:rsidRPr="007A4524">
              <w:rPr>
                <w:rFonts w:eastAsia="Times New Roman" w:cs="Arial"/>
                <w:color w:val="000000"/>
                <w:szCs w:val="20"/>
                <w:lang w:eastAsia="en-AU"/>
              </w:rPr>
              <w:t>Other - Employment</w:t>
            </w:r>
          </w:p>
        </w:tc>
      </w:tr>
      <w:tr w:rsidR="007A4524" w:rsidRPr="007A4524" w14:paraId="01C62892" w14:textId="77777777" w:rsidTr="00551CD9">
        <w:trPr>
          <w:trHeight w:val="340"/>
        </w:trPr>
        <w:tc>
          <w:tcPr>
            <w:tcW w:w="4888" w:type="dxa"/>
            <w:shd w:val="clear" w:color="auto" w:fill="auto"/>
            <w:noWrap/>
            <w:vAlign w:val="center"/>
            <w:hideMark/>
          </w:tcPr>
          <w:p w14:paraId="0B556224" w14:textId="77777777" w:rsidR="007A4524" w:rsidRPr="007A4524" w:rsidRDefault="007A4524" w:rsidP="007A4524">
            <w:pPr>
              <w:spacing w:after="0" w:line="240" w:lineRule="auto"/>
              <w:rPr>
                <w:rFonts w:eastAsia="Times New Roman" w:cs="Arial"/>
                <w:color w:val="000000"/>
                <w:szCs w:val="20"/>
                <w:lang w:eastAsia="en-AU"/>
              </w:rPr>
            </w:pPr>
            <w:r w:rsidRPr="007A4524">
              <w:rPr>
                <w:rFonts w:eastAsia="Times New Roman" w:cs="Arial"/>
                <w:color w:val="000000"/>
                <w:szCs w:val="20"/>
                <w:lang w:eastAsia="en-AU"/>
              </w:rPr>
              <w:t>Educational/Research</w:t>
            </w:r>
          </w:p>
        </w:tc>
        <w:tc>
          <w:tcPr>
            <w:tcW w:w="4888" w:type="dxa"/>
            <w:shd w:val="clear" w:color="auto" w:fill="auto"/>
            <w:vAlign w:val="center"/>
          </w:tcPr>
          <w:p w14:paraId="3C1C2DC7" w14:textId="77777777" w:rsidR="007A4524" w:rsidRPr="007A4524" w:rsidRDefault="007A4524" w:rsidP="007A4524">
            <w:pPr>
              <w:spacing w:after="0" w:line="240" w:lineRule="auto"/>
              <w:rPr>
                <w:rFonts w:eastAsia="Times New Roman" w:cs="Arial"/>
                <w:color w:val="000000"/>
                <w:szCs w:val="20"/>
                <w:lang w:eastAsia="en-AU"/>
              </w:rPr>
            </w:pPr>
            <w:r w:rsidRPr="007A4524">
              <w:rPr>
                <w:rFonts w:eastAsia="Times New Roman" w:cs="Arial"/>
                <w:color w:val="000000"/>
                <w:szCs w:val="20"/>
                <w:lang w:eastAsia="en-AU"/>
              </w:rPr>
              <w:t>Education</w:t>
            </w:r>
          </w:p>
        </w:tc>
      </w:tr>
      <w:tr w:rsidR="007A4524" w:rsidRPr="007A4524" w14:paraId="33B2D0C6" w14:textId="77777777" w:rsidTr="00551CD9">
        <w:trPr>
          <w:trHeight w:val="340"/>
        </w:trPr>
        <w:tc>
          <w:tcPr>
            <w:tcW w:w="4888" w:type="dxa"/>
            <w:shd w:val="clear" w:color="auto" w:fill="auto"/>
            <w:noWrap/>
            <w:vAlign w:val="center"/>
            <w:hideMark/>
          </w:tcPr>
          <w:p w14:paraId="748796AD" w14:textId="77777777" w:rsidR="007A4524" w:rsidRPr="007A4524" w:rsidRDefault="007A4524" w:rsidP="007A4524">
            <w:pPr>
              <w:spacing w:after="0" w:line="240" w:lineRule="auto"/>
              <w:rPr>
                <w:rFonts w:eastAsia="Times New Roman" w:cs="Arial"/>
                <w:color w:val="000000"/>
                <w:szCs w:val="20"/>
                <w:lang w:eastAsia="en-AU"/>
              </w:rPr>
            </w:pPr>
            <w:r w:rsidRPr="007A4524">
              <w:rPr>
                <w:rFonts w:eastAsia="Times New Roman" w:cs="Arial"/>
                <w:color w:val="000000"/>
                <w:szCs w:val="20"/>
                <w:lang w:eastAsia="en-AU"/>
              </w:rPr>
              <w:t>Entertainment/Recreation - Indoor</w:t>
            </w:r>
          </w:p>
        </w:tc>
        <w:tc>
          <w:tcPr>
            <w:tcW w:w="4888" w:type="dxa"/>
            <w:shd w:val="clear" w:color="auto" w:fill="auto"/>
            <w:vAlign w:val="center"/>
          </w:tcPr>
          <w:p w14:paraId="4A7D1E12" w14:textId="77777777" w:rsidR="007A4524" w:rsidRPr="007A4524" w:rsidRDefault="00551CD9" w:rsidP="00E57B1C">
            <w:pPr>
              <w:spacing w:after="0" w:line="240" w:lineRule="auto"/>
              <w:rPr>
                <w:rFonts w:eastAsia="Times New Roman" w:cs="Arial"/>
                <w:color w:val="000000"/>
                <w:szCs w:val="20"/>
                <w:lang w:eastAsia="en-AU"/>
              </w:rPr>
            </w:pPr>
            <w:r w:rsidRPr="00551CD9">
              <w:rPr>
                <w:rFonts w:eastAsia="Times New Roman" w:cs="Arial"/>
                <w:color w:val="000000"/>
                <w:szCs w:val="20"/>
                <w:lang w:eastAsia="en-AU"/>
              </w:rPr>
              <w:t xml:space="preserve">Entertainment </w:t>
            </w:r>
            <w:r>
              <w:rPr>
                <w:rFonts w:eastAsia="Times New Roman" w:cs="Arial"/>
                <w:color w:val="000000"/>
                <w:szCs w:val="20"/>
                <w:lang w:eastAsia="en-AU"/>
              </w:rPr>
              <w:t>–</w:t>
            </w:r>
            <w:r w:rsidRPr="00551CD9">
              <w:rPr>
                <w:rFonts w:eastAsia="Times New Roman" w:cs="Arial"/>
                <w:color w:val="000000"/>
                <w:szCs w:val="20"/>
                <w:lang w:eastAsia="en-AU"/>
              </w:rPr>
              <w:t xml:space="preserve"> Hospitality</w:t>
            </w:r>
            <w:r>
              <w:rPr>
                <w:rFonts w:eastAsia="Times New Roman" w:cs="Arial"/>
                <w:color w:val="000000"/>
                <w:szCs w:val="20"/>
                <w:lang w:eastAsia="en-AU"/>
              </w:rPr>
              <w:t xml:space="preserve"> / </w:t>
            </w:r>
            <w:r w:rsidRPr="00551CD9">
              <w:rPr>
                <w:rFonts w:eastAsia="Times New Roman" w:cs="Arial"/>
                <w:color w:val="000000"/>
                <w:szCs w:val="20"/>
                <w:lang w:eastAsia="en-AU"/>
              </w:rPr>
              <w:t xml:space="preserve">Entertainment </w:t>
            </w:r>
            <w:r w:rsidR="00E57B1C">
              <w:rPr>
                <w:rFonts w:eastAsia="Times New Roman" w:cs="Arial"/>
                <w:color w:val="000000"/>
                <w:szCs w:val="20"/>
                <w:lang w:eastAsia="en-AU"/>
              </w:rPr>
              <w:t>–</w:t>
            </w:r>
            <w:r w:rsidRPr="00551CD9">
              <w:rPr>
                <w:rFonts w:eastAsia="Times New Roman" w:cs="Arial"/>
                <w:color w:val="000000"/>
                <w:szCs w:val="20"/>
                <w:lang w:eastAsia="en-AU"/>
              </w:rPr>
              <w:t xml:space="preserve"> Other</w:t>
            </w:r>
            <w:r w:rsidR="00E57B1C">
              <w:rPr>
                <w:rFonts w:eastAsia="Times New Roman" w:cs="Arial"/>
                <w:color w:val="000000"/>
                <w:szCs w:val="20"/>
                <w:lang w:eastAsia="en-AU"/>
              </w:rPr>
              <w:t>*</w:t>
            </w:r>
          </w:p>
        </w:tc>
      </w:tr>
      <w:tr w:rsidR="007A4524" w:rsidRPr="007A4524" w14:paraId="00254FE6" w14:textId="77777777" w:rsidTr="00551CD9">
        <w:trPr>
          <w:trHeight w:val="340"/>
        </w:trPr>
        <w:tc>
          <w:tcPr>
            <w:tcW w:w="4888" w:type="dxa"/>
            <w:shd w:val="clear" w:color="auto" w:fill="auto"/>
            <w:noWrap/>
            <w:vAlign w:val="center"/>
            <w:hideMark/>
          </w:tcPr>
          <w:p w14:paraId="6AB583D8" w14:textId="77777777" w:rsidR="007A4524" w:rsidRPr="007A4524" w:rsidRDefault="007A4524" w:rsidP="007A4524">
            <w:pPr>
              <w:spacing w:after="0" w:line="240" w:lineRule="auto"/>
              <w:rPr>
                <w:rFonts w:eastAsia="Times New Roman" w:cs="Arial"/>
                <w:color w:val="000000"/>
                <w:szCs w:val="20"/>
                <w:lang w:eastAsia="en-AU"/>
              </w:rPr>
            </w:pPr>
            <w:r w:rsidRPr="007A4524">
              <w:rPr>
                <w:rFonts w:eastAsia="Times New Roman" w:cs="Arial"/>
                <w:color w:val="000000"/>
                <w:szCs w:val="20"/>
                <w:lang w:eastAsia="en-AU"/>
              </w:rPr>
              <w:t>Equipment Installation</w:t>
            </w:r>
          </w:p>
        </w:tc>
        <w:tc>
          <w:tcPr>
            <w:tcW w:w="4888" w:type="dxa"/>
            <w:shd w:val="clear" w:color="auto" w:fill="auto"/>
            <w:vAlign w:val="center"/>
          </w:tcPr>
          <w:p w14:paraId="2FCEDDDC" w14:textId="77777777" w:rsidR="007A4524" w:rsidRPr="007A4524" w:rsidRDefault="007A4524" w:rsidP="007A4524">
            <w:pPr>
              <w:spacing w:after="0" w:line="240" w:lineRule="auto"/>
              <w:rPr>
                <w:rFonts w:eastAsia="Times New Roman" w:cs="Arial"/>
                <w:color w:val="000000"/>
                <w:szCs w:val="20"/>
                <w:lang w:eastAsia="en-AU"/>
              </w:rPr>
            </w:pPr>
            <w:r w:rsidRPr="007A4524">
              <w:rPr>
                <w:rFonts w:eastAsia="Times New Roman" w:cs="Arial"/>
                <w:color w:val="000000"/>
                <w:szCs w:val="20"/>
                <w:lang w:eastAsia="en-AU"/>
              </w:rPr>
              <w:t>Other - Employment</w:t>
            </w:r>
          </w:p>
        </w:tc>
      </w:tr>
      <w:tr w:rsidR="007A4524" w:rsidRPr="007A4524" w14:paraId="33B28703" w14:textId="77777777" w:rsidTr="00551CD9">
        <w:trPr>
          <w:trHeight w:val="340"/>
        </w:trPr>
        <w:tc>
          <w:tcPr>
            <w:tcW w:w="4888" w:type="dxa"/>
            <w:shd w:val="clear" w:color="auto" w:fill="auto"/>
            <w:noWrap/>
            <w:vAlign w:val="center"/>
            <w:hideMark/>
          </w:tcPr>
          <w:p w14:paraId="603D5BC6" w14:textId="77777777" w:rsidR="007A4524" w:rsidRPr="007A4524" w:rsidRDefault="007A4524" w:rsidP="007A4524">
            <w:pPr>
              <w:spacing w:after="0" w:line="240" w:lineRule="auto"/>
              <w:rPr>
                <w:rFonts w:eastAsia="Times New Roman" w:cs="Arial"/>
                <w:color w:val="000000"/>
                <w:szCs w:val="20"/>
                <w:lang w:eastAsia="en-AU"/>
              </w:rPr>
            </w:pPr>
            <w:r w:rsidRPr="007A4524">
              <w:rPr>
                <w:rFonts w:eastAsia="Times New Roman" w:cs="Arial"/>
                <w:color w:val="000000"/>
                <w:szCs w:val="20"/>
                <w:lang w:eastAsia="en-AU"/>
              </w:rPr>
              <w:t>Hospital/Clinic</w:t>
            </w:r>
          </w:p>
        </w:tc>
        <w:tc>
          <w:tcPr>
            <w:tcW w:w="4888" w:type="dxa"/>
            <w:shd w:val="clear" w:color="auto" w:fill="auto"/>
            <w:vAlign w:val="center"/>
          </w:tcPr>
          <w:p w14:paraId="680D1396" w14:textId="77777777" w:rsidR="007A4524" w:rsidRPr="007A4524" w:rsidRDefault="007A4524" w:rsidP="007A4524">
            <w:pPr>
              <w:spacing w:after="0" w:line="240" w:lineRule="auto"/>
              <w:rPr>
                <w:rFonts w:eastAsia="Times New Roman" w:cs="Arial"/>
                <w:color w:val="000000"/>
                <w:szCs w:val="20"/>
                <w:lang w:eastAsia="en-AU"/>
              </w:rPr>
            </w:pPr>
            <w:r w:rsidRPr="007A4524">
              <w:rPr>
                <w:rFonts w:eastAsia="Times New Roman" w:cs="Arial"/>
                <w:color w:val="000000"/>
                <w:szCs w:val="20"/>
                <w:lang w:eastAsia="en-AU"/>
              </w:rPr>
              <w:t>Health</w:t>
            </w:r>
          </w:p>
        </w:tc>
      </w:tr>
      <w:tr w:rsidR="007A4524" w:rsidRPr="007A4524" w14:paraId="6396151A" w14:textId="77777777" w:rsidTr="00551CD9">
        <w:trPr>
          <w:trHeight w:val="340"/>
        </w:trPr>
        <w:tc>
          <w:tcPr>
            <w:tcW w:w="4888" w:type="dxa"/>
            <w:shd w:val="clear" w:color="auto" w:fill="auto"/>
            <w:noWrap/>
            <w:vAlign w:val="center"/>
            <w:hideMark/>
          </w:tcPr>
          <w:p w14:paraId="69842025" w14:textId="77777777" w:rsidR="007A4524" w:rsidRPr="007A4524" w:rsidRDefault="007A4524" w:rsidP="007A4524">
            <w:pPr>
              <w:spacing w:after="0" w:line="240" w:lineRule="auto"/>
              <w:rPr>
                <w:rFonts w:eastAsia="Times New Roman" w:cs="Arial"/>
                <w:color w:val="000000"/>
                <w:szCs w:val="20"/>
                <w:lang w:eastAsia="en-AU"/>
              </w:rPr>
            </w:pPr>
            <w:r w:rsidRPr="007A4524">
              <w:rPr>
                <w:rFonts w:eastAsia="Times New Roman" w:cs="Arial"/>
                <w:color w:val="000000"/>
                <w:szCs w:val="20"/>
                <w:lang w:eastAsia="en-AU"/>
              </w:rPr>
              <w:t>House/Townhouse</w:t>
            </w:r>
          </w:p>
        </w:tc>
        <w:tc>
          <w:tcPr>
            <w:tcW w:w="4888" w:type="dxa"/>
            <w:shd w:val="clear" w:color="auto" w:fill="auto"/>
            <w:vAlign w:val="center"/>
          </w:tcPr>
          <w:p w14:paraId="68C36437" w14:textId="77777777" w:rsidR="007A4524" w:rsidRPr="007A4524" w:rsidRDefault="007A4524" w:rsidP="007A4524">
            <w:pPr>
              <w:spacing w:after="0" w:line="240" w:lineRule="auto"/>
              <w:rPr>
                <w:rFonts w:eastAsia="Times New Roman" w:cs="Arial"/>
                <w:color w:val="000000"/>
                <w:szCs w:val="20"/>
                <w:lang w:eastAsia="en-AU"/>
              </w:rPr>
            </w:pPr>
            <w:r w:rsidRPr="007A4524">
              <w:rPr>
                <w:rFonts w:eastAsia="Times New Roman" w:cs="Arial"/>
                <w:color w:val="000000"/>
                <w:szCs w:val="20"/>
                <w:lang w:eastAsia="en-AU"/>
              </w:rPr>
              <w:t>Residential</w:t>
            </w:r>
          </w:p>
        </w:tc>
      </w:tr>
      <w:tr w:rsidR="007A4524" w:rsidRPr="007A4524" w14:paraId="04F36276" w14:textId="77777777" w:rsidTr="00551CD9">
        <w:trPr>
          <w:trHeight w:val="340"/>
        </w:trPr>
        <w:tc>
          <w:tcPr>
            <w:tcW w:w="4888" w:type="dxa"/>
            <w:shd w:val="clear" w:color="auto" w:fill="auto"/>
            <w:noWrap/>
            <w:vAlign w:val="center"/>
            <w:hideMark/>
          </w:tcPr>
          <w:p w14:paraId="3410AF68" w14:textId="77777777" w:rsidR="007A4524" w:rsidRPr="007A4524" w:rsidRDefault="007A4524" w:rsidP="007A4524">
            <w:pPr>
              <w:spacing w:after="0" w:line="240" w:lineRule="auto"/>
              <w:rPr>
                <w:rFonts w:eastAsia="Times New Roman" w:cs="Arial"/>
                <w:color w:val="000000"/>
                <w:szCs w:val="20"/>
                <w:lang w:eastAsia="en-AU"/>
              </w:rPr>
            </w:pPr>
            <w:r w:rsidRPr="007A4524">
              <w:rPr>
                <w:rFonts w:eastAsia="Times New Roman" w:cs="Arial"/>
                <w:color w:val="000000"/>
                <w:szCs w:val="20"/>
                <w:lang w:eastAsia="en-AU"/>
              </w:rPr>
              <w:t>Institutional Accommodation</w:t>
            </w:r>
          </w:p>
        </w:tc>
        <w:tc>
          <w:tcPr>
            <w:tcW w:w="4888" w:type="dxa"/>
            <w:shd w:val="clear" w:color="auto" w:fill="auto"/>
            <w:vAlign w:val="center"/>
          </w:tcPr>
          <w:p w14:paraId="39555D97" w14:textId="77777777" w:rsidR="007A4524" w:rsidRPr="007A4524" w:rsidRDefault="007A4524" w:rsidP="007A4524">
            <w:pPr>
              <w:spacing w:after="0" w:line="240" w:lineRule="auto"/>
              <w:rPr>
                <w:rFonts w:eastAsia="Times New Roman" w:cs="Arial"/>
                <w:color w:val="000000"/>
                <w:szCs w:val="20"/>
                <w:lang w:eastAsia="en-AU"/>
              </w:rPr>
            </w:pPr>
            <w:r w:rsidRPr="007A4524">
              <w:rPr>
                <w:rFonts w:eastAsia="Times New Roman" w:cs="Arial"/>
                <w:color w:val="000000"/>
                <w:szCs w:val="20"/>
                <w:lang w:eastAsia="en-AU"/>
              </w:rPr>
              <w:t>Residential</w:t>
            </w:r>
          </w:p>
        </w:tc>
      </w:tr>
      <w:tr w:rsidR="007A4524" w:rsidRPr="007A4524" w14:paraId="1F4B4197" w14:textId="77777777" w:rsidTr="00551CD9">
        <w:trPr>
          <w:trHeight w:val="340"/>
        </w:trPr>
        <w:tc>
          <w:tcPr>
            <w:tcW w:w="4888" w:type="dxa"/>
            <w:shd w:val="clear" w:color="auto" w:fill="auto"/>
            <w:noWrap/>
            <w:vAlign w:val="center"/>
            <w:hideMark/>
          </w:tcPr>
          <w:p w14:paraId="7CC7A5EA" w14:textId="77777777" w:rsidR="007A4524" w:rsidRPr="007A4524" w:rsidRDefault="007A4524" w:rsidP="007A4524">
            <w:pPr>
              <w:spacing w:after="0" w:line="240" w:lineRule="auto"/>
              <w:rPr>
                <w:rFonts w:eastAsia="Times New Roman" w:cs="Arial"/>
                <w:color w:val="000000"/>
                <w:szCs w:val="20"/>
                <w:lang w:eastAsia="en-AU"/>
              </w:rPr>
            </w:pPr>
            <w:r w:rsidRPr="007A4524">
              <w:rPr>
                <w:rFonts w:eastAsia="Times New Roman" w:cs="Arial"/>
                <w:color w:val="000000"/>
                <w:szCs w:val="20"/>
                <w:lang w:eastAsia="en-AU"/>
              </w:rPr>
              <w:t>Manufacturing</w:t>
            </w:r>
          </w:p>
        </w:tc>
        <w:tc>
          <w:tcPr>
            <w:tcW w:w="4888" w:type="dxa"/>
            <w:shd w:val="clear" w:color="auto" w:fill="auto"/>
            <w:vAlign w:val="center"/>
          </w:tcPr>
          <w:p w14:paraId="288C1F19" w14:textId="77777777" w:rsidR="007A4524" w:rsidRPr="007A4524" w:rsidRDefault="007A4524" w:rsidP="007A4524">
            <w:pPr>
              <w:spacing w:after="0" w:line="240" w:lineRule="auto"/>
              <w:rPr>
                <w:rFonts w:eastAsia="Times New Roman" w:cs="Arial"/>
                <w:color w:val="000000"/>
                <w:szCs w:val="20"/>
                <w:lang w:eastAsia="en-AU"/>
              </w:rPr>
            </w:pPr>
            <w:r w:rsidRPr="007A4524">
              <w:rPr>
                <w:rFonts w:eastAsia="Times New Roman" w:cs="Arial"/>
                <w:color w:val="000000"/>
                <w:szCs w:val="20"/>
                <w:lang w:eastAsia="en-AU"/>
              </w:rPr>
              <w:t>Industrial</w:t>
            </w:r>
          </w:p>
        </w:tc>
      </w:tr>
      <w:tr w:rsidR="007A4524" w:rsidRPr="007A4524" w14:paraId="3AAF99F9" w14:textId="77777777" w:rsidTr="00551CD9">
        <w:trPr>
          <w:trHeight w:val="340"/>
        </w:trPr>
        <w:tc>
          <w:tcPr>
            <w:tcW w:w="4888" w:type="dxa"/>
            <w:shd w:val="clear" w:color="auto" w:fill="auto"/>
            <w:noWrap/>
            <w:vAlign w:val="center"/>
            <w:hideMark/>
          </w:tcPr>
          <w:p w14:paraId="63C2F0C6" w14:textId="77777777" w:rsidR="007A4524" w:rsidRPr="007A4524" w:rsidRDefault="007A4524" w:rsidP="007A4524">
            <w:pPr>
              <w:spacing w:after="0" w:line="240" w:lineRule="auto"/>
              <w:rPr>
                <w:rFonts w:eastAsia="Times New Roman" w:cs="Arial"/>
                <w:color w:val="000000"/>
                <w:szCs w:val="20"/>
                <w:lang w:eastAsia="en-AU"/>
              </w:rPr>
            </w:pPr>
            <w:r w:rsidRPr="007A4524">
              <w:rPr>
                <w:rFonts w:eastAsia="Times New Roman" w:cs="Arial"/>
                <w:color w:val="000000"/>
                <w:szCs w:val="20"/>
                <w:lang w:eastAsia="en-AU"/>
              </w:rPr>
              <w:t>Office</w:t>
            </w:r>
          </w:p>
        </w:tc>
        <w:tc>
          <w:tcPr>
            <w:tcW w:w="4888" w:type="dxa"/>
            <w:shd w:val="clear" w:color="auto" w:fill="auto"/>
            <w:vAlign w:val="center"/>
          </w:tcPr>
          <w:p w14:paraId="3CF2E2E3" w14:textId="77777777" w:rsidR="007A4524" w:rsidRPr="007A4524" w:rsidRDefault="007A4524" w:rsidP="007A4524">
            <w:pPr>
              <w:spacing w:after="0" w:line="240" w:lineRule="auto"/>
              <w:rPr>
                <w:rFonts w:eastAsia="Times New Roman" w:cs="Arial"/>
                <w:color w:val="000000"/>
                <w:szCs w:val="20"/>
                <w:lang w:eastAsia="en-AU"/>
              </w:rPr>
            </w:pPr>
            <w:r w:rsidRPr="007A4524">
              <w:rPr>
                <w:rFonts w:eastAsia="Times New Roman" w:cs="Arial"/>
                <w:color w:val="000000"/>
                <w:szCs w:val="20"/>
                <w:lang w:eastAsia="en-AU"/>
              </w:rPr>
              <w:t>Office</w:t>
            </w:r>
          </w:p>
        </w:tc>
      </w:tr>
      <w:tr w:rsidR="007A4524" w:rsidRPr="007A4524" w14:paraId="7D87E285" w14:textId="77777777" w:rsidTr="00551CD9">
        <w:trPr>
          <w:trHeight w:val="340"/>
        </w:trPr>
        <w:tc>
          <w:tcPr>
            <w:tcW w:w="4888" w:type="dxa"/>
            <w:shd w:val="clear" w:color="auto" w:fill="auto"/>
            <w:noWrap/>
            <w:vAlign w:val="center"/>
            <w:hideMark/>
          </w:tcPr>
          <w:p w14:paraId="59BB86E7" w14:textId="77777777" w:rsidR="007A4524" w:rsidRPr="007A4524" w:rsidRDefault="007A4524" w:rsidP="007A4524">
            <w:pPr>
              <w:spacing w:after="0" w:line="240" w:lineRule="auto"/>
              <w:rPr>
                <w:rFonts w:eastAsia="Times New Roman" w:cs="Arial"/>
                <w:color w:val="000000"/>
                <w:szCs w:val="20"/>
                <w:lang w:eastAsia="en-AU"/>
              </w:rPr>
            </w:pPr>
            <w:r w:rsidRPr="007A4524">
              <w:rPr>
                <w:rFonts w:eastAsia="Times New Roman" w:cs="Arial"/>
                <w:color w:val="000000"/>
                <w:szCs w:val="20"/>
                <w:lang w:eastAsia="en-AU"/>
              </w:rPr>
              <w:t>Park/Reserve</w:t>
            </w:r>
          </w:p>
        </w:tc>
        <w:tc>
          <w:tcPr>
            <w:tcW w:w="4888" w:type="dxa"/>
            <w:shd w:val="clear" w:color="auto" w:fill="auto"/>
            <w:vAlign w:val="center"/>
          </w:tcPr>
          <w:p w14:paraId="67054B63" w14:textId="77777777" w:rsidR="007A4524" w:rsidRPr="007A4524" w:rsidRDefault="007A4524" w:rsidP="007A4524">
            <w:pPr>
              <w:spacing w:after="0" w:line="240" w:lineRule="auto"/>
              <w:rPr>
                <w:rFonts w:eastAsia="Times New Roman" w:cs="Arial"/>
                <w:color w:val="000000"/>
                <w:szCs w:val="20"/>
                <w:lang w:eastAsia="en-AU"/>
              </w:rPr>
            </w:pPr>
            <w:r w:rsidRPr="007A4524">
              <w:rPr>
                <w:rFonts w:eastAsia="Times New Roman" w:cs="Arial"/>
                <w:color w:val="000000"/>
                <w:szCs w:val="20"/>
                <w:lang w:eastAsia="en-AU"/>
              </w:rPr>
              <w:t xml:space="preserve">Other - </w:t>
            </w:r>
            <w:proofErr w:type="gramStart"/>
            <w:r w:rsidRPr="007A4524">
              <w:rPr>
                <w:rFonts w:eastAsia="Times New Roman" w:cs="Arial"/>
                <w:color w:val="000000"/>
                <w:szCs w:val="20"/>
                <w:lang w:eastAsia="en-AU"/>
              </w:rPr>
              <w:t>Non Employment</w:t>
            </w:r>
            <w:proofErr w:type="gramEnd"/>
          </w:p>
        </w:tc>
      </w:tr>
      <w:tr w:rsidR="007A4524" w:rsidRPr="007A4524" w14:paraId="24094758" w14:textId="77777777" w:rsidTr="00551CD9">
        <w:trPr>
          <w:trHeight w:val="340"/>
        </w:trPr>
        <w:tc>
          <w:tcPr>
            <w:tcW w:w="4888" w:type="dxa"/>
            <w:shd w:val="clear" w:color="auto" w:fill="auto"/>
            <w:noWrap/>
            <w:vAlign w:val="center"/>
            <w:hideMark/>
          </w:tcPr>
          <w:p w14:paraId="4EF6B9A3" w14:textId="77777777" w:rsidR="007A4524" w:rsidRPr="007A4524" w:rsidRDefault="007A4524" w:rsidP="007A4524">
            <w:pPr>
              <w:spacing w:after="0" w:line="240" w:lineRule="auto"/>
              <w:rPr>
                <w:rFonts w:eastAsia="Times New Roman" w:cs="Arial"/>
                <w:color w:val="000000"/>
                <w:szCs w:val="20"/>
                <w:lang w:eastAsia="en-AU"/>
              </w:rPr>
            </w:pPr>
            <w:r w:rsidRPr="007A4524">
              <w:rPr>
                <w:rFonts w:eastAsia="Times New Roman" w:cs="Arial"/>
                <w:color w:val="000000"/>
                <w:szCs w:val="20"/>
                <w:lang w:eastAsia="en-AU"/>
              </w:rPr>
              <w:t>Parking - Commercial Covered</w:t>
            </w:r>
          </w:p>
        </w:tc>
        <w:tc>
          <w:tcPr>
            <w:tcW w:w="4888" w:type="dxa"/>
            <w:shd w:val="clear" w:color="auto" w:fill="auto"/>
            <w:vAlign w:val="center"/>
          </w:tcPr>
          <w:p w14:paraId="3D31448F" w14:textId="77777777" w:rsidR="007A4524" w:rsidRPr="007A4524" w:rsidRDefault="007A4524" w:rsidP="007A4524">
            <w:pPr>
              <w:spacing w:after="0" w:line="240" w:lineRule="auto"/>
              <w:rPr>
                <w:rFonts w:eastAsia="Times New Roman" w:cs="Arial"/>
                <w:color w:val="000000"/>
                <w:szCs w:val="20"/>
                <w:lang w:eastAsia="en-AU"/>
              </w:rPr>
            </w:pPr>
            <w:r w:rsidRPr="007A4524">
              <w:rPr>
                <w:rFonts w:eastAsia="Times New Roman" w:cs="Arial"/>
                <w:color w:val="000000"/>
                <w:szCs w:val="20"/>
                <w:lang w:eastAsia="en-AU"/>
              </w:rPr>
              <w:t>Other - Employment</w:t>
            </w:r>
          </w:p>
        </w:tc>
      </w:tr>
      <w:tr w:rsidR="007A4524" w:rsidRPr="007A4524" w14:paraId="5D22FFF2" w14:textId="77777777" w:rsidTr="00551CD9">
        <w:trPr>
          <w:trHeight w:val="340"/>
        </w:trPr>
        <w:tc>
          <w:tcPr>
            <w:tcW w:w="4888" w:type="dxa"/>
            <w:shd w:val="clear" w:color="auto" w:fill="auto"/>
            <w:noWrap/>
            <w:vAlign w:val="center"/>
            <w:hideMark/>
          </w:tcPr>
          <w:p w14:paraId="7D741D8D" w14:textId="77777777" w:rsidR="007A4524" w:rsidRPr="007A4524" w:rsidRDefault="007A4524" w:rsidP="007A4524">
            <w:pPr>
              <w:spacing w:after="0" w:line="240" w:lineRule="auto"/>
              <w:rPr>
                <w:rFonts w:eastAsia="Times New Roman" w:cs="Arial"/>
                <w:color w:val="000000"/>
                <w:szCs w:val="20"/>
                <w:lang w:eastAsia="en-AU"/>
              </w:rPr>
            </w:pPr>
            <w:r w:rsidRPr="007A4524">
              <w:rPr>
                <w:rFonts w:eastAsia="Times New Roman" w:cs="Arial"/>
                <w:color w:val="000000"/>
                <w:szCs w:val="20"/>
                <w:lang w:eastAsia="en-AU"/>
              </w:rPr>
              <w:t>Parking - Commercial Uncovered</w:t>
            </w:r>
          </w:p>
        </w:tc>
        <w:tc>
          <w:tcPr>
            <w:tcW w:w="4888" w:type="dxa"/>
            <w:shd w:val="clear" w:color="auto" w:fill="auto"/>
            <w:vAlign w:val="center"/>
          </w:tcPr>
          <w:p w14:paraId="1DBD1D44" w14:textId="77777777" w:rsidR="007A4524" w:rsidRPr="007A4524" w:rsidRDefault="007A4524" w:rsidP="007A4524">
            <w:pPr>
              <w:spacing w:after="0" w:line="240" w:lineRule="auto"/>
              <w:rPr>
                <w:rFonts w:eastAsia="Times New Roman" w:cs="Arial"/>
                <w:color w:val="000000"/>
                <w:szCs w:val="20"/>
                <w:lang w:eastAsia="en-AU"/>
              </w:rPr>
            </w:pPr>
            <w:r w:rsidRPr="007A4524">
              <w:rPr>
                <w:rFonts w:eastAsia="Times New Roman" w:cs="Arial"/>
                <w:color w:val="000000"/>
                <w:szCs w:val="20"/>
                <w:lang w:eastAsia="en-AU"/>
              </w:rPr>
              <w:t>Other - Employment</w:t>
            </w:r>
          </w:p>
        </w:tc>
      </w:tr>
      <w:tr w:rsidR="007A4524" w:rsidRPr="007A4524" w14:paraId="29892BDD" w14:textId="77777777" w:rsidTr="00551CD9">
        <w:trPr>
          <w:trHeight w:val="340"/>
        </w:trPr>
        <w:tc>
          <w:tcPr>
            <w:tcW w:w="4888" w:type="dxa"/>
            <w:shd w:val="clear" w:color="auto" w:fill="auto"/>
            <w:noWrap/>
            <w:vAlign w:val="center"/>
            <w:hideMark/>
          </w:tcPr>
          <w:p w14:paraId="466CD6CD" w14:textId="77777777" w:rsidR="007A4524" w:rsidRPr="007A4524" w:rsidRDefault="007A4524" w:rsidP="007A4524">
            <w:pPr>
              <w:spacing w:after="0" w:line="240" w:lineRule="auto"/>
              <w:rPr>
                <w:rFonts w:eastAsia="Times New Roman" w:cs="Arial"/>
                <w:color w:val="000000"/>
                <w:szCs w:val="20"/>
                <w:lang w:eastAsia="en-AU"/>
              </w:rPr>
            </w:pPr>
            <w:r w:rsidRPr="007A4524">
              <w:rPr>
                <w:rFonts w:eastAsia="Times New Roman" w:cs="Arial"/>
                <w:color w:val="000000"/>
                <w:szCs w:val="20"/>
                <w:lang w:eastAsia="en-AU"/>
              </w:rPr>
              <w:t>Parking - Private Covered</w:t>
            </w:r>
          </w:p>
        </w:tc>
        <w:tc>
          <w:tcPr>
            <w:tcW w:w="4888" w:type="dxa"/>
            <w:shd w:val="clear" w:color="auto" w:fill="auto"/>
            <w:vAlign w:val="center"/>
          </w:tcPr>
          <w:p w14:paraId="394C5C05" w14:textId="77777777" w:rsidR="007A4524" w:rsidRPr="007A4524" w:rsidRDefault="007A4524" w:rsidP="007A4524">
            <w:pPr>
              <w:spacing w:after="0" w:line="240" w:lineRule="auto"/>
              <w:rPr>
                <w:rFonts w:eastAsia="Times New Roman" w:cs="Arial"/>
                <w:color w:val="000000"/>
                <w:szCs w:val="20"/>
                <w:lang w:eastAsia="en-AU"/>
              </w:rPr>
            </w:pPr>
            <w:r w:rsidRPr="007A4524">
              <w:rPr>
                <w:rFonts w:eastAsia="Times New Roman" w:cs="Arial"/>
                <w:color w:val="000000"/>
                <w:szCs w:val="20"/>
                <w:lang w:eastAsia="en-AU"/>
              </w:rPr>
              <w:t>Other - Employment</w:t>
            </w:r>
          </w:p>
        </w:tc>
      </w:tr>
      <w:tr w:rsidR="007A4524" w:rsidRPr="007A4524" w14:paraId="2E0A22AE" w14:textId="77777777" w:rsidTr="00551CD9">
        <w:trPr>
          <w:trHeight w:val="340"/>
        </w:trPr>
        <w:tc>
          <w:tcPr>
            <w:tcW w:w="4888" w:type="dxa"/>
            <w:shd w:val="clear" w:color="auto" w:fill="auto"/>
            <w:noWrap/>
            <w:vAlign w:val="center"/>
            <w:hideMark/>
          </w:tcPr>
          <w:p w14:paraId="4A0CD6B6" w14:textId="77777777" w:rsidR="007A4524" w:rsidRPr="007A4524" w:rsidRDefault="007A4524" w:rsidP="007A4524">
            <w:pPr>
              <w:spacing w:after="0" w:line="240" w:lineRule="auto"/>
              <w:rPr>
                <w:rFonts w:eastAsia="Times New Roman" w:cs="Arial"/>
                <w:color w:val="000000"/>
                <w:szCs w:val="20"/>
                <w:lang w:eastAsia="en-AU"/>
              </w:rPr>
            </w:pPr>
            <w:r w:rsidRPr="007A4524">
              <w:rPr>
                <w:rFonts w:eastAsia="Times New Roman" w:cs="Arial"/>
                <w:color w:val="000000"/>
                <w:szCs w:val="20"/>
                <w:lang w:eastAsia="en-AU"/>
              </w:rPr>
              <w:t>Parking - Private Uncovered</w:t>
            </w:r>
          </w:p>
        </w:tc>
        <w:tc>
          <w:tcPr>
            <w:tcW w:w="4888" w:type="dxa"/>
            <w:shd w:val="clear" w:color="auto" w:fill="auto"/>
            <w:vAlign w:val="center"/>
          </w:tcPr>
          <w:p w14:paraId="585B4EEA" w14:textId="77777777" w:rsidR="007A4524" w:rsidRPr="007A4524" w:rsidRDefault="007A4524" w:rsidP="007A4524">
            <w:pPr>
              <w:spacing w:after="0" w:line="240" w:lineRule="auto"/>
              <w:rPr>
                <w:rFonts w:eastAsia="Times New Roman" w:cs="Arial"/>
                <w:color w:val="000000"/>
                <w:szCs w:val="20"/>
                <w:lang w:eastAsia="en-AU"/>
              </w:rPr>
            </w:pPr>
            <w:r w:rsidRPr="007A4524">
              <w:rPr>
                <w:rFonts w:eastAsia="Times New Roman" w:cs="Arial"/>
                <w:color w:val="000000"/>
                <w:szCs w:val="20"/>
                <w:lang w:eastAsia="en-AU"/>
              </w:rPr>
              <w:t xml:space="preserve">Other - </w:t>
            </w:r>
            <w:proofErr w:type="gramStart"/>
            <w:r w:rsidRPr="007A4524">
              <w:rPr>
                <w:rFonts w:eastAsia="Times New Roman" w:cs="Arial"/>
                <w:color w:val="000000"/>
                <w:szCs w:val="20"/>
                <w:lang w:eastAsia="en-AU"/>
              </w:rPr>
              <w:t>Non Employment</w:t>
            </w:r>
            <w:proofErr w:type="gramEnd"/>
          </w:p>
        </w:tc>
      </w:tr>
      <w:tr w:rsidR="00551CD9" w:rsidRPr="007A4524" w14:paraId="746F7279" w14:textId="77777777" w:rsidTr="00551CD9">
        <w:trPr>
          <w:trHeight w:val="340"/>
        </w:trPr>
        <w:tc>
          <w:tcPr>
            <w:tcW w:w="4888" w:type="dxa"/>
            <w:shd w:val="clear" w:color="auto" w:fill="auto"/>
            <w:noWrap/>
            <w:vAlign w:val="center"/>
            <w:hideMark/>
          </w:tcPr>
          <w:p w14:paraId="1D9732EB" w14:textId="77777777" w:rsidR="00551CD9" w:rsidRPr="007A4524" w:rsidRDefault="00551CD9" w:rsidP="00551CD9">
            <w:pPr>
              <w:spacing w:after="0" w:line="240" w:lineRule="auto"/>
              <w:rPr>
                <w:rFonts w:eastAsia="Times New Roman" w:cs="Arial"/>
                <w:color w:val="000000"/>
                <w:szCs w:val="20"/>
                <w:lang w:eastAsia="en-AU"/>
              </w:rPr>
            </w:pPr>
            <w:r w:rsidRPr="007A4524">
              <w:rPr>
                <w:rFonts w:eastAsia="Times New Roman" w:cs="Arial"/>
                <w:color w:val="000000"/>
                <w:szCs w:val="20"/>
                <w:lang w:eastAsia="en-AU"/>
              </w:rPr>
              <w:t>Performances, Conferences, Ceremonies</w:t>
            </w:r>
          </w:p>
        </w:tc>
        <w:tc>
          <w:tcPr>
            <w:tcW w:w="4888" w:type="dxa"/>
            <w:shd w:val="clear" w:color="auto" w:fill="auto"/>
            <w:vAlign w:val="center"/>
          </w:tcPr>
          <w:p w14:paraId="45D3A0C0" w14:textId="77777777" w:rsidR="00551CD9" w:rsidRPr="007A4524" w:rsidRDefault="00551CD9" w:rsidP="00E57B1C">
            <w:pPr>
              <w:spacing w:after="0" w:line="240" w:lineRule="auto"/>
              <w:rPr>
                <w:rFonts w:eastAsia="Times New Roman" w:cs="Arial"/>
                <w:color w:val="000000"/>
                <w:szCs w:val="20"/>
                <w:lang w:eastAsia="en-AU"/>
              </w:rPr>
            </w:pPr>
            <w:r w:rsidRPr="00551CD9">
              <w:rPr>
                <w:rFonts w:eastAsia="Times New Roman" w:cs="Arial"/>
                <w:color w:val="000000"/>
                <w:szCs w:val="20"/>
                <w:lang w:eastAsia="en-AU"/>
              </w:rPr>
              <w:t xml:space="preserve">Entertainment </w:t>
            </w:r>
            <w:r>
              <w:rPr>
                <w:rFonts w:eastAsia="Times New Roman" w:cs="Arial"/>
                <w:color w:val="000000"/>
                <w:szCs w:val="20"/>
                <w:lang w:eastAsia="en-AU"/>
              </w:rPr>
              <w:t>–</w:t>
            </w:r>
            <w:r w:rsidRPr="00551CD9">
              <w:rPr>
                <w:rFonts w:eastAsia="Times New Roman" w:cs="Arial"/>
                <w:color w:val="000000"/>
                <w:szCs w:val="20"/>
                <w:lang w:eastAsia="en-AU"/>
              </w:rPr>
              <w:t xml:space="preserve"> Hospitality</w:t>
            </w:r>
            <w:r>
              <w:rPr>
                <w:rFonts w:eastAsia="Times New Roman" w:cs="Arial"/>
                <w:color w:val="000000"/>
                <w:szCs w:val="20"/>
                <w:lang w:eastAsia="en-AU"/>
              </w:rPr>
              <w:t xml:space="preserve"> / </w:t>
            </w:r>
            <w:r w:rsidRPr="00551CD9">
              <w:rPr>
                <w:rFonts w:eastAsia="Times New Roman" w:cs="Arial"/>
                <w:color w:val="000000"/>
                <w:szCs w:val="20"/>
                <w:lang w:eastAsia="en-AU"/>
              </w:rPr>
              <w:t xml:space="preserve">Entertainment </w:t>
            </w:r>
            <w:r w:rsidR="00E57B1C">
              <w:rPr>
                <w:rFonts w:eastAsia="Times New Roman" w:cs="Arial"/>
                <w:color w:val="000000"/>
                <w:szCs w:val="20"/>
                <w:lang w:eastAsia="en-AU"/>
              </w:rPr>
              <w:t>–</w:t>
            </w:r>
            <w:r w:rsidRPr="00551CD9">
              <w:rPr>
                <w:rFonts w:eastAsia="Times New Roman" w:cs="Arial"/>
                <w:color w:val="000000"/>
                <w:szCs w:val="20"/>
                <w:lang w:eastAsia="en-AU"/>
              </w:rPr>
              <w:t xml:space="preserve"> Other</w:t>
            </w:r>
            <w:r w:rsidR="00E57B1C">
              <w:rPr>
                <w:rFonts w:eastAsia="Times New Roman" w:cs="Arial"/>
                <w:color w:val="000000"/>
                <w:szCs w:val="20"/>
                <w:lang w:eastAsia="en-AU"/>
              </w:rPr>
              <w:t>*</w:t>
            </w:r>
          </w:p>
        </w:tc>
      </w:tr>
      <w:tr w:rsidR="00551CD9" w:rsidRPr="007A4524" w14:paraId="2879F4D9" w14:textId="77777777" w:rsidTr="00551CD9">
        <w:trPr>
          <w:trHeight w:val="340"/>
        </w:trPr>
        <w:tc>
          <w:tcPr>
            <w:tcW w:w="4888" w:type="dxa"/>
            <w:shd w:val="clear" w:color="auto" w:fill="auto"/>
            <w:noWrap/>
            <w:vAlign w:val="center"/>
            <w:hideMark/>
          </w:tcPr>
          <w:p w14:paraId="435E4733" w14:textId="77777777" w:rsidR="00551CD9" w:rsidRPr="007A4524" w:rsidRDefault="00551CD9" w:rsidP="00551CD9">
            <w:pPr>
              <w:spacing w:after="0" w:line="240" w:lineRule="auto"/>
              <w:rPr>
                <w:rFonts w:eastAsia="Times New Roman" w:cs="Arial"/>
                <w:color w:val="000000"/>
                <w:szCs w:val="20"/>
                <w:lang w:eastAsia="en-AU"/>
              </w:rPr>
            </w:pPr>
            <w:r w:rsidRPr="007A4524">
              <w:rPr>
                <w:rFonts w:eastAsia="Times New Roman" w:cs="Arial"/>
                <w:color w:val="000000"/>
                <w:szCs w:val="20"/>
                <w:lang w:eastAsia="en-AU"/>
              </w:rPr>
              <w:t>Private Outdoor Space</w:t>
            </w:r>
          </w:p>
        </w:tc>
        <w:tc>
          <w:tcPr>
            <w:tcW w:w="4888" w:type="dxa"/>
            <w:shd w:val="clear" w:color="auto" w:fill="auto"/>
            <w:vAlign w:val="center"/>
          </w:tcPr>
          <w:p w14:paraId="4677941B" w14:textId="77777777" w:rsidR="00551CD9" w:rsidRPr="007A4524" w:rsidRDefault="00551CD9" w:rsidP="00551CD9">
            <w:pPr>
              <w:spacing w:after="0" w:line="240" w:lineRule="auto"/>
              <w:rPr>
                <w:rFonts w:eastAsia="Times New Roman" w:cs="Arial"/>
                <w:color w:val="000000"/>
                <w:szCs w:val="20"/>
                <w:lang w:eastAsia="en-AU"/>
              </w:rPr>
            </w:pPr>
            <w:r w:rsidRPr="007A4524">
              <w:rPr>
                <w:rFonts w:eastAsia="Times New Roman" w:cs="Arial"/>
                <w:color w:val="000000"/>
                <w:szCs w:val="20"/>
                <w:lang w:eastAsia="en-AU"/>
              </w:rPr>
              <w:t xml:space="preserve">Other - </w:t>
            </w:r>
            <w:proofErr w:type="gramStart"/>
            <w:r w:rsidRPr="007A4524">
              <w:rPr>
                <w:rFonts w:eastAsia="Times New Roman" w:cs="Arial"/>
                <w:color w:val="000000"/>
                <w:szCs w:val="20"/>
                <w:lang w:eastAsia="en-AU"/>
              </w:rPr>
              <w:t>Non Employment</w:t>
            </w:r>
            <w:proofErr w:type="gramEnd"/>
          </w:p>
        </w:tc>
      </w:tr>
      <w:tr w:rsidR="00551CD9" w:rsidRPr="007A4524" w14:paraId="504C922E" w14:textId="77777777" w:rsidTr="00551CD9">
        <w:trPr>
          <w:trHeight w:val="340"/>
        </w:trPr>
        <w:tc>
          <w:tcPr>
            <w:tcW w:w="4888" w:type="dxa"/>
            <w:shd w:val="clear" w:color="auto" w:fill="auto"/>
            <w:noWrap/>
            <w:vAlign w:val="center"/>
            <w:hideMark/>
          </w:tcPr>
          <w:p w14:paraId="44965403" w14:textId="77777777" w:rsidR="00551CD9" w:rsidRPr="007A4524" w:rsidRDefault="00551CD9" w:rsidP="00551CD9">
            <w:pPr>
              <w:spacing w:after="0" w:line="240" w:lineRule="auto"/>
              <w:rPr>
                <w:rFonts w:eastAsia="Times New Roman" w:cs="Arial"/>
                <w:color w:val="000000"/>
                <w:szCs w:val="20"/>
                <w:lang w:eastAsia="en-AU"/>
              </w:rPr>
            </w:pPr>
            <w:r w:rsidRPr="007A4524">
              <w:rPr>
                <w:rFonts w:eastAsia="Times New Roman" w:cs="Arial"/>
                <w:color w:val="000000"/>
                <w:szCs w:val="20"/>
                <w:lang w:eastAsia="en-AU"/>
              </w:rPr>
              <w:t>Public Display Area</w:t>
            </w:r>
          </w:p>
        </w:tc>
        <w:tc>
          <w:tcPr>
            <w:tcW w:w="4888" w:type="dxa"/>
            <w:shd w:val="clear" w:color="auto" w:fill="auto"/>
            <w:vAlign w:val="center"/>
          </w:tcPr>
          <w:p w14:paraId="30A96C65" w14:textId="77777777" w:rsidR="00551CD9" w:rsidRPr="007A4524" w:rsidRDefault="00551CD9" w:rsidP="00551CD9">
            <w:pPr>
              <w:spacing w:after="0" w:line="240" w:lineRule="auto"/>
              <w:rPr>
                <w:rFonts w:eastAsia="Times New Roman" w:cs="Arial"/>
                <w:color w:val="000000"/>
                <w:szCs w:val="20"/>
                <w:lang w:eastAsia="en-AU"/>
              </w:rPr>
            </w:pPr>
            <w:r w:rsidRPr="007A4524">
              <w:rPr>
                <w:rFonts w:eastAsia="Times New Roman" w:cs="Arial"/>
                <w:color w:val="000000"/>
                <w:szCs w:val="20"/>
                <w:lang w:eastAsia="en-AU"/>
              </w:rPr>
              <w:t>Other - Employment</w:t>
            </w:r>
          </w:p>
        </w:tc>
      </w:tr>
      <w:tr w:rsidR="00551CD9" w:rsidRPr="007A4524" w14:paraId="7C634E44" w14:textId="77777777" w:rsidTr="00551CD9">
        <w:trPr>
          <w:trHeight w:val="340"/>
        </w:trPr>
        <w:tc>
          <w:tcPr>
            <w:tcW w:w="4888" w:type="dxa"/>
            <w:shd w:val="clear" w:color="auto" w:fill="auto"/>
            <w:noWrap/>
            <w:vAlign w:val="center"/>
            <w:hideMark/>
          </w:tcPr>
          <w:p w14:paraId="121DF07B" w14:textId="77777777" w:rsidR="00551CD9" w:rsidRPr="007A4524" w:rsidRDefault="00551CD9" w:rsidP="00551CD9">
            <w:pPr>
              <w:spacing w:after="0" w:line="240" w:lineRule="auto"/>
              <w:rPr>
                <w:rFonts w:eastAsia="Times New Roman" w:cs="Arial"/>
                <w:color w:val="000000"/>
                <w:szCs w:val="20"/>
                <w:lang w:eastAsia="en-AU"/>
              </w:rPr>
            </w:pPr>
            <w:r w:rsidRPr="007A4524">
              <w:rPr>
                <w:rFonts w:eastAsia="Times New Roman" w:cs="Arial"/>
                <w:color w:val="000000"/>
                <w:szCs w:val="20"/>
                <w:lang w:eastAsia="en-AU"/>
              </w:rPr>
              <w:t>Residential Apartment</w:t>
            </w:r>
          </w:p>
        </w:tc>
        <w:tc>
          <w:tcPr>
            <w:tcW w:w="4888" w:type="dxa"/>
            <w:shd w:val="clear" w:color="auto" w:fill="auto"/>
            <w:vAlign w:val="center"/>
          </w:tcPr>
          <w:p w14:paraId="16BFBA66" w14:textId="77777777" w:rsidR="00551CD9" w:rsidRPr="007A4524" w:rsidRDefault="00551CD9" w:rsidP="00551CD9">
            <w:pPr>
              <w:spacing w:after="0" w:line="240" w:lineRule="auto"/>
              <w:rPr>
                <w:rFonts w:eastAsia="Times New Roman" w:cs="Arial"/>
                <w:color w:val="000000"/>
                <w:szCs w:val="20"/>
                <w:lang w:eastAsia="en-AU"/>
              </w:rPr>
            </w:pPr>
            <w:r w:rsidRPr="007A4524">
              <w:rPr>
                <w:rFonts w:eastAsia="Times New Roman" w:cs="Arial"/>
                <w:color w:val="000000"/>
                <w:szCs w:val="20"/>
                <w:lang w:eastAsia="en-AU"/>
              </w:rPr>
              <w:t>Residential</w:t>
            </w:r>
          </w:p>
        </w:tc>
      </w:tr>
      <w:tr w:rsidR="00551CD9" w:rsidRPr="007A4524" w14:paraId="66DAD279" w14:textId="77777777" w:rsidTr="00551CD9">
        <w:trPr>
          <w:trHeight w:val="340"/>
        </w:trPr>
        <w:tc>
          <w:tcPr>
            <w:tcW w:w="4888" w:type="dxa"/>
            <w:shd w:val="clear" w:color="auto" w:fill="auto"/>
            <w:noWrap/>
            <w:vAlign w:val="center"/>
            <w:hideMark/>
          </w:tcPr>
          <w:p w14:paraId="0C48D19C" w14:textId="77777777" w:rsidR="00551CD9" w:rsidRPr="007A4524" w:rsidRDefault="00551CD9" w:rsidP="00551CD9">
            <w:pPr>
              <w:spacing w:after="0" w:line="240" w:lineRule="auto"/>
              <w:rPr>
                <w:rFonts w:eastAsia="Times New Roman" w:cs="Arial"/>
                <w:color w:val="000000"/>
                <w:szCs w:val="20"/>
                <w:lang w:eastAsia="en-AU"/>
              </w:rPr>
            </w:pPr>
            <w:r w:rsidRPr="007A4524">
              <w:rPr>
                <w:rFonts w:eastAsia="Times New Roman" w:cs="Arial"/>
                <w:color w:val="000000"/>
                <w:szCs w:val="20"/>
                <w:lang w:eastAsia="en-AU"/>
              </w:rPr>
              <w:t>Retail - Cars</w:t>
            </w:r>
          </w:p>
        </w:tc>
        <w:tc>
          <w:tcPr>
            <w:tcW w:w="4888" w:type="dxa"/>
            <w:shd w:val="clear" w:color="auto" w:fill="auto"/>
            <w:vAlign w:val="center"/>
          </w:tcPr>
          <w:p w14:paraId="624CFD92" w14:textId="77777777" w:rsidR="00551CD9" w:rsidRPr="007A4524" w:rsidRDefault="00551CD9" w:rsidP="00551CD9">
            <w:pPr>
              <w:spacing w:after="0" w:line="240" w:lineRule="auto"/>
              <w:rPr>
                <w:rFonts w:eastAsia="Times New Roman" w:cs="Arial"/>
                <w:color w:val="000000"/>
                <w:szCs w:val="20"/>
                <w:lang w:eastAsia="en-AU"/>
              </w:rPr>
            </w:pPr>
            <w:r w:rsidRPr="007A4524">
              <w:rPr>
                <w:rFonts w:eastAsia="Times New Roman" w:cs="Arial"/>
                <w:color w:val="000000"/>
                <w:szCs w:val="20"/>
                <w:lang w:eastAsia="en-AU"/>
              </w:rPr>
              <w:t>Retail</w:t>
            </w:r>
          </w:p>
        </w:tc>
      </w:tr>
      <w:tr w:rsidR="00551CD9" w:rsidRPr="007A4524" w14:paraId="4983E101" w14:textId="77777777" w:rsidTr="00551CD9">
        <w:trPr>
          <w:trHeight w:val="340"/>
        </w:trPr>
        <w:tc>
          <w:tcPr>
            <w:tcW w:w="4888" w:type="dxa"/>
            <w:shd w:val="clear" w:color="auto" w:fill="auto"/>
            <w:noWrap/>
            <w:vAlign w:val="center"/>
            <w:hideMark/>
          </w:tcPr>
          <w:p w14:paraId="30F1D954" w14:textId="77777777" w:rsidR="00551CD9" w:rsidRPr="007A4524" w:rsidRDefault="00551CD9" w:rsidP="00551CD9">
            <w:pPr>
              <w:spacing w:after="0" w:line="240" w:lineRule="auto"/>
              <w:rPr>
                <w:rFonts w:eastAsia="Times New Roman" w:cs="Arial"/>
                <w:color w:val="000000"/>
                <w:szCs w:val="20"/>
                <w:lang w:eastAsia="en-AU"/>
              </w:rPr>
            </w:pPr>
            <w:r w:rsidRPr="007A4524">
              <w:rPr>
                <w:rFonts w:eastAsia="Times New Roman" w:cs="Arial"/>
                <w:color w:val="000000"/>
                <w:szCs w:val="20"/>
                <w:lang w:eastAsia="en-AU"/>
              </w:rPr>
              <w:t>Retail - Shop</w:t>
            </w:r>
          </w:p>
        </w:tc>
        <w:tc>
          <w:tcPr>
            <w:tcW w:w="4888" w:type="dxa"/>
            <w:shd w:val="clear" w:color="auto" w:fill="auto"/>
            <w:vAlign w:val="center"/>
          </w:tcPr>
          <w:p w14:paraId="1A151669" w14:textId="77777777" w:rsidR="00551CD9" w:rsidRPr="007A4524" w:rsidRDefault="00551CD9" w:rsidP="00551CD9">
            <w:pPr>
              <w:spacing w:after="0" w:line="240" w:lineRule="auto"/>
              <w:rPr>
                <w:rFonts w:eastAsia="Times New Roman" w:cs="Arial"/>
                <w:color w:val="000000"/>
                <w:szCs w:val="20"/>
                <w:lang w:eastAsia="en-AU"/>
              </w:rPr>
            </w:pPr>
            <w:r w:rsidRPr="007A4524">
              <w:rPr>
                <w:rFonts w:eastAsia="Times New Roman" w:cs="Arial"/>
                <w:color w:val="000000"/>
                <w:szCs w:val="20"/>
                <w:lang w:eastAsia="en-AU"/>
              </w:rPr>
              <w:t>Retail</w:t>
            </w:r>
          </w:p>
        </w:tc>
      </w:tr>
      <w:tr w:rsidR="00551CD9" w:rsidRPr="007A4524" w14:paraId="4C8C40B2" w14:textId="77777777" w:rsidTr="00551CD9">
        <w:trPr>
          <w:trHeight w:val="340"/>
        </w:trPr>
        <w:tc>
          <w:tcPr>
            <w:tcW w:w="4888" w:type="dxa"/>
            <w:shd w:val="clear" w:color="auto" w:fill="auto"/>
            <w:noWrap/>
            <w:vAlign w:val="center"/>
            <w:hideMark/>
          </w:tcPr>
          <w:p w14:paraId="3ACD63EC" w14:textId="77777777" w:rsidR="00551CD9" w:rsidRPr="007A4524" w:rsidRDefault="00551CD9" w:rsidP="00551CD9">
            <w:pPr>
              <w:spacing w:after="0" w:line="240" w:lineRule="auto"/>
              <w:rPr>
                <w:rFonts w:eastAsia="Times New Roman" w:cs="Arial"/>
                <w:color w:val="000000"/>
                <w:szCs w:val="20"/>
                <w:lang w:eastAsia="en-AU"/>
              </w:rPr>
            </w:pPr>
            <w:r w:rsidRPr="007A4524">
              <w:rPr>
                <w:rFonts w:eastAsia="Times New Roman" w:cs="Arial"/>
                <w:color w:val="000000"/>
                <w:szCs w:val="20"/>
                <w:lang w:eastAsia="en-AU"/>
              </w:rPr>
              <w:t>Retail - Showroom</w:t>
            </w:r>
          </w:p>
        </w:tc>
        <w:tc>
          <w:tcPr>
            <w:tcW w:w="4888" w:type="dxa"/>
            <w:shd w:val="clear" w:color="auto" w:fill="auto"/>
            <w:vAlign w:val="center"/>
          </w:tcPr>
          <w:p w14:paraId="52483FC8" w14:textId="77777777" w:rsidR="00551CD9" w:rsidRPr="007A4524" w:rsidRDefault="00551CD9" w:rsidP="00551CD9">
            <w:pPr>
              <w:spacing w:after="0" w:line="240" w:lineRule="auto"/>
              <w:rPr>
                <w:rFonts w:eastAsia="Times New Roman" w:cs="Arial"/>
                <w:color w:val="000000"/>
                <w:szCs w:val="20"/>
                <w:lang w:eastAsia="en-AU"/>
              </w:rPr>
            </w:pPr>
            <w:r w:rsidRPr="007A4524">
              <w:rPr>
                <w:rFonts w:eastAsia="Times New Roman" w:cs="Arial"/>
                <w:color w:val="000000"/>
                <w:szCs w:val="20"/>
                <w:lang w:eastAsia="en-AU"/>
              </w:rPr>
              <w:t>Retail</w:t>
            </w:r>
          </w:p>
        </w:tc>
      </w:tr>
      <w:tr w:rsidR="00551CD9" w:rsidRPr="007A4524" w14:paraId="78062E20" w14:textId="77777777" w:rsidTr="00551CD9">
        <w:trPr>
          <w:trHeight w:val="340"/>
        </w:trPr>
        <w:tc>
          <w:tcPr>
            <w:tcW w:w="4888" w:type="dxa"/>
            <w:shd w:val="clear" w:color="auto" w:fill="auto"/>
            <w:noWrap/>
            <w:vAlign w:val="center"/>
            <w:hideMark/>
          </w:tcPr>
          <w:p w14:paraId="4064E3F3" w14:textId="77777777" w:rsidR="00551CD9" w:rsidRPr="007A4524" w:rsidRDefault="00551CD9" w:rsidP="00551CD9">
            <w:pPr>
              <w:spacing w:after="0" w:line="240" w:lineRule="auto"/>
              <w:rPr>
                <w:rFonts w:eastAsia="Times New Roman" w:cs="Arial"/>
                <w:color w:val="000000"/>
                <w:szCs w:val="20"/>
                <w:lang w:eastAsia="en-AU"/>
              </w:rPr>
            </w:pPr>
            <w:r w:rsidRPr="007A4524">
              <w:rPr>
                <w:rFonts w:eastAsia="Times New Roman" w:cs="Arial"/>
                <w:color w:val="000000"/>
                <w:szCs w:val="20"/>
                <w:lang w:eastAsia="en-AU"/>
              </w:rPr>
              <w:t>Retail - Stall</w:t>
            </w:r>
          </w:p>
        </w:tc>
        <w:tc>
          <w:tcPr>
            <w:tcW w:w="4888" w:type="dxa"/>
            <w:shd w:val="clear" w:color="auto" w:fill="auto"/>
            <w:vAlign w:val="center"/>
          </w:tcPr>
          <w:p w14:paraId="1E9C1028" w14:textId="77777777" w:rsidR="00551CD9" w:rsidRPr="007A4524" w:rsidRDefault="00551CD9" w:rsidP="00551CD9">
            <w:pPr>
              <w:spacing w:after="0" w:line="240" w:lineRule="auto"/>
              <w:rPr>
                <w:rFonts w:eastAsia="Times New Roman" w:cs="Arial"/>
                <w:color w:val="000000"/>
                <w:szCs w:val="20"/>
                <w:lang w:eastAsia="en-AU"/>
              </w:rPr>
            </w:pPr>
            <w:r w:rsidRPr="007A4524">
              <w:rPr>
                <w:rFonts w:eastAsia="Times New Roman" w:cs="Arial"/>
                <w:color w:val="000000"/>
                <w:szCs w:val="20"/>
                <w:lang w:eastAsia="en-AU"/>
              </w:rPr>
              <w:t>Retail</w:t>
            </w:r>
          </w:p>
        </w:tc>
      </w:tr>
      <w:tr w:rsidR="00551CD9" w:rsidRPr="007A4524" w14:paraId="5EBBC345" w14:textId="77777777" w:rsidTr="00551CD9">
        <w:trPr>
          <w:trHeight w:val="340"/>
        </w:trPr>
        <w:tc>
          <w:tcPr>
            <w:tcW w:w="4888" w:type="dxa"/>
            <w:shd w:val="clear" w:color="auto" w:fill="auto"/>
            <w:noWrap/>
            <w:vAlign w:val="center"/>
            <w:hideMark/>
          </w:tcPr>
          <w:p w14:paraId="681BAAF6" w14:textId="77777777" w:rsidR="00551CD9" w:rsidRPr="007A4524" w:rsidRDefault="00551CD9" w:rsidP="00551CD9">
            <w:pPr>
              <w:spacing w:after="0" w:line="240" w:lineRule="auto"/>
              <w:rPr>
                <w:rFonts w:eastAsia="Times New Roman" w:cs="Arial"/>
                <w:color w:val="000000"/>
                <w:szCs w:val="20"/>
                <w:lang w:eastAsia="en-AU"/>
              </w:rPr>
            </w:pPr>
            <w:r w:rsidRPr="007A4524">
              <w:rPr>
                <w:rFonts w:eastAsia="Times New Roman" w:cs="Arial"/>
                <w:color w:val="000000"/>
                <w:szCs w:val="20"/>
                <w:lang w:eastAsia="en-AU"/>
              </w:rPr>
              <w:t>Sports and Recreation - Outdoor</w:t>
            </w:r>
          </w:p>
        </w:tc>
        <w:tc>
          <w:tcPr>
            <w:tcW w:w="4888" w:type="dxa"/>
            <w:shd w:val="clear" w:color="auto" w:fill="auto"/>
            <w:vAlign w:val="center"/>
          </w:tcPr>
          <w:p w14:paraId="5A88E579" w14:textId="77777777" w:rsidR="00551CD9" w:rsidRPr="007A4524" w:rsidRDefault="00551CD9" w:rsidP="00E57B1C">
            <w:pPr>
              <w:spacing w:after="0" w:line="240" w:lineRule="auto"/>
              <w:rPr>
                <w:rFonts w:eastAsia="Times New Roman" w:cs="Arial"/>
                <w:color w:val="000000"/>
                <w:szCs w:val="20"/>
                <w:lang w:eastAsia="en-AU"/>
              </w:rPr>
            </w:pPr>
            <w:r w:rsidRPr="00551CD9">
              <w:rPr>
                <w:rFonts w:eastAsia="Times New Roman" w:cs="Arial"/>
                <w:color w:val="000000"/>
                <w:szCs w:val="20"/>
                <w:lang w:eastAsia="en-AU"/>
              </w:rPr>
              <w:t xml:space="preserve">Entertainment </w:t>
            </w:r>
            <w:r>
              <w:rPr>
                <w:rFonts w:eastAsia="Times New Roman" w:cs="Arial"/>
                <w:color w:val="000000"/>
                <w:szCs w:val="20"/>
                <w:lang w:eastAsia="en-AU"/>
              </w:rPr>
              <w:t>–</w:t>
            </w:r>
            <w:r w:rsidRPr="00551CD9">
              <w:rPr>
                <w:rFonts w:eastAsia="Times New Roman" w:cs="Arial"/>
                <w:color w:val="000000"/>
                <w:szCs w:val="20"/>
                <w:lang w:eastAsia="en-AU"/>
              </w:rPr>
              <w:t xml:space="preserve"> Hospitality</w:t>
            </w:r>
            <w:r>
              <w:rPr>
                <w:rFonts w:eastAsia="Times New Roman" w:cs="Arial"/>
                <w:color w:val="000000"/>
                <w:szCs w:val="20"/>
                <w:lang w:eastAsia="en-AU"/>
              </w:rPr>
              <w:t xml:space="preserve"> / </w:t>
            </w:r>
            <w:r w:rsidRPr="00551CD9">
              <w:rPr>
                <w:rFonts w:eastAsia="Times New Roman" w:cs="Arial"/>
                <w:color w:val="000000"/>
                <w:szCs w:val="20"/>
                <w:lang w:eastAsia="en-AU"/>
              </w:rPr>
              <w:t xml:space="preserve">Entertainment </w:t>
            </w:r>
            <w:r w:rsidR="00E57B1C">
              <w:rPr>
                <w:rFonts w:eastAsia="Times New Roman" w:cs="Arial"/>
                <w:color w:val="000000"/>
                <w:szCs w:val="20"/>
                <w:lang w:eastAsia="en-AU"/>
              </w:rPr>
              <w:t>–</w:t>
            </w:r>
            <w:r w:rsidRPr="00551CD9">
              <w:rPr>
                <w:rFonts w:eastAsia="Times New Roman" w:cs="Arial"/>
                <w:color w:val="000000"/>
                <w:szCs w:val="20"/>
                <w:lang w:eastAsia="en-AU"/>
              </w:rPr>
              <w:t xml:space="preserve"> Other</w:t>
            </w:r>
            <w:r w:rsidR="00E57B1C">
              <w:rPr>
                <w:rFonts w:eastAsia="Times New Roman" w:cs="Arial"/>
                <w:color w:val="000000"/>
                <w:szCs w:val="20"/>
                <w:lang w:eastAsia="en-AU"/>
              </w:rPr>
              <w:t>*</w:t>
            </w:r>
          </w:p>
        </w:tc>
      </w:tr>
      <w:tr w:rsidR="00551CD9" w:rsidRPr="007A4524" w14:paraId="0D3B0A88" w14:textId="77777777" w:rsidTr="00551CD9">
        <w:trPr>
          <w:trHeight w:val="340"/>
        </w:trPr>
        <w:tc>
          <w:tcPr>
            <w:tcW w:w="4888" w:type="dxa"/>
            <w:shd w:val="clear" w:color="auto" w:fill="auto"/>
            <w:noWrap/>
            <w:vAlign w:val="center"/>
            <w:hideMark/>
          </w:tcPr>
          <w:p w14:paraId="519CCDE9" w14:textId="77777777" w:rsidR="00551CD9" w:rsidRPr="007A4524" w:rsidRDefault="00551CD9" w:rsidP="00551CD9">
            <w:pPr>
              <w:spacing w:after="0" w:line="240" w:lineRule="auto"/>
              <w:rPr>
                <w:rFonts w:eastAsia="Times New Roman" w:cs="Arial"/>
                <w:color w:val="000000"/>
                <w:szCs w:val="20"/>
                <w:lang w:eastAsia="en-AU"/>
              </w:rPr>
            </w:pPr>
            <w:r w:rsidRPr="007A4524">
              <w:rPr>
                <w:rFonts w:eastAsia="Times New Roman" w:cs="Arial"/>
                <w:color w:val="000000"/>
                <w:szCs w:val="20"/>
                <w:lang w:eastAsia="en-AU"/>
              </w:rPr>
              <w:t>Square/Promenade</w:t>
            </w:r>
          </w:p>
        </w:tc>
        <w:tc>
          <w:tcPr>
            <w:tcW w:w="4888" w:type="dxa"/>
            <w:shd w:val="clear" w:color="auto" w:fill="auto"/>
            <w:vAlign w:val="center"/>
          </w:tcPr>
          <w:p w14:paraId="6E5ECA7F" w14:textId="77777777" w:rsidR="00551CD9" w:rsidRPr="007A4524" w:rsidRDefault="00551CD9" w:rsidP="00551CD9">
            <w:pPr>
              <w:spacing w:after="0" w:line="240" w:lineRule="auto"/>
              <w:rPr>
                <w:rFonts w:eastAsia="Times New Roman" w:cs="Arial"/>
                <w:color w:val="000000"/>
                <w:szCs w:val="20"/>
                <w:lang w:eastAsia="en-AU"/>
              </w:rPr>
            </w:pPr>
            <w:r w:rsidRPr="007A4524">
              <w:rPr>
                <w:rFonts w:eastAsia="Times New Roman" w:cs="Arial"/>
                <w:color w:val="000000"/>
                <w:szCs w:val="20"/>
                <w:lang w:eastAsia="en-AU"/>
              </w:rPr>
              <w:t xml:space="preserve">Other - </w:t>
            </w:r>
            <w:proofErr w:type="gramStart"/>
            <w:r w:rsidRPr="007A4524">
              <w:rPr>
                <w:rFonts w:eastAsia="Times New Roman" w:cs="Arial"/>
                <w:color w:val="000000"/>
                <w:szCs w:val="20"/>
                <w:lang w:eastAsia="en-AU"/>
              </w:rPr>
              <w:t>Non Employment</w:t>
            </w:r>
            <w:proofErr w:type="gramEnd"/>
          </w:p>
        </w:tc>
      </w:tr>
      <w:tr w:rsidR="00551CD9" w:rsidRPr="007A4524" w14:paraId="2E242723" w14:textId="77777777" w:rsidTr="00551CD9">
        <w:trPr>
          <w:trHeight w:val="340"/>
        </w:trPr>
        <w:tc>
          <w:tcPr>
            <w:tcW w:w="4888" w:type="dxa"/>
            <w:shd w:val="clear" w:color="auto" w:fill="auto"/>
            <w:noWrap/>
            <w:vAlign w:val="center"/>
            <w:hideMark/>
          </w:tcPr>
          <w:p w14:paraId="53EAFB8C" w14:textId="77777777" w:rsidR="00551CD9" w:rsidRPr="007A4524" w:rsidRDefault="00551CD9" w:rsidP="00551CD9">
            <w:pPr>
              <w:spacing w:after="0" w:line="240" w:lineRule="auto"/>
              <w:rPr>
                <w:rFonts w:eastAsia="Times New Roman" w:cs="Arial"/>
                <w:color w:val="000000"/>
                <w:szCs w:val="20"/>
                <w:lang w:eastAsia="en-AU"/>
              </w:rPr>
            </w:pPr>
            <w:r w:rsidRPr="007A4524">
              <w:rPr>
                <w:rFonts w:eastAsia="Times New Roman" w:cs="Arial"/>
                <w:color w:val="000000"/>
                <w:szCs w:val="20"/>
                <w:lang w:eastAsia="en-AU"/>
              </w:rPr>
              <w:t>Storage</w:t>
            </w:r>
          </w:p>
        </w:tc>
        <w:tc>
          <w:tcPr>
            <w:tcW w:w="4888" w:type="dxa"/>
            <w:shd w:val="clear" w:color="auto" w:fill="auto"/>
            <w:vAlign w:val="center"/>
          </w:tcPr>
          <w:p w14:paraId="60DE2EAE" w14:textId="77777777" w:rsidR="00551CD9" w:rsidRPr="007A4524" w:rsidRDefault="00551CD9" w:rsidP="00551CD9">
            <w:pPr>
              <w:spacing w:after="0" w:line="240" w:lineRule="auto"/>
              <w:rPr>
                <w:rFonts w:eastAsia="Times New Roman" w:cs="Arial"/>
                <w:color w:val="000000"/>
                <w:szCs w:val="20"/>
                <w:lang w:eastAsia="en-AU"/>
              </w:rPr>
            </w:pPr>
            <w:r w:rsidRPr="007A4524">
              <w:rPr>
                <w:rFonts w:eastAsia="Times New Roman" w:cs="Arial"/>
                <w:color w:val="000000"/>
                <w:szCs w:val="20"/>
                <w:lang w:eastAsia="en-AU"/>
              </w:rPr>
              <w:t>Industrial</w:t>
            </w:r>
          </w:p>
        </w:tc>
      </w:tr>
      <w:tr w:rsidR="00551CD9" w:rsidRPr="007A4524" w14:paraId="3909F46A" w14:textId="77777777" w:rsidTr="00551CD9">
        <w:trPr>
          <w:trHeight w:val="340"/>
        </w:trPr>
        <w:tc>
          <w:tcPr>
            <w:tcW w:w="4888" w:type="dxa"/>
            <w:shd w:val="clear" w:color="auto" w:fill="auto"/>
            <w:noWrap/>
            <w:vAlign w:val="center"/>
          </w:tcPr>
          <w:p w14:paraId="3D1DCB9A" w14:textId="77777777" w:rsidR="00551CD9" w:rsidRPr="007A4524" w:rsidRDefault="00551CD9" w:rsidP="00551CD9">
            <w:pPr>
              <w:spacing w:after="0" w:line="240" w:lineRule="auto"/>
              <w:rPr>
                <w:rFonts w:eastAsia="Times New Roman" w:cs="Arial"/>
                <w:color w:val="000000"/>
                <w:szCs w:val="20"/>
                <w:lang w:eastAsia="en-AU"/>
              </w:rPr>
            </w:pPr>
            <w:r w:rsidRPr="007A4524">
              <w:rPr>
                <w:rFonts w:eastAsia="Times New Roman" w:cs="Arial"/>
                <w:color w:val="000000"/>
                <w:szCs w:val="20"/>
                <w:lang w:eastAsia="en-AU"/>
              </w:rPr>
              <w:t>Student Accommodation</w:t>
            </w:r>
          </w:p>
        </w:tc>
        <w:tc>
          <w:tcPr>
            <w:tcW w:w="4888" w:type="dxa"/>
            <w:shd w:val="clear" w:color="auto" w:fill="auto"/>
            <w:vAlign w:val="center"/>
          </w:tcPr>
          <w:p w14:paraId="451D9B73" w14:textId="77777777" w:rsidR="00551CD9" w:rsidRPr="007A4524" w:rsidRDefault="00551CD9" w:rsidP="00551CD9">
            <w:pPr>
              <w:spacing w:after="0" w:line="240" w:lineRule="auto"/>
              <w:rPr>
                <w:rFonts w:eastAsia="Times New Roman" w:cs="Arial"/>
                <w:color w:val="000000"/>
                <w:szCs w:val="20"/>
                <w:lang w:eastAsia="en-AU"/>
              </w:rPr>
            </w:pPr>
            <w:r w:rsidRPr="007A4524">
              <w:rPr>
                <w:rFonts w:eastAsia="Times New Roman" w:cs="Arial"/>
                <w:color w:val="000000"/>
                <w:szCs w:val="20"/>
                <w:lang w:eastAsia="en-AU"/>
              </w:rPr>
              <w:t>Accommodation - Commercial</w:t>
            </w:r>
          </w:p>
        </w:tc>
      </w:tr>
      <w:tr w:rsidR="00551CD9" w:rsidRPr="007A4524" w14:paraId="66567727" w14:textId="77777777" w:rsidTr="00551CD9">
        <w:trPr>
          <w:trHeight w:val="340"/>
        </w:trPr>
        <w:tc>
          <w:tcPr>
            <w:tcW w:w="4888" w:type="dxa"/>
            <w:shd w:val="clear" w:color="auto" w:fill="auto"/>
            <w:noWrap/>
            <w:vAlign w:val="center"/>
          </w:tcPr>
          <w:p w14:paraId="159DC049" w14:textId="77777777" w:rsidR="00551CD9" w:rsidRPr="007A4524" w:rsidRDefault="00551CD9" w:rsidP="00551CD9">
            <w:pPr>
              <w:spacing w:after="0" w:line="240" w:lineRule="auto"/>
              <w:rPr>
                <w:rFonts w:eastAsia="Times New Roman" w:cs="Arial"/>
                <w:color w:val="000000"/>
                <w:szCs w:val="20"/>
                <w:lang w:eastAsia="en-AU"/>
              </w:rPr>
            </w:pPr>
            <w:r w:rsidRPr="007A4524">
              <w:rPr>
                <w:rFonts w:eastAsia="Times New Roman" w:cs="Arial"/>
                <w:color w:val="000000"/>
                <w:szCs w:val="20"/>
                <w:lang w:eastAsia="en-AU"/>
              </w:rPr>
              <w:t>Transport</w:t>
            </w:r>
          </w:p>
        </w:tc>
        <w:tc>
          <w:tcPr>
            <w:tcW w:w="4888" w:type="dxa"/>
            <w:shd w:val="clear" w:color="auto" w:fill="auto"/>
            <w:vAlign w:val="center"/>
          </w:tcPr>
          <w:p w14:paraId="65097E8E" w14:textId="77777777" w:rsidR="00551CD9" w:rsidRPr="007A4524" w:rsidRDefault="00551CD9" w:rsidP="00551CD9">
            <w:pPr>
              <w:spacing w:after="0" w:line="240" w:lineRule="auto"/>
              <w:rPr>
                <w:rFonts w:eastAsia="Times New Roman" w:cs="Arial"/>
                <w:color w:val="000000"/>
                <w:szCs w:val="20"/>
                <w:lang w:eastAsia="en-AU"/>
              </w:rPr>
            </w:pPr>
            <w:r w:rsidRPr="007A4524">
              <w:rPr>
                <w:rFonts w:eastAsia="Times New Roman" w:cs="Arial"/>
                <w:color w:val="000000"/>
                <w:szCs w:val="20"/>
                <w:lang w:eastAsia="en-AU"/>
              </w:rPr>
              <w:t>Other - Employment</w:t>
            </w:r>
          </w:p>
        </w:tc>
      </w:tr>
      <w:tr w:rsidR="00551CD9" w:rsidRPr="007A4524" w14:paraId="1724131E" w14:textId="77777777" w:rsidTr="00551CD9">
        <w:trPr>
          <w:trHeight w:val="340"/>
        </w:trPr>
        <w:tc>
          <w:tcPr>
            <w:tcW w:w="4888" w:type="dxa"/>
            <w:shd w:val="clear" w:color="auto" w:fill="auto"/>
            <w:noWrap/>
            <w:vAlign w:val="center"/>
          </w:tcPr>
          <w:p w14:paraId="3E12FEC9" w14:textId="77777777" w:rsidR="00551CD9" w:rsidRPr="007A4524" w:rsidRDefault="00551CD9" w:rsidP="00551CD9">
            <w:pPr>
              <w:spacing w:after="0" w:line="240" w:lineRule="auto"/>
              <w:rPr>
                <w:rFonts w:eastAsia="Times New Roman" w:cs="Arial"/>
                <w:color w:val="000000"/>
                <w:szCs w:val="20"/>
                <w:lang w:eastAsia="en-AU"/>
              </w:rPr>
            </w:pPr>
            <w:r w:rsidRPr="007A4524">
              <w:rPr>
                <w:rFonts w:eastAsia="Times New Roman" w:cs="Arial"/>
                <w:color w:val="000000"/>
                <w:szCs w:val="20"/>
                <w:lang w:eastAsia="en-AU"/>
              </w:rPr>
              <w:t>Transport/Storage - Uncovered</w:t>
            </w:r>
          </w:p>
        </w:tc>
        <w:tc>
          <w:tcPr>
            <w:tcW w:w="4888" w:type="dxa"/>
            <w:shd w:val="clear" w:color="auto" w:fill="auto"/>
            <w:vAlign w:val="center"/>
          </w:tcPr>
          <w:p w14:paraId="01B384DA" w14:textId="77777777" w:rsidR="00551CD9" w:rsidRPr="007A4524" w:rsidRDefault="00551CD9" w:rsidP="00551CD9">
            <w:pPr>
              <w:spacing w:after="0" w:line="240" w:lineRule="auto"/>
              <w:rPr>
                <w:rFonts w:eastAsia="Times New Roman" w:cs="Arial"/>
                <w:color w:val="000000"/>
                <w:szCs w:val="20"/>
                <w:lang w:eastAsia="en-AU"/>
              </w:rPr>
            </w:pPr>
            <w:r w:rsidRPr="007A4524">
              <w:rPr>
                <w:rFonts w:eastAsia="Times New Roman" w:cs="Arial"/>
                <w:color w:val="000000"/>
                <w:szCs w:val="20"/>
                <w:lang w:eastAsia="en-AU"/>
              </w:rPr>
              <w:t>Industrial</w:t>
            </w:r>
          </w:p>
        </w:tc>
      </w:tr>
    </w:tbl>
    <w:p w14:paraId="6A05A809" w14:textId="69673886" w:rsidR="00551CD9" w:rsidRDefault="00E57B1C" w:rsidP="0075075B">
      <w:pPr>
        <w:spacing w:before="120"/>
        <w:rPr>
          <w:sz w:val="16"/>
          <w:lang w:val="en-US"/>
        </w:rPr>
      </w:pPr>
      <w:r w:rsidRPr="00E57B1C">
        <w:rPr>
          <w:sz w:val="16"/>
          <w:lang w:val="en-US"/>
        </w:rPr>
        <w:t>*</w:t>
      </w:r>
      <w:r w:rsidR="00551CD9" w:rsidRPr="00E57B1C">
        <w:rPr>
          <w:sz w:val="16"/>
          <w:lang w:val="en-US"/>
        </w:rPr>
        <w:t xml:space="preserve"> Forecasts split into 'Entertainment - Hospitality' and 'Entertainment - Other' based on CLUE industry (e.g. 'Food and Beverage Services' and all other industries respectively)</w:t>
      </w:r>
      <w:r w:rsidR="00551CD9">
        <w:rPr>
          <w:sz w:val="16"/>
          <w:lang w:val="en-US"/>
        </w:rP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8"/>
        <w:gridCol w:w="4888"/>
      </w:tblGrid>
      <w:tr w:rsidR="00551CD9" w:rsidRPr="007A4524" w14:paraId="43B770BC" w14:textId="77777777" w:rsidTr="00551CD9">
        <w:trPr>
          <w:trHeight w:val="340"/>
        </w:trPr>
        <w:tc>
          <w:tcPr>
            <w:tcW w:w="4888" w:type="dxa"/>
            <w:shd w:val="clear" w:color="auto" w:fill="auto"/>
            <w:noWrap/>
            <w:vAlign w:val="center"/>
          </w:tcPr>
          <w:p w14:paraId="47FD10FA" w14:textId="77777777" w:rsidR="00551CD9" w:rsidRPr="007A4524" w:rsidRDefault="00551CD9" w:rsidP="00551CD9">
            <w:pPr>
              <w:spacing w:after="0" w:line="240" w:lineRule="auto"/>
              <w:rPr>
                <w:rFonts w:eastAsia="Times New Roman" w:cs="Arial"/>
                <w:color w:val="000000"/>
                <w:szCs w:val="20"/>
                <w:lang w:eastAsia="en-AU"/>
              </w:rPr>
            </w:pPr>
            <w:r>
              <w:rPr>
                <w:rFonts w:eastAsia="Times New Roman" w:cs="Arial"/>
                <w:b/>
                <w:bCs/>
                <w:color w:val="000000"/>
                <w:szCs w:val="20"/>
                <w:lang w:eastAsia="en-AU"/>
              </w:rPr>
              <w:lastRenderedPageBreak/>
              <w:t>CLUE s</w:t>
            </w:r>
            <w:r w:rsidRPr="007A4524">
              <w:rPr>
                <w:rFonts w:eastAsia="Times New Roman" w:cs="Arial"/>
                <w:b/>
                <w:bCs/>
                <w:color w:val="000000"/>
                <w:szCs w:val="20"/>
                <w:lang w:eastAsia="en-AU"/>
              </w:rPr>
              <w:t>pace use</w:t>
            </w:r>
            <w:r>
              <w:rPr>
                <w:rFonts w:eastAsia="Times New Roman" w:cs="Arial"/>
                <w:b/>
                <w:bCs/>
                <w:color w:val="000000"/>
                <w:szCs w:val="20"/>
                <w:lang w:eastAsia="en-AU"/>
              </w:rPr>
              <w:t xml:space="preserve"> codes (continued)</w:t>
            </w:r>
          </w:p>
        </w:tc>
        <w:tc>
          <w:tcPr>
            <w:tcW w:w="4888" w:type="dxa"/>
            <w:shd w:val="clear" w:color="auto" w:fill="auto"/>
            <w:vAlign w:val="center"/>
          </w:tcPr>
          <w:p w14:paraId="731ADCCC" w14:textId="77777777" w:rsidR="00551CD9" w:rsidRPr="007A4524" w:rsidRDefault="00551CD9" w:rsidP="00551CD9">
            <w:pPr>
              <w:spacing w:after="0" w:line="240" w:lineRule="auto"/>
              <w:rPr>
                <w:rFonts w:eastAsia="Times New Roman" w:cs="Arial"/>
                <w:color w:val="000000"/>
                <w:szCs w:val="20"/>
                <w:lang w:eastAsia="en-AU"/>
              </w:rPr>
            </w:pPr>
            <w:r w:rsidRPr="007A4524">
              <w:rPr>
                <w:rFonts w:eastAsia="Times New Roman" w:cs="Arial"/>
                <w:b/>
                <w:bCs/>
                <w:color w:val="000000"/>
                <w:szCs w:val="20"/>
                <w:lang w:eastAsia="en-AU"/>
              </w:rPr>
              <w:t>Forecasts model space use</w:t>
            </w:r>
            <w:r>
              <w:rPr>
                <w:rFonts w:eastAsia="Times New Roman" w:cs="Arial"/>
                <w:b/>
                <w:bCs/>
                <w:color w:val="000000"/>
                <w:szCs w:val="20"/>
                <w:lang w:eastAsia="en-AU"/>
              </w:rPr>
              <w:t xml:space="preserve"> (continued)</w:t>
            </w:r>
          </w:p>
        </w:tc>
      </w:tr>
      <w:tr w:rsidR="00551CD9" w:rsidRPr="007A4524" w14:paraId="02925BD0" w14:textId="77777777" w:rsidTr="00551CD9">
        <w:trPr>
          <w:trHeight w:val="340"/>
        </w:trPr>
        <w:tc>
          <w:tcPr>
            <w:tcW w:w="4888" w:type="dxa"/>
            <w:shd w:val="clear" w:color="auto" w:fill="auto"/>
            <w:noWrap/>
            <w:vAlign w:val="center"/>
            <w:hideMark/>
          </w:tcPr>
          <w:p w14:paraId="1BB16A58" w14:textId="77777777" w:rsidR="00551CD9" w:rsidRPr="007A4524" w:rsidRDefault="00551CD9" w:rsidP="00551CD9">
            <w:pPr>
              <w:spacing w:after="0" w:line="240" w:lineRule="auto"/>
              <w:rPr>
                <w:rFonts w:eastAsia="Times New Roman" w:cs="Arial"/>
                <w:color w:val="000000"/>
                <w:szCs w:val="20"/>
                <w:lang w:eastAsia="en-AU"/>
              </w:rPr>
            </w:pPr>
            <w:r w:rsidRPr="007A4524">
              <w:rPr>
                <w:rFonts w:eastAsia="Times New Roman" w:cs="Arial"/>
                <w:color w:val="000000"/>
                <w:szCs w:val="20"/>
                <w:lang w:eastAsia="en-AU"/>
              </w:rPr>
              <w:t>Unoccupied - Under Construction</w:t>
            </w:r>
          </w:p>
        </w:tc>
        <w:tc>
          <w:tcPr>
            <w:tcW w:w="4888" w:type="dxa"/>
            <w:shd w:val="clear" w:color="auto" w:fill="auto"/>
            <w:vAlign w:val="center"/>
          </w:tcPr>
          <w:p w14:paraId="422CFBB3" w14:textId="77777777" w:rsidR="00551CD9" w:rsidRPr="007A4524" w:rsidRDefault="00551CD9" w:rsidP="00551CD9">
            <w:pPr>
              <w:spacing w:after="0" w:line="240" w:lineRule="auto"/>
              <w:rPr>
                <w:rFonts w:eastAsia="Times New Roman" w:cs="Arial"/>
                <w:color w:val="000000"/>
                <w:szCs w:val="20"/>
                <w:lang w:eastAsia="en-AU"/>
              </w:rPr>
            </w:pPr>
            <w:r w:rsidRPr="007A4524">
              <w:rPr>
                <w:rFonts w:eastAsia="Times New Roman" w:cs="Arial"/>
                <w:color w:val="000000"/>
                <w:szCs w:val="20"/>
                <w:lang w:eastAsia="en-AU"/>
              </w:rPr>
              <w:t>Vacant</w:t>
            </w:r>
          </w:p>
        </w:tc>
      </w:tr>
      <w:tr w:rsidR="00551CD9" w:rsidRPr="007A4524" w14:paraId="6C651D83" w14:textId="77777777" w:rsidTr="00551CD9">
        <w:trPr>
          <w:trHeight w:val="340"/>
        </w:trPr>
        <w:tc>
          <w:tcPr>
            <w:tcW w:w="4888" w:type="dxa"/>
            <w:shd w:val="clear" w:color="auto" w:fill="auto"/>
            <w:noWrap/>
            <w:vAlign w:val="center"/>
            <w:hideMark/>
          </w:tcPr>
          <w:p w14:paraId="4FDA2D08" w14:textId="77777777" w:rsidR="00551CD9" w:rsidRPr="007A4524" w:rsidRDefault="00551CD9" w:rsidP="00551CD9">
            <w:pPr>
              <w:spacing w:after="0" w:line="240" w:lineRule="auto"/>
              <w:rPr>
                <w:rFonts w:eastAsia="Times New Roman" w:cs="Arial"/>
                <w:color w:val="000000"/>
                <w:szCs w:val="20"/>
                <w:lang w:eastAsia="en-AU"/>
              </w:rPr>
            </w:pPr>
            <w:r w:rsidRPr="007A4524">
              <w:rPr>
                <w:rFonts w:eastAsia="Times New Roman" w:cs="Arial"/>
                <w:color w:val="000000"/>
                <w:szCs w:val="20"/>
                <w:lang w:eastAsia="en-AU"/>
              </w:rPr>
              <w:t>Unoccupied - Under Demolition/Condemned</w:t>
            </w:r>
          </w:p>
        </w:tc>
        <w:tc>
          <w:tcPr>
            <w:tcW w:w="4888" w:type="dxa"/>
            <w:shd w:val="clear" w:color="auto" w:fill="auto"/>
            <w:vAlign w:val="center"/>
          </w:tcPr>
          <w:p w14:paraId="543E4E61" w14:textId="77777777" w:rsidR="00551CD9" w:rsidRPr="007A4524" w:rsidRDefault="00551CD9" w:rsidP="00551CD9">
            <w:pPr>
              <w:spacing w:after="0" w:line="240" w:lineRule="auto"/>
              <w:rPr>
                <w:rFonts w:eastAsia="Times New Roman" w:cs="Arial"/>
                <w:color w:val="000000"/>
                <w:szCs w:val="20"/>
                <w:lang w:eastAsia="en-AU"/>
              </w:rPr>
            </w:pPr>
            <w:r w:rsidRPr="007A4524">
              <w:rPr>
                <w:rFonts w:eastAsia="Times New Roman" w:cs="Arial"/>
                <w:color w:val="000000"/>
                <w:szCs w:val="20"/>
                <w:lang w:eastAsia="en-AU"/>
              </w:rPr>
              <w:t>Vacant</w:t>
            </w:r>
          </w:p>
        </w:tc>
      </w:tr>
      <w:tr w:rsidR="00551CD9" w:rsidRPr="007A4524" w14:paraId="279E6ABE" w14:textId="77777777" w:rsidTr="00551CD9">
        <w:trPr>
          <w:trHeight w:val="340"/>
        </w:trPr>
        <w:tc>
          <w:tcPr>
            <w:tcW w:w="4888" w:type="dxa"/>
            <w:shd w:val="clear" w:color="auto" w:fill="auto"/>
            <w:noWrap/>
            <w:vAlign w:val="center"/>
            <w:hideMark/>
          </w:tcPr>
          <w:p w14:paraId="3D3C444F" w14:textId="77777777" w:rsidR="00551CD9" w:rsidRPr="007A4524" w:rsidRDefault="00551CD9" w:rsidP="00551CD9">
            <w:pPr>
              <w:spacing w:after="0" w:line="240" w:lineRule="auto"/>
              <w:rPr>
                <w:rFonts w:eastAsia="Times New Roman" w:cs="Arial"/>
                <w:color w:val="000000"/>
                <w:szCs w:val="20"/>
                <w:lang w:eastAsia="en-AU"/>
              </w:rPr>
            </w:pPr>
            <w:r w:rsidRPr="007A4524">
              <w:rPr>
                <w:rFonts w:eastAsia="Times New Roman" w:cs="Arial"/>
                <w:color w:val="000000"/>
                <w:szCs w:val="20"/>
                <w:lang w:eastAsia="en-AU"/>
              </w:rPr>
              <w:t>Unoccupied - Under Renovation</w:t>
            </w:r>
          </w:p>
        </w:tc>
        <w:tc>
          <w:tcPr>
            <w:tcW w:w="4888" w:type="dxa"/>
            <w:shd w:val="clear" w:color="auto" w:fill="auto"/>
            <w:vAlign w:val="center"/>
          </w:tcPr>
          <w:p w14:paraId="50A71F8C" w14:textId="77777777" w:rsidR="00551CD9" w:rsidRPr="007A4524" w:rsidRDefault="00551CD9" w:rsidP="00551CD9">
            <w:pPr>
              <w:spacing w:after="0" w:line="240" w:lineRule="auto"/>
              <w:rPr>
                <w:rFonts w:eastAsia="Times New Roman" w:cs="Arial"/>
                <w:color w:val="000000"/>
                <w:szCs w:val="20"/>
                <w:lang w:eastAsia="en-AU"/>
              </w:rPr>
            </w:pPr>
            <w:r w:rsidRPr="007A4524">
              <w:rPr>
                <w:rFonts w:eastAsia="Times New Roman" w:cs="Arial"/>
                <w:color w:val="000000"/>
                <w:szCs w:val="20"/>
                <w:lang w:eastAsia="en-AU"/>
              </w:rPr>
              <w:t>Vacant</w:t>
            </w:r>
          </w:p>
        </w:tc>
      </w:tr>
      <w:tr w:rsidR="00551CD9" w:rsidRPr="007A4524" w14:paraId="4983F98B" w14:textId="77777777" w:rsidTr="00551CD9">
        <w:trPr>
          <w:trHeight w:val="340"/>
        </w:trPr>
        <w:tc>
          <w:tcPr>
            <w:tcW w:w="4888" w:type="dxa"/>
            <w:shd w:val="clear" w:color="auto" w:fill="auto"/>
            <w:noWrap/>
            <w:vAlign w:val="center"/>
            <w:hideMark/>
          </w:tcPr>
          <w:p w14:paraId="1BF85435" w14:textId="77777777" w:rsidR="00551CD9" w:rsidRPr="007A4524" w:rsidRDefault="00551CD9" w:rsidP="00551CD9">
            <w:pPr>
              <w:spacing w:after="0" w:line="240" w:lineRule="auto"/>
              <w:rPr>
                <w:rFonts w:eastAsia="Times New Roman" w:cs="Arial"/>
                <w:color w:val="000000"/>
                <w:szCs w:val="20"/>
                <w:lang w:eastAsia="en-AU"/>
              </w:rPr>
            </w:pPr>
            <w:r w:rsidRPr="007A4524">
              <w:rPr>
                <w:rFonts w:eastAsia="Times New Roman" w:cs="Arial"/>
                <w:color w:val="000000"/>
                <w:szCs w:val="20"/>
                <w:lang w:eastAsia="en-AU"/>
              </w:rPr>
              <w:t>Unoccupied - Undeveloped Site</w:t>
            </w:r>
          </w:p>
        </w:tc>
        <w:tc>
          <w:tcPr>
            <w:tcW w:w="4888" w:type="dxa"/>
            <w:shd w:val="clear" w:color="auto" w:fill="auto"/>
            <w:vAlign w:val="center"/>
          </w:tcPr>
          <w:p w14:paraId="15EFEC9F" w14:textId="77777777" w:rsidR="00551CD9" w:rsidRPr="007A4524" w:rsidRDefault="00551CD9" w:rsidP="00551CD9">
            <w:pPr>
              <w:spacing w:after="0" w:line="240" w:lineRule="auto"/>
              <w:rPr>
                <w:rFonts w:eastAsia="Times New Roman" w:cs="Arial"/>
                <w:color w:val="000000"/>
                <w:szCs w:val="20"/>
                <w:lang w:eastAsia="en-AU"/>
              </w:rPr>
            </w:pPr>
            <w:r w:rsidRPr="007A4524">
              <w:rPr>
                <w:rFonts w:eastAsia="Times New Roman" w:cs="Arial"/>
                <w:color w:val="000000"/>
                <w:szCs w:val="20"/>
                <w:lang w:eastAsia="en-AU"/>
              </w:rPr>
              <w:t>Vacant</w:t>
            </w:r>
          </w:p>
        </w:tc>
      </w:tr>
      <w:tr w:rsidR="00551CD9" w:rsidRPr="007A4524" w14:paraId="50DA5A3B" w14:textId="77777777" w:rsidTr="00551CD9">
        <w:trPr>
          <w:trHeight w:val="340"/>
        </w:trPr>
        <w:tc>
          <w:tcPr>
            <w:tcW w:w="4888" w:type="dxa"/>
            <w:shd w:val="clear" w:color="auto" w:fill="auto"/>
            <w:noWrap/>
            <w:vAlign w:val="center"/>
            <w:hideMark/>
          </w:tcPr>
          <w:p w14:paraId="54D39DC8" w14:textId="77777777" w:rsidR="00551CD9" w:rsidRPr="007A4524" w:rsidRDefault="00551CD9" w:rsidP="00551CD9">
            <w:pPr>
              <w:spacing w:after="0" w:line="240" w:lineRule="auto"/>
              <w:rPr>
                <w:rFonts w:eastAsia="Times New Roman" w:cs="Arial"/>
                <w:color w:val="000000"/>
                <w:szCs w:val="20"/>
                <w:lang w:eastAsia="en-AU"/>
              </w:rPr>
            </w:pPr>
            <w:r w:rsidRPr="007A4524">
              <w:rPr>
                <w:rFonts w:eastAsia="Times New Roman" w:cs="Arial"/>
                <w:color w:val="000000"/>
                <w:szCs w:val="20"/>
                <w:lang w:eastAsia="en-AU"/>
              </w:rPr>
              <w:t>Unoccupied - Unused</w:t>
            </w:r>
          </w:p>
        </w:tc>
        <w:tc>
          <w:tcPr>
            <w:tcW w:w="4888" w:type="dxa"/>
            <w:shd w:val="clear" w:color="auto" w:fill="auto"/>
            <w:vAlign w:val="center"/>
          </w:tcPr>
          <w:p w14:paraId="0BA4B4AD" w14:textId="77777777" w:rsidR="00551CD9" w:rsidRPr="007A4524" w:rsidRDefault="00551CD9" w:rsidP="00551CD9">
            <w:pPr>
              <w:spacing w:after="0" w:line="240" w:lineRule="auto"/>
              <w:rPr>
                <w:rFonts w:eastAsia="Times New Roman" w:cs="Arial"/>
                <w:color w:val="000000"/>
                <w:szCs w:val="20"/>
                <w:lang w:eastAsia="en-AU"/>
              </w:rPr>
            </w:pPr>
            <w:r w:rsidRPr="007A4524">
              <w:rPr>
                <w:rFonts w:eastAsia="Times New Roman" w:cs="Arial"/>
                <w:color w:val="000000"/>
                <w:szCs w:val="20"/>
                <w:lang w:eastAsia="en-AU"/>
              </w:rPr>
              <w:t>Vacant</w:t>
            </w:r>
          </w:p>
        </w:tc>
      </w:tr>
      <w:tr w:rsidR="00551CD9" w:rsidRPr="007A4524" w14:paraId="19525C0C" w14:textId="77777777" w:rsidTr="00551CD9">
        <w:trPr>
          <w:trHeight w:val="340"/>
        </w:trPr>
        <w:tc>
          <w:tcPr>
            <w:tcW w:w="4888" w:type="dxa"/>
            <w:shd w:val="clear" w:color="auto" w:fill="auto"/>
            <w:noWrap/>
            <w:vAlign w:val="center"/>
            <w:hideMark/>
          </w:tcPr>
          <w:p w14:paraId="7F24E709" w14:textId="77777777" w:rsidR="00551CD9" w:rsidRPr="007A4524" w:rsidRDefault="00551CD9" w:rsidP="00551CD9">
            <w:pPr>
              <w:spacing w:after="0" w:line="240" w:lineRule="auto"/>
              <w:rPr>
                <w:rFonts w:eastAsia="Times New Roman" w:cs="Arial"/>
                <w:color w:val="000000"/>
                <w:szCs w:val="20"/>
                <w:lang w:eastAsia="en-AU"/>
              </w:rPr>
            </w:pPr>
            <w:r w:rsidRPr="007A4524">
              <w:rPr>
                <w:rFonts w:eastAsia="Times New Roman" w:cs="Arial"/>
                <w:color w:val="000000"/>
                <w:szCs w:val="20"/>
                <w:lang w:eastAsia="en-AU"/>
              </w:rPr>
              <w:t>Wholesale</w:t>
            </w:r>
          </w:p>
        </w:tc>
        <w:tc>
          <w:tcPr>
            <w:tcW w:w="4888" w:type="dxa"/>
            <w:shd w:val="clear" w:color="auto" w:fill="auto"/>
            <w:vAlign w:val="center"/>
          </w:tcPr>
          <w:p w14:paraId="5311C6A9" w14:textId="77777777" w:rsidR="00551CD9" w:rsidRPr="007A4524" w:rsidRDefault="00551CD9" w:rsidP="00551CD9">
            <w:pPr>
              <w:spacing w:after="0" w:line="240" w:lineRule="auto"/>
              <w:rPr>
                <w:rFonts w:eastAsia="Times New Roman" w:cs="Arial"/>
                <w:color w:val="000000"/>
                <w:szCs w:val="20"/>
                <w:lang w:eastAsia="en-AU"/>
              </w:rPr>
            </w:pPr>
            <w:r w:rsidRPr="007A4524">
              <w:rPr>
                <w:rFonts w:eastAsia="Times New Roman" w:cs="Arial"/>
                <w:color w:val="000000"/>
                <w:szCs w:val="20"/>
                <w:lang w:eastAsia="en-AU"/>
              </w:rPr>
              <w:t>Industrial</w:t>
            </w:r>
          </w:p>
        </w:tc>
      </w:tr>
      <w:tr w:rsidR="00551CD9" w:rsidRPr="007A4524" w14:paraId="0A6CFE77" w14:textId="77777777" w:rsidTr="00551CD9">
        <w:trPr>
          <w:trHeight w:val="340"/>
        </w:trPr>
        <w:tc>
          <w:tcPr>
            <w:tcW w:w="4888" w:type="dxa"/>
            <w:shd w:val="clear" w:color="auto" w:fill="auto"/>
            <w:noWrap/>
            <w:vAlign w:val="center"/>
            <w:hideMark/>
          </w:tcPr>
          <w:p w14:paraId="3748FDDE" w14:textId="77777777" w:rsidR="00551CD9" w:rsidRPr="007A4524" w:rsidRDefault="00551CD9" w:rsidP="00551CD9">
            <w:pPr>
              <w:spacing w:after="0" w:line="240" w:lineRule="auto"/>
              <w:rPr>
                <w:rFonts w:eastAsia="Times New Roman" w:cs="Arial"/>
                <w:color w:val="000000"/>
                <w:szCs w:val="20"/>
                <w:lang w:eastAsia="en-AU"/>
              </w:rPr>
            </w:pPr>
            <w:r w:rsidRPr="007A4524">
              <w:rPr>
                <w:rFonts w:eastAsia="Times New Roman" w:cs="Arial"/>
                <w:color w:val="000000"/>
                <w:szCs w:val="20"/>
                <w:lang w:eastAsia="en-AU"/>
              </w:rPr>
              <w:t>Workshop/Studio</w:t>
            </w:r>
          </w:p>
        </w:tc>
        <w:tc>
          <w:tcPr>
            <w:tcW w:w="4888" w:type="dxa"/>
            <w:shd w:val="clear" w:color="auto" w:fill="auto"/>
            <w:vAlign w:val="center"/>
          </w:tcPr>
          <w:p w14:paraId="746996A9" w14:textId="77777777" w:rsidR="00551CD9" w:rsidRPr="007A4524" w:rsidRDefault="00551CD9" w:rsidP="00551CD9">
            <w:pPr>
              <w:spacing w:after="0" w:line="240" w:lineRule="auto"/>
              <w:rPr>
                <w:rFonts w:eastAsia="Times New Roman" w:cs="Arial"/>
                <w:color w:val="000000"/>
                <w:szCs w:val="20"/>
                <w:lang w:eastAsia="en-AU"/>
              </w:rPr>
            </w:pPr>
            <w:r w:rsidRPr="007A4524">
              <w:rPr>
                <w:rFonts w:eastAsia="Times New Roman" w:cs="Arial"/>
                <w:color w:val="000000"/>
                <w:szCs w:val="20"/>
                <w:lang w:eastAsia="en-AU"/>
              </w:rPr>
              <w:t>Office</w:t>
            </w:r>
          </w:p>
        </w:tc>
      </w:tr>
    </w:tbl>
    <w:p w14:paraId="20B4A42C" w14:textId="77777777" w:rsidR="008C23CF" w:rsidRPr="00551CD9" w:rsidRDefault="00E57B1C" w:rsidP="00551CD9">
      <w:pPr>
        <w:spacing w:before="120"/>
        <w:rPr>
          <w:sz w:val="16"/>
          <w:lang w:val="en-US"/>
        </w:rPr>
      </w:pPr>
      <w:r>
        <w:rPr>
          <w:sz w:val="16"/>
          <w:lang w:val="en-US"/>
        </w:rPr>
        <w:t>*</w:t>
      </w:r>
      <w:r w:rsidR="007A4524" w:rsidRPr="00E57B1C">
        <w:rPr>
          <w:sz w:val="16"/>
          <w:lang w:val="en-US"/>
        </w:rPr>
        <w:t xml:space="preserve"> </w:t>
      </w:r>
      <w:r w:rsidR="00551CD9" w:rsidRPr="00E57B1C">
        <w:rPr>
          <w:sz w:val="16"/>
          <w:lang w:val="en-US"/>
        </w:rPr>
        <w:t>Forecasts s</w:t>
      </w:r>
      <w:r w:rsidR="007A4524" w:rsidRPr="00E57B1C">
        <w:rPr>
          <w:sz w:val="16"/>
          <w:lang w:val="en-US"/>
        </w:rPr>
        <w:t>plit into 'Entertainment - Hospitality' and 'Entertainment - Other' based on CLUE industry (</w:t>
      </w:r>
      <w:r w:rsidR="00551CD9" w:rsidRPr="00E57B1C">
        <w:rPr>
          <w:sz w:val="16"/>
          <w:lang w:val="en-US"/>
        </w:rPr>
        <w:t xml:space="preserve">e.g. </w:t>
      </w:r>
      <w:r w:rsidR="007A4524" w:rsidRPr="00E57B1C">
        <w:rPr>
          <w:sz w:val="16"/>
          <w:lang w:val="en-US"/>
        </w:rPr>
        <w:t>'Food and Beverage Services' and all other industries respectively)</w:t>
      </w:r>
    </w:p>
    <w:sectPr w:rsidR="008C23CF" w:rsidRPr="00551CD9" w:rsidSect="00E6363B">
      <w:headerReference w:type="even" r:id="rId19"/>
      <w:headerReference w:type="default" r:id="rId20"/>
      <w:footerReference w:type="even" r:id="rId21"/>
      <w:footerReference w:type="default" r:id="rId22"/>
      <w:headerReference w:type="first" r:id="rId23"/>
      <w:footerReference w:type="first" r:id="rId24"/>
      <w:endnotePr>
        <w:numFmt w:val="decimal"/>
      </w:endnotePr>
      <w:pgSz w:w="11900" w:h="16840"/>
      <w:pgMar w:top="1418" w:right="987" w:bottom="1134" w:left="1134" w:header="709" w:footer="41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7B00A" w14:textId="77777777" w:rsidR="004F40C3" w:rsidRDefault="004F40C3" w:rsidP="00BC719D">
      <w:pPr>
        <w:spacing w:after="0"/>
      </w:pPr>
      <w:r>
        <w:separator/>
      </w:r>
    </w:p>
  </w:endnote>
  <w:endnote w:type="continuationSeparator" w:id="0">
    <w:p w14:paraId="60061E4C" w14:textId="77777777" w:rsidR="004F40C3" w:rsidRDefault="004F40C3" w:rsidP="00EA2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AFD9C" w14:textId="77777777" w:rsidR="004F40C3" w:rsidRDefault="004F40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3CBC8" w14:textId="553C90A8" w:rsidR="004F40C3" w:rsidRDefault="004F40C3">
    <w:pPr>
      <w:pStyle w:val="Footer"/>
      <w:jc w:val="center"/>
    </w:pPr>
    <w:r>
      <w:fldChar w:fldCharType="begin"/>
    </w:r>
    <w:r>
      <w:instrText xml:space="preserve"> PAGE   \* MERGEFORMAT </w:instrText>
    </w:r>
    <w:r>
      <w:fldChar w:fldCharType="separate"/>
    </w:r>
    <w:r w:rsidR="00AB0BF3">
      <w:rPr>
        <w:noProof/>
      </w:rPr>
      <w:t>15</w:t>
    </w:r>
    <w:r>
      <w:rPr>
        <w:noProof/>
      </w:rPr>
      <w:fldChar w:fldCharType="end"/>
    </w:r>
  </w:p>
  <w:p w14:paraId="0D0B940D" w14:textId="77777777" w:rsidR="004F40C3" w:rsidRDefault="004F40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6B9AB" w14:textId="77777777" w:rsidR="004F40C3" w:rsidRDefault="004F40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4D5A5" w14:textId="77777777" w:rsidR="004F40C3" w:rsidRDefault="004F40C3" w:rsidP="00577A39">
      <w:pPr>
        <w:spacing w:after="40" w:line="240" w:lineRule="auto"/>
      </w:pPr>
      <w:r>
        <w:separator/>
      </w:r>
    </w:p>
  </w:footnote>
  <w:footnote w:type="continuationSeparator" w:id="0">
    <w:p w14:paraId="3DEEC669" w14:textId="77777777" w:rsidR="004F40C3" w:rsidRDefault="004F40C3" w:rsidP="00EA2130">
      <w:r>
        <w:continuationSeparator/>
      </w:r>
    </w:p>
  </w:footnote>
  <w:footnote w:id="1">
    <w:p w14:paraId="2976CA1F" w14:textId="77777777" w:rsidR="00DC3825" w:rsidRPr="00537E40" w:rsidRDefault="00DC3825" w:rsidP="00DC3825">
      <w:r>
        <w:rPr>
          <w:rStyle w:val="FootnoteReference"/>
        </w:rPr>
        <w:footnoteRef/>
      </w:r>
      <w:r>
        <w:t xml:space="preserve"> Where </w:t>
      </w:r>
      <w:r w:rsidRPr="7CBAB9C3">
        <w:rPr>
          <w:b/>
          <w:bCs/>
          <w:i/>
          <w:iCs/>
        </w:rPr>
        <w:t>on-site jobs</w:t>
      </w:r>
      <w:r>
        <w:t xml:space="preserve"> are associated with a fixed commercial location, </w:t>
      </w:r>
      <w:r w:rsidRPr="7CBAB9C3">
        <w:rPr>
          <w:b/>
          <w:bCs/>
          <w:i/>
          <w:iCs/>
        </w:rPr>
        <w:t>total jobs</w:t>
      </w:r>
      <w:r>
        <w:t xml:space="preserve"> include no fixed place i.e. home-based, office-based, transient workers, construction jobs etc.</w:t>
      </w:r>
    </w:p>
    <w:p w14:paraId="0F234400" w14:textId="4D34E239" w:rsidR="00DC3825" w:rsidRDefault="00DC3825">
      <w:pPr>
        <w:pStyle w:val="FootnoteText"/>
      </w:pPr>
    </w:p>
  </w:footnote>
  <w:footnote w:id="2">
    <w:p w14:paraId="222A418E" w14:textId="682C0940" w:rsidR="00A32237" w:rsidRDefault="00A32237">
      <w:pPr>
        <w:pStyle w:val="FootnoteText"/>
      </w:pPr>
      <w:r w:rsidRPr="00A32237">
        <w:rPr>
          <w:rStyle w:val="FootnoteReference"/>
        </w:rPr>
        <w:footnoteRef/>
      </w:r>
      <w:r w:rsidRPr="00A32237">
        <w:t xml:space="preserve"> </w:t>
      </w:r>
      <w:hyperlink r:id="rId1" w:history="1">
        <w:r w:rsidRPr="00A32237">
          <w:rPr>
            <w:rStyle w:val="Hyperlink"/>
            <w:color w:val="auto"/>
          </w:rPr>
          <w:t>Victoria in Future (planning.vic.gov.au)</w:t>
        </w:r>
      </w:hyperlink>
    </w:p>
  </w:footnote>
  <w:footnote w:id="3">
    <w:p w14:paraId="15FD1F9C" w14:textId="196BA2E9" w:rsidR="004F40C3" w:rsidRDefault="004F40C3">
      <w:pPr>
        <w:pStyle w:val="FootnoteText"/>
      </w:pPr>
      <w:r>
        <w:rPr>
          <w:rStyle w:val="FootnoteReference"/>
        </w:rPr>
        <w:footnoteRef/>
      </w:r>
      <w:r>
        <w:t xml:space="preserve"> </w:t>
      </w:r>
      <w:r w:rsidRPr="0075075B">
        <w:t>https://www.melbourne.vic.gov.au/about-melbourne/research-and-statistics/city-economy/census-land-use-employment/Pages/clue-small-area-and-block-maps.aspx</w:t>
      </w:r>
      <w:r>
        <w:t xml:space="preserve"> </w:t>
      </w:r>
    </w:p>
  </w:footnote>
  <w:footnote w:id="4">
    <w:p w14:paraId="0A2026CF" w14:textId="56361736" w:rsidR="004F40C3" w:rsidRDefault="004F40C3">
      <w:pPr>
        <w:pStyle w:val="FootnoteText"/>
      </w:pPr>
      <w:r>
        <w:rPr>
          <w:rStyle w:val="FootnoteReference"/>
        </w:rPr>
        <w:footnoteRef/>
      </w:r>
      <w:r>
        <w:t xml:space="preserve"> </w:t>
      </w:r>
      <w:r w:rsidR="00C815C0" w:rsidRPr="0075075B">
        <w:t>https://data.melbourne.vic.gov.au/explore/?q=forecasts&amp;sort=modified</w:t>
      </w:r>
    </w:p>
  </w:footnote>
  <w:footnote w:id="5">
    <w:p w14:paraId="4BC96DBB" w14:textId="77777777" w:rsidR="004F40C3" w:rsidRDefault="004F40C3">
      <w:pPr>
        <w:pStyle w:val="FootnoteText"/>
      </w:pPr>
      <w:r>
        <w:rPr>
          <w:rStyle w:val="FootnoteReference"/>
        </w:rPr>
        <w:footnoteRef/>
      </w:r>
      <w:r>
        <w:t xml:space="preserve"> </w:t>
      </w:r>
      <w:r w:rsidRPr="00363025">
        <w:t>https://www.abs.gov.au/AUSSTATS/abs@.nsf/mf/1292.0</w:t>
      </w:r>
    </w:p>
  </w:footnote>
  <w:footnote w:id="6">
    <w:p w14:paraId="24CF5B3B" w14:textId="77777777" w:rsidR="004F40C3" w:rsidRDefault="004F40C3">
      <w:pPr>
        <w:pStyle w:val="FootnoteText"/>
      </w:pPr>
      <w:r>
        <w:rPr>
          <w:rStyle w:val="FootnoteReference"/>
        </w:rPr>
        <w:footnoteRef/>
      </w:r>
      <w:r>
        <w:t xml:space="preserve"> </w:t>
      </w:r>
      <w:r w:rsidRPr="00C2251F">
        <w:t>https://www.melbourne.vic.gov.au/SiteCollectionDocuments/clue-definitions.pdf</w:t>
      </w:r>
    </w:p>
  </w:footnote>
  <w:footnote w:id="7">
    <w:p w14:paraId="3D9A0164" w14:textId="0848BC29" w:rsidR="0075075B" w:rsidRPr="0075075B" w:rsidRDefault="0075075B">
      <w:pPr>
        <w:pStyle w:val="FootnoteText"/>
        <w:rPr>
          <w:sz w:val="18"/>
          <w:szCs w:val="21"/>
        </w:rPr>
      </w:pPr>
      <w:r>
        <w:rPr>
          <w:rStyle w:val="FootnoteReference"/>
        </w:rPr>
        <w:footnoteRef/>
      </w:r>
      <w:r>
        <w:t xml:space="preserve"> </w:t>
      </w:r>
      <w:r w:rsidRPr="0075075B">
        <w:t>https://www.melbourne.vic.gov.au/SiteCollectionDocuments/clue-definitions.pdf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3D3EC" w14:textId="77777777" w:rsidR="004F40C3" w:rsidRDefault="004F40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9BBE3" w14:textId="77777777" w:rsidR="004F40C3" w:rsidRDefault="004F40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8F396" w14:textId="77777777" w:rsidR="004F40C3" w:rsidRDefault="004F40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D7047D6"/>
    <w:lvl w:ilvl="0">
      <w:start w:val="1"/>
      <w:numFmt w:val="decimal"/>
      <w:lvlText w:val="%1."/>
      <w:lvlJc w:val="left"/>
      <w:pPr>
        <w:tabs>
          <w:tab w:val="num" w:pos="1492"/>
        </w:tabs>
        <w:ind w:left="1492" w:hanging="360"/>
      </w:pPr>
    </w:lvl>
  </w:abstractNum>
  <w:abstractNum w:abstractNumId="1" w15:restartNumberingAfterBreak="0">
    <w:nsid w:val="FFFFFF7E"/>
    <w:multiLevelType w:val="singleLevel"/>
    <w:tmpl w:val="E16EBECC"/>
    <w:lvl w:ilvl="0">
      <w:start w:val="1"/>
      <w:numFmt w:val="decimal"/>
      <w:lvlText w:val="%1."/>
      <w:lvlJc w:val="left"/>
      <w:pPr>
        <w:tabs>
          <w:tab w:val="num" w:pos="926"/>
        </w:tabs>
        <w:ind w:left="926" w:hanging="360"/>
      </w:pPr>
    </w:lvl>
  </w:abstractNum>
  <w:abstractNum w:abstractNumId="2" w15:restartNumberingAfterBreak="0">
    <w:nsid w:val="02B036AB"/>
    <w:multiLevelType w:val="hybridMultilevel"/>
    <w:tmpl w:val="6C96502C"/>
    <w:lvl w:ilvl="0" w:tplc="8EE8C2C4">
      <w:start w:val="1"/>
      <w:numFmt w:val="bullet"/>
      <w:pStyle w:val="ListParagraph"/>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3A755AD"/>
    <w:multiLevelType w:val="hybridMultilevel"/>
    <w:tmpl w:val="4D6CA3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5D51CC"/>
    <w:multiLevelType w:val="multilevel"/>
    <w:tmpl w:val="41269988"/>
    <w:styleLink w:val="ListBullets"/>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tabs>
          <w:tab w:val="num" w:pos="717"/>
        </w:tabs>
        <w:ind w:left="714" w:hanging="357"/>
      </w:pPr>
      <w:rPr>
        <w:rFonts w:ascii="Courier New" w:hAnsi="Courier New" w:hint="default"/>
      </w:rPr>
    </w:lvl>
    <w:lvl w:ilvl="2">
      <w:start w:val="1"/>
      <w:numFmt w:val="bullet"/>
      <w:pStyle w:val="ListBullet3"/>
      <w:lvlText w:val=""/>
      <w:lvlJc w:val="left"/>
      <w:pPr>
        <w:tabs>
          <w:tab w:val="num" w:pos="1074"/>
        </w:tabs>
        <w:ind w:left="1071" w:hanging="357"/>
      </w:pPr>
      <w:rPr>
        <w:rFonts w:ascii="Symbol" w:hAnsi="Symbol" w:hint="default"/>
      </w:rPr>
    </w:lvl>
    <w:lvl w:ilvl="3">
      <w:start w:val="1"/>
      <w:numFmt w:val="bullet"/>
      <w:pStyle w:val="ListBullet4"/>
      <w:lvlText w:val="o"/>
      <w:lvlJc w:val="left"/>
      <w:pPr>
        <w:tabs>
          <w:tab w:val="num" w:pos="1431"/>
        </w:tabs>
        <w:ind w:left="1428" w:hanging="357"/>
      </w:pPr>
      <w:rPr>
        <w:rFonts w:ascii="Courier New" w:hAnsi="Courier New" w:hint="default"/>
      </w:rPr>
    </w:lvl>
    <w:lvl w:ilvl="4">
      <w:start w:val="1"/>
      <w:numFmt w:val="bullet"/>
      <w:pStyle w:val="ListBullet5"/>
      <w:lvlText w:val=""/>
      <w:lvlJc w:val="left"/>
      <w:pPr>
        <w:tabs>
          <w:tab w:val="num" w:pos="1788"/>
        </w:tabs>
        <w:ind w:left="1785" w:hanging="357"/>
      </w:pPr>
      <w:rPr>
        <w:rFonts w:ascii="Symbol" w:hAnsi="Symbol" w:hint="default"/>
      </w:rPr>
    </w:lvl>
    <w:lvl w:ilvl="5">
      <w:start w:val="1"/>
      <w:numFmt w:val="none"/>
      <w:lvlText w:val=""/>
      <w:lvlJc w:val="left"/>
      <w:pPr>
        <w:tabs>
          <w:tab w:val="num" w:pos="2145"/>
        </w:tabs>
        <w:ind w:left="2142" w:hanging="357"/>
      </w:pPr>
      <w:rPr>
        <w:rFonts w:hint="default"/>
      </w:rPr>
    </w:lvl>
    <w:lvl w:ilvl="6">
      <w:start w:val="1"/>
      <w:numFmt w:val="none"/>
      <w:lvlText w:val=""/>
      <w:lvlJc w:val="left"/>
      <w:pPr>
        <w:tabs>
          <w:tab w:val="num" w:pos="2502"/>
        </w:tabs>
        <w:ind w:left="2499" w:hanging="357"/>
      </w:pPr>
      <w:rPr>
        <w:rFonts w:hint="default"/>
      </w:rPr>
    </w:lvl>
    <w:lvl w:ilvl="7">
      <w:start w:val="1"/>
      <w:numFmt w:val="none"/>
      <w:lvlText w:val=""/>
      <w:lvlJc w:val="left"/>
      <w:pPr>
        <w:tabs>
          <w:tab w:val="num" w:pos="2859"/>
        </w:tabs>
        <w:ind w:left="2856" w:hanging="357"/>
      </w:pPr>
      <w:rPr>
        <w:rFonts w:hint="default"/>
      </w:rPr>
    </w:lvl>
    <w:lvl w:ilvl="8">
      <w:start w:val="1"/>
      <w:numFmt w:val="none"/>
      <w:lvlText w:val=""/>
      <w:lvlJc w:val="left"/>
      <w:pPr>
        <w:tabs>
          <w:tab w:val="num" w:pos="3216"/>
        </w:tabs>
        <w:ind w:left="3213" w:hanging="357"/>
      </w:pPr>
      <w:rPr>
        <w:rFonts w:hint="default"/>
      </w:rPr>
    </w:lvl>
  </w:abstractNum>
  <w:abstractNum w:abstractNumId="5" w15:restartNumberingAfterBreak="0">
    <w:nsid w:val="0A785FEB"/>
    <w:multiLevelType w:val="hybridMultilevel"/>
    <w:tmpl w:val="257EC7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093BDC"/>
    <w:multiLevelType w:val="hybridMultilevel"/>
    <w:tmpl w:val="3F364E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E23530A"/>
    <w:multiLevelType w:val="hybridMultilevel"/>
    <w:tmpl w:val="FE189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5AA25E9"/>
    <w:multiLevelType w:val="multilevel"/>
    <w:tmpl w:val="16506B6C"/>
    <w:styleLink w:val="ListNumbers"/>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964"/>
        </w:tabs>
        <w:ind w:left="964" w:hanging="607"/>
      </w:pPr>
      <w:rPr>
        <w:rFonts w:hint="default"/>
      </w:rPr>
    </w:lvl>
    <w:lvl w:ilvl="2">
      <w:start w:val="1"/>
      <w:numFmt w:val="decimal"/>
      <w:lvlText w:val="%1.%2.%3"/>
      <w:lvlJc w:val="left"/>
      <w:pPr>
        <w:tabs>
          <w:tab w:val="num" w:pos="1731"/>
        </w:tabs>
        <w:ind w:left="1731" w:hanging="767"/>
      </w:pPr>
      <w:rPr>
        <w:rFonts w:hint="default"/>
      </w:rPr>
    </w:lvl>
    <w:lvl w:ilvl="3">
      <w:start w:val="1"/>
      <w:numFmt w:val="decimal"/>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abstractNum w:abstractNumId="9" w15:restartNumberingAfterBreak="0">
    <w:nsid w:val="2A2B5D1C"/>
    <w:multiLevelType w:val="multilevel"/>
    <w:tmpl w:val="16506B6C"/>
    <w:numStyleLink w:val="ListNumbers"/>
  </w:abstractNum>
  <w:abstractNum w:abstractNumId="10" w15:restartNumberingAfterBreak="0">
    <w:nsid w:val="2CCD7826"/>
    <w:multiLevelType w:val="hybridMultilevel"/>
    <w:tmpl w:val="5E2C14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1C8078B"/>
    <w:multiLevelType w:val="hybridMultilevel"/>
    <w:tmpl w:val="3B8A6A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BE0991"/>
    <w:multiLevelType w:val="hybridMultilevel"/>
    <w:tmpl w:val="72F0F5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5D56F47"/>
    <w:multiLevelType w:val="hybridMultilevel"/>
    <w:tmpl w:val="9126D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8C10957"/>
    <w:multiLevelType w:val="multilevel"/>
    <w:tmpl w:val="16506B6C"/>
    <w:numStyleLink w:val="ListNumbers"/>
  </w:abstractNum>
  <w:abstractNum w:abstractNumId="15" w15:restartNumberingAfterBreak="0">
    <w:nsid w:val="399264CF"/>
    <w:multiLevelType w:val="hybridMultilevel"/>
    <w:tmpl w:val="63E6CD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3240477"/>
    <w:multiLevelType w:val="hybridMultilevel"/>
    <w:tmpl w:val="DDA471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808127B"/>
    <w:multiLevelType w:val="hybridMultilevel"/>
    <w:tmpl w:val="5CC68D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B053606"/>
    <w:multiLevelType w:val="hybridMultilevel"/>
    <w:tmpl w:val="98CEA1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3733469"/>
    <w:multiLevelType w:val="hybridMultilevel"/>
    <w:tmpl w:val="B36CB1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0B011A4"/>
    <w:multiLevelType w:val="hybridMultilevel"/>
    <w:tmpl w:val="E68067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18D1D39"/>
    <w:multiLevelType w:val="hybridMultilevel"/>
    <w:tmpl w:val="B3B47214"/>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1ED0C4A"/>
    <w:multiLevelType w:val="hybridMultilevel"/>
    <w:tmpl w:val="52BED6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7503E71"/>
    <w:multiLevelType w:val="hybridMultilevel"/>
    <w:tmpl w:val="68F879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98F6AA8"/>
    <w:multiLevelType w:val="hybridMultilevel"/>
    <w:tmpl w:val="75EA1A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CA251B6"/>
    <w:multiLevelType w:val="hybridMultilevel"/>
    <w:tmpl w:val="376443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E1209CA"/>
    <w:multiLevelType w:val="multilevel"/>
    <w:tmpl w:val="16506B6C"/>
    <w:numStyleLink w:val="ListNumbers"/>
  </w:abstractNum>
  <w:abstractNum w:abstractNumId="27" w15:restartNumberingAfterBreak="0">
    <w:nsid w:val="6FE27606"/>
    <w:multiLevelType w:val="hybridMultilevel"/>
    <w:tmpl w:val="42D433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8873523"/>
    <w:multiLevelType w:val="hybridMultilevel"/>
    <w:tmpl w:val="81E804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A2C43DC"/>
    <w:multiLevelType w:val="multilevel"/>
    <w:tmpl w:val="16506B6C"/>
    <w:numStyleLink w:val="ListNumbers"/>
  </w:abstractNum>
  <w:abstractNum w:abstractNumId="30" w15:restartNumberingAfterBreak="0">
    <w:nsid w:val="7DD1201F"/>
    <w:multiLevelType w:val="multilevel"/>
    <w:tmpl w:val="16506B6C"/>
    <w:lvl w:ilvl="0">
      <w:start w:val="1"/>
      <w:numFmt w:val="decimal"/>
      <w:pStyle w:val="ListNumber"/>
      <w:lvlText w:val="%1."/>
      <w:lvlJc w:val="left"/>
      <w:pPr>
        <w:tabs>
          <w:tab w:val="num" w:pos="357"/>
        </w:tabs>
        <w:ind w:left="357" w:hanging="357"/>
      </w:pPr>
      <w:rPr>
        <w:rFonts w:hint="default"/>
      </w:rPr>
    </w:lvl>
    <w:lvl w:ilvl="1">
      <w:start w:val="1"/>
      <w:numFmt w:val="decimal"/>
      <w:pStyle w:val="ListNumber2"/>
      <w:lvlText w:val="%1.%2."/>
      <w:lvlJc w:val="left"/>
      <w:pPr>
        <w:tabs>
          <w:tab w:val="num" w:pos="964"/>
        </w:tabs>
        <w:ind w:left="964" w:hanging="607"/>
      </w:pPr>
      <w:rPr>
        <w:rFonts w:hint="default"/>
      </w:rPr>
    </w:lvl>
    <w:lvl w:ilvl="2">
      <w:start w:val="1"/>
      <w:numFmt w:val="decimal"/>
      <w:pStyle w:val="ListNumber3"/>
      <w:lvlText w:val="%1.%2.%3"/>
      <w:lvlJc w:val="left"/>
      <w:pPr>
        <w:tabs>
          <w:tab w:val="num" w:pos="1731"/>
        </w:tabs>
        <w:ind w:left="1731" w:hanging="767"/>
      </w:pPr>
      <w:rPr>
        <w:rFonts w:hint="default"/>
      </w:rPr>
    </w:lvl>
    <w:lvl w:ilvl="3">
      <w:start w:val="1"/>
      <w:numFmt w:val="decimal"/>
      <w:pStyle w:val="ListNumber4"/>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num w:numId="1" w16cid:durableId="316618104">
    <w:abstractNumId w:val="4"/>
  </w:num>
  <w:num w:numId="2" w16cid:durableId="748696813">
    <w:abstractNumId w:val="8"/>
  </w:num>
  <w:num w:numId="3" w16cid:durableId="1454445276">
    <w:abstractNumId w:val="29"/>
  </w:num>
  <w:num w:numId="4" w16cid:durableId="1884320139">
    <w:abstractNumId w:val="0"/>
  </w:num>
  <w:num w:numId="5" w16cid:durableId="15982442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7461517">
    <w:abstractNumId w:val="9"/>
  </w:num>
  <w:num w:numId="7" w16cid:durableId="20198464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1071931">
    <w:abstractNumId w:val="26"/>
  </w:num>
  <w:num w:numId="9" w16cid:durableId="1971861342">
    <w:abstractNumId w:val="14"/>
  </w:num>
  <w:num w:numId="10" w16cid:durableId="11152531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28481464">
    <w:abstractNumId w:val="1"/>
  </w:num>
  <w:num w:numId="12" w16cid:durableId="526673906">
    <w:abstractNumId w:val="13"/>
  </w:num>
  <w:num w:numId="13" w16cid:durableId="1495800131">
    <w:abstractNumId w:val="21"/>
  </w:num>
  <w:num w:numId="14" w16cid:durableId="1312254537">
    <w:abstractNumId w:val="30"/>
  </w:num>
  <w:num w:numId="15" w16cid:durableId="8652894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67192894">
    <w:abstractNumId w:val="2"/>
  </w:num>
  <w:num w:numId="17" w16cid:durableId="885292802">
    <w:abstractNumId w:val="5"/>
  </w:num>
  <w:num w:numId="18" w16cid:durableId="762997024">
    <w:abstractNumId w:val="23"/>
  </w:num>
  <w:num w:numId="19" w16cid:durableId="975529231">
    <w:abstractNumId w:val="22"/>
  </w:num>
  <w:num w:numId="20" w16cid:durableId="1684167513">
    <w:abstractNumId w:val="6"/>
  </w:num>
  <w:num w:numId="21" w16cid:durableId="1214079860">
    <w:abstractNumId w:val="12"/>
  </w:num>
  <w:num w:numId="22" w16cid:durableId="626787253">
    <w:abstractNumId w:val="24"/>
  </w:num>
  <w:num w:numId="23" w16cid:durableId="1820732613">
    <w:abstractNumId w:val="25"/>
  </w:num>
  <w:num w:numId="24" w16cid:durableId="1110587601">
    <w:abstractNumId w:val="15"/>
  </w:num>
  <w:num w:numId="25" w16cid:durableId="726535868">
    <w:abstractNumId w:val="17"/>
  </w:num>
  <w:num w:numId="26" w16cid:durableId="543761475">
    <w:abstractNumId w:val="10"/>
  </w:num>
  <w:num w:numId="27" w16cid:durableId="1873567090">
    <w:abstractNumId w:val="19"/>
  </w:num>
  <w:num w:numId="28" w16cid:durableId="1463965295">
    <w:abstractNumId w:val="18"/>
  </w:num>
  <w:num w:numId="29" w16cid:durableId="1442606842">
    <w:abstractNumId w:val="20"/>
  </w:num>
  <w:num w:numId="30" w16cid:durableId="1156531435">
    <w:abstractNumId w:val="27"/>
  </w:num>
  <w:num w:numId="31" w16cid:durableId="173230322">
    <w:abstractNumId w:val="4"/>
  </w:num>
  <w:num w:numId="32" w16cid:durableId="1856650791">
    <w:abstractNumId w:val="7"/>
  </w:num>
  <w:num w:numId="33" w16cid:durableId="1272513848">
    <w:abstractNumId w:val="16"/>
  </w:num>
  <w:num w:numId="34" w16cid:durableId="1512186855">
    <w:abstractNumId w:val="2"/>
  </w:num>
  <w:num w:numId="35" w16cid:durableId="2048993635">
    <w:abstractNumId w:val="2"/>
  </w:num>
  <w:num w:numId="36" w16cid:durableId="2128697722">
    <w:abstractNumId w:val="2"/>
  </w:num>
  <w:num w:numId="37" w16cid:durableId="1440753613">
    <w:abstractNumId w:val="4"/>
  </w:num>
  <w:num w:numId="38" w16cid:durableId="278101775">
    <w:abstractNumId w:val="2"/>
  </w:num>
  <w:num w:numId="39" w16cid:durableId="2089955998">
    <w:abstractNumId w:val="2"/>
  </w:num>
  <w:num w:numId="40" w16cid:durableId="851919237">
    <w:abstractNumId w:val="2"/>
  </w:num>
  <w:num w:numId="41" w16cid:durableId="123356032">
    <w:abstractNumId w:val="2"/>
  </w:num>
  <w:num w:numId="42" w16cid:durableId="667288247">
    <w:abstractNumId w:val="2"/>
  </w:num>
  <w:num w:numId="43" w16cid:durableId="941687371">
    <w:abstractNumId w:val="2"/>
  </w:num>
  <w:num w:numId="44" w16cid:durableId="899024236">
    <w:abstractNumId w:val="2"/>
  </w:num>
  <w:num w:numId="45" w16cid:durableId="1844855478">
    <w:abstractNumId w:val="2"/>
  </w:num>
  <w:num w:numId="46" w16cid:durableId="1479956516">
    <w:abstractNumId w:val="2"/>
  </w:num>
  <w:num w:numId="47" w16cid:durableId="545067068">
    <w:abstractNumId w:val="2"/>
  </w:num>
  <w:num w:numId="48" w16cid:durableId="2063366236">
    <w:abstractNumId w:val="28"/>
  </w:num>
  <w:num w:numId="49" w16cid:durableId="1023165705">
    <w:abstractNumId w:val="3"/>
  </w:num>
  <w:num w:numId="50" w16cid:durableId="1572499667">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6081"/>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3DC"/>
    <w:rsid w:val="00000D7B"/>
    <w:rsid w:val="00004B46"/>
    <w:rsid w:val="000126FC"/>
    <w:rsid w:val="00020B35"/>
    <w:rsid w:val="0003014D"/>
    <w:rsid w:val="0004069D"/>
    <w:rsid w:val="00042616"/>
    <w:rsid w:val="000437C5"/>
    <w:rsid w:val="000474AE"/>
    <w:rsid w:val="00070E34"/>
    <w:rsid w:val="00071857"/>
    <w:rsid w:val="000742EB"/>
    <w:rsid w:val="0009749F"/>
    <w:rsid w:val="000A0C3A"/>
    <w:rsid w:val="000A2BDA"/>
    <w:rsid w:val="000A3020"/>
    <w:rsid w:val="000A48D5"/>
    <w:rsid w:val="000A7F2B"/>
    <w:rsid w:val="000B5EAA"/>
    <w:rsid w:val="000C034D"/>
    <w:rsid w:val="000D1591"/>
    <w:rsid w:val="000D3E7D"/>
    <w:rsid w:val="000D53D3"/>
    <w:rsid w:val="000F3535"/>
    <w:rsid w:val="00113E6E"/>
    <w:rsid w:val="001215C0"/>
    <w:rsid w:val="001223DC"/>
    <w:rsid w:val="00126D51"/>
    <w:rsid w:val="00145294"/>
    <w:rsid w:val="001552DC"/>
    <w:rsid w:val="0017489F"/>
    <w:rsid w:val="00174F23"/>
    <w:rsid w:val="00190B0E"/>
    <w:rsid w:val="001916BF"/>
    <w:rsid w:val="001B3AA2"/>
    <w:rsid w:val="001B4D40"/>
    <w:rsid w:val="001B51BF"/>
    <w:rsid w:val="001B5DAD"/>
    <w:rsid w:val="001D104E"/>
    <w:rsid w:val="001D2AD9"/>
    <w:rsid w:val="001F46B4"/>
    <w:rsid w:val="001F554D"/>
    <w:rsid w:val="001F787E"/>
    <w:rsid w:val="00204B94"/>
    <w:rsid w:val="002259B4"/>
    <w:rsid w:val="00225D29"/>
    <w:rsid w:val="00230CC9"/>
    <w:rsid w:val="002358F0"/>
    <w:rsid w:val="002364EF"/>
    <w:rsid w:val="002436A6"/>
    <w:rsid w:val="002438B7"/>
    <w:rsid w:val="002474C8"/>
    <w:rsid w:val="0024773F"/>
    <w:rsid w:val="002507F4"/>
    <w:rsid w:val="0028186B"/>
    <w:rsid w:val="002B7AEB"/>
    <w:rsid w:val="002C4F8C"/>
    <w:rsid w:val="002D630D"/>
    <w:rsid w:val="002D7736"/>
    <w:rsid w:val="002E4153"/>
    <w:rsid w:val="002F47B6"/>
    <w:rsid w:val="002F6A88"/>
    <w:rsid w:val="00306BA6"/>
    <w:rsid w:val="00315945"/>
    <w:rsid w:val="00325518"/>
    <w:rsid w:val="0033322C"/>
    <w:rsid w:val="00342C45"/>
    <w:rsid w:val="00343CD2"/>
    <w:rsid w:val="00345820"/>
    <w:rsid w:val="003475CA"/>
    <w:rsid w:val="00363025"/>
    <w:rsid w:val="00373C45"/>
    <w:rsid w:val="00380F44"/>
    <w:rsid w:val="00390B3A"/>
    <w:rsid w:val="00392688"/>
    <w:rsid w:val="003A061E"/>
    <w:rsid w:val="003A5674"/>
    <w:rsid w:val="003A76BC"/>
    <w:rsid w:val="003B0760"/>
    <w:rsid w:val="003B7001"/>
    <w:rsid w:val="003C6342"/>
    <w:rsid w:val="003D6082"/>
    <w:rsid w:val="003D63A8"/>
    <w:rsid w:val="003E1D24"/>
    <w:rsid w:val="003E3A9F"/>
    <w:rsid w:val="003E7765"/>
    <w:rsid w:val="003E7B6C"/>
    <w:rsid w:val="004033FF"/>
    <w:rsid w:val="00407429"/>
    <w:rsid w:val="00407729"/>
    <w:rsid w:val="00421147"/>
    <w:rsid w:val="00426584"/>
    <w:rsid w:val="00431D45"/>
    <w:rsid w:val="00442B4F"/>
    <w:rsid w:val="00445B98"/>
    <w:rsid w:val="004564F4"/>
    <w:rsid w:val="00457042"/>
    <w:rsid w:val="00461A52"/>
    <w:rsid w:val="0046649C"/>
    <w:rsid w:val="00466845"/>
    <w:rsid w:val="00475FD1"/>
    <w:rsid w:val="004878DB"/>
    <w:rsid w:val="0049069D"/>
    <w:rsid w:val="00493E0A"/>
    <w:rsid w:val="00494A2D"/>
    <w:rsid w:val="004973A9"/>
    <w:rsid w:val="004A26E3"/>
    <w:rsid w:val="004A5D57"/>
    <w:rsid w:val="004B4780"/>
    <w:rsid w:val="004B5B16"/>
    <w:rsid w:val="004B76A3"/>
    <w:rsid w:val="004C0CF6"/>
    <w:rsid w:val="004C6848"/>
    <w:rsid w:val="004D00DD"/>
    <w:rsid w:val="004D1D4B"/>
    <w:rsid w:val="004D4450"/>
    <w:rsid w:val="004E1ECE"/>
    <w:rsid w:val="004E537E"/>
    <w:rsid w:val="004F40C3"/>
    <w:rsid w:val="004F54F5"/>
    <w:rsid w:val="00500963"/>
    <w:rsid w:val="00517361"/>
    <w:rsid w:val="005311A9"/>
    <w:rsid w:val="00535159"/>
    <w:rsid w:val="0053666A"/>
    <w:rsid w:val="00537E40"/>
    <w:rsid w:val="005432C1"/>
    <w:rsid w:val="005479A8"/>
    <w:rsid w:val="00551CD9"/>
    <w:rsid w:val="0055227E"/>
    <w:rsid w:val="005525F1"/>
    <w:rsid w:val="005620A0"/>
    <w:rsid w:val="0056230B"/>
    <w:rsid w:val="0056634E"/>
    <w:rsid w:val="0057264C"/>
    <w:rsid w:val="00577A39"/>
    <w:rsid w:val="005814F5"/>
    <w:rsid w:val="00583CC2"/>
    <w:rsid w:val="005939CE"/>
    <w:rsid w:val="005A0783"/>
    <w:rsid w:val="005A3DDC"/>
    <w:rsid w:val="005A5A2A"/>
    <w:rsid w:val="005D30BA"/>
    <w:rsid w:val="005E5351"/>
    <w:rsid w:val="005F3614"/>
    <w:rsid w:val="005F4391"/>
    <w:rsid w:val="005F7D28"/>
    <w:rsid w:val="006068C6"/>
    <w:rsid w:val="006112FA"/>
    <w:rsid w:val="00615032"/>
    <w:rsid w:val="00622717"/>
    <w:rsid w:val="006331DF"/>
    <w:rsid w:val="00641CD6"/>
    <w:rsid w:val="0064214A"/>
    <w:rsid w:val="00643255"/>
    <w:rsid w:val="00664502"/>
    <w:rsid w:val="0067188C"/>
    <w:rsid w:val="00687D4A"/>
    <w:rsid w:val="006A2F63"/>
    <w:rsid w:val="006A3718"/>
    <w:rsid w:val="006B3964"/>
    <w:rsid w:val="006B6DD2"/>
    <w:rsid w:val="006C7F7B"/>
    <w:rsid w:val="006D5A08"/>
    <w:rsid w:val="006D6A99"/>
    <w:rsid w:val="006E028D"/>
    <w:rsid w:val="006E1732"/>
    <w:rsid w:val="006E5420"/>
    <w:rsid w:val="006F73C5"/>
    <w:rsid w:val="00701FF0"/>
    <w:rsid w:val="00711E47"/>
    <w:rsid w:val="007121A4"/>
    <w:rsid w:val="00712950"/>
    <w:rsid w:val="00715B3E"/>
    <w:rsid w:val="00721315"/>
    <w:rsid w:val="00723D69"/>
    <w:rsid w:val="007306D6"/>
    <w:rsid w:val="00730CF9"/>
    <w:rsid w:val="0073401D"/>
    <w:rsid w:val="007361D8"/>
    <w:rsid w:val="00737A99"/>
    <w:rsid w:val="0075075B"/>
    <w:rsid w:val="00750D19"/>
    <w:rsid w:val="00752A4C"/>
    <w:rsid w:val="00782E37"/>
    <w:rsid w:val="00787D57"/>
    <w:rsid w:val="00787E1A"/>
    <w:rsid w:val="007949CF"/>
    <w:rsid w:val="007A0AA6"/>
    <w:rsid w:val="007A4524"/>
    <w:rsid w:val="007B1482"/>
    <w:rsid w:val="007B7392"/>
    <w:rsid w:val="007E291E"/>
    <w:rsid w:val="007F0661"/>
    <w:rsid w:val="007F60BC"/>
    <w:rsid w:val="007F64BD"/>
    <w:rsid w:val="00802A52"/>
    <w:rsid w:val="00806997"/>
    <w:rsid w:val="00806F0F"/>
    <w:rsid w:val="0080723B"/>
    <w:rsid w:val="0081149A"/>
    <w:rsid w:val="0082290B"/>
    <w:rsid w:val="00822FD5"/>
    <w:rsid w:val="00831224"/>
    <w:rsid w:val="00850D66"/>
    <w:rsid w:val="008519B9"/>
    <w:rsid w:val="00855F84"/>
    <w:rsid w:val="008626A8"/>
    <w:rsid w:val="00873506"/>
    <w:rsid w:val="00876EF0"/>
    <w:rsid w:val="008810C6"/>
    <w:rsid w:val="00881C97"/>
    <w:rsid w:val="008920ED"/>
    <w:rsid w:val="00895F19"/>
    <w:rsid w:val="008C23CF"/>
    <w:rsid w:val="008D084B"/>
    <w:rsid w:val="008D2DDA"/>
    <w:rsid w:val="008E0C7D"/>
    <w:rsid w:val="008E2476"/>
    <w:rsid w:val="0090232B"/>
    <w:rsid w:val="009042E8"/>
    <w:rsid w:val="009043FC"/>
    <w:rsid w:val="009050C6"/>
    <w:rsid w:val="00905CA3"/>
    <w:rsid w:val="0091365A"/>
    <w:rsid w:val="00915EAC"/>
    <w:rsid w:val="00917227"/>
    <w:rsid w:val="00945964"/>
    <w:rsid w:val="00946E92"/>
    <w:rsid w:val="00953D3C"/>
    <w:rsid w:val="00955E32"/>
    <w:rsid w:val="00963946"/>
    <w:rsid w:val="0097181E"/>
    <w:rsid w:val="009761D3"/>
    <w:rsid w:val="009808EC"/>
    <w:rsid w:val="0098439B"/>
    <w:rsid w:val="00990B3C"/>
    <w:rsid w:val="009A15FD"/>
    <w:rsid w:val="009B7261"/>
    <w:rsid w:val="009C3326"/>
    <w:rsid w:val="009D1FBA"/>
    <w:rsid w:val="009D3FB0"/>
    <w:rsid w:val="009F0584"/>
    <w:rsid w:val="009F0AC1"/>
    <w:rsid w:val="009F4681"/>
    <w:rsid w:val="00A01D13"/>
    <w:rsid w:val="00A121B3"/>
    <w:rsid w:val="00A146AB"/>
    <w:rsid w:val="00A222FA"/>
    <w:rsid w:val="00A31170"/>
    <w:rsid w:val="00A32237"/>
    <w:rsid w:val="00A37CEC"/>
    <w:rsid w:val="00A47634"/>
    <w:rsid w:val="00A61BB7"/>
    <w:rsid w:val="00A77EE6"/>
    <w:rsid w:val="00A8651A"/>
    <w:rsid w:val="00A96CC6"/>
    <w:rsid w:val="00AA4303"/>
    <w:rsid w:val="00AB0BF3"/>
    <w:rsid w:val="00AB6132"/>
    <w:rsid w:val="00AC5322"/>
    <w:rsid w:val="00AC622E"/>
    <w:rsid w:val="00AD2B6E"/>
    <w:rsid w:val="00AF02E0"/>
    <w:rsid w:val="00AF2FD0"/>
    <w:rsid w:val="00B05AF4"/>
    <w:rsid w:val="00B07612"/>
    <w:rsid w:val="00B140CC"/>
    <w:rsid w:val="00B152AF"/>
    <w:rsid w:val="00B24313"/>
    <w:rsid w:val="00B335E8"/>
    <w:rsid w:val="00B53D5A"/>
    <w:rsid w:val="00B60E1F"/>
    <w:rsid w:val="00B6120B"/>
    <w:rsid w:val="00B61D4E"/>
    <w:rsid w:val="00B61F7F"/>
    <w:rsid w:val="00B64CC9"/>
    <w:rsid w:val="00B70B50"/>
    <w:rsid w:val="00B7132C"/>
    <w:rsid w:val="00B750EB"/>
    <w:rsid w:val="00B92D60"/>
    <w:rsid w:val="00B93B1F"/>
    <w:rsid w:val="00BA6789"/>
    <w:rsid w:val="00BB3E86"/>
    <w:rsid w:val="00BC5E8E"/>
    <w:rsid w:val="00BC719D"/>
    <w:rsid w:val="00BD2BA8"/>
    <w:rsid w:val="00BE100F"/>
    <w:rsid w:val="00BE1269"/>
    <w:rsid w:val="00BE4B49"/>
    <w:rsid w:val="00BE5A10"/>
    <w:rsid w:val="00BE6801"/>
    <w:rsid w:val="00BF4912"/>
    <w:rsid w:val="00BF6240"/>
    <w:rsid w:val="00BF6C66"/>
    <w:rsid w:val="00BF78EE"/>
    <w:rsid w:val="00C0291B"/>
    <w:rsid w:val="00C05740"/>
    <w:rsid w:val="00C07190"/>
    <w:rsid w:val="00C14414"/>
    <w:rsid w:val="00C14D31"/>
    <w:rsid w:val="00C14F9F"/>
    <w:rsid w:val="00C2007C"/>
    <w:rsid w:val="00C2251F"/>
    <w:rsid w:val="00C36B11"/>
    <w:rsid w:val="00C37F6A"/>
    <w:rsid w:val="00C42412"/>
    <w:rsid w:val="00C55026"/>
    <w:rsid w:val="00C62990"/>
    <w:rsid w:val="00C73DA2"/>
    <w:rsid w:val="00C815C0"/>
    <w:rsid w:val="00C96F42"/>
    <w:rsid w:val="00CA3730"/>
    <w:rsid w:val="00CA5381"/>
    <w:rsid w:val="00CA70B1"/>
    <w:rsid w:val="00CB6145"/>
    <w:rsid w:val="00CC1748"/>
    <w:rsid w:val="00CC2F7D"/>
    <w:rsid w:val="00CC3614"/>
    <w:rsid w:val="00CD382D"/>
    <w:rsid w:val="00CE49C8"/>
    <w:rsid w:val="00CE5B6B"/>
    <w:rsid w:val="00CF612E"/>
    <w:rsid w:val="00CF6CFE"/>
    <w:rsid w:val="00D00427"/>
    <w:rsid w:val="00D02C4A"/>
    <w:rsid w:val="00D3349E"/>
    <w:rsid w:val="00D43C3E"/>
    <w:rsid w:val="00D47F24"/>
    <w:rsid w:val="00D50E81"/>
    <w:rsid w:val="00D55F4F"/>
    <w:rsid w:val="00D60FD1"/>
    <w:rsid w:val="00D722F7"/>
    <w:rsid w:val="00D77363"/>
    <w:rsid w:val="00D84DF5"/>
    <w:rsid w:val="00D86E73"/>
    <w:rsid w:val="00DA3662"/>
    <w:rsid w:val="00DC3825"/>
    <w:rsid w:val="00DD4810"/>
    <w:rsid w:val="00DD5964"/>
    <w:rsid w:val="00E00AAF"/>
    <w:rsid w:val="00E074E1"/>
    <w:rsid w:val="00E20AAC"/>
    <w:rsid w:val="00E34073"/>
    <w:rsid w:val="00E4646D"/>
    <w:rsid w:val="00E5089C"/>
    <w:rsid w:val="00E5487C"/>
    <w:rsid w:val="00E57B1C"/>
    <w:rsid w:val="00E61CD0"/>
    <w:rsid w:val="00E6363B"/>
    <w:rsid w:val="00E64E10"/>
    <w:rsid w:val="00E71B94"/>
    <w:rsid w:val="00E74111"/>
    <w:rsid w:val="00E814F6"/>
    <w:rsid w:val="00E82859"/>
    <w:rsid w:val="00E86DCD"/>
    <w:rsid w:val="00E87367"/>
    <w:rsid w:val="00E90CEB"/>
    <w:rsid w:val="00E91B42"/>
    <w:rsid w:val="00E94A1C"/>
    <w:rsid w:val="00E95B81"/>
    <w:rsid w:val="00EA2130"/>
    <w:rsid w:val="00EA513C"/>
    <w:rsid w:val="00EB404F"/>
    <w:rsid w:val="00EC4AF9"/>
    <w:rsid w:val="00ED24CE"/>
    <w:rsid w:val="00ED6228"/>
    <w:rsid w:val="00ED7629"/>
    <w:rsid w:val="00EF11AE"/>
    <w:rsid w:val="00F03DF7"/>
    <w:rsid w:val="00F07FBE"/>
    <w:rsid w:val="00F10CFA"/>
    <w:rsid w:val="00F24B46"/>
    <w:rsid w:val="00F4048D"/>
    <w:rsid w:val="00F41FC6"/>
    <w:rsid w:val="00F4215F"/>
    <w:rsid w:val="00F568BB"/>
    <w:rsid w:val="00F61B69"/>
    <w:rsid w:val="00F63593"/>
    <w:rsid w:val="00F642C8"/>
    <w:rsid w:val="00F65DB9"/>
    <w:rsid w:val="00F83261"/>
    <w:rsid w:val="00FA2DFF"/>
    <w:rsid w:val="00FA579D"/>
    <w:rsid w:val="00FC6D23"/>
    <w:rsid w:val="00FD060F"/>
    <w:rsid w:val="00FD2B9F"/>
    <w:rsid w:val="00FF1497"/>
    <w:rsid w:val="00FF7F13"/>
    <w:rsid w:val="02B58496"/>
    <w:rsid w:val="02FB7241"/>
    <w:rsid w:val="05806045"/>
    <w:rsid w:val="06E9F1B8"/>
    <w:rsid w:val="07D2870F"/>
    <w:rsid w:val="0886F0B8"/>
    <w:rsid w:val="09B76C66"/>
    <w:rsid w:val="0D5A61DB"/>
    <w:rsid w:val="0D886AD5"/>
    <w:rsid w:val="0E2D0EEB"/>
    <w:rsid w:val="110985B9"/>
    <w:rsid w:val="1356170B"/>
    <w:rsid w:val="14A54B13"/>
    <w:rsid w:val="14F2C9B9"/>
    <w:rsid w:val="1510A42E"/>
    <w:rsid w:val="154029EC"/>
    <w:rsid w:val="16323A2A"/>
    <w:rsid w:val="1713E73F"/>
    <w:rsid w:val="17CE2B2E"/>
    <w:rsid w:val="1A667D19"/>
    <w:rsid w:val="1B9138C7"/>
    <w:rsid w:val="1C8F5AAE"/>
    <w:rsid w:val="21D9E757"/>
    <w:rsid w:val="2224BB7B"/>
    <w:rsid w:val="2230955F"/>
    <w:rsid w:val="255EB830"/>
    <w:rsid w:val="25B3727A"/>
    <w:rsid w:val="27F20281"/>
    <w:rsid w:val="287E998B"/>
    <w:rsid w:val="2A3A3722"/>
    <w:rsid w:val="2B83C458"/>
    <w:rsid w:val="2F6BE382"/>
    <w:rsid w:val="3022EEEE"/>
    <w:rsid w:val="34610CB3"/>
    <w:rsid w:val="39236111"/>
    <w:rsid w:val="3A02B28E"/>
    <w:rsid w:val="3F2516F8"/>
    <w:rsid w:val="3F9EE95F"/>
    <w:rsid w:val="4289A327"/>
    <w:rsid w:val="43855C13"/>
    <w:rsid w:val="4406C9FD"/>
    <w:rsid w:val="448735C2"/>
    <w:rsid w:val="451FC579"/>
    <w:rsid w:val="46586A1C"/>
    <w:rsid w:val="4888946F"/>
    <w:rsid w:val="49664DC7"/>
    <w:rsid w:val="4A450472"/>
    <w:rsid w:val="4A67D3D0"/>
    <w:rsid w:val="4A68DB14"/>
    <w:rsid w:val="4AA00519"/>
    <w:rsid w:val="4C10316A"/>
    <w:rsid w:val="4F056B9A"/>
    <w:rsid w:val="4F1CAFDE"/>
    <w:rsid w:val="52E645DF"/>
    <w:rsid w:val="5370917B"/>
    <w:rsid w:val="556EE97E"/>
    <w:rsid w:val="575ACFE8"/>
    <w:rsid w:val="57A255B4"/>
    <w:rsid w:val="580770BF"/>
    <w:rsid w:val="5C7690A3"/>
    <w:rsid w:val="5DADB16E"/>
    <w:rsid w:val="5DAFD673"/>
    <w:rsid w:val="61EF0BC6"/>
    <w:rsid w:val="6806D439"/>
    <w:rsid w:val="6F8F4CC8"/>
    <w:rsid w:val="6F99D814"/>
    <w:rsid w:val="7040364D"/>
    <w:rsid w:val="71F99DE3"/>
    <w:rsid w:val="73600F56"/>
    <w:rsid w:val="73DC024B"/>
    <w:rsid w:val="76303CE6"/>
    <w:rsid w:val="76ADB430"/>
    <w:rsid w:val="76CD0F06"/>
    <w:rsid w:val="77071021"/>
    <w:rsid w:val="777D09FA"/>
    <w:rsid w:val="77E32AB4"/>
    <w:rsid w:val="7AE19C95"/>
    <w:rsid w:val="7C371EE9"/>
    <w:rsid w:val="7CBAB9C3"/>
    <w:rsid w:val="7F864D8E"/>
    <w:rsid w:val="7FB2CD14"/>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ecimalSymbol w:val="."/>
  <w:listSeparator w:val=","/>
  <w14:docId w14:val="6F5E2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0C7D"/>
    <w:pPr>
      <w:spacing w:after="240" w:line="276" w:lineRule="auto"/>
    </w:pPr>
    <w:rPr>
      <w:rFonts w:ascii="Arial" w:hAnsi="Arial"/>
      <w:szCs w:val="24"/>
      <w:lang w:eastAsia="en-US"/>
    </w:rPr>
  </w:style>
  <w:style w:type="paragraph" w:styleId="Heading1">
    <w:name w:val="heading 1"/>
    <w:next w:val="Normal"/>
    <w:link w:val="Heading1Char"/>
    <w:qFormat/>
    <w:rsid w:val="00802A52"/>
    <w:pPr>
      <w:spacing w:before="400" w:after="240" w:line="276" w:lineRule="auto"/>
      <w:outlineLvl w:val="0"/>
    </w:pPr>
    <w:rPr>
      <w:rFonts w:ascii="Arial Bold" w:eastAsia="MS Gothic" w:hAnsi="Arial Bold"/>
      <w:bCs/>
      <w:sz w:val="28"/>
      <w:szCs w:val="32"/>
      <w:lang w:val="en-US" w:eastAsia="en-US"/>
    </w:rPr>
  </w:style>
  <w:style w:type="paragraph" w:styleId="Heading2">
    <w:name w:val="heading 2"/>
    <w:next w:val="Normal"/>
    <w:link w:val="Heading2Char"/>
    <w:qFormat/>
    <w:rsid w:val="00802A52"/>
    <w:pPr>
      <w:spacing w:before="320" w:after="200" w:line="276" w:lineRule="auto"/>
      <w:outlineLvl w:val="1"/>
    </w:pPr>
    <w:rPr>
      <w:rFonts w:ascii="Arial Bold" w:eastAsia="MS Gothic" w:hAnsi="Arial Bold"/>
      <w:bCs/>
      <w:sz w:val="24"/>
      <w:szCs w:val="26"/>
      <w:lang w:val="en-US" w:eastAsia="en-US"/>
    </w:rPr>
  </w:style>
  <w:style w:type="paragraph" w:styleId="Heading3">
    <w:name w:val="heading 3"/>
    <w:basedOn w:val="Heading2"/>
    <w:next w:val="Normal"/>
    <w:link w:val="Heading3Char"/>
    <w:qFormat/>
    <w:rsid w:val="00802A52"/>
    <w:pPr>
      <w:spacing w:before="280" w:after="160"/>
      <w:outlineLvl w:val="2"/>
    </w:pPr>
    <w:rPr>
      <w:bCs w:val="0"/>
      <w:sz w:val="22"/>
    </w:rPr>
  </w:style>
  <w:style w:type="paragraph" w:styleId="Heading4">
    <w:name w:val="heading 4"/>
    <w:basedOn w:val="Heading3"/>
    <w:next w:val="Normal"/>
    <w:link w:val="Heading4Char"/>
    <w:rsid w:val="00802A52"/>
    <w:pPr>
      <w:spacing w:before="200" w:after="120"/>
      <w:outlineLvl w:val="3"/>
    </w:pPr>
    <w:rPr>
      <w:rFonts w:eastAsia="MS Mincho"/>
      <w:bCs/>
      <w:sz w:val="20"/>
      <w:szCs w:val="28"/>
    </w:rPr>
  </w:style>
  <w:style w:type="paragraph" w:styleId="Heading5">
    <w:name w:val="heading 5"/>
    <w:basedOn w:val="Heading4"/>
    <w:next w:val="Normal"/>
    <w:link w:val="Heading5Char"/>
    <w:rsid w:val="00802A52"/>
    <w:pPr>
      <w:spacing w:after="80"/>
      <w:outlineLvl w:val="4"/>
    </w:pPr>
    <w:rPr>
      <w:rFonts w:ascii="Arial" w:hAnsi="Arial"/>
      <w:bCs w:val="0"/>
      <w:iCs/>
      <w:szCs w:val="26"/>
    </w:rPr>
  </w:style>
  <w:style w:type="paragraph" w:styleId="Heading6">
    <w:name w:val="heading 6"/>
    <w:basedOn w:val="Normal"/>
    <w:next w:val="Normal"/>
    <w:link w:val="Heading6Char"/>
    <w:rsid w:val="00C2007C"/>
    <w:pPr>
      <w:spacing w:before="240" w:after="60"/>
      <w:outlineLvl w:val="5"/>
    </w:pPr>
    <w:rPr>
      <w:bCs/>
      <w:szCs w:val="22"/>
    </w:rPr>
  </w:style>
  <w:style w:type="paragraph" w:styleId="Heading7">
    <w:name w:val="heading 7"/>
    <w:basedOn w:val="Normal"/>
    <w:next w:val="Normal"/>
    <w:link w:val="Heading7Char"/>
    <w:rsid w:val="00C2007C"/>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02A52"/>
    <w:rPr>
      <w:rFonts w:ascii="Arial Bold" w:eastAsia="MS Gothic" w:hAnsi="Arial Bold"/>
      <w:bCs/>
      <w:sz w:val="28"/>
      <w:szCs w:val="32"/>
      <w:lang w:val="en-US" w:eastAsia="en-US"/>
    </w:rPr>
  </w:style>
  <w:style w:type="character" w:customStyle="1" w:styleId="Heading2Char">
    <w:name w:val="Heading 2 Char"/>
    <w:link w:val="Heading2"/>
    <w:rsid w:val="00802A52"/>
    <w:rPr>
      <w:rFonts w:ascii="Arial Bold" w:eastAsia="MS Gothic" w:hAnsi="Arial Bold"/>
      <w:bCs/>
      <w:sz w:val="24"/>
      <w:szCs w:val="26"/>
      <w:lang w:val="en-US" w:eastAsia="en-US"/>
    </w:rPr>
  </w:style>
  <w:style w:type="character" w:customStyle="1" w:styleId="Heading3Char">
    <w:name w:val="Heading 3 Char"/>
    <w:link w:val="Heading3"/>
    <w:rsid w:val="00802A52"/>
    <w:rPr>
      <w:rFonts w:ascii="Arial Bold" w:eastAsia="MS Gothic" w:hAnsi="Arial Bold"/>
      <w:sz w:val="22"/>
      <w:szCs w:val="26"/>
      <w:lang w:val="en-US" w:eastAsia="en-US"/>
    </w:rPr>
  </w:style>
  <w:style w:type="paragraph" w:styleId="BalloonText">
    <w:name w:val="Balloon Text"/>
    <w:basedOn w:val="Normal"/>
    <w:link w:val="BalloonTextChar"/>
    <w:uiPriority w:val="99"/>
    <w:semiHidden/>
    <w:unhideWhenUsed/>
    <w:rsid w:val="00EA2130"/>
    <w:rPr>
      <w:rFonts w:ascii="Lucida Grande" w:hAnsi="Lucida Grande"/>
      <w:sz w:val="18"/>
      <w:szCs w:val="18"/>
    </w:rPr>
  </w:style>
  <w:style w:type="character" w:customStyle="1" w:styleId="BalloonTextChar">
    <w:name w:val="Balloon Text Char"/>
    <w:link w:val="BalloonText"/>
    <w:uiPriority w:val="99"/>
    <w:semiHidden/>
    <w:rsid w:val="00EA2130"/>
    <w:rPr>
      <w:rFonts w:ascii="Lucida Grande" w:hAnsi="Lucida Grande"/>
      <w:sz w:val="18"/>
      <w:szCs w:val="18"/>
    </w:rPr>
  </w:style>
  <w:style w:type="paragraph" w:styleId="Footer">
    <w:name w:val="footer"/>
    <w:basedOn w:val="Normal"/>
    <w:link w:val="FooterChar"/>
    <w:uiPriority w:val="99"/>
    <w:unhideWhenUsed/>
    <w:rsid w:val="00EF11AE"/>
    <w:pPr>
      <w:tabs>
        <w:tab w:val="center" w:pos="4320"/>
        <w:tab w:val="right" w:pos="8640"/>
      </w:tabs>
      <w:spacing w:after="0" w:line="240" w:lineRule="auto"/>
    </w:pPr>
    <w:rPr>
      <w:sz w:val="18"/>
    </w:rPr>
  </w:style>
  <w:style w:type="character" w:customStyle="1" w:styleId="FooterChar">
    <w:name w:val="Footer Char"/>
    <w:link w:val="Footer"/>
    <w:uiPriority w:val="99"/>
    <w:rsid w:val="00EF11AE"/>
    <w:rPr>
      <w:rFonts w:ascii="Arial" w:hAnsi="Arial"/>
      <w:sz w:val="18"/>
      <w:szCs w:val="24"/>
      <w:lang w:eastAsia="en-US"/>
    </w:rPr>
  </w:style>
  <w:style w:type="table" w:styleId="TableGrid">
    <w:name w:val="Table Grid"/>
    <w:basedOn w:val="TableNormal"/>
    <w:uiPriority w:val="59"/>
    <w:rsid w:val="00190B0E"/>
    <w:rPr>
      <w:rFonts w:ascii="Arial" w:eastAsia="Cambria"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DocumentMap">
    <w:name w:val="Document Map"/>
    <w:basedOn w:val="Normal"/>
    <w:link w:val="DocumentMapChar"/>
    <w:uiPriority w:val="99"/>
    <w:unhideWhenUsed/>
    <w:rsid w:val="00881C97"/>
    <w:rPr>
      <w:rFonts w:ascii="Lucida Grande" w:hAnsi="Lucida Grande" w:cs="Lucida Grande"/>
    </w:rPr>
  </w:style>
  <w:style w:type="character" w:customStyle="1" w:styleId="DocumentMapChar">
    <w:name w:val="Document Map Char"/>
    <w:link w:val="DocumentMap"/>
    <w:uiPriority w:val="99"/>
    <w:rsid w:val="00881C97"/>
    <w:rPr>
      <w:rFonts w:ascii="Lucida Grande" w:hAnsi="Lucida Grande" w:cs="Lucida Grande"/>
    </w:rPr>
  </w:style>
  <w:style w:type="paragraph" w:styleId="TOCHeading">
    <w:name w:val="TOC Heading"/>
    <w:basedOn w:val="Heading1"/>
    <w:next w:val="TOC1"/>
    <w:uiPriority w:val="39"/>
    <w:qFormat/>
    <w:rsid w:val="00C14F9F"/>
    <w:pPr>
      <w:outlineLvl w:val="9"/>
    </w:pPr>
    <w:rPr>
      <w:bCs w:val="0"/>
    </w:rPr>
  </w:style>
  <w:style w:type="paragraph" w:styleId="TOC1">
    <w:name w:val="toc 1"/>
    <w:basedOn w:val="Normal"/>
    <w:next w:val="Normal"/>
    <w:uiPriority w:val="39"/>
    <w:rsid w:val="00F07FBE"/>
    <w:pPr>
      <w:spacing w:after="120"/>
    </w:pPr>
  </w:style>
  <w:style w:type="character" w:customStyle="1" w:styleId="ItalicText">
    <w:name w:val="Italic Text"/>
    <w:qFormat/>
    <w:rsid w:val="00F63593"/>
    <w:rPr>
      <w:rFonts w:ascii="Arial" w:hAnsi="Arial"/>
      <w:i/>
      <w:sz w:val="20"/>
    </w:rPr>
  </w:style>
  <w:style w:type="paragraph" w:styleId="Header">
    <w:name w:val="header"/>
    <w:basedOn w:val="Normal"/>
    <w:next w:val="Normal"/>
    <w:link w:val="HeaderChar"/>
    <w:rsid w:val="00A121B3"/>
    <w:pPr>
      <w:tabs>
        <w:tab w:val="center" w:pos="4513"/>
        <w:tab w:val="right" w:pos="9026"/>
      </w:tabs>
    </w:pPr>
  </w:style>
  <w:style w:type="character" w:customStyle="1" w:styleId="HeaderChar">
    <w:name w:val="Header Char"/>
    <w:link w:val="Header"/>
    <w:rsid w:val="00A121B3"/>
    <w:rPr>
      <w:sz w:val="24"/>
      <w:szCs w:val="24"/>
      <w:lang w:val="en-US" w:eastAsia="en-US"/>
    </w:rPr>
  </w:style>
  <w:style w:type="paragraph" w:styleId="ListBullet">
    <w:name w:val="List Bullet"/>
    <w:basedOn w:val="Normal"/>
    <w:qFormat/>
    <w:rsid w:val="007E291E"/>
    <w:pPr>
      <w:numPr>
        <w:numId w:val="1"/>
      </w:numPr>
      <w:spacing w:after="120"/>
    </w:pPr>
    <w:rPr>
      <w:lang w:val="en-US"/>
    </w:rPr>
  </w:style>
  <w:style w:type="paragraph" w:styleId="EndnoteText">
    <w:name w:val="endnote text"/>
    <w:basedOn w:val="Normal"/>
    <w:link w:val="EndnoteTextChar"/>
    <w:rsid w:val="00EF11AE"/>
    <w:pPr>
      <w:spacing w:after="40"/>
    </w:pPr>
    <w:rPr>
      <w:sz w:val="16"/>
      <w:szCs w:val="20"/>
    </w:rPr>
  </w:style>
  <w:style w:type="character" w:customStyle="1" w:styleId="EndnoteTextChar">
    <w:name w:val="Endnote Text Char"/>
    <w:link w:val="EndnoteText"/>
    <w:rsid w:val="00EF11AE"/>
    <w:rPr>
      <w:rFonts w:ascii="Arial" w:hAnsi="Arial"/>
      <w:sz w:val="16"/>
      <w:lang w:eastAsia="en-US"/>
    </w:rPr>
  </w:style>
  <w:style w:type="character" w:styleId="EndnoteReference">
    <w:name w:val="endnote reference"/>
    <w:rsid w:val="001F554D"/>
    <w:rPr>
      <w:vertAlign w:val="superscript"/>
    </w:rPr>
  </w:style>
  <w:style w:type="paragraph" w:styleId="FootnoteText">
    <w:name w:val="footnote text"/>
    <w:basedOn w:val="Normal"/>
    <w:link w:val="FootnoteTextChar"/>
    <w:rsid w:val="00EF11AE"/>
    <w:pPr>
      <w:spacing w:after="0" w:line="240" w:lineRule="auto"/>
    </w:pPr>
    <w:rPr>
      <w:sz w:val="16"/>
      <w:szCs w:val="20"/>
    </w:rPr>
  </w:style>
  <w:style w:type="character" w:customStyle="1" w:styleId="FootnoteTextChar">
    <w:name w:val="Footnote Text Char"/>
    <w:link w:val="FootnoteText"/>
    <w:rsid w:val="00EF11AE"/>
    <w:rPr>
      <w:rFonts w:ascii="Arial" w:hAnsi="Arial"/>
      <w:sz w:val="16"/>
      <w:lang w:eastAsia="en-US"/>
    </w:rPr>
  </w:style>
  <w:style w:type="character" w:styleId="FootnoteReference">
    <w:name w:val="footnote reference"/>
    <w:rsid w:val="001F554D"/>
    <w:rPr>
      <w:vertAlign w:val="superscript"/>
    </w:rPr>
  </w:style>
  <w:style w:type="paragraph" w:styleId="ListNumber">
    <w:name w:val="List Number"/>
    <w:basedOn w:val="Normal"/>
    <w:qFormat/>
    <w:rsid w:val="004878DB"/>
    <w:pPr>
      <w:numPr>
        <w:numId w:val="14"/>
      </w:numPr>
      <w:spacing w:after="120"/>
    </w:pPr>
  </w:style>
  <w:style w:type="paragraph" w:styleId="ListNumber2">
    <w:name w:val="List Number 2"/>
    <w:basedOn w:val="ListNumber"/>
    <w:rsid w:val="004878DB"/>
    <w:pPr>
      <w:numPr>
        <w:ilvl w:val="1"/>
      </w:numPr>
    </w:pPr>
  </w:style>
  <w:style w:type="paragraph" w:styleId="TableofFigures">
    <w:name w:val="table of figures"/>
    <w:basedOn w:val="Normal"/>
    <w:qFormat/>
    <w:rsid w:val="00493E0A"/>
    <w:pPr>
      <w:spacing w:after="0"/>
    </w:pPr>
    <w:rPr>
      <w:lang w:val="en-US"/>
    </w:rPr>
  </w:style>
  <w:style w:type="numbering" w:customStyle="1" w:styleId="ListBullets">
    <w:name w:val="ListBullets"/>
    <w:uiPriority w:val="99"/>
    <w:rsid w:val="00CA3730"/>
    <w:pPr>
      <w:numPr>
        <w:numId w:val="1"/>
      </w:numPr>
    </w:pPr>
  </w:style>
  <w:style w:type="paragraph" w:styleId="ListBullet2">
    <w:name w:val="List Bullet 2"/>
    <w:basedOn w:val="Normal"/>
    <w:rsid w:val="007E291E"/>
    <w:pPr>
      <w:numPr>
        <w:ilvl w:val="1"/>
        <w:numId w:val="1"/>
      </w:numPr>
      <w:spacing w:after="120"/>
    </w:pPr>
    <w:rPr>
      <w:lang w:val="en-US"/>
    </w:rPr>
  </w:style>
  <w:style w:type="paragraph" w:styleId="ListParagraph">
    <w:name w:val="List Paragraph"/>
    <w:basedOn w:val="Normal"/>
    <w:rsid w:val="004A26E3"/>
    <w:pPr>
      <w:numPr>
        <w:numId w:val="16"/>
      </w:numPr>
      <w:spacing w:after="120"/>
    </w:pPr>
    <w:rPr>
      <w:lang w:val="en-US"/>
    </w:rPr>
  </w:style>
  <w:style w:type="paragraph" w:styleId="ListBullet3">
    <w:name w:val="List Bullet 3"/>
    <w:basedOn w:val="Normal"/>
    <w:rsid w:val="007E291E"/>
    <w:pPr>
      <w:numPr>
        <w:ilvl w:val="2"/>
        <w:numId w:val="1"/>
      </w:numPr>
      <w:spacing w:after="120"/>
    </w:pPr>
  </w:style>
  <w:style w:type="paragraph" w:styleId="ListBullet4">
    <w:name w:val="List Bullet 4"/>
    <w:basedOn w:val="Normal"/>
    <w:rsid w:val="007E291E"/>
    <w:pPr>
      <w:numPr>
        <w:ilvl w:val="3"/>
        <w:numId w:val="1"/>
      </w:numPr>
      <w:spacing w:after="120"/>
      <w:ind w:left="1429"/>
    </w:pPr>
  </w:style>
  <w:style w:type="paragraph" w:styleId="ListBullet5">
    <w:name w:val="List Bullet 5"/>
    <w:basedOn w:val="Normal"/>
    <w:rsid w:val="007E291E"/>
    <w:pPr>
      <w:numPr>
        <w:ilvl w:val="4"/>
        <w:numId w:val="1"/>
      </w:numPr>
      <w:spacing w:after="120"/>
      <w:ind w:left="1786"/>
    </w:pPr>
  </w:style>
  <w:style w:type="paragraph" w:styleId="ListNumber3">
    <w:name w:val="List Number 3"/>
    <w:basedOn w:val="Normal"/>
    <w:rsid w:val="004878DB"/>
    <w:pPr>
      <w:numPr>
        <w:ilvl w:val="2"/>
        <w:numId w:val="14"/>
      </w:numPr>
      <w:spacing w:after="120"/>
    </w:pPr>
  </w:style>
  <w:style w:type="paragraph" w:styleId="ListNumber4">
    <w:name w:val="List Number 4"/>
    <w:basedOn w:val="Normal"/>
    <w:rsid w:val="004878DB"/>
    <w:pPr>
      <w:numPr>
        <w:ilvl w:val="3"/>
        <w:numId w:val="14"/>
      </w:numPr>
      <w:spacing w:after="120"/>
    </w:pPr>
  </w:style>
  <w:style w:type="numbering" w:customStyle="1" w:styleId="ListNumbers">
    <w:name w:val="ListNumbers"/>
    <w:uiPriority w:val="99"/>
    <w:rsid w:val="00D02C4A"/>
    <w:pPr>
      <w:numPr>
        <w:numId w:val="2"/>
      </w:numPr>
    </w:pPr>
  </w:style>
  <w:style w:type="character" w:customStyle="1" w:styleId="Heading4Char">
    <w:name w:val="Heading 4 Char"/>
    <w:link w:val="Heading4"/>
    <w:rsid w:val="00802A52"/>
    <w:rPr>
      <w:rFonts w:ascii="Arial Bold" w:hAnsi="Arial Bold"/>
      <w:bCs/>
      <w:szCs w:val="28"/>
      <w:lang w:val="en-US" w:eastAsia="en-US"/>
    </w:rPr>
  </w:style>
  <w:style w:type="paragraph" w:customStyle="1" w:styleId="Bold">
    <w:name w:val="Bold"/>
    <w:basedOn w:val="Normal"/>
    <w:next w:val="Normal"/>
    <w:link w:val="BoldChar"/>
    <w:qFormat/>
    <w:rsid w:val="008D2DDA"/>
    <w:rPr>
      <w:b/>
    </w:rPr>
  </w:style>
  <w:style w:type="paragraph" w:styleId="TOC2">
    <w:name w:val="toc 2"/>
    <w:basedOn w:val="Normal"/>
    <w:next w:val="Normal"/>
    <w:autoRedefine/>
    <w:uiPriority w:val="39"/>
    <w:rsid w:val="00C14F9F"/>
    <w:pPr>
      <w:tabs>
        <w:tab w:val="right" w:leader="dot" w:pos="9769"/>
      </w:tabs>
      <w:spacing w:after="120"/>
      <w:ind w:left="284"/>
    </w:pPr>
  </w:style>
  <w:style w:type="paragraph" w:styleId="TOC3">
    <w:name w:val="toc 3"/>
    <w:basedOn w:val="Normal"/>
    <w:next w:val="Normal"/>
    <w:autoRedefine/>
    <w:uiPriority w:val="39"/>
    <w:rsid w:val="00C2007C"/>
    <w:pPr>
      <w:tabs>
        <w:tab w:val="right" w:leader="dot" w:pos="9769"/>
      </w:tabs>
      <w:spacing w:after="120"/>
      <w:ind w:left="567"/>
    </w:pPr>
  </w:style>
  <w:style w:type="character" w:styleId="Hyperlink">
    <w:name w:val="Hyperlink"/>
    <w:uiPriority w:val="99"/>
    <w:unhideWhenUsed/>
    <w:rsid w:val="004E1ECE"/>
    <w:rPr>
      <w:color w:val="0000FF"/>
      <w:u w:val="single"/>
    </w:rPr>
  </w:style>
  <w:style w:type="paragraph" w:styleId="TOC4">
    <w:name w:val="toc 4"/>
    <w:basedOn w:val="Normal"/>
    <w:next w:val="Normal"/>
    <w:autoRedefine/>
    <w:uiPriority w:val="39"/>
    <w:rsid w:val="00C2007C"/>
    <w:pPr>
      <w:spacing w:after="120"/>
      <w:ind w:left="851"/>
    </w:pPr>
  </w:style>
  <w:style w:type="character" w:customStyle="1" w:styleId="Heading5Char">
    <w:name w:val="Heading 5 Char"/>
    <w:link w:val="Heading5"/>
    <w:rsid w:val="00802A52"/>
    <w:rPr>
      <w:rFonts w:ascii="Arial" w:hAnsi="Arial"/>
      <w:iCs/>
      <w:szCs w:val="26"/>
      <w:lang w:val="en-US" w:eastAsia="en-US"/>
    </w:rPr>
  </w:style>
  <w:style w:type="character" w:customStyle="1" w:styleId="Heading6Char">
    <w:name w:val="Heading 6 Char"/>
    <w:link w:val="Heading6"/>
    <w:rsid w:val="00C2007C"/>
    <w:rPr>
      <w:rFonts w:ascii="Arial" w:eastAsia="MS Mincho" w:hAnsi="Arial" w:cs="Times New Roman"/>
      <w:bCs/>
      <w:szCs w:val="22"/>
      <w:lang w:eastAsia="en-US"/>
    </w:rPr>
  </w:style>
  <w:style w:type="character" w:customStyle="1" w:styleId="Heading7Char">
    <w:name w:val="Heading 7 Char"/>
    <w:link w:val="Heading7"/>
    <w:rsid w:val="00C2007C"/>
    <w:rPr>
      <w:rFonts w:ascii="Arial" w:eastAsia="MS Mincho" w:hAnsi="Arial" w:cs="Times New Roman"/>
      <w:szCs w:val="24"/>
      <w:lang w:eastAsia="en-US"/>
    </w:rPr>
  </w:style>
  <w:style w:type="paragraph" w:styleId="TOC5">
    <w:name w:val="toc 5"/>
    <w:basedOn w:val="Normal"/>
    <w:next w:val="Normal"/>
    <w:autoRedefine/>
    <w:uiPriority w:val="39"/>
    <w:rsid w:val="00B152AF"/>
    <w:pPr>
      <w:spacing w:after="120"/>
      <w:ind w:left="1134"/>
    </w:pPr>
  </w:style>
  <w:style w:type="character" w:customStyle="1" w:styleId="BoldChar">
    <w:name w:val="Bold Char"/>
    <w:link w:val="Bold"/>
    <w:rsid w:val="00190B0E"/>
    <w:rPr>
      <w:rFonts w:ascii="Arial" w:hAnsi="Arial"/>
      <w:b/>
      <w:szCs w:val="24"/>
      <w:lang w:eastAsia="en-US"/>
    </w:rPr>
  </w:style>
  <w:style w:type="paragraph" w:styleId="Caption">
    <w:name w:val="caption"/>
    <w:basedOn w:val="Normal"/>
    <w:next w:val="Normal"/>
    <w:rsid w:val="0091365A"/>
    <w:pPr>
      <w:spacing w:before="240"/>
    </w:pPr>
    <w:rPr>
      <w:rFonts w:ascii="Arial Bold" w:hAnsi="Arial Bold"/>
      <w:b/>
      <w:bCs/>
      <w:szCs w:val="18"/>
    </w:rPr>
  </w:style>
  <w:style w:type="paragraph" w:styleId="TOAHeading">
    <w:name w:val="toa heading"/>
    <w:basedOn w:val="Normal"/>
    <w:next w:val="Normal"/>
    <w:rsid w:val="00380F44"/>
    <w:pPr>
      <w:spacing w:before="120"/>
    </w:pPr>
    <w:rPr>
      <w:rFonts w:ascii="Calibri" w:eastAsia="MS Gothic" w:hAnsi="Calibri"/>
      <w:b/>
      <w:bCs/>
      <w:sz w:val="24"/>
    </w:rPr>
  </w:style>
  <w:style w:type="character" w:styleId="Strong">
    <w:name w:val="Strong"/>
    <w:rsid w:val="00380F44"/>
    <w:rPr>
      <w:b/>
      <w:bCs/>
    </w:rPr>
  </w:style>
  <w:style w:type="paragraph" w:customStyle="1" w:styleId="DocumentTitle">
    <w:name w:val="Document Title"/>
    <w:basedOn w:val="Normal"/>
    <w:next w:val="Subtitle"/>
    <w:qFormat/>
    <w:rsid w:val="00C14F9F"/>
    <w:pPr>
      <w:spacing w:before="600" w:after="480"/>
    </w:pPr>
    <w:rPr>
      <w:noProof/>
      <w:sz w:val="52"/>
    </w:rPr>
  </w:style>
  <w:style w:type="paragraph" w:styleId="Title">
    <w:name w:val="Title"/>
    <w:basedOn w:val="Normal"/>
    <w:next w:val="Normal"/>
    <w:link w:val="TitleChar"/>
    <w:rsid w:val="00380F44"/>
    <w:pPr>
      <w:pBdr>
        <w:bottom w:val="single" w:sz="8" w:space="4" w:color="4F81BD"/>
      </w:pBdr>
      <w:spacing w:after="300" w:line="240" w:lineRule="auto"/>
      <w:contextualSpacing/>
    </w:pPr>
    <w:rPr>
      <w:rFonts w:ascii="Calibri" w:eastAsia="MS Gothic" w:hAnsi="Calibri"/>
      <w:color w:val="17365D"/>
      <w:spacing w:val="5"/>
      <w:kern w:val="28"/>
      <w:sz w:val="52"/>
      <w:szCs w:val="52"/>
    </w:rPr>
  </w:style>
  <w:style w:type="paragraph" w:styleId="Subtitle">
    <w:name w:val="Subtitle"/>
    <w:basedOn w:val="Normal"/>
    <w:next w:val="Normal"/>
    <w:link w:val="SubtitleChar"/>
    <w:rsid w:val="000F3535"/>
    <w:pPr>
      <w:spacing w:after="360"/>
    </w:pPr>
    <w:rPr>
      <w:rFonts w:eastAsia="MS Gothic"/>
      <w:sz w:val="44"/>
    </w:rPr>
  </w:style>
  <w:style w:type="character" w:customStyle="1" w:styleId="SubtitleChar">
    <w:name w:val="Subtitle Char"/>
    <w:link w:val="Subtitle"/>
    <w:rsid w:val="000F3535"/>
    <w:rPr>
      <w:rFonts w:ascii="Arial" w:eastAsia="MS Gothic" w:hAnsi="Arial" w:cs="Times New Roman"/>
      <w:sz w:val="44"/>
      <w:szCs w:val="24"/>
      <w:lang w:eastAsia="en-US"/>
    </w:rPr>
  </w:style>
  <w:style w:type="paragraph" w:customStyle="1" w:styleId="Subtitle2">
    <w:name w:val="Subtitle2"/>
    <w:basedOn w:val="Subtitle"/>
    <w:next w:val="Heading1"/>
    <w:qFormat/>
    <w:rsid w:val="00380F44"/>
    <w:rPr>
      <w:sz w:val="36"/>
    </w:rPr>
  </w:style>
  <w:style w:type="character" w:customStyle="1" w:styleId="TitleChar">
    <w:name w:val="Title Char"/>
    <w:link w:val="Title"/>
    <w:rsid w:val="00380F44"/>
    <w:rPr>
      <w:rFonts w:ascii="Calibri" w:eastAsia="MS Gothic" w:hAnsi="Calibri" w:cs="Times New Roman"/>
      <w:color w:val="17365D"/>
      <w:spacing w:val="5"/>
      <w:kern w:val="28"/>
      <w:sz w:val="52"/>
      <w:szCs w:val="52"/>
      <w:lang w:eastAsia="en-US"/>
    </w:rPr>
  </w:style>
  <w:style w:type="paragraph" w:customStyle="1" w:styleId="Nospace">
    <w:name w:val="No space"/>
    <w:basedOn w:val="Normal"/>
    <w:qFormat/>
    <w:rsid w:val="00E86DCD"/>
    <w:pPr>
      <w:spacing w:after="0"/>
    </w:pPr>
    <w:rPr>
      <w:noProof/>
      <w:lang w:eastAsia="en-AU"/>
    </w:rPr>
  </w:style>
  <w:style w:type="paragraph" w:customStyle="1" w:styleId="CoMBodytext">
    <w:name w:val="CoM_Body text"/>
    <w:basedOn w:val="Normal"/>
    <w:link w:val="CoMBodytextChar"/>
    <w:qFormat/>
    <w:rsid w:val="00CC1748"/>
    <w:pPr>
      <w:tabs>
        <w:tab w:val="left" w:pos="1134"/>
        <w:tab w:val="left" w:pos="2268"/>
        <w:tab w:val="left" w:pos="3402"/>
        <w:tab w:val="left" w:pos="4536"/>
        <w:tab w:val="left" w:pos="5670"/>
        <w:tab w:val="left" w:pos="6804"/>
        <w:tab w:val="left" w:pos="7938"/>
        <w:tab w:val="left" w:pos="9072"/>
      </w:tabs>
      <w:spacing w:line="288" w:lineRule="auto"/>
    </w:pPr>
    <w:rPr>
      <w:rFonts w:eastAsia="Cambria" w:cs="Arial"/>
      <w:szCs w:val="16"/>
    </w:rPr>
  </w:style>
  <w:style w:type="character" w:customStyle="1" w:styleId="CoMBodytextChar">
    <w:name w:val="CoM_Body text Char"/>
    <w:link w:val="CoMBodytext"/>
    <w:rsid w:val="00CC1748"/>
    <w:rPr>
      <w:rFonts w:ascii="Arial" w:eastAsia="Cambria" w:hAnsi="Arial" w:cs="Arial"/>
      <w:szCs w:val="16"/>
      <w:lang w:eastAsia="en-US"/>
    </w:rPr>
  </w:style>
  <w:style w:type="paragraph" w:customStyle="1" w:styleId="CoMHeading1">
    <w:name w:val="CoM_Heading1"/>
    <w:link w:val="CoMHeading1Char"/>
    <w:qFormat/>
    <w:rsid w:val="00CC1748"/>
    <w:pPr>
      <w:spacing w:before="500" w:after="300" w:line="276" w:lineRule="auto"/>
    </w:pPr>
    <w:rPr>
      <w:rFonts w:ascii="Arial" w:eastAsia="Cambria" w:hAnsi="Arial" w:cs="Arial"/>
      <w:b/>
      <w:caps/>
      <w:color w:val="0A9A59"/>
      <w:sz w:val="32"/>
      <w:szCs w:val="32"/>
      <w:lang w:eastAsia="en-US"/>
    </w:rPr>
  </w:style>
  <w:style w:type="character" w:customStyle="1" w:styleId="CoMHeading1Char">
    <w:name w:val="CoM_Heading1 Char"/>
    <w:link w:val="CoMHeading1"/>
    <w:rsid w:val="00CC1748"/>
    <w:rPr>
      <w:rFonts w:ascii="Arial" w:eastAsia="Cambria" w:hAnsi="Arial" w:cs="Arial"/>
      <w:b/>
      <w:caps/>
      <w:color w:val="0A9A59"/>
      <w:sz w:val="32"/>
      <w:szCs w:val="32"/>
      <w:lang w:eastAsia="en-US"/>
    </w:rPr>
  </w:style>
  <w:style w:type="character" w:styleId="CommentReference">
    <w:name w:val="annotation reference"/>
    <w:uiPriority w:val="99"/>
    <w:semiHidden/>
    <w:unhideWhenUsed/>
    <w:rsid w:val="00DD5964"/>
    <w:rPr>
      <w:sz w:val="16"/>
      <w:szCs w:val="16"/>
    </w:rPr>
  </w:style>
  <w:style w:type="paragraph" w:styleId="CommentText">
    <w:name w:val="annotation text"/>
    <w:basedOn w:val="Normal"/>
    <w:link w:val="CommentTextChar"/>
    <w:uiPriority w:val="99"/>
    <w:semiHidden/>
    <w:unhideWhenUsed/>
    <w:rsid w:val="00DD5964"/>
    <w:pPr>
      <w:spacing w:line="240" w:lineRule="auto"/>
    </w:pPr>
    <w:rPr>
      <w:szCs w:val="20"/>
    </w:rPr>
  </w:style>
  <w:style w:type="character" w:customStyle="1" w:styleId="CommentTextChar">
    <w:name w:val="Comment Text Char"/>
    <w:link w:val="CommentText"/>
    <w:uiPriority w:val="99"/>
    <w:semiHidden/>
    <w:rsid w:val="00DD5964"/>
    <w:rPr>
      <w:rFonts w:ascii="Arial" w:hAnsi="Arial"/>
      <w:lang w:eastAsia="en-US"/>
    </w:rPr>
  </w:style>
  <w:style w:type="paragraph" w:styleId="CommentSubject">
    <w:name w:val="annotation subject"/>
    <w:basedOn w:val="CommentText"/>
    <w:next w:val="CommentText"/>
    <w:link w:val="CommentSubjectChar"/>
    <w:semiHidden/>
    <w:unhideWhenUsed/>
    <w:rsid w:val="00DD5964"/>
    <w:rPr>
      <w:b/>
      <w:bCs/>
    </w:rPr>
  </w:style>
  <w:style w:type="character" w:customStyle="1" w:styleId="CommentSubjectChar">
    <w:name w:val="Comment Subject Char"/>
    <w:link w:val="CommentSubject"/>
    <w:semiHidden/>
    <w:rsid w:val="00DD5964"/>
    <w:rPr>
      <w:rFonts w:ascii="Arial" w:hAnsi="Arial"/>
      <w:b/>
      <w:bCs/>
      <w:lang w:eastAsia="en-US"/>
    </w:rPr>
  </w:style>
  <w:style w:type="character" w:styleId="FollowedHyperlink">
    <w:name w:val="FollowedHyperlink"/>
    <w:basedOn w:val="DefaultParagraphFont"/>
    <w:semiHidden/>
    <w:unhideWhenUsed/>
    <w:rsid w:val="00466845"/>
    <w:rPr>
      <w:color w:val="954F72" w:themeColor="followedHyperlink"/>
      <w:u w:val="single"/>
    </w:rPr>
  </w:style>
  <w:style w:type="character" w:styleId="UnresolvedMention">
    <w:name w:val="Unresolved Mention"/>
    <w:basedOn w:val="DefaultParagraphFont"/>
    <w:uiPriority w:val="99"/>
    <w:semiHidden/>
    <w:unhideWhenUsed/>
    <w:rsid w:val="00A32237"/>
    <w:rPr>
      <w:color w:val="605E5C"/>
      <w:shd w:val="clear" w:color="auto" w:fill="E1DFDD"/>
    </w:rPr>
  </w:style>
  <w:style w:type="paragraph" w:styleId="Revision">
    <w:name w:val="Revision"/>
    <w:hidden/>
    <w:semiHidden/>
    <w:rsid w:val="00DC3825"/>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160591">
      <w:bodyDiv w:val="1"/>
      <w:marLeft w:val="0"/>
      <w:marRight w:val="0"/>
      <w:marTop w:val="0"/>
      <w:marBottom w:val="0"/>
      <w:divBdr>
        <w:top w:val="none" w:sz="0" w:space="0" w:color="auto"/>
        <w:left w:val="none" w:sz="0" w:space="0" w:color="auto"/>
        <w:bottom w:val="none" w:sz="0" w:space="0" w:color="auto"/>
        <w:right w:val="none" w:sz="0" w:space="0" w:color="auto"/>
      </w:divBdr>
    </w:div>
    <w:div w:id="738479048">
      <w:bodyDiv w:val="1"/>
      <w:marLeft w:val="0"/>
      <w:marRight w:val="0"/>
      <w:marTop w:val="0"/>
      <w:marBottom w:val="0"/>
      <w:divBdr>
        <w:top w:val="none" w:sz="0" w:space="0" w:color="auto"/>
        <w:left w:val="none" w:sz="0" w:space="0" w:color="auto"/>
        <w:bottom w:val="none" w:sz="0" w:space="0" w:color="auto"/>
        <w:right w:val="none" w:sz="0" w:space="0" w:color="auto"/>
      </w:divBdr>
    </w:div>
    <w:div w:id="1165584080">
      <w:bodyDiv w:val="1"/>
      <w:marLeft w:val="0"/>
      <w:marRight w:val="0"/>
      <w:marTop w:val="0"/>
      <w:marBottom w:val="0"/>
      <w:divBdr>
        <w:top w:val="none" w:sz="0" w:space="0" w:color="auto"/>
        <w:left w:val="none" w:sz="0" w:space="0" w:color="auto"/>
        <w:bottom w:val="none" w:sz="0" w:space="0" w:color="auto"/>
        <w:right w:val="none" w:sz="0" w:space="0" w:color="auto"/>
      </w:divBdr>
    </w:div>
    <w:div w:id="1509560030">
      <w:bodyDiv w:val="1"/>
      <w:marLeft w:val="0"/>
      <w:marRight w:val="0"/>
      <w:marTop w:val="0"/>
      <w:marBottom w:val="0"/>
      <w:divBdr>
        <w:top w:val="none" w:sz="0" w:space="0" w:color="auto"/>
        <w:left w:val="none" w:sz="0" w:space="0" w:color="auto"/>
        <w:bottom w:val="none" w:sz="0" w:space="0" w:color="auto"/>
        <w:right w:val="none" w:sz="0" w:space="0" w:color="auto"/>
      </w:divBdr>
    </w:div>
    <w:div w:id="15875696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planning.vic.gov.au/guides-and-resources/Data-spatial-and-insights/discover-and-access-planning-open-data/urban-development-program/victoria-in-future" TargetMode="External"/><Relationship Id="rId18" Type="http://schemas.openxmlformats.org/officeDocument/2006/relationships/hyperlink" Target="https://www.melbourne.vic.gov.au/SiteCollectionDocuments/clue-definitions.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melbourne.vic.gov.au/SiteCollectionDocuments/clue-definitions.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bs.gov.au/AUSSTATS/abs@.nsf/mf/1292.0"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data.melbourne.vic.gov.au/explore/?q=forecasts&amp;sort=modified"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elbourne.vic.gov.au/about-melbourne/research-and-statistics/city-economy/census-land-use-employment/Pages/clue-small-area-and-block-maps.aspx"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planning.vic.gov.au/guides-and-resources/Data-spatial-and-insights/discover-and-access-planning-open-data/urban-development-program/victoria-in-fut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89BD50704CA74DBD62003192EF7302" ma:contentTypeVersion="28" ma:contentTypeDescription="Create a new document." ma:contentTypeScope="" ma:versionID="15bf13f7cfc61d088d4c06e080ebf951">
  <xsd:schema xmlns:xsd="http://www.w3.org/2001/XMLSchema" xmlns:xs="http://www.w3.org/2001/XMLSchema" xmlns:p="http://schemas.microsoft.com/office/2006/metadata/properties" xmlns:ns2="d804f86b-3500-4658-8c9d-99491f71a5e9" xmlns:ns3="491ff62d-a7a6-430f-a269-6b34253625ce" xmlns:ns4="7ccf5c63-bf30-45dc-94d1-29dcd1b73d7b" targetNamespace="http://schemas.microsoft.com/office/2006/metadata/properties" ma:root="true" ma:fieldsID="3f7d924e21c2116994d0f208208c03dc" ns2:_="" ns3:_="" ns4:_="">
    <xsd:import namespace="d804f86b-3500-4658-8c9d-99491f71a5e9"/>
    <xsd:import namespace="491ff62d-a7a6-430f-a269-6b34253625ce"/>
    <xsd:import namespace="7ccf5c63-bf30-45dc-94d1-29dcd1b73d7b"/>
    <xsd:element name="properties">
      <xsd:complexType>
        <xsd:sequence>
          <xsd:element name="documentManagement">
            <xsd:complexType>
              <xsd:all>
                <xsd:element ref="ns2:_dlc_DocIdUrl" minOccurs="0"/>
                <xsd:element ref="ns3:DMNumber" minOccurs="0"/>
                <xsd:element ref="ns3:WorkingDocLctn" minOccurs="0"/>
                <xsd:element ref="ns4:Team" minOccurs="0"/>
                <xsd:element ref="ns2:_dlc_DocId" minOccurs="0"/>
                <xsd:element ref="ns2:_dlc_DocIdPersistId" minOccurs="0"/>
                <xsd:element ref="ns4:MediaServiceMetadata" minOccurs="0"/>
                <xsd:element ref="ns4:MediaServiceFastMetadata" minOccurs="0"/>
                <xsd:element ref="ns2:SharedWithUsers" minOccurs="0"/>
                <xsd:element ref="ns2:SharedWithDetails" minOccurs="0"/>
                <xsd:element ref="ns3:MasterDocLctn" minOccurs="0"/>
                <xsd:element ref="ns4:MediaServiceAutoKeyPoints" minOccurs="0"/>
                <xsd:element ref="ns4:MediaServiceKeyPoints" minOccurs="0"/>
                <xsd:element ref="ns4:MediaServiceDateTaken" minOccurs="0"/>
                <xsd:element ref="ns4:MediaLengthInSeconds" minOccurs="0"/>
                <xsd:element ref="ns4:lcf76f155ced4ddcb4097134ff3c332f" minOccurs="0"/>
                <xsd:element ref="ns2:TaxCatchAll" minOccurs="0"/>
                <xsd:element ref="ns4:MediaServiceOCR" minOccurs="0"/>
                <xsd:element ref="ns4:MediaServiceGenerationTime" minOccurs="0"/>
                <xsd:element ref="ns4:MediaServiceEventHashCode" minOccurs="0"/>
                <xsd:element ref="ns4:MediaServiceObjectDetectorVersion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4f86b-3500-4658-8c9d-99491f71a5e9"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7" nillable="true" ma:displayName="Document ID Value" ma:description="The value of the document ID assigned to this item." ma:hidden="true" ma:internalName="_dlc_DocId" ma:readOnly="false">
      <xsd:simpleType>
        <xsd:restriction base="dms:Text"/>
      </xsd:simpleType>
    </xsd:element>
    <xsd:element name="_dlc_DocIdPersistId" ma:index="9" nillable="true" ma:displayName="Persist ID" ma:description="Keep ID on add." ma:hidden="true" ma:internalName="_dlc_DocIdPersistId" ma:readOnly="false">
      <xsd:simpleType>
        <xsd:restriction base="dms:Boolean"/>
      </xsd:simpleType>
    </xsd:element>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3c188ae6-e641-446b-b157-346718a697ba}" ma:internalName="TaxCatchAll" ma:readOnly="false" ma:showField="CatchAllData" ma:web="d804f86b-3500-4658-8c9d-99491f71a5e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1ff62d-a7a6-430f-a269-6b34253625ce" elementFormDefault="qualified">
    <xsd:import namespace="http://schemas.microsoft.com/office/2006/documentManagement/types"/>
    <xsd:import namespace="http://schemas.microsoft.com/office/infopath/2007/PartnerControls"/>
    <xsd:element name="DMNumber" ma:index="3" nillable="true" ma:displayName="Document type" ma:format="RadioButtons" ma:internalName="DMNumber" ma:readOnly="false">
      <xsd:simpleType>
        <xsd:restriction base="dms:Choice">
          <xsd:enumeration value="Data"/>
          <xsd:enumeration value="Report"/>
          <xsd:enumeration value="Working doc"/>
          <xsd:enumeration value="Presentation"/>
          <xsd:enumeration value="Planning"/>
          <xsd:enumeration value="Template"/>
        </xsd:restriction>
      </xsd:simpleType>
    </xsd:element>
    <xsd:element name="WorkingDocLctn" ma:index="4" nillable="true" ma:displayName="Status" ma:format="Dropdown" ma:internalName="WorkingDocLctn" ma:readOnly="false">
      <xsd:simpleType>
        <xsd:restriction base="dms:Choice">
          <xsd:enumeration value="draft"/>
          <xsd:enumeration value="final"/>
        </xsd:restriction>
      </xsd:simpleType>
    </xsd:element>
    <xsd:element name="MasterDocLctn" ma:index="16" nillable="true" ma:displayName="Master Doc Lctn" ma:hidden="true" ma:internalName="MasterDocLctn" ma:readOnly="false">
      <xsd:simpleType>
        <xsd:restriction base="dms:Choice">
          <xsd:enumeration value="DM"/>
          <xsd:enumeration value="SharePoint"/>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7ccf5c63-bf30-45dc-94d1-29dcd1b73d7b" elementFormDefault="qualified">
    <xsd:import namespace="http://schemas.microsoft.com/office/2006/documentManagement/types"/>
    <xsd:import namespace="http://schemas.microsoft.com/office/infopath/2007/PartnerControls"/>
    <xsd:element name="Team" ma:index="5" nillable="true" ma:displayName="Owner" ma:format="Dropdown" ma:internalName="Team" ma:readOnly="false">
      <xsd:complexType>
        <xsd:complexContent>
          <xsd:extension base="dms:MultiChoice">
            <xsd:sequence>
              <xsd:element name="Value" maxOccurs="unbounded" minOccurs="0" nillable="true">
                <xsd:simpleType>
                  <xsd:restriction base="dms:Choice">
                    <xsd:enumeration value="CDX"/>
                    <xsd:enumeration value="CLA"/>
                    <xsd:enumeration value="CAA"/>
                    <xsd:enumeration value="DCoE"/>
                    <xsd:enumeration value="Data Gov"/>
                    <xsd:enumeration value="Spatial"/>
                    <xsd:enumeration value="City Data"/>
                    <xsd:enumeration value="CIA"/>
                    <xsd:enumeration value="DPG"/>
                  </xsd:restriction>
                </xsd:simpleType>
              </xsd:element>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f01267b-cb48-4e9f-ac56-dd787b77042b"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hidden="true" ma:internalName="MediaServiceOCR" ma:readOnly="true">
      <xsd:simpleType>
        <xsd:restriction base="dms:Note"/>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Location" ma:index="32" nillable="true" ma:displayName="Location" ma:hidden="true"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d804f86b-3500-4658-8c9d-99491f71a5e9">COMM-1982782627-5914</_dlc_DocId>
    <MasterDocLctn xmlns="491ff62d-a7a6-430f-a269-6b34253625ce" xsi:nil="true"/>
    <lcf76f155ced4ddcb4097134ff3c332f xmlns="7ccf5c63-bf30-45dc-94d1-29dcd1b73d7b">
      <Terms xmlns="http://schemas.microsoft.com/office/infopath/2007/PartnerControls"/>
    </lcf76f155ced4ddcb4097134ff3c332f>
    <WorkingDocLctn xmlns="491ff62d-a7a6-430f-a269-6b34253625ce" xsi:nil="true"/>
    <DMNumber xmlns="491ff62d-a7a6-430f-a269-6b34253625ce" xsi:nil="true"/>
    <Team xmlns="7ccf5c63-bf30-45dc-94d1-29dcd1b73d7b" xsi:nil="true"/>
    <_dlc_DocIdPersistId xmlns="d804f86b-3500-4658-8c9d-99491f71a5e9" xsi:nil="true"/>
    <_dlc_DocIdUrl xmlns="d804f86b-3500-4658-8c9d-99491f71a5e9">
      <Url>https://cityofmelbourne.sharepoint.com/sites/citydata/_layouts/15/DocIdRedir.aspx?ID=COMM-1982782627-5914</Url>
      <Description>COMM-1982782627-5914</Description>
    </_dlc_DocIdUrl>
    <TaxCatchAll xmlns="d804f86b-3500-4658-8c9d-99491f71a5e9" xsi:nil="true"/>
  </documentManagement>
</p:properties>
</file>

<file path=customXml/itemProps1.xml><?xml version="1.0" encoding="utf-8"?>
<ds:datastoreItem xmlns:ds="http://schemas.openxmlformats.org/officeDocument/2006/customXml" ds:itemID="{0017460A-44E8-4930-939B-1B0418421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04f86b-3500-4658-8c9d-99491f71a5e9"/>
    <ds:schemaRef ds:uri="491ff62d-a7a6-430f-a269-6b34253625ce"/>
    <ds:schemaRef ds:uri="7ccf5c63-bf30-45dc-94d1-29dcd1b73d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B0BD6C-A5AC-44EF-8BBB-F06C0B185C07}">
  <ds:schemaRefs>
    <ds:schemaRef ds:uri="http://schemas.microsoft.com/sharepoint/v3/contenttype/forms"/>
  </ds:schemaRefs>
</ds:datastoreItem>
</file>

<file path=customXml/itemProps3.xml><?xml version="1.0" encoding="utf-8"?>
<ds:datastoreItem xmlns:ds="http://schemas.openxmlformats.org/officeDocument/2006/customXml" ds:itemID="{534D1881-9432-49D9-861E-4260B87FC5E6}">
  <ds:schemaRefs>
    <ds:schemaRef ds:uri="http://schemas.microsoft.com/sharepoint/events"/>
  </ds:schemaRefs>
</ds:datastoreItem>
</file>

<file path=customXml/itemProps4.xml><?xml version="1.0" encoding="utf-8"?>
<ds:datastoreItem xmlns:ds="http://schemas.openxmlformats.org/officeDocument/2006/customXml" ds:itemID="{1F230E70-CC5C-40BC-AEC8-8B8BBC489B0E}">
  <ds:schemaRefs>
    <ds:schemaRef ds:uri="http://schemas.openxmlformats.org/officeDocument/2006/bibliography"/>
  </ds:schemaRefs>
</ds:datastoreItem>
</file>

<file path=customXml/itemProps5.xml><?xml version="1.0" encoding="utf-8"?>
<ds:datastoreItem xmlns:ds="http://schemas.openxmlformats.org/officeDocument/2006/customXml" ds:itemID="{E431EE8C-94EC-4812-AAAE-D7DBF2D5EF0A}">
  <ds:schemaRefs>
    <ds:schemaRef ds:uri="http://purl.org/dc/terms/"/>
    <ds:schemaRef ds:uri="http://purl.org/dc/dcmityp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d804f86b-3500-4658-8c9d-99491f71a5e9"/>
    <ds:schemaRef ds:uri="http://schemas.microsoft.com/office/infopath/2007/PartnerControls"/>
    <ds:schemaRef ds:uri="7ccf5c63-bf30-45dc-94d1-29dcd1b73d7b"/>
    <ds:schemaRef ds:uri="491ff62d-a7a6-430f-a269-6b34253625c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4193</Words>
  <Characters>23905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City of Melbourne population and jobs forecasts 2020–2040: summary report 2021</vt:lpstr>
    </vt:vector>
  </TitlesOfParts>
  <Company/>
  <LinksUpToDate>false</LinksUpToDate>
  <CharactersWithSpaces>28042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Melbourne forecasts 2023-2043 summary report</dc:title>
  <dc:subject/>
  <dc:creator/>
  <cp:keywords/>
  <cp:lastModifiedBy/>
  <cp:revision>1</cp:revision>
  <dcterms:created xsi:type="dcterms:W3CDTF">2025-01-30T03:42:00Z</dcterms:created>
  <dcterms:modified xsi:type="dcterms:W3CDTF">2025-02-04T22:00:00Z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y fmtid="{D5CDD505-2E9C-101B-9397-08002B2CF9AE}" pid="3" name="ContentTypeId">
    <vt:lpwstr>0x010100D389BD50704CA74DBD62003192EF7302</vt:lpwstr>
  </property>
  <property fmtid="{D5CDD505-2E9C-101B-9397-08002B2CF9AE}" pid="4" name="MediaServiceImageTags">
    <vt:lpwstr/>
  </property>
  <property fmtid="{D5CDD505-2E9C-101B-9397-08002B2CF9AE}" pid="5" name="_dlc_DocIdItemGuid">
    <vt:lpwstr>4554d9e5-abd0-43a4-bd29-095812c4192e</vt:lpwstr>
  </property>
</Properties>
</file>