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737A99" w:rsidRPr="005814F5" w:rsidRDefault="0091365A" w:rsidP="00020B35">
      <w:pPr>
        <w:spacing w:after="0"/>
        <w:jc w:val="right"/>
      </w:pPr>
      <w:r>
        <w:rPr>
          <w:noProof/>
          <w:lang w:eastAsia="en-AU"/>
        </w:rPr>
        <w:drawing>
          <wp:inline distT="0" distB="0" distL="0" distR="0" wp14:anchorId="5A95050F" wp14:editId="07777777">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02625F96" w14:textId="77777777" w:rsidR="00756954" w:rsidRDefault="00756954" w:rsidP="00756954">
      <w:pPr>
        <w:pStyle w:val="DocumentTitle"/>
        <w:spacing w:before="3360"/>
      </w:pPr>
      <w:r>
        <w:t>City of Melbourne – Melbourne Economy Snapshot</w:t>
      </w:r>
    </w:p>
    <w:p w14:paraId="5A64C0C1" w14:textId="32C599B4" w:rsidR="00756954" w:rsidRDefault="00151C6A" w:rsidP="00756954">
      <w:pPr>
        <w:pStyle w:val="Subtitle"/>
      </w:pPr>
      <w:r>
        <w:t xml:space="preserve">Number </w:t>
      </w:r>
      <w:r w:rsidR="008B4414">
        <w:t>8</w:t>
      </w:r>
      <w:r>
        <w:t xml:space="preserve">, </w:t>
      </w:r>
      <w:r w:rsidR="008B4414">
        <w:t>November</w:t>
      </w:r>
      <w:r w:rsidR="123C9FDF">
        <w:t xml:space="preserve"> </w:t>
      </w:r>
      <w:r w:rsidR="00756954">
        <w:t>202</w:t>
      </w:r>
      <w:r w:rsidR="14F93311">
        <w:t>4</w:t>
      </w:r>
    </w:p>
    <w:p w14:paraId="3E231827" w14:textId="528945F3" w:rsidR="00423541" w:rsidRDefault="00756954" w:rsidP="00756954">
      <w:r>
        <w:t>DISCLAIMER:</w:t>
      </w:r>
      <w:r w:rsidR="002F646F">
        <w:t xml:space="preserve"> </w:t>
      </w:r>
      <w:r w:rsidR="002F646F" w:rsidRPr="002F646F">
        <w:t>This information is correct at the time of publication. It is the responsibility of any individual to check the accuracy of this data if it is republished or presented at a future time.</w:t>
      </w:r>
    </w:p>
    <w:p w14:paraId="0A37501D" w14:textId="77777777" w:rsidR="00423541" w:rsidRDefault="00423541">
      <w:pPr>
        <w:spacing w:after="0" w:line="240" w:lineRule="auto"/>
      </w:pPr>
      <w:r>
        <w:br w:type="page"/>
      </w:r>
    </w:p>
    <w:sdt>
      <w:sdtPr>
        <w:rPr>
          <w:rFonts w:ascii="Arial" w:eastAsia="MS Mincho" w:hAnsi="Arial"/>
          <w:sz w:val="20"/>
          <w:szCs w:val="24"/>
          <w:lang w:val="en-AU"/>
        </w:rPr>
        <w:id w:val="1797803728"/>
        <w:docPartObj>
          <w:docPartGallery w:val="Table of Contents"/>
          <w:docPartUnique/>
        </w:docPartObj>
      </w:sdtPr>
      <w:sdtEndPr/>
      <w:sdtContent>
        <w:p w14:paraId="406425CA" w14:textId="77777777" w:rsidR="00756954" w:rsidRDefault="36CF0EF0" w:rsidP="4E54D03C">
          <w:pPr>
            <w:pStyle w:val="TOCHeading"/>
            <w:rPr>
              <w:rFonts w:hint="eastAsia"/>
            </w:rPr>
          </w:pPr>
          <w:r>
            <w:t>Contents</w:t>
          </w:r>
        </w:p>
        <w:p w14:paraId="0EDAA4E0" w14:textId="4D2D6716" w:rsidR="00E05E1C" w:rsidRDefault="00D23D2B">
          <w:pPr>
            <w:pStyle w:val="TOC2"/>
            <w:rPr>
              <w:rFonts w:asciiTheme="minorHAnsi" w:eastAsiaTheme="minorEastAsia" w:hAnsiTheme="minorHAnsi" w:cstheme="minorBidi"/>
              <w:noProof/>
              <w:kern w:val="2"/>
              <w:sz w:val="22"/>
              <w:szCs w:val="22"/>
              <w:lang w:eastAsia="en-AU"/>
              <w14:ligatures w14:val="standardContextual"/>
            </w:rPr>
          </w:pPr>
          <w:r w:rsidRPr="00600AE1">
            <w:rPr>
              <w:sz w:val="18"/>
              <w:szCs w:val="18"/>
            </w:rPr>
            <w:fldChar w:fldCharType="begin"/>
          </w:r>
          <w:r w:rsidR="00D70FFC" w:rsidRPr="00600AE1">
            <w:rPr>
              <w:sz w:val="18"/>
              <w:szCs w:val="18"/>
            </w:rPr>
            <w:instrText>TOC \o "1-3" \h \z \u</w:instrText>
          </w:r>
          <w:r w:rsidRPr="00600AE1">
            <w:rPr>
              <w:sz w:val="18"/>
              <w:szCs w:val="18"/>
            </w:rPr>
            <w:fldChar w:fldCharType="separate"/>
          </w:r>
          <w:hyperlink w:anchor="_Toc182490804" w:history="1">
            <w:r w:rsidR="00E05E1C" w:rsidRPr="003C3404">
              <w:rPr>
                <w:rStyle w:val="Hyperlink"/>
                <w:noProof/>
              </w:rPr>
              <w:t>Melbourne leads the country on interstate spend.</w:t>
            </w:r>
            <w:r w:rsidR="00E05E1C">
              <w:rPr>
                <w:noProof/>
                <w:webHidden/>
              </w:rPr>
              <w:tab/>
            </w:r>
            <w:r w:rsidR="00E05E1C">
              <w:rPr>
                <w:noProof/>
                <w:webHidden/>
              </w:rPr>
              <w:fldChar w:fldCharType="begin"/>
            </w:r>
            <w:r w:rsidR="00E05E1C">
              <w:rPr>
                <w:noProof/>
                <w:webHidden/>
              </w:rPr>
              <w:instrText xml:space="preserve"> PAGEREF _Toc182490804 \h </w:instrText>
            </w:r>
            <w:r w:rsidR="00E05E1C">
              <w:rPr>
                <w:noProof/>
                <w:webHidden/>
              </w:rPr>
            </w:r>
            <w:r w:rsidR="00E05E1C">
              <w:rPr>
                <w:noProof/>
                <w:webHidden/>
              </w:rPr>
              <w:fldChar w:fldCharType="separate"/>
            </w:r>
            <w:r w:rsidR="00E05E1C">
              <w:rPr>
                <w:noProof/>
                <w:webHidden/>
              </w:rPr>
              <w:t>4</w:t>
            </w:r>
            <w:r w:rsidR="00E05E1C">
              <w:rPr>
                <w:noProof/>
                <w:webHidden/>
              </w:rPr>
              <w:fldChar w:fldCharType="end"/>
            </w:r>
          </w:hyperlink>
        </w:p>
        <w:p w14:paraId="74F3CCC9" w14:textId="6581077B" w:rsidR="00E05E1C" w:rsidRDefault="0085013A">
          <w:pPr>
            <w:pStyle w:val="TOC3"/>
            <w:rPr>
              <w:rFonts w:asciiTheme="minorHAnsi" w:eastAsiaTheme="minorEastAsia" w:hAnsiTheme="minorHAnsi" w:cstheme="minorBidi"/>
              <w:noProof/>
              <w:kern w:val="2"/>
              <w:sz w:val="22"/>
              <w:szCs w:val="22"/>
              <w:lang w:eastAsia="en-AU"/>
              <w14:ligatures w14:val="standardContextual"/>
            </w:rPr>
          </w:pPr>
          <w:hyperlink w:anchor="_Toc182490805" w:history="1">
            <w:r w:rsidR="00E05E1C" w:rsidRPr="003C3404">
              <w:rPr>
                <w:rStyle w:val="Hyperlink"/>
                <w:noProof/>
              </w:rPr>
              <w:t>Table 1 – Melbourne continues to be the city with the most overnight interstate spend and visitors in Australia, ahead of Sydney. Year ending June 2024.</w:t>
            </w:r>
            <w:r w:rsidR="00E05E1C">
              <w:rPr>
                <w:noProof/>
                <w:webHidden/>
              </w:rPr>
              <w:tab/>
            </w:r>
            <w:r w:rsidR="00E05E1C">
              <w:rPr>
                <w:noProof/>
                <w:webHidden/>
              </w:rPr>
              <w:fldChar w:fldCharType="begin"/>
            </w:r>
            <w:r w:rsidR="00E05E1C">
              <w:rPr>
                <w:noProof/>
                <w:webHidden/>
              </w:rPr>
              <w:instrText xml:space="preserve"> PAGEREF _Toc182490805 \h </w:instrText>
            </w:r>
            <w:r w:rsidR="00E05E1C">
              <w:rPr>
                <w:noProof/>
                <w:webHidden/>
              </w:rPr>
            </w:r>
            <w:r w:rsidR="00E05E1C">
              <w:rPr>
                <w:noProof/>
                <w:webHidden/>
              </w:rPr>
              <w:fldChar w:fldCharType="separate"/>
            </w:r>
            <w:r w:rsidR="00E05E1C">
              <w:rPr>
                <w:noProof/>
                <w:webHidden/>
              </w:rPr>
              <w:t>4</w:t>
            </w:r>
            <w:r w:rsidR="00E05E1C">
              <w:rPr>
                <w:noProof/>
                <w:webHidden/>
              </w:rPr>
              <w:fldChar w:fldCharType="end"/>
            </w:r>
          </w:hyperlink>
        </w:p>
        <w:p w14:paraId="480429B0" w14:textId="7FE08DE9" w:rsidR="00E05E1C" w:rsidRDefault="0085013A">
          <w:pPr>
            <w:pStyle w:val="TOC3"/>
            <w:rPr>
              <w:rFonts w:asciiTheme="minorHAnsi" w:eastAsiaTheme="minorEastAsia" w:hAnsiTheme="minorHAnsi" w:cstheme="minorBidi"/>
              <w:noProof/>
              <w:kern w:val="2"/>
              <w:sz w:val="22"/>
              <w:szCs w:val="22"/>
              <w:lang w:eastAsia="en-AU"/>
              <w14:ligatures w14:val="standardContextual"/>
            </w:rPr>
          </w:pPr>
          <w:hyperlink w:anchor="_Toc182490806" w:history="1">
            <w:r w:rsidR="00E05E1C" w:rsidRPr="003C3404">
              <w:rPr>
                <w:rStyle w:val="Hyperlink"/>
                <w:noProof/>
              </w:rPr>
              <w:t>Table 2 – Melbourne's high-yield international and interstate visitors contribute a massive 67% to its spend, while making up only 26% of visitors. Year ending June 2024.</w:t>
            </w:r>
            <w:r w:rsidR="00E05E1C">
              <w:rPr>
                <w:noProof/>
                <w:webHidden/>
              </w:rPr>
              <w:tab/>
            </w:r>
            <w:r w:rsidR="00E05E1C">
              <w:rPr>
                <w:noProof/>
                <w:webHidden/>
              </w:rPr>
              <w:fldChar w:fldCharType="begin"/>
            </w:r>
            <w:r w:rsidR="00E05E1C">
              <w:rPr>
                <w:noProof/>
                <w:webHidden/>
              </w:rPr>
              <w:instrText xml:space="preserve"> PAGEREF _Toc182490806 \h </w:instrText>
            </w:r>
            <w:r w:rsidR="00E05E1C">
              <w:rPr>
                <w:noProof/>
                <w:webHidden/>
              </w:rPr>
            </w:r>
            <w:r w:rsidR="00E05E1C">
              <w:rPr>
                <w:noProof/>
                <w:webHidden/>
              </w:rPr>
              <w:fldChar w:fldCharType="separate"/>
            </w:r>
            <w:r w:rsidR="00E05E1C">
              <w:rPr>
                <w:noProof/>
                <w:webHidden/>
              </w:rPr>
              <w:t>4</w:t>
            </w:r>
            <w:r w:rsidR="00E05E1C">
              <w:rPr>
                <w:noProof/>
                <w:webHidden/>
              </w:rPr>
              <w:fldChar w:fldCharType="end"/>
            </w:r>
          </w:hyperlink>
        </w:p>
        <w:p w14:paraId="62C029B7" w14:textId="598AA437" w:rsidR="00E05E1C" w:rsidRDefault="0085013A">
          <w:pPr>
            <w:pStyle w:val="TOC3"/>
            <w:rPr>
              <w:rFonts w:asciiTheme="minorHAnsi" w:eastAsiaTheme="minorEastAsia" w:hAnsiTheme="minorHAnsi" w:cstheme="minorBidi"/>
              <w:noProof/>
              <w:kern w:val="2"/>
              <w:sz w:val="22"/>
              <w:szCs w:val="22"/>
              <w:lang w:eastAsia="en-AU"/>
              <w14:ligatures w14:val="standardContextual"/>
            </w:rPr>
          </w:pPr>
          <w:hyperlink w:anchor="_Toc182490807" w:history="1">
            <w:r w:rsidR="00E05E1C" w:rsidRPr="003C3404">
              <w:rPr>
                <w:rStyle w:val="Hyperlink"/>
                <w:noProof/>
              </w:rPr>
              <w:t>Table 3 – The number of younger people visiting Melbourne is growing and leading interstate travel, while financially secure older travellers have increased their intrastate travel to stay and spend local. Year ending June 2024.</w:t>
            </w:r>
            <w:r w:rsidR="00E05E1C">
              <w:rPr>
                <w:noProof/>
                <w:webHidden/>
              </w:rPr>
              <w:tab/>
            </w:r>
            <w:r w:rsidR="00E05E1C">
              <w:rPr>
                <w:noProof/>
                <w:webHidden/>
              </w:rPr>
              <w:fldChar w:fldCharType="begin"/>
            </w:r>
            <w:r w:rsidR="00E05E1C">
              <w:rPr>
                <w:noProof/>
                <w:webHidden/>
              </w:rPr>
              <w:instrText xml:space="preserve"> PAGEREF _Toc182490807 \h </w:instrText>
            </w:r>
            <w:r w:rsidR="00E05E1C">
              <w:rPr>
                <w:noProof/>
                <w:webHidden/>
              </w:rPr>
            </w:r>
            <w:r w:rsidR="00E05E1C">
              <w:rPr>
                <w:noProof/>
                <w:webHidden/>
              </w:rPr>
              <w:fldChar w:fldCharType="separate"/>
            </w:r>
            <w:r w:rsidR="00E05E1C">
              <w:rPr>
                <w:noProof/>
                <w:webHidden/>
              </w:rPr>
              <w:t>4</w:t>
            </w:r>
            <w:r w:rsidR="00E05E1C">
              <w:rPr>
                <w:noProof/>
                <w:webHidden/>
              </w:rPr>
              <w:fldChar w:fldCharType="end"/>
            </w:r>
          </w:hyperlink>
        </w:p>
        <w:p w14:paraId="010D3716" w14:textId="54CDBB34" w:rsidR="00E05E1C" w:rsidRDefault="0085013A">
          <w:pPr>
            <w:pStyle w:val="TOC2"/>
            <w:rPr>
              <w:rFonts w:asciiTheme="minorHAnsi" w:eastAsiaTheme="minorEastAsia" w:hAnsiTheme="minorHAnsi" w:cstheme="minorBidi"/>
              <w:noProof/>
              <w:kern w:val="2"/>
              <w:sz w:val="22"/>
              <w:szCs w:val="22"/>
              <w:lang w:eastAsia="en-AU"/>
              <w14:ligatures w14:val="standardContextual"/>
            </w:rPr>
          </w:pPr>
          <w:hyperlink w:anchor="_Toc182490808" w:history="1">
            <w:r w:rsidR="00E05E1C" w:rsidRPr="003C3404">
              <w:rPr>
                <w:rStyle w:val="Hyperlink"/>
                <w:noProof/>
              </w:rPr>
              <w:t>Millennials are the big spenders in Melbourne.</w:t>
            </w:r>
            <w:r w:rsidR="00E05E1C">
              <w:rPr>
                <w:noProof/>
                <w:webHidden/>
              </w:rPr>
              <w:tab/>
            </w:r>
            <w:r w:rsidR="00E05E1C">
              <w:rPr>
                <w:noProof/>
                <w:webHidden/>
              </w:rPr>
              <w:fldChar w:fldCharType="begin"/>
            </w:r>
            <w:r w:rsidR="00E05E1C">
              <w:rPr>
                <w:noProof/>
                <w:webHidden/>
              </w:rPr>
              <w:instrText xml:space="preserve"> PAGEREF _Toc182490808 \h </w:instrText>
            </w:r>
            <w:r w:rsidR="00E05E1C">
              <w:rPr>
                <w:noProof/>
                <w:webHidden/>
              </w:rPr>
            </w:r>
            <w:r w:rsidR="00E05E1C">
              <w:rPr>
                <w:noProof/>
                <w:webHidden/>
              </w:rPr>
              <w:fldChar w:fldCharType="separate"/>
            </w:r>
            <w:r w:rsidR="00E05E1C">
              <w:rPr>
                <w:noProof/>
                <w:webHidden/>
              </w:rPr>
              <w:t>5</w:t>
            </w:r>
            <w:r w:rsidR="00E05E1C">
              <w:rPr>
                <w:noProof/>
                <w:webHidden/>
              </w:rPr>
              <w:fldChar w:fldCharType="end"/>
            </w:r>
          </w:hyperlink>
        </w:p>
        <w:p w14:paraId="73070627" w14:textId="4C911AEB" w:rsidR="00E05E1C" w:rsidRDefault="0085013A">
          <w:pPr>
            <w:pStyle w:val="TOC3"/>
            <w:rPr>
              <w:rFonts w:asciiTheme="minorHAnsi" w:eastAsiaTheme="minorEastAsia" w:hAnsiTheme="minorHAnsi" w:cstheme="minorBidi"/>
              <w:noProof/>
              <w:kern w:val="2"/>
              <w:sz w:val="22"/>
              <w:szCs w:val="22"/>
              <w:lang w:eastAsia="en-AU"/>
              <w14:ligatures w14:val="standardContextual"/>
            </w:rPr>
          </w:pPr>
          <w:hyperlink w:anchor="_Toc182490809" w:history="1">
            <w:r w:rsidR="00E05E1C" w:rsidRPr="003C3404">
              <w:rPr>
                <w:rStyle w:val="Hyperlink"/>
                <w:noProof/>
              </w:rPr>
              <w:t>Table 4.a – Female and older people spend more per transaction. From January 2024 to September 2024.</w:t>
            </w:r>
            <w:r w:rsidR="00E05E1C">
              <w:rPr>
                <w:noProof/>
                <w:webHidden/>
              </w:rPr>
              <w:tab/>
            </w:r>
            <w:r w:rsidR="00E05E1C">
              <w:rPr>
                <w:noProof/>
                <w:webHidden/>
              </w:rPr>
              <w:fldChar w:fldCharType="begin"/>
            </w:r>
            <w:r w:rsidR="00E05E1C">
              <w:rPr>
                <w:noProof/>
                <w:webHidden/>
              </w:rPr>
              <w:instrText xml:space="preserve"> PAGEREF _Toc182490809 \h </w:instrText>
            </w:r>
            <w:r w:rsidR="00E05E1C">
              <w:rPr>
                <w:noProof/>
                <w:webHidden/>
              </w:rPr>
            </w:r>
            <w:r w:rsidR="00E05E1C">
              <w:rPr>
                <w:noProof/>
                <w:webHidden/>
              </w:rPr>
              <w:fldChar w:fldCharType="separate"/>
            </w:r>
            <w:r w:rsidR="00E05E1C">
              <w:rPr>
                <w:noProof/>
                <w:webHidden/>
              </w:rPr>
              <w:t>5</w:t>
            </w:r>
            <w:r w:rsidR="00E05E1C">
              <w:rPr>
                <w:noProof/>
                <w:webHidden/>
              </w:rPr>
              <w:fldChar w:fldCharType="end"/>
            </w:r>
          </w:hyperlink>
        </w:p>
        <w:p w14:paraId="6F840B17" w14:textId="0EF2551E" w:rsidR="00E05E1C" w:rsidRDefault="0085013A">
          <w:pPr>
            <w:pStyle w:val="TOC3"/>
            <w:rPr>
              <w:rFonts w:asciiTheme="minorHAnsi" w:eastAsiaTheme="minorEastAsia" w:hAnsiTheme="minorHAnsi" w:cstheme="minorBidi"/>
              <w:noProof/>
              <w:kern w:val="2"/>
              <w:sz w:val="22"/>
              <w:szCs w:val="22"/>
              <w:lang w:eastAsia="en-AU"/>
              <w14:ligatures w14:val="standardContextual"/>
            </w:rPr>
          </w:pPr>
          <w:hyperlink w:anchor="_Toc182490810" w:history="1">
            <w:r w:rsidR="00E05E1C" w:rsidRPr="003C3404">
              <w:rPr>
                <w:rStyle w:val="Hyperlink"/>
                <w:noProof/>
              </w:rPr>
              <w:t>Table 4.b – Male and younger people spend more, more often. From January 2024 to September 2024.</w:t>
            </w:r>
            <w:r w:rsidR="00E05E1C">
              <w:rPr>
                <w:noProof/>
                <w:webHidden/>
              </w:rPr>
              <w:tab/>
            </w:r>
            <w:r w:rsidR="00E05E1C">
              <w:rPr>
                <w:noProof/>
                <w:webHidden/>
              </w:rPr>
              <w:fldChar w:fldCharType="begin"/>
            </w:r>
            <w:r w:rsidR="00E05E1C">
              <w:rPr>
                <w:noProof/>
                <w:webHidden/>
              </w:rPr>
              <w:instrText xml:space="preserve"> PAGEREF _Toc182490810 \h </w:instrText>
            </w:r>
            <w:r w:rsidR="00E05E1C">
              <w:rPr>
                <w:noProof/>
                <w:webHidden/>
              </w:rPr>
            </w:r>
            <w:r w:rsidR="00E05E1C">
              <w:rPr>
                <w:noProof/>
                <w:webHidden/>
              </w:rPr>
              <w:fldChar w:fldCharType="separate"/>
            </w:r>
            <w:r w:rsidR="00E05E1C">
              <w:rPr>
                <w:noProof/>
                <w:webHidden/>
              </w:rPr>
              <w:t>5</w:t>
            </w:r>
            <w:r w:rsidR="00E05E1C">
              <w:rPr>
                <w:noProof/>
                <w:webHidden/>
              </w:rPr>
              <w:fldChar w:fldCharType="end"/>
            </w:r>
          </w:hyperlink>
        </w:p>
        <w:p w14:paraId="37AA5F93" w14:textId="50B642AC" w:rsidR="00E05E1C" w:rsidRDefault="0085013A">
          <w:pPr>
            <w:pStyle w:val="TOC3"/>
            <w:rPr>
              <w:rFonts w:asciiTheme="minorHAnsi" w:eastAsiaTheme="minorEastAsia" w:hAnsiTheme="minorHAnsi" w:cstheme="minorBidi"/>
              <w:noProof/>
              <w:kern w:val="2"/>
              <w:sz w:val="22"/>
              <w:szCs w:val="22"/>
              <w:lang w:eastAsia="en-AU"/>
              <w14:ligatures w14:val="standardContextual"/>
            </w:rPr>
          </w:pPr>
          <w:hyperlink w:anchor="_Toc182490811" w:history="1">
            <w:r w:rsidR="00E05E1C" w:rsidRPr="003C3404">
              <w:rPr>
                <w:rStyle w:val="Hyperlink"/>
                <w:noProof/>
              </w:rPr>
              <w:t>Table 5 – The largest segment of visitor spend in Melbourne is people aged 25 to 34 years, generating almost one quarter of the city's entire domestic visitor spend. From January 2024 to September 2024.</w:t>
            </w:r>
            <w:r w:rsidR="00E05E1C">
              <w:rPr>
                <w:noProof/>
                <w:webHidden/>
              </w:rPr>
              <w:tab/>
            </w:r>
            <w:r w:rsidR="00E05E1C">
              <w:rPr>
                <w:noProof/>
                <w:webHidden/>
              </w:rPr>
              <w:fldChar w:fldCharType="begin"/>
            </w:r>
            <w:r w:rsidR="00E05E1C">
              <w:rPr>
                <w:noProof/>
                <w:webHidden/>
              </w:rPr>
              <w:instrText xml:space="preserve"> PAGEREF _Toc182490811 \h </w:instrText>
            </w:r>
            <w:r w:rsidR="00E05E1C">
              <w:rPr>
                <w:noProof/>
                <w:webHidden/>
              </w:rPr>
            </w:r>
            <w:r w:rsidR="00E05E1C">
              <w:rPr>
                <w:noProof/>
                <w:webHidden/>
              </w:rPr>
              <w:fldChar w:fldCharType="separate"/>
            </w:r>
            <w:r w:rsidR="00E05E1C">
              <w:rPr>
                <w:noProof/>
                <w:webHidden/>
              </w:rPr>
              <w:t>6</w:t>
            </w:r>
            <w:r w:rsidR="00E05E1C">
              <w:rPr>
                <w:noProof/>
                <w:webHidden/>
              </w:rPr>
              <w:fldChar w:fldCharType="end"/>
            </w:r>
          </w:hyperlink>
        </w:p>
        <w:p w14:paraId="1E216BBD" w14:textId="3F7FFB9B" w:rsidR="00E05E1C" w:rsidRDefault="0085013A">
          <w:pPr>
            <w:pStyle w:val="TOC3"/>
            <w:rPr>
              <w:rFonts w:asciiTheme="minorHAnsi" w:eastAsiaTheme="minorEastAsia" w:hAnsiTheme="minorHAnsi" w:cstheme="minorBidi"/>
              <w:noProof/>
              <w:kern w:val="2"/>
              <w:sz w:val="22"/>
              <w:szCs w:val="22"/>
              <w:lang w:eastAsia="en-AU"/>
              <w14:ligatures w14:val="standardContextual"/>
            </w:rPr>
          </w:pPr>
          <w:hyperlink w:anchor="_Toc182490812" w:history="1">
            <w:r w:rsidR="00E05E1C" w:rsidRPr="003C3404">
              <w:rPr>
                <w:rStyle w:val="Hyperlink"/>
                <w:noProof/>
              </w:rPr>
              <w:t>Table 6 – Visitors aged over 45 years are increasing their spend in the city, with people over 65 experiencing the most growth. 2023 vs 2024, January to September.</w:t>
            </w:r>
            <w:r w:rsidR="00E05E1C">
              <w:rPr>
                <w:noProof/>
                <w:webHidden/>
              </w:rPr>
              <w:tab/>
            </w:r>
            <w:r w:rsidR="00E05E1C">
              <w:rPr>
                <w:noProof/>
                <w:webHidden/>
              </w:rPr>
              <w:fldChar w:fldCharType="begin"/>
            </w:r>
            <w:r w:rsidR="00E05E1C">
              <w:rPr>
                <w:noProof/>
                <w:webHidden/>
              </w:rPr>
              <w:instrText xml:space="preserve"> PAGEREF _Toc182490812 \h </w:instrText>
            </w:r>
            <w:r w:rsidR="00E05E1C">
              <w:rPr>
                <w:noProof/>
                <w:webHidden/>
              </w:rPr>
            </w:r>
            <w:r w:rsidR="00E05E1C">
              <w:rPr>
                <w:noProof/>
                <w:webHidden/>
              </w:rPr>
              <w:fldChar w:fldCharType="separate"/>
            </w:r>
            <w:r w:rsidR="00E05E1C">
              <w:rPr>
                <w:noProof/>
                <w:webHidden/>
              </w:rPr>
              <w:t>6</w:t>
            </w:r>
            <w:r w:rsidR="00E05E1C">
              <w:rPr>
                <w:noProof/>
                <w:webHidden/>
              </w:rPr>
              <w:fldChar w:fldCharType="end"/>
            </w:r>
          </w:hyperlink>
        </w:p>
        <w:p w14:paraId="032EE344" w14:textId="48BED4E8" w:rsidR="00E05E1C" w:rsidRDefault="0085013A">
          <w:pPr>
            <w:pStyle w:val="TOC1"/>
            <w:tabs>
              <w:tab w:val="right" w:leader="dot" w:pos="9771"/>
            </w:tabs>
            <w:rPr>
              <w:rFonts w:asciiTheme="minorHAnsi" w:eastAsiaTheme="minorEastAsia" w:hAnsiTheme="minorHAnsi" w:cstheme="minorBidi"/>
              <w:noProof/>
              <w:kern w:val="2"/>
              <w:sz w:val="22"/>
              <w:szCs w:val="22"/>
              <w:lang w:eastAsia="en-AU"/>
              <w14:ligatures w14:val="standardContextual"/>
            </w:rPr>
          </w:pPr>
          <w:hyperlink w:anchor="_Toc182490813" w:history="1">
            <w:r w:rsidR="00E05E1C" w:rsidRPr="003C3404">
              <w:rPr>
                <w:rStyle w:val="Hyperlink"/>
                <w:noProof/>
              </w:rPr>
              <w:t>Neighbourhood Spend Trends</w:t>
            </w:r>
            <w:r w:rsidR="00E05E1C">
              <w:rPr>
                <w:noProof/>
                <w:webHidden/>
              </w:rPr>
              <w:tab/>
            </w:r>
            <w:r w:rsidR="00E05E1C">
              <w:rPr>
                <w:noProof/>
                <w:webHidden/>
              </w:rPr>
              <w:fldChar w:fldCharType="begin"/>
            </w:r>
            <w:r w:rsidR="00E05E1C">
              <w:rPr>
                <w:noProof/>
                <w:webHidden/>
              </w:rPr>
              <w:instrText xml:space="preserve"> PAGEREF _Toc182490813 \h </w:instrText>
            </w:r>
            <w:r w:rsidR="00E05E1C">
              <w:rPr>
                <w:noProof/>
                <w:webHidden/>
              </w:rPr>
            </w:r>
            <w:r w:rsidR="00E05E1C">
              <w:rPr>
                <w:noProof/>
                <w:webHidden/>
              </w:rPr>
              <w:fldChar w:fldCharType="separate"/>
            </w:r>
            <w:r w:rsidR="00E05E1C">
              <w:rPr>
                <w:noProof/>
                <w:webHidden/>
              </w:rPr>
              <w:t>7</w:t>
            </w:r>
            <w:r w:rsidR="00E05E1C">
              <w:rPr>
                <w:noProof/>
                <w:webHidden/>
              </w:rPr>
              <w:fldChar w:fldCharType="end"/>
            </w:r>
          </w:hyperlink>
        </w:p>
        <w:p w14:paraId="38D1649F" w14:textId="77D886F8" w:rsidR="00E05E1C" w:rsidRDefault="0085013A">
          <w:pPr>
            <w:pStyle w:val="TOC2"/>
            <w:rPr>
              <w:rFonts w:asciiTheme="minorHAnsi" w:eastAsiaTheme="minorEastAsia" w:hAnsiTheme="minorHAnsi" w:cstheme="minorBidi"/>
              <w:noProof/>
              <w:kern w:val="2"/>
              <w:sz w:val="22"/>
              <w:szCs w:val="22"/>
              <w:lang w:eastAsia="en-AU"/>
              <w14:ligatures w14:val="standardContextual"/>
            </w:rPr>
          </w:pPr>
          <w:hyperlink w:anchor="_Toc182490814" w:history="1">
            <w:r w:rsidR="00E05E1C" w:rsidRPr="003C3404">
              <w:rPr>
                <w:rStyle w:val="Hyperlink"/>
                <w:noProof/>
              </w:rPr>
              <w:t>Melbourne CBD – East</w:t>
            </w:r>
            <w:r w:rsidR="00E05E1C">
              <w:rPr>
                <w:noProof/>
                <w:webHidden/>
              </w:rPr>
              <w:tab/>
            </w:r>
            <w:r w:rsidR="00E05E1C">
              <w:rPr>
                <w:noProof/>
                <w:webHidden/>
              </w:rPr>
              <w:fldChar w:fldCharType="begin"/>
            </w:r>
            <w:r w:rsidR="00E05E1C">
              <w:rPr>
                <w:noProof/>
                <w:webHidden/>
              </w:rPr>
              <w:instrText xml:space="preserve"> PAGEREF _Toc182490814 \h </w:instrText>
            </w:r>
            <w:r w:rsidR="00E05E1C">
              <w:rPr>
                <w:noProof/>
                <w:webHidden/>
              </w:rPr>
            </w:r>
            <w:r w:rsidR="00E05E1C">
              <w:rPr>
                <w:noProof/>
                <w:webHidden/>
              </w:rPr>
              <w:fldChar w:fldCharType="separate"/>
            </w:r>
            <w:r w:rsidR="00E05E1C">
              <w:rPr>
                <w:noProof/>
                <w:webHidden/>
              </w:rPr>
              <w:t>7</w:t>
            </w:r>
            <w:r w:rsidR="00E05E1C">
              <w:rPr>
                <w:noProof/>
                <w:webHidden/>
              </w:rPr>
              <w:fldChar w:fldCharType="end"/>
            </w:r>
          </w:hyperlink>
        </w:p>
        <w:p w14:paraId="540DF517" w14:textId="69D2CF3C" w:rsidR="00E05E1C" w:rsidRDefault="0085013A">
          <w:pPr>
            <w:pStyle w:val="TOC3"/>
            <w:rPr>
              <w:rFonts w:asciiTheme="minorHAnsi" w:eastAsiaTheme="minorEastAsia" w:hAnsiTheme="minorHAnsi" w:cstheme="minorBidi"/>
              <w:noProof/>
              <w:kern w:val="2"/>
              <w:sz w:val="22"/>
              <w:szCs w:val="22"/>
              <w:lang w:eastAsia="en-AU"/>
              <w14:ligatures w14:val="standardContextual"/>
            </w:rPr>
          </w:pPr>
          <w:hyperlink w:anchor="_Toc182490815" w:history="1">
            <w:r w:rsidR="00E05E1C" w:rsidRPr="003C3404">
              <w:rPr>
                <w:rStyle w:val="Hyperlink"/>
                <w:noProof/>
              </w:rPr>
              <w:t>Table 7 – Spending by category, Q3 2024</w:t>
            </w:r>
            <w:r w:rsidR="00E05E1C">
              <w:rPr>
                <w:noProof/>
                <w:webHidden/>
              </w:rPr>
              <w:tab/>
            </w:r>
            <w:r w:rsidR="00E05E1C">
              <w:rPr>
                <w:noProof/>
                <w:webHidden/>
              </w:rPr>
              <w:fldChar w:fldCharType="begin"/>
            </w:r>
            <w:r w:rsidR="00E05E1C">
              <w:rPr>
                <w:noProof/>
                <w:webHidden/>
              </w:rPr>
              <w:instrText xml:space="preserve"> PAGEREF _Toc182490815 \h </w:instrText>
            </w:r>
            <w:r w:rsidR="00E05E1C">
              <w:rPr>
                <w:noProof/>
                <w:webHidden/>
              </w:rPr>
            </w:r>
            <w:r w:rsidR="00E05E1C">
              <w:rPr>
                <w:noProof/>
                <w:webHidden/>
              </w:rPr>
              <w:fldChar w:fldCharType="separate"/>
            </w:r>
            <w:r w:rsidR="00E05E1C">
              <w:rPr>
                <w:noProof/>
                <w:webHidden/>
              </w:rPr>
              <w:t>7</w:t>
            </w:r>
            <w:r w:rsidR="00E05E1C">
              <w:rPr>
                <w:noProof/>
                <w:webHidden/>
              </w:rPr>
              <w:fldChar w:fldCharType="end"/>
            </w:r>
          </w:hyperlink>
        </w:p>
        <w:p w14:paraId="36804F38" w14:textId="1D19DE57" w:rsidR="00E05E1C" w:rsidRDefault="0085013A">
          <w:pPr>
            <w:pStyle w:val="TOC3"/>
            <w:rPr>
              <w:rFonts w:asciiTheme="minorHAnsi" w:eastAsiaTheme="minorEastAsia" w:hAnsiTheme="minorHAnsi" w:cstheme="minorBidi"/>
              <w:noProof/>
              <w:kern w:val="2"/>
              <w:sz w:val="22"/>
              <w:szCs w:val="22"/>
              <w:lang w:eastAsia="en-AU"/>
              <w14:ligatures w14:val="standardContextual"/>
            </w:rPr>
          </w:pPr>
          <w:hyperlink w:anchor="_Toc182490816" w:history="1">
            <w:r w:rsidR="00E05E1C" w:rsidRPr="003C3404">
              <w:rPr>
                <w:rStyle w:val="Hyperlink"/>
                <w:noProof/>
              </w:rPr>
              <w:t>Table 8 – Work hours and non-work hours spending in Melbourne CBD – East, Q3 2024</w:t>
            </w:r>
            <w:r w:rsidR="00E05E1C">
              <w:rPr>
                <w:noProof/>
                <w:webHidden/>
              </w:rPr>
              <w:tab/>
            </w:r>
            <w:r w:rsidR="00E05E1C">
              <w:rPr>
                <w:noProof/>
                <w:webHidden/>
              </w:rPr>
              <w:fldChar w:fldCharType="begin"/>
            </w:r>
            <w:r w:rsidR="00E05E1C">
              <w:rPr>
                <w:noProof/>
                <w:webHidden/>
              </w:rPr>
              <w:instrText xml:space="preserve"> PAGEREF _Toc182490816 \h </w:instrText>
            </w:r>
            <w:r w:rsidR="00E05E1C">
              <w:rPr>
                <w:noProof/>
                <w:webHidden/>
              </w:rPr>
            </w:r>
            <w:r w:rsidR="00E05E1C">
              <w:rPr>
                <w:noProof/>
                <w:webHidden/>
              </w:rPr>
              <w:fldChar w:fldCharType="separate"/>
            </w:r>
            <w:r w:rsidR="00E05E1C">
              <w:rPr>
                <w:noProof/>
                <w:webHidden/>
              </w:rPr>
              <w:t>7</w:t>
            </w:r>
            <w:r w:rsidR="00E05E1C">
              <w:rPr>
                <w:noProof/>
                <w:webHidden/>
              </w:rPr>
              <w:fldChar w:fldCharType="end"/>
            </w:r>
          </w:hyperlink>
        </w:p>
        <w:p w14:paraId="736BE557" w14:textId="267C86AC" w:rsidR="00E05E1C" w:rsidRDefault="0085013A">
          <w:pPr>
            <w:pStyle w:val="TOC3"/>
            <w:rPr>
              <w:rFonts w:asciiTheme="minorHAnsi" w:eastAsiaTheme="minorEastAsia" w:hAnsiTheme="minorHAnsi" w:cstheme="minorBidi"/>
              <w:noProof/>
              <w:kern w:val="2"/>
              <w:sz w:val="22"/>
              <w:szCs w:val="22"/>
              <w:lang w:eastAsia="en-AU"/>
              <w14:ligatures w14:val="standardContextual"/>
            </w:rPr>
          </w:pPr>
          <w:hyperlink w:anchor="_Toc182490817" w:history="1">
            <w:r w:rsidR="00E05E1C" w:rsidRPr="003C3404">
              <w:rPr>
                <w:rStyle w:val="Hyperlink"/>
                <w:noProof/>
              </w:rPr>
              <w:t>Table 9 – Weekday and weekend spending in Melbourne CBD – East, Q3 2024</w:t>
            </w:r>
            <w:r w:rsidR="00E05E1C">
              <w:rPr>
                <w:noProof/>
                <w:webHidden/>
              </w:rPr>
              <w:tab/>
            </w:r>
            <w:r w:rsidR="00E05E1C">
              <w:rPr>
                <w:noProof/>
                <w:webHidden/>
              </w:rPr>
              <w:fldChar w:fldCharType="begin"/>
            </w:r>
            <w:r w:rsidR="00E05E1C">
              <w:rPr>
                <w:noProof/>
                <w:webHidden/>
              </w:rPr>
              <w:instrText xml:space="preserve"> PAGEREF _Toc182490817 \h </w:instrText>
            </w:r>
            <w:r w:rsidR="00E05E1C">
              <w:rPr>
                <w:noProof/>
                <w:webHidden/>
              </w:rPr>
            </w:r>
            <w:r w:rsidR="00E05E1C">
              <w:rPr>
                <w:noProof/>
                <w:webHidden/>
              </w:rPr>
              <w:fldChar w:fldCharType="separate"/>
            </w:r>
            <w:r w:rsidR="00E05E1C">
              <w:rPr>
                <w:noProof/>
                <w:webHidden/>
              </w:rPr>
              <w:t>7</w:t>
            </w:r>
            <w:r w:rsidR="00E05E1C">
              <w:rPr>
                <w:noProof/>
                <w:webHidden/>
              </w:rPr>
              <w:fldChar w:fldCharType="end"/>
            </w:r>
          </w:hyperlink>
        </w:p>
        <w:p w14:paraId="0D4A3E2F" w14:textId="75A84078" w:rsidR="00E05E1C" w:rsidRDefault="0085013A">
          <w:pPr>
            <w:pStyle w:val="TOC3"/>
            <w:rPr>
              <w:rFonts w:asciiTheme="minorHAnsi" w:eastAsiaTheme="minorEastAsia" w:hAnsiTheme="minorHAnsi" w:cstheme="minorBidi"/>
              <w:noProof/>
              <w:kern w:val="2"/>
              <w:sz w:val="22"/>
              <w:szCs w:val="22"/>
              <w:lang w:eastAsia="en-AU"/>
              <w14:ligatures w14:val="standardContextual"/>
            </w:rPr>
          </w:pPr>
          <w:hyperlink w:anchor="_Toc182490818" w:history="1">
            <w:r w:rsidR="00E05E1C" w:rsidRPr="003C3404">
              <w:rPr>
                <w:rStyle w:val="Hyperlink"/>
                <w:noProof/>
              </w:rPr>
              <w:t>Table 10.a – Where spending in Melbourne CBD – East came from, Q3 2024</w:t>
            </w:r>
            <w:r w:rsidR="00E05E1C">
              <w:rPr>
                <w:noProof/>
                <w:webHidden/>
              </w:rPr>
              <w:tab/>
            </w:r>
            <w:r w:rsidR="00E05E1C">
              <w:rPr>
                <w:noProof/>
                <w:webHidden/>
              </w:rPr>
              <w:fldChar w:fldCharType="begin"/>
            </w:r>
            <w:r w:rsidR="00E05E1C">
              <w:rPr>
                <w:noProof/>
                <w:webHidden/>
              </w:rPr>
              <w:instrText xml:space="preserve"> PAGEREF _Toc182490818 \h </w:instrText>
            </w:r>
            <w:r w:rsidR="00E05E1C">
              <w:rPr>
                <w:noProof/>
                <w:webHidden/>
              </w:rPr>
            </w:r>
            <w:r w:rsidR="00E05E1C">
              <w:rPr>
                <w:noProof/>
                <w:webHidden/>
              </w:rPr>
              <w:fldChar w:fldCharType="separate"/>
            </w:r>
            <w:r w:rsidR="00E05E1C">
              <w:rPr>
                <w:noProof/>
                <w:webHidden/>
              </w:rPr>
              <w:t>7</w:t>
            </w:r>
            <w:r w:rsidR="00E05E1C">
              <w:rPr>
                <w:noProof/>
                <w:webHidden/>
              </w:rPr>
              <w:fldChar w:fldCharType="end"/>
            </w:r>
          </w:hyperlink>
        </w:p>
        <w:p w14:paraId="7440430C" w14:textId="08033230" w:rsidR="00E05E1C" w:rsidRDefault="0085013A">
          <w:pPr>
            <w:pStyle w:val="TOC3"/>
            <w:rPr>
              <w:rFonts w:asciiTheme="minorHAnsi" w:eastAsiaTheme="minorEastAsia" w:hAnsiTheme="minorHAnsi" w:cstheme="minorBidi"/>
              <w:noProof/>
              <w:kern w:val="2"/>
              <w:sz w:val="22"/>
              <w:szCs w:val="22"/>
              <w:lang w:eastAsia="en-AU"/>
              <w14:ligatures w14:val="standardContextual"/>
            </w:rPr>
          </w:pPr>
          <w:hyperlink w:anchor="_Toc182490819" w:history="1">
            <w:r w:rsidR="00E05E1C" w:rsidRPr="003C3404">
              <w:rPr>
                <w:rStyle w:val="Hyperlink"/>
                <w:noProof/>
              </w:rPr>
              <w:t>Table 10.b – Where spending in Melbourne CBD – East came from, Q3 2024</w:t>
            </w:r>
            <w:r w:rsidR="00E05E1C">
              <w:rPr>
                <w:noProof/>
                <w:webHidden/>
              </w:rPr>
              <w:tab/>
            </w:r>
            <w:r w:rsidR="00E05E1C">
              <w:rPr>
                <w:noProof/>
                <w:webHidden/>
              </w:rPr>
              <w:fldChar w:fldCharType="begin"/>
            </w:r>
            <w:r w:rsidR="00E05E1C">
              <w:rPr>
                <w:noProof/>
                <w:webHidden/>
              </w:rPr>
              <w:instrText xml:space="preserve"> PAGEREF _Toc182490819 \h </w:instrText>
            </w:r>
            <w:r w:rsidR="00E05E1C">
              <w:rPr>
                <w:noProof/>
                <w:webHidden/>
              </w:rPr>
            </w:r>
            <w:r w:rsidR="00E05E1C">
              <w:rPr>
                <w:noProof/>
                <w:webHidden/>
              </w:rPr>
              <w:fldChar w:fldCharType="separate"/>
            </w:r>
            <w:r w:rsidR="00E05E1C">
              <w:rPr>
                <w:noProof/>
                <w:webHidden/>
              </w:rPr>
              <w:t>8</w:t>
            </w:r>
            <w:r w:rsidR="00E05E1C">
              <w:rPr>
                <w:noProof/>
                <w:webHidden/>
              </w:rPr>
              <w:fldChar w:fldCharType="end"/>
            </w:r>
          </w:hyperlink>
        </w:p>
        <w:p w14:paraId="6059297B" w14:textId="37B41E40" w:rsidR="00E05E1C" w:rsidRDefault="0085013A">
          <w:pPr>
            <w:pStyle w:val="TOC2"/>
            <w:rPr>
              <w:rFonts w:asciiTheme="minorHAnsi" w:eastAsiaTheme="minorEastAsia" w:hAnsiTheme="minorHAnsi" w:cstheme="minorBidi"/>
              <w:noProof/>
              <w:kern w:val="2"/>
              <w:sz w:val="22"/>
              <w:szCs w:val="22"/>
              <w:lang w:eastAsia="en-AU"/>
              <w14:ligatures w14:val="standardContextual"/>
            </w:rPr>
          </w:pPr>
          <w:hyperlink w:anchor="_Toc182490820" w:history="1">
            <w:r w:rsidR="00E05E1C" w:rsidRPr="003C3404">
              <w:rPr>
                <w:rStyle w:val="Hyperlink"/>
                <w:noProof/>
              </w:rPr>
              <w:t>Melbourne CBD – West</w:t>
            </w:r>
            <w:r w:rsidR="00E05E1C">
              <w:rPr>
                <w:noProof/>
                <w:webHidden/>
              </w:rPr>
              <w:tab/>
            </w:r>
            <w:r w:rsidR="00E05E1C">
              <w:rPr>
                <w:noProof/>
                <w:webHidden/>
              </w:rPr>
              <w:fldChar w:fldCharType="begin"/>
            </w:r>
            <w:r w:rsidR="00E05E1C">
              <w:rPr>
                <w:noProof/>
                <w:webHidden/>
              </w:rPr>
              <w:instrText xml:space="preserve"> PAGEREF _Toc182490820 \h </w:instrText>
            </w:r>
            <w:r w:rsidR="00E05E1C">
              <w:rPr>
                <w:noProof/>
                <w:webHidden/>
              </w:rPr>
            </w:r>
            <w:r w:rsidR="00E05E1C">
              <w:rPr>
                <w:noProof/>
                <w:webHidden/>
              </w:rPr>
              <w:fldChar w:fldCharType="separate"/>
            </w:r>
            <w:r w:rsidR="00E05E1C">
              <w:rPr>
                <w:noProof/>
                <w:webHidden/>
              </w:rPr>
              <w:t>8</w:t>
            </w:r>
            <w:r w:rsidR="00E05E1C">
              <w:rPr>
                <w:noProof/>
                <w:webHidden/>
              </w:rPr>
              <w:fldChar w:fldCharType="end"/>
            </w:r>
          </w:hyperlink>
        </w:p>
        <w:p w14:paraId="579932EB" w14:textId="67C6DC29" w:rsidR="00E05E1C" w:rsidRDefault="0085013A">
          <w:pPr>
            <w:pStyle w:val="TOC3"/>
            <w:rPr>
              <w:rFonts w:asciiTheme="minorHAnsi" w:eastAsiaTheme="minorEastAsia" w:hAnsiTheme="minorHAnsi" w:cstheme="minorBidi"/>
              <w:noProof/>
              <w:kern w:val="2"/>
              <w:sz w:val="22"/>
              <w:szCs w:val="22"/>
              <w:lang w:eastAsia="en-AU"/>
              <w14:ligatures w14:val="standardContextual"/>
            </w:rPr>
          </w:pPr>
          <w:hyperlink w:anchor="_Toc182490821" w:history="1">
            <w:r w:rsidR="00E05E1C" w:rsidRPr="003C3404">
              <w:rPr>
                <w:rStyle w:val="Hyperlink"/>
                <w:noProof/>
              </w:rPr>
              <w:t>Table 11 – Spending by category, Q3 2024</w:t>
            </w:r>
            <w:r w:rsidR="00E05E1C">
              <w:rPr>
                <w:noProof/>
                <w:webHidden/>
              </w:rPr>
              <w:tab/>
            </w:r>
            <w:r w:rsidR="00E05E1C">
              <w:rPr>
                <w:noProof/>
                <w:webHidden/>
              </w:rPr>
              <w:fldChar w:fldCharType="begin"/>
            </w:r>
            <w:r w:rsidR="00E05E1C">
              <w:rPr>
                <w:noProof/>
                <w:webHidden/>
              </w:rPr>
              <w:instrText xml:space="preserve"> PAGEREF _Toc182490821 \h </w:instrText>
            </w:r>
            <w:r w:rsidR="00E05E1C">
              <w:rPr>
                <w:noProof/>
                <w:webHidden/>
              </w:rPr>
            </w:r>
            <w:r w:rsidR="00E05E1C">
              <w:rPr>
                <w:noProof/>
                <w:webHidden/>
              </w:rPr>
              <w:fldChar w:fldCharType="separate"/>
            </w:r>
            <w:r w:rsidR="00E05E1C">
              <w:rPr>
                <w:noProof/>
                <w:webHidden/>
              </w:rPr>
              <w:t>8</w:t>
            </w:r>
            <w:r w:rsidR="00E05E1C">
              <w:rPr>
                <w:noProof/>
                <w:webHidden/>
              </w:rPr>
              <w:fldChar w:fldCharType="end"/>
            </w:r>
          </w:hyperlink>
        </w:p>
        <w:p w14:paraId="2B43360B" w14:textId="4772D99E" w:rsidR="00E05E1C" w:rsidRDefault="0085013A">
          <w:pPr>
            <w:pStyle w:val="TOC3"/>
            <w:rPr>
              <w:rFonts w:asciiTheme="minorHAnsi" w:eastAsiaTheme="minorEastAsia" w:hAnsiTheme="minorHAnsi" w:cstheme="minorBidi"/>
              <w:noProof/>
              <w:kern w:val="2"/>
              <w:sz w:val="22"/>
              <w:szCs w:val="22"/>
              <w:lang w:eastAsia="en-AU"/>
              <w14:ligatures w14:val="standardContextual"/>
            </w:rPr>
          </w:pPr>
          <w:hyperlink w:anchor="_Toc182490822" w:history="1">
            <w:r w:rsidR="00E05E1C" w:rsidRPr="003C3404">
              <w:rPr>
                <w:rStyle w:val="Hyperlink"/>
                <w:noProof/>
              </w:rPr>
              <w:t>Table 12 – Work hours and non-work hours spending in Melbourne CBD – West, Q3 2024</w:t>
            </w:r>
            <w:r w:rsidR="00E05E1C">
              <w:rPr>
                <w:noProof/>
                <w:webHidden/>
              </w:rPr>
              <w:tab/>
            </w:r>
            <w:r w:rsidR="00E05E1C">
              <w:rPr>
                <w:noProof/>
                <w:webHidden/>
              </w:rPr>
              <w:fldChar w:fldCharType="begin"/>
            </w:r>
            <w:r w:rsidR="00E05E1C">
              <w:rPr>
                <w:noProof/>
                <w:webHidden/>
              </w:rPr>
              <w:instrText xml:space="preserve"> PAGEREF _Toc182490822 \h </w:instrText>
            </w:r>
            <w:r w:rsidR="00E05E1C">
              <w:rPr>
                <w:noProof/>
                <w:webHidden/>
              </w:rPr>
            </w:r>
            <w:r w:rsidR="00E05E1C">
              <w:rPr>
                <w:noProof/>
                <w:webHidden/>
              </w:rPr>
              <w:fldChar w:fldCharType="separate"/>
            </w:r>
            <w:r w:rsidR="00E05E1C">
              <w:rPr>
                <w:noProof/>
                <w:webHidden/>
              </w:rPr>
              <w:t>8</w:t>
            </w:r>
            <w:r w:rsidR="00E05E1C">
              <w:rPr>
                <w:noProof/>
                <w:webHidden/>
              </w:rPr>
              <w:fldChar w:fldCharType="end"/>
            </w:r>
          </w:hyperlink>
        </w:p>
        <w:p w14:paraId="4C7D0136" w14:textId="6B6C5459" w:rsidR="00E05E1C" w:rsidRDefault="0085013A">
          <w:pPr>
            <w:pStyle w:val="TOC3"/>
            <w:rPr>
              <w:rFonts w:asciiTheme="minorHAnsi" w:eastAsiaTheme="minorEastAsia" w:hAnsiTheme="minorHAnsi" w:cstheme="minorBidi"/>
              <w:noProof/>
              <w:kern w:val="2"/>
              <w:sz w:val="22"/>
              <w:szCs w:val="22"/>
              <w:lang w:eastAsia="en-AU"/>
              <w14:ligatures w14:val="standardContextual"/>
            </w:rPr>
          </w:pPr>
          <w:hyperlink w:anchor="_Toc182490823" w:history="1">
            <w:r w:rsidR="00E05E1C" w:rsidRPr="003C3404">
              <w:rPr>
                <w:rStyle w:val="Hyperlink"/>
                <w:noProof/>
              </w:rPr>
              <w:t>Table 13 – Weekday and weekend spending in Melbourne CBD – West, Q3 2024</w:t>
            </w:r>
            <w:r w:rsidR="00E05E1C">
              <w:rPr>
                <w:noProof/>
                <w:webHidden/>
              </w:rPr>
              <w:tab/>
            </w:r>
            <w:r w:rsidR="00E05E1C">
              <w:rPr>
                <w:noProof/>
                <w:webHidden/>
              </w:rPr>
              <w:fldChar w:fldCharType="begin"/>
            </w:r>
            <w:r w:rsidR="00E05E1C">
              <w:rPr>
                <w:noProof/>
                <w:webHidden/>
              </w:rPr>
              <w:instrText xml:space="preserve"> PAGEREF _Toc182490823 \h </w:instrText>
            </w:r>
            <w:r w:rsidR="00E05E1C">
              <w:rPr>
                <w:noProof/>
                <w:webHidden/>
              </w:rPr>
            </w:r>
            <w:r w:rsidR="00E05E1C">
              <w:rPr>
                <w:noProof/>
                <w:webHidden/>
              </w:rPr>
              <w:fldChar w:fldCharType="separate"/>
            </w:r>
            <w:r w:rsidR="00E05E1C">
              <w:rPr>
                <w:noProof/>
                <w:webHidden/>
              </w:rPr>
              <w:t>8</w:t>
            </w:r>
            <w:r w:rsidR="00E05E1C">
              <w:rPr>
                <w:noProof/>
                <w:webHidden/>
              </w:rPr>
              <w:fldChar w:fldCharType="end"/>
            </w:r>
          </w:hyperlink>
        </w:p>
        <w:p w14:paraId="72A45DD0" w14:textId="21D0DF29" w:rsidR="00E05E1C" w:rsidRDefault="0085013A">
          <w:pPr>
            <w:pStyle w:val="TOC3"/>
            <w:rPr>
              <w:rFonts w:asciiTheme="minorHAnsi" w:eastAsiaTheme="minorEastAsia" w:hAnsiTheme="minorHAnsi" w:cstheme="minorBidi"/>
              <w:noProof/>
              <w:kern w:val="2"/>
              <w:sz w:val="22"/>
              <w:szCs w:val="22"/>
              <w:lang w:eastAsia="en-AU"/>
              <w14:ligatures w14:val="standardContextual"/>
            </w:rPr>
          </w:pPr>
          <w:hyperlink w:anchor="_Toc182490824" w:history="1">
            <w:r w:rsidR="00E05E1C" w:rsidRPr="003C3404">
              <w:rPr>
                <w:rStyle w:val="Hyperlink"/>
                <w:noProof/>
              </w:rPr>
              <w:t>Table 14.a – Where spending in Melbourne CBD – West came from, Q3 2024</w:t>
            </w:r>
            <w:r w:rsidR="00E05E1C">
              <w:rPr>
                <w:noProof/>
                <w:webHidden/>
              </w:rPr>
              <w:tab/>
            </w:r>
            <w:r w:rsidR="00E05E1C">
              <w:rPr>
                <w:noProof/>
                <w:webHidden/>
              </w:rPr>
              <w:fldChar w:fldCharType="begin"/>
            </w:r>
            <w:r w:rsidR="00E05E1C">
              <w:rPr>
                <w:noProof/>
                <w:webHidden/>
              </w:rPr>
              <w:instrText xml:space="preserve"> PAGEREF _Toc182490824 \h </w:instrText>
            </w:r>
            <w:r w:rsidR="00E05E1C">
              <w:rPr>
                <w:noProof/>
                <w:webHidden/>
              </w:rPr>
            </w:r>
            <w:r w:rsidR="00E05E1C">
              <w:rPr>
                <w:noProof/>
                <w:webHidden/>
              </w:rPr>
              <w:fldChar w:fldCharType="separate"/>
            </w:r>
            <w:r w:rsidR="00E05E1C">
              <w:rPr>
                <w:noProof/>
                <w:webHidden/>
              </w:rPr>
              <w:t>9</w:t>
            </w:r>
            <w:r w:rsidR="00E05E1C">
              <w:rPr>
                <w:noProof/>
                <w:webHidden/>
              </w:rPr>
              <w:fldChar w:fldCharType="end"/>
            </w:r>
          </w:hyperlink>
        </w:p>
        <w:p w14:paraId="26AFF5AA" w14:textId="520BA7A6" w:rsidR="00E05E1C" w:rsidRDefault="0085013A">
          <w:pPr>
            <w:pStyle w:val="TOC3"/>
            <w:rPr>
              <w:rFonts w:asciiTheme="minorHAnsi" w:eastAsiaTheme="minorEastAsia" w:hAnsiTheme="minorHAnsi" w:cstheme="minorBidi"/>
              <w:noProof/>
              <w:kern w:val="2"/>
              <w:sz w:val="22"/>
              <w:szCs w:val="22"/>
              <w:lang w:eastAsia="en-AU"/>
              <w14:ligatures w14:val="standardContextual"/>
            </w:rPr>
          </w:pPr>
          <w:hyperlink w:anchor="_Toc182490825" w:history="1">
            <w:r w:rsidR="00E05E1C" w:rsidRPr="003C3404">
              <w:rPr>
                <w:rStyle w:val="Hyperlink"/>
                <w:noProof/>
              </w:rPr>
              <w:t>Table 14.b – Where spending in Melbourne CBD – West came from, Q3 2024</w:t>
            </w:r>
            <w:r w:rsidR="00E05E1C">
              <w:rPr>
                <w:noProof/>
                <w:webHidden/>
              </w:rPr>
              <w:tab/>
            </w:r>
            <w:r w:rsidR="00E05E1C">
              <w:rPr>
                <w:noProof/>
                <w:webHidden/>
              </w:rPr>
              <w:fldChar w:fldCharType="begin"/>
            </w:r>
            <w:r w:rsidR="00E05E1C">
              <w:rPr>
                <w:noProof/>
                <w:webHidden/>
              </w:rPr>
              <w:instrText xml:space="preserve"> PAGEREF _Toc182490825 \h </w:instrText>
            </w:r>
            <w:r w:rsidR="00E05E1C">
              <w:rPr>
                <w:noProof/>
                <w:webHidden/>
              </w:rPr>
            </w:r>
            <w:r w:rsidR="00E05E1C">
              <w:rPr>
                <w:noProof/>
                <w:webHidden/>
              </w:rPr>
              <w:fldChar w:fldCharType="separate"/>
            </w:r>
            <w:r w:rsidR="00E05E1C">
              <w:rPr>
                <w:noProof/>
                <w:webHidden/>
              </w:rPr>
              <w:t>9</w:t>
            </w:r>
            <w:r w:rsidR="00E05E1C">
              <w:rPr>
                <w:noProof/>
                <w:webHidden/>
              </w:rPr>
              <w:fldChar w:fldCharType="end"/>
            </w:r>
          </w:hyperlink>
        </w:p>
        <w:p w14:paraId="47705366" w14:textId="29DE95D4" w:rsidR="00E05E1C" w:rsidRDefault="0085013A">
          <w:pPr>
            <w:pStyle w:val="TOC2"/>
            <w:rPr>
              <w:rFonts w:asciiTheme="minorHAnsi" w:eastAsiaTheme="minorEastAsia" w:hAnsiTheme="minorHAnsi" w:cstheme="minorBidi"/>
              <w:noProof/>
              <w:kern w:val="2"/>
              <w:sz w:val="22"/>
              <w:szCs w:val="22"/>
              <w:lang w:eastAsia="en-AU"/>
              <w14:ligatures w14:val="standardContextual"/>
            </w:rPr>
          </w:pPr>
          <w:hyperlink w:anchor="_Toc182490826" w:history="1">
            <w:r w:rsidR="00E05E1C" w:rsidRPr="003C3404">
              <w:rPr>
                <w:rStyle w:val="Hyperlink"/>
                <w:noProof/>
              </w:rPr>
              <w:t>Melbourne CBD – North</w:t>
            </w:r>
            <w:r w:rsidR="00E05E1C">
              <w:rPr>
                <w:noProof/>
                <w:webHidden/>
              </w:rPr>
              <w:tab/>
            </w:r>
            <w:r w:rsidR="00E05E1C">
              <w:rPr>
                <w:noProof/>
                <w:webHidden/>
              </w:rPr>
              <w:fldChar w:fldCharType="begin"/>
            </w:r>
            <w:r w:rsidR="00E05E1C">
              <w:rPr>
                <w:noProof/>
                <w:webHidden/>
              </w:rPr>
              <w:instrText xml:space="preserve"> PAGEREF _Toc182490826 \h </w:instrText>
            </w:r>
            <w:r w:rsidR="00E05E1C">
              <w:rPr>
                <w:noProof/>
                <w:webHidden/>
              </w:rPr>
            </w:r>
            <w:r w:rsidR="00E05E1C">
              <w:rPr>
                <w:noProof/>
                <w:webHidden/>
              </w:rPr>
              <w:fldChar w:fldCharType="separate"/>
            </w:r>
            <w:r w:rsidR="00E05E1C">
              <w:rPr>
                <w:noProof/>
                <w:webHidden/>
              </w:rPr>
              <w:t>9</w:t>
            </w:r>
            <w:r w:rsidR="00E05E1C">
              <w:rPr>
                <w:noProof/>
                <w:webHidden/>
              </w:rPr>
              <w:fldChar w:fldCharType="end"/>
            </w:r>
          </w:hyperlink>
        </w:p>
        <w:p w14:paraId="3B3C4553" w14:textId="0A9EEF38" w:rsidR="00E05E1C" w:rsidRDefault="0085013A">
          <w:pPr>
            <w:pStyle w:val="TOC3"/>
            <w:rPr>
              <w:rFonts w:asciiTheme="minorHAnsi" w:eastAsiaTheme="minorEastAsia" w:hAnsiTheme="minorHAnsi" w:cstheme="minorBidi"/>
              <w:noProof/>
              <w:kern w:val="2"/>
              <w:sz w:val="22"/>
              <w:szCs w:val="22"/>
              <w:lang w:eastAsia="en-AU"/>
              <w14:ligatures w14:val="standardContextual"/>
            </w:rPr>
          </w:pPr>
          <w:hyperlink w:anchor="_Toc182490827" w:history="1">
            <w:r w:rsidR="00E05E1C" w:rsidRPr="003C3404">
              <w:rPr>
                <w:rStyle w:val="Hyperlink"/>
                <w:noProof/>
              </w:rPr>
              <w:t>Table 15 – Spending by category, Q3 2024</w:t>
            </w:r>
            <w:r w:rsidR="00E05E1C">
              <w:rPr>
                <w:noProof/>
                <w:webHidden/>
              </w:rPr>
              <w:tab/>
            </w:r>
            <w:r w:rsidR="00E05E1C">
              <w:rPr>
                <w:noProof/>
                <w:webHidden/>
              </w:rPr>
              <w:fldChar w:fldCharType="begin"/>
            </w:r>
            <w:r w:rsidR="00E05E1C">
              <w:rPr>
                <w:noProof/>
                <w:webHidden/>
              </w:rPr>
              <w:instrText xml:space="preserve"> PAGEREF _Toc182490827 \h </w:instrText>
            </w:r>
            <w:r w:rsidR="00E05E1C">
              <w:rPr>
                <w:noProof/>
                <w:webHidden/>
              </w:rPr>
            </w:r>
            <w:r w:rsidR="00E05E1C">
              <w:rPr>
                <w:noProof/>
                <w:webHidden/>
              </w:rPr>
              <w:fldChar w:fldCharType="separate"/>
            </w:r>
            <w:r w:rsidR="00E05E1C">
              <w:rPr>
                <w:noProof/>
                <w:webHidden/>
              </w:rPr>
              <w:t>9</w:t>
            </w:r>
            <w:r w:rsidR="00E05E1C">
              <w:rPr>
                <w:noProof/>
                <w:webHidden/>
              </w:rPr>
              <w:fldChar w:fldCharType="end"/>
            </w:r>
          </w:hyperlink>
        </w:p>
        <w:p w14:paraId="123C4FC1" w14:textId="5312B4A0" w:rsidR="00E05E1C" w:rsidRDefault="0085013A">
          <w:pPr>
            <w:pStyle w:val="TOC3"/>
            <w:rPr>
              <w:rFonts w:asciiTheme="minorHAnsi" w:eastAsiaTheme="minorEastAsia" w:hAnsiTheme="minorHAnsi" w:cstheme="minorBidi"/>
              <w:noProof/>
              <w:kern w:val="2"/>
              <w:sz w:val="22"/>
              <w:szCs w:val="22"/>
              <w:lang w:eastAsia="en-AU"/>
              <w14:ligatures w14:val="standardContextual"/>
            </w:rPr>
          </w:pPr>
          <w:hyperlink w:anchor="_Toc182490828" w:history="1">
            <w:r w:rsidR="00E05E1C" w:rsidRPr="003C3404">
              <w:rPr>
                <w:rStyle w:val="Hyperlink"/>
                <w:noProof/>
              </w:rPr>
              <w:t>Table 16 – Work hours and non-work hours spending in Melbourne CBD – North, Q3 2024</w:t>
            </w:r>
            <w:r w:rsidR="00E05E1C">
              <w:rPr>
                <w:noProof/>
                <w:webHidden/>
              </w:rPr>
              <w:tab/>
            </w:r>
            <w:r w:rsidR="00E05E1C">
              <w:rPr>
                <w:noProof/>
                <w:webHidden/>
              </w:rPr>
              <w:fldChar w:fldCharType="begin"/>
            </w:r>
            <w:r w:rsidR="00E05E1C">
              <w:rPr>
                <w:noProof/>
                <w:webHidden/>
              </w:rPr>
              <w:instrText xml:space="preserve"> PAGEREF _Toc182490828 \h </w:instrText>
            </w:r>
            <w:r w:rsidR="00E05E1C">
              <w:rPr>
                <w:noProof/>
                <w:webHidden/>
              </w:rPr>
            </w:r>
            <w:r w:rsidR="00E05E1C">
              <w:rPr>
                <w:noProof/>
                <w:webHidden/>
              </w:rPr>
              <w:fldChar w:fldCharType="separate"/>
            </w:r>
            <w:r w:rsidR="00E05E1C">
              <w:rPr>
                <w:noProof/>
                <w:webHidden/>
              </w:rPr>
              <w:t>9</w:t>
            </w:r>
            <w:r w:rsidR="00E05E1C">
              <w:rPr>
                <w:noProof/>
                <w:webHidden/>
              </w:rPr>
              <w:fldChar w:fldCharType="end"/>
            </w:r>
          </w:hyperlink>
        </w:p>
        <w:p w14:paraId="2ECC6758" w14:textId="507F0624" w:rsidR="00E05E1C" w:rsidRDefault="0085013A">
          <w:pPr>
            <w:pStyle w:val="TOC3"/>
            <w:rPr>
              <w:rFonts w:asciiTheme="minorHAnsi" w:eastAsiaTheme="minorEastAsia" w:hAnsiTheme="minorHAnsi" w:cstheme="minorBidi"/>
              <w:noProof/>
              <w:kern w:val="2"/>
              <w:sz w:val="22"/>
              <w:szCs w:val="22"/>
              <w:lang w:eastAsia="en-AU"/>
              <w14:ligatures w14:val="standardContextual"/>
            </w:rPr>
          </w:pPr>
          <w:hyperlink w:anchor="_Toc182490829" w:history="1">
            <w:r w:rsidR="00E05E1C" w:rsidRPr="003C3404">
              <w:rPr>
                <w:rStyle w:val="Hyperlink"/>
                <w:noProof/>
              </w:rPr>
              <w:t>Table 17 – Weekday and weekend spending in Melbourne CBD – North, Q3 2024</w:t>
            </w:r>
            <w:r w:rsidR="00E05E1C">
              <w:rPr>
                <w:noProof/>
                <w:webHidden/>
              </w:rPr>
              <w:tab/>
            </w:r>
            <w:r w:rsidR="00E05E1C">
              <w:rPr>
                <w:noProof/>
                <w:webHidden/>
              </w:rPr>
              <w:fldChar w:fldCharType="begin"/>
            </w:r>
            <w:r w:rsidR="00E05E1C">
              <w:rPr>
                <w:noProof/>
                <w:webHidden/>
              </w:rPr>
              <w:instrText xml:space="preserve"> PAGEREF _Toc182490829 \h </w:instrText>
            </w:r>
            <w:r w:rsidR="00E05E1C">
              <w:rPr>
                <w:noProof/>
                <w:webHidden/>
              </w:rPr>
            </w:r>
            <w:r w:rsidR="00E05E1C">
              <w:rPr>
                <w:noProof/>
                <w:webHidden/>
              </w:rPr>
              <w:fldChar w:fldCharType="separate"/>
            </w:r>
            <w:r w:rsidR="00E05E1C">
              <w:rPr>
                <w:noProof/>
                <w:webHidden/>
              </w:rPr>
              <w:t>10</w:t>
            </w:r>
            <w:r w:rsidR="00E05E1C">
              <w:rPr>
                <w:noProof/>
                <w:webHidden/>
              </w:rPr>
              <w:fldChar w:fldCharType="end"/>
            </w:r>
          </w:hyperlink>
        </w:p>
        <w:p w14:paraId="72A578B4" w14:textId="19928DFE" w:rsidR="00E05E1C" w:rsidRDefault="0085013A">
          <w:pPr>
            <w:pStyle w:val="TOC3"/>
            <w:rPr>
              <w:rFonts w:asciiTheme="minorHAnsi" w:eastAsiaTheme="minorEastAsia" w:hAnsiTheme="minorHAnsi" w:cstheme="minorBidi"/>
              <w:noProof/>
              <w:kern w:val="2"/>
              <w:sz w:val="22"/>
              <w:szCs w:val="22"/>
              <w:lang w:eastAsia="en-AU"/>
              <w14:ligatures w14:val="standardContextual"/>
            </w:rPr>
          </w:pPr>
          <w:hyperlink w:anchor="_Toc182490830" w:history="1">
            <w:r w:rsidR="00E05E1C" w:rsidRPr="003C3404">
              <w:rPr>
                <w:rStyle w:val="Hyperlink"/>
                <w:noProof/>
              </w:rPr>
              <w:t>Table 18.a – Where spending in Melbourne CBD – North came from, Q3 2024</w:t>
            </w:r>
            <w:r w:rsidR="00E05E1C">
              <w:rPr>
                <w:noProof/>
                <w:webHidden/>
              </w:rPr>
              <w:tab/>
            </w:r>
            <w:r w:rsidR="00E05E1C">
              <w:rPr>
                <w:noProof/>
                <w:webHidden/>
              </w:rPr>
              <w:fldChar w:fldCharType="begin"/>
            </w:r>
            <w:r w:rsidR="00E05E1C">
              <w:rPr>
                <w:noProof/>
                <w:webHidden/>
              </w:rPr>
              <w:instrText xml:space="preserve"> PAGEREF _Toc182490830 \h </w:instrText>
            </w:r>
            <w:r w:rsidR="00E05E1C">
              <w:rPr>
                <w:noProof/>
                <w:webHidden/>
              </w:rPr>
            </w:r>
            <w:r w:rsidR="00E05E1C">
              <w:rPr>
                <w:noProof/>
                <w:webHidden/>
              </w:rPr>
              <w:fldChar w:fldCharType="separate"/>
            </w:r>
            <w:r w:rsidR="00E05E1C">
              <w:rPr>
                <w:noProof/>
                <w:webHidden/>
              </w:rPr>
              <w:t>10</w:t>
            </w:r>
            <w:r w:rsidR="00E05E1C">
              <w:rPr>
                <w:noProof/>
                <w:webHidden/>
              </w:rPr>
              <w:fldChar w:fldCharType="end"/>
            </w:r>
          </w:hyperlink>
        </w:p>
        <w:p w14:paraId="51147425" w14:textId="1083068F" w:rsidR="00E05E1C" w:rsidRDefault="0085013A">
          <w:pPr>
            <w:pStyle w:val="TOC3"/>
            <w:rPr>
              <w:rFonts w:asciiTheme="minorHAnsi" w:eastAsiaTheme="minorEastAsia" w:hAnsiTheme="minorHAnsi" w:cstheme="minorBidi"/>
              <w:noProof/>
              <w:kern w:val="2"/>
              <w:sz w:val="22"/>
              <w:szCs w:val="22"/>
              <w:lang w:eastAsia="en-AU"/>
              <w14:ligatures w14:val="standardContextual"/>
            </w:rPr>
          </w:pPr>
          <w:hyperlink w:anchor="_Toc182490831" w:history="1">
            <w:r w:rsidR="00E05E1C" w:rsidRPr="003C3404">
              <w:rPr>
                <w:rStyle w:val="Hyperlink"/>
                <w:noProof/>
              </w:rPr>
              <w:t>Table 18.b – Where spending in Melbourne CBD – North came from, Q3 2024</w:t>
            </w:r>
            <w:r w:rsidR="00E05E1C">
              <w:rPr>
                <w:noProof/>
                <w:webHidden/>
              </w:rPr>
              <w:tab/>
            </w:r>
            <w:r w:rsidR="00E05E1C">
              <w:rPr>
                <w:noProof/>
                <w:webHidden/>
              </w:rPr>
              <w:fldChar w:fldCharType="begin"/>
            </w:r>
            <w:r w:rsidR="00E05E1C">
              <w:rPr>
                <w:noProof/>
                <w:webHidden/>
              </w:rPr>
              <w:instrText xml:space="preserve"> PAGEREF _Toc182490831 \h </w:instrText>
            </w:r>
            <w:r w:rsidR="00E05E1C">
              <w:rPr>
                <w:noProof/>
                <w:webHidden/>
              </w:rPr>
            </w:r>
            <w:r w:rsidR="00E05E1C">
              <w:rPr>
                <w:noProof/>
                <w:webHidden/>
              </w:rPr>
              <w:fldChar w:fldCharType="separate"/>
            </w:r>
            <w:r w:rsidR="00E05E1C">
              <w:rPr>
                <w:noProof/>
                <w:webHidden/>
              </w:rPr>
              <w:t>10</w:t>
            </w:r>
            <w:r w:rsidR="00E05E1C">
              <w:rPr>
                <w:noProof/>
                <w:webHidden/>
              </w:rPr>
              <w:fldChar w:fldCharType="end"/>
            </w:r>
          </w:hyperlink>
        </w:p>
        <w:p w14:paraId="18B898DE" w14:textId="207E542A" w:rsidR="00E05E1C" w:rsidRDefault="0085013A">
          <w:pPr>
            <w:pStyle w:val="TOC2"/>
            <w:rPr>
              <w:rFonts w:asciiTheme="minorHAnsi" w:eastAsiaTheme="minorEastAsia" w:hAnsiTheme="minorHAnsi" w:cstheme="minorBidi"/>
              <w:noProof/>
              <w:kern w:val="2"/>
              <w:sz w:val="22"/>
              <w:szCs w:val="22"/>
              <w:lang w:eastAsia="en-AU"/>
              <w14:ligatures w14:val="standardContextual"/>
            </w:rPr>
          </w:pPr>
          <w:hyperlink w:anchor="_Toc182490832" w:history="1">
            <w:r w:rsidR="00E05E1C" w:rsidRPr="003C3404">
              <w:rPr>
                <w:rStyle w:val="Hyperlink"/>
                <w:noProof/>
              </w:rPr>
              <w:t>Southbank</w:t>
            </w:r>
            <w:r w:rsidR="00E05E1C">
              <w:rPr>
                <w:noProof/>
                <w:webHidden/>
              </w:rPr>
              <w:tab/>
            </w:r>
            <w:r w:rsidR="00E05E1C">
              <w:rPr>
                <w:noProof/>
                <w:webHidden/>
              </w:rPr>
              <w:fldChar w:fldCharType="begin"/>
            </w:r>
            <w:r w:rsidR="00E05E1C">
              <w:rPr>
                <w:noProof/>
                <w:webHidden/>
              </w:rPr>
              <w:instrText xml:space="preserve"> PAGEREF _Toc182490832 \h </w:instrText>
            </w:r>
            <w:r w:rsidR="00E05E1C">
              <w:rPr>
                <w:noProof/>
                <w:webHidden/>
              </w:rPr>
            </w:r>
            <w:r w:rsidR="00E05E1C">
              <w:rPr>
                <w:noProof/>
                <w:webHidden/>
              </w:rPr>
              <w:fldChar w:fldCharType="separate"/>
            </w:r>
            <w:r w:rsidR="00E05E1C">
              <w:rPr>
                <w:noProof/>
                <w:webHidden/>
              </w:rPr>
              <w:t>10</w:t>
            </w:r>
            <w:r w:rsidR="00E05E1C">
              <w:rPr>
                <w:noProof/>
                <w:webHidden/>
              </w:rPr>
              <w:fldChar w:fldCharType="end"/>
            </w:r>
          </w:hyperlink>
        </w:p>
        <w:p w14:paraId="7CCD45ED" w14:textId="092B43A9" w:rsidR="00E05E1C" w:rsidRDefault="0085013A">
          <w:pPr>
            <w:pStyle w:val="TOC3"/>
            <w:rPr>
              <w:rFonts w:asciiTheme="minorHAnsi" w:eastAsiaTheme="minorEastAsia" w:hAnsiTheme="minorHAnsi" w:cstheme="minorBidi"/>
              <w:noProof/>
              <w:kern w:val="2"/>
              <w:sz w:val="22"/>
              <w:szCs w:val="22"/>
              <w:lang w:eastAsia="en-AU"/>
              <w14:ligatures w14:val="standardContextual"/>
            </w:rPr>
          </w:pPr>
          <w:hyperlink w:anchor="_Toc182490833" w:history="1">
            <w:r w:rsidR="00E05E1C" w:rsidRPr="003C3404">
              <w:rPr>
                <w:rStyle w:val="Hyperlink"/>
                <w:noProof/>
              </w:rPr>
              <w:t>Table 19 – Spending by category, Q3 2024</w:t>
            </w:r>
            <w:r w:rsidR="00E05E1C">
              <w:rPr>
                <w:noProof/>
                <w:webHidden/>
              </w:rPr>
              <w:tab/>
            </w:r>
            <w:r w:rsidR="00E05E1C">
              <w:rPr>
                <w:noProof/>
                <w:webHidden/>
              </w:rPr>
              <w:fldChar w:fldCharType="begin"/>
            </w:r>
            <w:r w:rsidR="00E05E1C">
              <w:rPr>
                <w:noProof/>
                <w:webHidden/>
              </w:rPr>
              <w:instrText xml:space="preserve"> PAGEREF _Toc182490833 \h </w:instrText>
            </w:r>
            <w:r w:rsidR="00E05E1C">
              <w:rPr>
                <w:noProof/>
                <w:webHidden/>
              </w:rPr>
            </w:r>
            <w:r w:rsidR="00E05E1C">
              <w:rPr>
                <w:noProof/>
                <w:webHidden/>
              </w:rPr>
              <w:fldChar w:fldCharType="separate"/>
            </w:r>
            <w:r w:rsidR="00E05E1C">
              <w:rPr>
                <w:noProof/>
                <w:webHidden/>
              </w:rPr>
              <w:t>10</w:t>
            </w:r>
            <w:r w:rsidR="00E05E1C">
              <w:rPr>
                <w:noProof/>
                <w:webHidden/>
              </w:rPr>
              <w:fldChar w:fldCharType="end"/>
            </w:r>
          </w:hyperlink>
        </w:p>
        <w:p w14:paraId="6A0087A9" w14:textId="77E85BCB" w:rsidR="00E05E1C" w:rsidRDefault="0085013A">
          <w:pPr>
            <w:pStyle w:val="TOC3"/>
            <w:rPr>
              <w:rFonts w:asciiTheme="minorHAnsi" w:eastAsiaTheme="minorEastAsia" w:hAnsiTheme="minorHAnsi" w:cstheme="minorBidi"/>
              <w:noProof/>
              <w:kern w:val="2"/>
              <w:sz w:val="22"/>
              <w:szCs w:val="22"/>
              <w:lang w:eastAsia="en-AU"/>
              <w14:ligatures w14:val="standardContextual"/>
            </w:rPr>
          </w:pPr>
          <w:hyperlink w:anchor="_Toc182490834" w:history="1">
            <w:r w:rsidR="00E05E1C" w:rsidRPr="003C3404">
              <w:rPr>
                <w:rStyle w:val="Hyperlink"/>
                <w:noProof/>
              </w:rPr>
              <w:t>Table 20 – Work hours and non-work hours spending in Southbank, Q3 2024</w:t>
            </w:r>
            <w:r w:rsidR="00E05E1C">
              <w:rPr>
                <w:noProof/>
                <w:webHidden/>
              </w:rPr>
              <w:tab/>
            </w:r>
            <w:r w:rsidR="00E05E1C">
              <w:rPr>
                <w:noProof/>
                <w:webHidden/>
              </w:rPr>
              <w:fldChar w:fldCharType="begin"/>
            </w:r>
            <w:r w:rsidR="00E05E1C">
              <w:rPr>
                <w:noProof/>
                <w:webHidden/>
              </w:rPr>
              <w:instrText xml:space="preserve"> PAGEREF _Toc182490834 \h </w:instrText>
            </w:r>
            <w:r w:rsidR="00E05E1C">
              <w:rPr>
                <w:noProof/>
                <w:webHidden/>
              </w:rPr>
            </w:r>
            <w:r w:rsidR="00E05E1C">
              <w:rPr>
                <w:noProof/>
                <w:webHidden/>
              </w:rPr>
              <w:fldChar w:fldCharType="separate"/>
            </w:r>
            <w:r w:rsidR="00E05E1C">
              <w:rPr>
                <w:noProof/>
                <w:webHidden/>
              </w:rPr>
              <w:t>10</w:t>
            </w:r>
            <w:r w:rsidR="00E05E1C">
              <w:rPr>
                <w:noProof/>
                <w:webHidden/>
              </w:rPr>
              <w:fldChar w:fldCharType="end"/>
            </w:r>
          </w:hyperlink>
        </w:p>
        <w:p w14:paraId="31615442" w14:textId="5F00CE9F" w:rsidR="00E05E1C" w:rsidRDefault="0085013A">
          <w:pPr>
            <w:pStyle w:val="TOC3"/>
            <w:rPr>
              <w:rFonts w:asciiTheme="minorHAnsi" w:eastAsiaTheme="minorEastAsia" w:hAnsiTheme="minorHAnsi" w:cstheme="minorBidi"/>
              <w:noProof/>
              <w:kern w:val="2"/>
              <w:sz w:val="22"/>
              <w:szCs w:val="22"/>
              <w:lang w:eastAsia="en-AU"/>
              <w14:ligatures w14:val="standardContextual"/>
            </w:rPr>
          </w:pPr>
          <w:hyperlink w:anchor="_Toc182490835" w:history="1">
            <w:r w:rsidR="00E05E1C" w:rsidRPr="003C3404">
              <w:rPr>
                <w:rStyle w:val="Hyperlink"/>
                <w:noProof/>
              </w:rPr>
              <w:t>Table 21 – Weekday and weekend spending in Southbank, Q3 2024</w:t>
            </w:r>
            <w:r w:rsidR="00E05E1C">
              <w:rPr>
                <w:noProof/>
                <w:webHidden/>
              </w:rPr>
              <w:tab/>
            </w:r>
            <w:r w:rsidR="00E05E1C">
              <w:rPr>
                <w:noProof/>
                <w:webHidden/>
              </w:rPr>
              <w:fldChar w:fldCharType="begin"/>
            </w:r>
            <w:r w:rsidR="00E05E1C">
              <w:rPr>
                <w:noProof/>
                <w:webHidden/>
              </w:rPr>
              <w:instrText xml:space="preserve"> PAGEREF _Toc182490835 \h </w:instrText>
            </w:r>
            <w:r w:rsidR="00E05E1C">
              <w:rPr>
                <w:noProof/>
                <w:webHidden/>
              </w:rPr>
            </w:r>
            <w:r w:rsidR="00E05E1C">
              <w:rPr>
                <w:noProof/>
                <w:webHidden/>
              </w:rPr>
              <w:fldChar w:fldCharType="separate"/>
            </w:r>
            <w:r w:rsidR="00E05E1C">
              <w:rPr>
                <w:noProof/>
                <w:webHidden/>
              </w:rPr>
              <w:t>11</w:t>
            </w:r>
            <w:r w:rsidR="00E05E1C">
              <w:rPr>
                <w:noProof/>
                <w:webHidden/>
              </w:rPr>
              <w:fldChar w:fldCharType="end"/>
            </w:r>
          </w:hyperlink>
        </w:p>
        <w:p w14:paraId="7DEA3719" w14:textId="2690483D" w:rsidR="00E05E1C" w:rsidRDefault="0085013A">
          <w:pPr>
            <w:pStyle w:val="TOC3"/>
            <w:rPr>
              <w:rFonts w:asciiTheme="minorHAnsi" w:eastAsiaTheme="minorEastAsia" w:hAnsiTheme="minorHAnsi" w:cstheme="minorBidi"/>
              <w:noProof/>
              <w:kern w:val="2"/>
              <w:sz w:val="22"/>
              <w:szCs w:val="22"/>
              <w:lang w:eastAsia="en-AU"/>
              <w14:ligatures w14:val="standardContextual"/>
            </w:rPr>
          </w:pPr>
          <w:hyperlink w:anchor="_Toc182490836" w:history="1">
            <w:r w:rsidR="00E05E1C" w:rsidRPr="003C3404">
              <w:rPr>
                <w:rStyle w:val="Hyperlink"/>
                <w:noProof/>
              </w:rPr>
              <w:t>Table 22.a – Where spending in Southbank came from, Q3 2024</w:t>
            </w:r>
            <w:r w:rsidR="00E05E1C">
              <w:rPr>
                <w:noProof/>
                <w:webHidden/>
              </w:rPr>
              <w:tab/>
            </w:r>
            <w:r w:rsidR="00E05E1C">
              <w:rPr>
                <w:noProof/>
                <w:webHidden/>
              </w:rPr>
              <w:fldChar w:fldCharType="begin"/>
            </w:r>
            <w:r w:rsidR="00E05E1C">
              <w:rPr>
                <w:noProof/>
                <w:webHidden/>
              </w:rPr>
              <w:instrText xml:space="preserve"> PAGEREF _Toc182490836 \h </w:instrText>
            </w:r>
            <w:r w:rsidR="00E05E1C">
              <w:rPr>
                <w:noProof/>
                <w:webHidden/>
              </w:rPr>
            </w:r>
            <w:r w:rsidR="00E05E1C">
              <w:rPr>
                <w:noProof/>
                <w:webHidden/>
              </w:rPr>
              <w:fldChar w:fldCharType="separate"/>
            </w:r>
            <w:r w:rsidR="00E05E1C">
              <w:rPr>
                <w:noProof/>
                <w:webHidden/>
              </w:rPr>
              <w:t>11</w:t>
            </w:r>
            <w:r w:rsidR="00E05E1C">
              <w:rPr>
                <w:noProof/>
                <w:webHidden/>
              </w:rPr>
              <w:fldChar w:fldCharType="end"/>
            </w:r>
          </w:hyperlink>
        </w:p>
        <w:p w14:paraId="1D50B318" w14:textId="59287902" w:rsidR="00E05E1C" w:rsidRDefault="0085013A">
          <w:pPr>
            <w:pStyle w:val="TOC3"/>
            <w:rPr>
              <w:rFonts w:asciiTheme="minorHAnsi" w:eastAsiaTheme="minorEastAsia" w:hAnsiTheme="minorHAnsi" w:cstheme="minorBidi"/>
              <w:noProof/>
              <w:kern w:val="2"/>
              <w:sz w:val="22"/>
              <w:szCs w:val="22"/>
              <w:lang w:eastAsia="en-AU"/>
              <w14:ligatures w14:val="standardContextual"/>
            </w:rPr>
          </w:pPr>
          <w:hyperlink w:anchor="_Toc182490837" w:history="1">
            <w:r w:rsidR="00E05E1C" w:rsidRPr="003C3404">
              <w:rPr>
                <w:rStyle w:val="Hyperlink"/>
                <w:noProof/>
              </w:rPr>
              <w:t>Table 22.b – Where spending in Southbank came from, Q3 2024</w:t>
            </w:r>
            <w:r w:rsidR="00E05E1C">
              <w:rPr>
                <w:noProof/>
                <w:webHidden/>
              </w:rPr>
              <w:tab/>
            </w:r>
            <w:r w:rsidR="00E05E1C">
              <w:rPr>
                <w:noProof/>
                <w:webHidden/>
              </w:rPr>
              <w:fldChar w:fldCharType="begin"/>
            </w:r>
            <w:r w:rsidR="00E05E1C">
              <w:rPr>
                <w:noProof/>
                <w:webHidden/>
              </w:rPr>
              <w:instrText xml:space="preserve"> PAGEREF _Toc182490837 \h </w:instrText>
            </w:r>
            <w:r w:rsidR="00E05E1C">
              <w:rPr>
                <w:noProof/>
                <w:webHidden/>
              </w:rPr>
            </w:r>
            <w:r w:rsidR="00E05E1C">
              <w:rPr>
                <w:noProof/>
                <w:webHidden/>
              </w:rPr>
              <w:fldChar w:fldCharType="separate"/>
            </w:r>
            <w:r w:rsidR="00E05E1C">
              <w:rPr>
                <w:noProof/>
                <w:webHidden/>
              </w:rPr>
              <w:t>11</w:t>
            </w:r>
            <w:r w:rsidR="00E05E1C">
              <w:rPr>
                <w:noProof/>
                <w:webHidden/>
              </w:rPr>
              <w:fldChar w:fldCharType="end"/>
            </w:r>
          </w:hyperlink>
        </w:p>
        <w:p w14:paraId="3BF360AF" w14:textId="3D802064" w:rsidR="00E05E1C" w:rsidRDefault="0085013A">
          <w:pPr>
            <w:pStyle w:val="TOC2"/>
            <w:rPr>
              <w:rFonts w:asciiTheme="minorHAnsi" w:eastAsiaTheme="minorEastAsia" w:hAnsiTheme="minorHAnsi" w:cstheme="minorBidi"/>
              <w:noProof/>
              <w:kern w:val="2"/>
              <w:sz w:val="22"/>
              <w:szCs w:val="22"/>
              <w:lang w:eastAsia="en-AU"/>
              <w14:ligatures w14:val="standardContextual"/>
            </w:rPr>
          </w:pPr>
          <w:hyperlink w:anchor="_Toc182490838" w:history="1">
            <w:r w:rsidR="00E05E1C" w:rsidRPr="003C3404">
              <w:rPr>
                <w:rStyle w:val="Hyperlink"/>
                <w:noProof/>
              </w:rPr>
              <w:t>Appendix 1: Data sources</w:t>
            </w:r>
            <w:r w:rsidR="00E05E1C">
              <w:rPr>
                <w:noProof/>
                <w:webHidden/>
              </w:rPr>
              <w:tab/>
            </w:r>
            <w:r w:rsidR="00E05E1C">
              <w:rPr>
                <w:noProof/>
                <w:webHidden/>
              </w:rPr>
              <w:fldChar w:fldCharType="begin"/>
            </w:r>
            <w:r w:rsidR="00E05E1C">
              <w:rPr>
                <w:noProof/>
                <w:webHidden/>
              </w:rPr>
              <w:instrText xml:space="preserve"> PAGEREF _Toc182490838 \h </w:instrText>
            </w:r>
            <w:r w:rsidR="00E05E1C">
              <w:rPr>
                <w:noProof/>
                <w:webHidden/>
              </w:rPr>
            </w:r>
            <w:r w:rsidR="00E05E1C">
              <w:rPr>
                <w:noProof/>
                <w:webHidden/>
              </w:rPr>
              <w:fldChar w:fldCharType="separate"/>
            </w:r>
            <w:r w:rsidR="00E05E1C">
              <w:rPr>
                <w:noProof/>
                <w:webHidden/>
              </w:rPr>
              <w:t>11</w:t>
            </w:r>
            <w:r w:rsidR="00E05E1C">
              <w:rPr>
                <w:noProof/>
                <w:webHidden/>
              </w:rPr>
              <w:fldChar w:fldCharType="end"/>
            </w:r>
          </w:hyperlink>
        </w:p>
        <w:p w14:paraId="5DAB6C7B" w14:textId="02D0DF90" w:rsidR="00756954" w:rsidRPr="00F64925" w:rsidRDefault="00D23D2B" w:rsidP="00F64925">
          <w:pPr>
            <w:pStyle w:val="TOC2"/>
            <w:ind w:left="0"/>
            <w:rPr>
              <w:noProof/>
              <w:color w:val="0000FF"/>
              <w:u w:val="single"/>
              <w:lang w:eastAsia="en-AU"/>
            </w:rPr>
          </w:pPr>
          <w:r w:rsidRPr="00600AE1">
            <w:rPr>
              <w:sz w:val="18"/>
              <w:szCs w:val="18"/>
            </w:rPr>
            <w:fldChar w:fldCharType="end"/>
          </w:r>
        </w:p>
      </w:sdtContent>
    </w:sdt>
    <w:p w14:paraId="02EB378F" w14:textId="77777777" w:rsidR="00B152AF" w:rsidRPr="00E5089C" w:rsidRDefault="00020B35" w:rsidP="00020B35">
      <w:pPr>
        <w:pStyle w:val="TOCHeading"/>
        <w:rPr>
          <w:rFonts w:hint="eastAsia"/>
        </w:rPr>
      </w:pPr>
      <w:r>
        <w:br w:type="page"/>
      </w:r>
      <w:bookmarkStart w:id="0" w:name="_Toc403992345"/>
      <w:bookmarkStart w:id="1" w:name="_Toc403992580"/>
      <w:bookmarkEnd w:id="0"/>
      <w:bookmarkEnd w:id="1"/>
    </w:p>
    <w:p w14:paraId="143CD7DB" w14:textId="5CEA365C" w:rsidR="5C1FB3B5" w:rsidRPr="003560A1" w:rsidRDefault="008B4414" w:rsidP="003560A1">
      <w:pPr>
        <w:pStyle w:val="Heading2"/>
        <w:rPr>
          <w:rFonts w:hint="eastAsia"/>
        </w:rPr>
      </w:pPr>
      <w:bookmarkStart w:id="2" w:name="_Toc182490804"/>
      <w:r>
        <w:rPr>
          <w:rStyle w:val="normaltextrun"/>
        </w:rPr>
        <w:lastRenderedPageBreak/>
        <w:t>Melbourne leads the country on interstate spend</w:t>
      </w:r>
      <w:r w:rsidR="0030394E" w:rsidRPr="003560A1">
        <w:t>.</w:t>
      </w:r>
      <w:bookmarkEnd w:id="2"/>
    </w:p>
    <w:p w14:paraId="1EC7FB0F" w14:textId="77777777" w:rsidR="00E05E1C" w:rsidRDefault="00E05E1C" w:rsidP="00E05E1C">
      <w:bookmarkStart w:id="3" w:name="_Toc403992346"/>
      <w:bookmarkStart w:id="4" w:name="_Toc403992581"/>
      <w:bookmarkStart w:id="5" w:name="_Toc419982220"/>
      <w:bookmarkStart w:id="6" w:name="_Toc419982306"/>
      <w:r w:rsidRPr="00E05E1C">
        <w:t>Melbourne is Australia's number one city for interstate* spend and visitors. Our international and interstate visitors generate two-thirds of our city’s total spend while representing just one quarter of our visitor base. Our incredible events calendar is attracting droves of younger travellers from interstate, while older Victorians are spending more time and money in their much-loved capital city.</w:t>
      </w:r>
    </w:p>
    <w:p w14:paraId="10897150" w14:textId="3FD9BA2C" w:rsidR="00F61A91" w:rsidRDefault="45EC3D86" w:rsidP="4E54D03C">
      <w:pPr>
        <w:pStyle w:val="Heading3"/>
        <w:rPr>
          <w:rFonts w:hint="eastAsia"/>
        </w:rPr>
      </w:pPr>
      <w:bookmarkStart w:id="7" w:name="_Toc182490805"/>
      <w:r>
        <w:t xml:space="preserve">Table 1 </w:t>
      </w:r>
      <w:r w:rsidR="009565CE">
        <w:t>–</w:t>
      </w:r>
      <w:r>
        <w:t xml:space="preserve"> </w:t>
      </w:r>
      <w:r w:rsidR="008B4414" w:rsidRPr="008B4414">
        <w:t>Melbourne continues to be the city with the most overnight interstate spend and visitors in Australia, ahead of Sydney. Year ending June 2024.</w:t>
      </w:r>
      <w:bookmarkEnd w:id="7"/>
    </w:p>
    <w:tbl>
      <w:tblPr>
        <w:tblStyle w:val="TableGrid"/>
        <w:tblW w:w="0" w:type="auto"/>
        <w:tblLook w:val="04A0" w:firstRow="1" w:lastRow="0" w:firstColumn="1" w:lastColumn="0" w:noHBand="0" w:noVBand="1"/>
      </w:tblPr>
      <w:tblGrid>
        <w:gridCol w:w="1413"/>
        <w:gridCol w:w="3260"/>
        <w:gridCol w:w="3260"/>
      </w:tblGrid>
      <w:tr w:rsidR="008B4414" w14:paraId="7A0DDDA0" w14:textId="30CF2B74" w:rsidTr="00017E72">
        <w:tc>
          <w:tcPr>
            <w:tcW w:w="1413" w:type="dxa"/>
          </w:tcPr>
          <w:p w14:paraId="495BAA2E" w14:textId="023C0A3D" w:rsidR="008B4414" w:rsidRPr="008F55EC" w:rsidRDefault="008B4414" w:rsidP="002E01B9">
            <w:pPr>
              <w:rPr>
                <w:b/>
                <w:sz w:val="22"/>
                <w:szCs w:val="22"/>
                <w:lang w:val="en-US"/>
              </w:rPr>
            </w:pPr>
            <w:r>
              <w:rPr>
                <w:b/>
                <w:sz w:val="22"/>
                <w:szCs w:val="22"/>
                <w:lang w:val="en-US"/>
              </w:rPr>
              <w:t>Location</w:t>
            </w:r>
          </w:p>
        </w:tc>
        <w:tc>
          <w:tcPr>
            <w:tcW w:w="3260" w:type="dxa"/>
            <w:tcBorders>
              <w:bottom w:val="single" w:sz="4" w:space="0" w:color="auto"/>
            </w:tcBorders>
          </w:tcPr>
          <w:p w14:paraId="5C9C7A54" w14:textId="38D04533" w:rsidR="008B4414" w:rsidRPr="008F55EC" w:rsidRDefault="008B4414" w:rsidP="4E54D03C">
            <w:pPr>
              <w:rPr>
                <w:b/>
                <w:bCs/>
                <w:sz w:val="22"/>
                <w:szCs w:val="22"/>
                <w:lang w:val="en-US"/>
              </w:rPr>
            </w:pPr>
            <w:r>
              <w:rPr>
                <w:b/>
                <w:bCs/>
                <w:sz w:val="22"/>
                <w:szCs w:val="22"/>
                <w:lang w:val="en-US"/>
              </w:rPr>
              <w:t>Interstate overnight visitors</w:t>
            </w:r>
          </w:p>
        </w:tc>
        <w:tc>
          <w:tcPr>
            <w:tcW w:w="3260" w:type="dxa"/>
            <w:tcBorders>
              <w:bottom w:val="single" w:sz="4" w:space="0" w:color="auto"/>
            </w:tcBorders>
          </w:tcPr>
          <w:p w14:paraId="16C2DAAF" w14:textId="4E0D180D" w:rsidR="008B4414" w:rsidRDefault="008B4414" w:rsidP="4E54D03C">
            <w:pPr>
              <w:rPr>
                <w:b/>
                <w:bCs/>
                <w:sz w:val="22"/>
                <w:szCs w:val="22"/>
                <w:lang w:val="en-US"/>
              </w:rPr>
            </w:pPr>
            <w:r>
              <w:rPr>
                <w:b/>
                <w:bCs/>
                <w:sz w:val="22"/>
                <w:szCs w:val="22"/>
                <w:lang w:val="en-US"/>
              </w:rPr>
              <w:t>Interstate visitor expenditure</w:t>
            </w:r>
          </w:p>
        </w:tc>
      </w:tr>
      <w:tr w:rsidR="008B4414" w14:paraId="0D1CD57A" w14:textId="4C4C215F" w:rsidTr="00017E72">
        <w:trPr>
          <w:trHeight w:val="300"/>
        </w:trPr>
        <w:tc>
          <w:tcPr>
            <w:tcW w:w="1413" w:type="dxa"/>
          </w:tcPr>
          <w:p w14:paraId="56ACEB01" w14:textId="481E4D1A" w:rsidR="008B4414" w:rsidRDefault="008B4414" w:rsidP="00CA189C">
            <w:pPr>
              <w:spacing w:line="240" w:lineRule="auto"/>
              <w:rPr>
                <w:rFonts w:eastAsia="Times New Roman" w:cs="Arial"/>
                <w:color w:val="000000" w:themeColor="text1"/>
                <w:sz w:val="22"/>
                <w:szCs w:val="22"/>
                <w:lang w:eastAsia="en-AU"/>
              </w:rPr>
            </w:pPr>
            <w:r>
              <w:rPr>
                <w:rFonts w:eastAsia="Times New Roman" w:cs="Arial"/>
                <w:color w:val="000000" w:themeColor="text1"/>
                <w:sz w:val="22"/>
                <w:szCs w:val="22"/>
                <w:lang w:eastAsia="en-AU"/>
              </w:rPr>
              <w:t>Melbourne</w:t>
            </w:r>
          </w:p>
        </w:tc>
        <w:tc>
          <w:tcPr>
            <w:tcW w:w="3260" w:type="dxa"/>
            <w:tcBorders>
              <w:top w:val="single" w:sz="4" w:space="0" w:color="auto"/>
              <w:left w:val="nil"/>
              <w:bottom w:val="single" w:sz="4" w:space="0" w:color="auto"/>
              <w:right w:val="single" w:sz="4" w:space="0" w:color="auto"/>
            </w:tcBorders>
            <w:shd w:val="clear" w:color="auto" w:fill="auto"/>
            <w:vAlign w:val="bottom"/>
          </w:tcPr>
          <w:p w14:paraId="3B956F55" w14:textId="3A8E2271" w:rsidR="008B4414" w:rsidRDefault="008B4414" w:rsidP="00CA189C">
            <w:pPr>
              <w:jc w:val="right"/>
              <w:rPr>
                <w:sz w:val="22"/>
                <w:szCs w:val="22"/>
                <w:lang w:val="en-US"/>
              </w:rPr>
            </w:pPr>
            <w:r>
              <w:rPr>
                <w:sz w:val="22"/>
                <w:szCs w:val="22"/>
                <w:lang w:val="en-US"/>
              </w:rPr>
              <w:t>5,975,000</w:t>
            </w:r>
          </w:p>
        </w:tc>
        <w:tc>
          <w:tcPr>
            <w:tcW w:w="3260" w:type="dxa"/>
            <w:tcBorders>
              <w:top w:val="single" w:sz="4" w:space="0" w:color="auto"/>
              <w:left w:val="nil"/>
              <w:bottom w:val="single" w:sz="4" w:space="0" w:color="auto"/>
              <w:right w:val="single" w:sz="4" w:space="0" w:color="auto"/>
            </w:tcBorders>
          </w:tcPr>
          <w:p w14:paraId="1FA92363" w14:textId="1C6A23AD" w:rsidR="008B4414" w:rsidRDefault="0008240E" w:rsidP="00CA189C">
            <w:pPr>
              <w:jc w:val="right"/>
              <w:rPr>
                <w:rFonts w:cs="Arial"/>
                <w:color w:val="000000"/>
                <w:sz w:val="22"/>
                <w:szCs w:val="22"/>
              </w:rPr>
            </w:pPr>
            <w:r>
              <w:rPr>
                <w:rFonts w:cs="Arial"/>
                <w:color w:val="000000"/>
                <w:sz w:val="22"/>
                <w:szCs w:val="22"/>
              </w:rPr>
              <w:t>$7,831,000,000</w:t>
            </w:r>
          </w:p>
        </w:tc>
      </w:tr>
      <w:tr w:rsidR="008B4414" w14:paraId="3934235D" w14:textId="36BF59B1" w:rsidTr="00017E72">
        <w:tc>
          <w:tcPr>
            <w:tcW w:w="1413" w:type="dxa"/>
          </w:tcPr>
          <w:p w14:paraId="18E1B18E" w14:textId="235ED0F4" w:rsidR="008B4414" w:rsidRPr="008F55EC" w:rsidRDefault="008B4414" w:rsidP="00CA189C">
            <w:pPr>
              <w:spacing w:after="0" w:line="240" w:lineRule="auto"/>
              <w:rPr>
                <w:rFonts w:eastAsia="Times New Roman" w:cs="Arial"/>
                <w:color w:val="000000"/>
                <w:sz w:val="22"/>
                <w:szCs w:val="22"/>
                <w:lang w:eastAsia="en-AU"/>
              </w:rPr>
            </w:pPr>
            <w:r>
              <w:rPr>
                <w:rFonts w:eastAsia="Times New Roman" w:cs="Arial"/>
                <w:color w:val="000000"/>
                <w:sz w:val="22"/>
                <w:szCs w:val="22"/>
                <w:lang w:eastAsia="en-AU"/>
              </w:rPr>
              <w:t>Sydney</w:t>
            </w:r>
          </w:p>
        </w:tc>
        <w:tc>
          <w:tcPr>
            <w:tcW w:w="3260" w:type="dxa"/>
            <w:tcBorders>
              <w:top w:val="single" w:sz="4" w:space="0" w:color="auto"/>
              <w:left w:val="nil"/>
              <w:bottom w:val="single" w:sz="4" w:space="0" w:color="auto"/>
              <w:right w:val="single" w:sz="4" w:space="0" w:color="auto"/>
            </w:tcBorders>
            <w:shd w:val="clear" w:color="auto" w:fill="auto"/>
            <w:vAlign w:val="bottom"/>
          </w:tcPr>
          <w:p w14:paraId="256545D1" w14:textId="718CA69E" w:rsidR="008B4414" w:rsidRPr="008F55EC" w:rsidRDefault="008B4414" w:rsidP="00CA189C">
            <w:pPr>
              <w:jc w:val="right"/>
              <w:rPr>
                <w:sz w:val="22"/>
                <w:szCs w:val="22"/>
                <w:lang w:val="en-US"/>
              </w:rPr>
            </w:pPr>
            <w:r>
              <w:rPr>
                <w:rFonts w:cs="Arial"/>
                <w:color w:val="000000"/>
                <w:sz w:val="22"/>
                <w:szCs w:val="22"/>
              </w:rPr>
              <w:t>5,387,000</w:t>
            </w:r>
          </w:p>
        </w:tc>
        <w:tc>
          <w:tcPr>
            <w:tcW w:w="3260" w:type="dxa"/>
            <w:tcBorders>
              <w:top w:val="single" w:sz="4" w:space="0" w:color="auto"/>
              <w:left w:val="nil"/>
              <w:bottom w:val="single" w:sz="4" w:space="0" w:color="auto"/>
              <w:right w:val="single" w:sz="4" w:space="0" w:color="auto"/>
            </w:tcBorders>
          </w:tcPr>
          <w:p w14:paraId="65E0B523" w14:textId="450A4932" w:rsidR="008B4414" w:rsidRDefault="0008240E" w:rsidP="00CA189C">
            <w:pPr>
              <w:jc w:val="right"/>
              <w:rPr>
                <w:rFonts w:cs="Arial"/>
                <w:color w:val="000000"/>
                <w:sz w:val="22"/>
                <w:szCs w:val="22"/>
              </w:rPr>
            </w:pPr>
            <w:r>
              <w:rPr>
                <w:rFonts w:cs="Arial"/>
                <w:color w:val="000000"/>
                <w:sz w:val="22"/>
                <w:szCs w:val="22"/>
              </w:rPr>
              <w:t>$6,390,000,000</w:t>
            </w:r>
          </w:p>
        </w:tc>
      </w:tr>
    </w:tbl>
    <w:p w14:paraId="04082D7F" w14:textId="0AF64E92" w:rsidR="005C3F28" w:rsidRPr="00F61A91" w:rsidRDefault="45EC3D86" w:rsidP="4E54D03C">
      <w:pPr>
        <w:pStyle w:val="Heading3"/>
        <w:rPr>
          <w:rFonts w:hint="eastAsia"/>
        </w:rPr>
      </w:pPr>
      <w:bookmarkStart w:id="8" w:name="_Toc182490806"/>
      <w:r>
        <w:t xml:space="preserve">Table 2 </w:t>
      </w:r>
      <w:r w:rsidR="00A50617">
        <w:t>–</w:t>
      </w:r>
      <w:r>
        <w:t xml:space="preserve"> </w:t>
      </w:r>
      <w:r w:rsidR="0008240E" w:rsidRPr="0008240E">
        <w:t xml:space="preserve">Melbourne's high-yield international and interstate visitors contribute a massive 67% to </w:t>
      </w:r>
      <w:proofErr w:type="gramStart"/>
      <w:r w:rsidR="0008240E" w:rsidRPr="0008240E">
        <w:t>its</w:t>
      </w:r>
      <w:proofErr w:type="gramEnd"/>
      <w:r w:rsidR="0008240E" w:rsidRPr="0008240E">
        <w:t xml:space="preserve"> spend, while making up only 26% of visitors. Year ending June 2024.</w:t>
      </w:r>
      <w:bookmarkEnd w:id="8"/>
    </w:p>
    <w:tbl>
      <w:tblPr>
        <w:tblStyle w:val="TableGrid"/>
        <w:tblW w:w="8217" w:type="dxa"/>
        <w:tblLook w:val="04A0" w:firstRow="1" w:lastRow="0" w:firstColumn="1" w:lastColumn="0" w:noHBand="0" w:noVBand="1"/>
      </w:tblPr>
      <w:tblGrid>
        <w:gridCol w:w="2547"/>
        <w:gridCol w:w="2835"/>
        <w:gridCol w:w="2835"/>
      </w:tblGrid>
      <w:tr w:rsidR="00A50617" w14:paraId="13AB6C80" w14:textId="3BD52BED" w:rsidTr="0008240E">
        <w:trPr>
          <w:trHeight w:val="415"/>
        </w:trPr>
        <w:tc>
          <w:tcPr>
            <w:tcW w:w="2547" w:type="dxa"/>
          </w:tcPr>
          <w:p w14:paraId="09D091E0" w14:textId="5BE2459C" w:rsidR="00A50617" w:rsidRPr="008F55EC" w:rsidRDefault="0008240E" w:rsidP="0092528F">
            <w:pPr>
              <w:rPr>
                <w:b/>
                <w:sz w:val="22"/>
                <w:szCs w:val="22"/>
              </w:rPr>
            </w:pPr>
            <w:r>
              <w:rPr>
                <w:b/>
                <w:sz w:val="22"/>
                <w:szCs w:val="22"/>
              </w:rPr>
              <w:t>Visitor type</w:t>
            </w:r>
          </w:p>
        </w:tc>
        <w:tc>
          <w:tcPr>
            <w:tcW w:w="2835" w:type="dxa"/>
          </w:tcPr>
          <w:p w14:paraId="4C55E1EE" w14:textId="23D65A0D" w:rsidR="00A50617" w:rsidRPr="008F55EC" w:rsidRDefault="00A175CD" w:rsidP="0092528F">
            <w:pPr>
              <w:rPr>
                <w:b/>
                <w:sz w:val="22"/>
                <w:szCs w:val="22"/>
              </w:rPr>
            </w:pPr>
            <w:r>
              <w:rPr>
                <w:rFonts w:cs="Arial"/>
                <w:b/>
                <w:bCs/>
                <w:color w:val="000000"/>
                <w:sz w:val="22"/>
                <w:szCs w:val="22"/>
              </w:rPr>
              <w:t xml:space="preserve">Percent of </w:t>
            </w:r>
            <w:r w:rsidR="0008240E">
              <w:rPr>
                <w:b/>
                <w:sz w:val="22"/>
                <w:szCs w:val="22"/>
              </w:rPr>
              <w:t>Visitors</w:t>
            </w:r>
          </w:p>
        </w:tc>
        <w:tc>
          <w:tcPr>
            <w:tcW w:w="2835" w:type="dxa"/>
          </w:tcPr>
          <w:p w14:paraId="6AC62BD4" w14:textId="7149715F" w:rsidR="00A50617" w:rsidRPr="008F55EC" w:rsidRDefault="00A175CD" w:rsidP="4E54D03C">
            <w:pPr>
              <w:rPr>
                <w:b/>
                <w:bCs/>
                <w:sz w:val="22"/>
                <w:szCs w:val="22"/>
              </w:rPr>
            </w:pPr>
            <w:r>
              <w:rPr>
                <w:rFonts w:cs="Arial"/>
                <w:b/>
                <w:bCs/>
                <w:color w:val="000000"/>
                <w:sz w:val="22"/>
                <w:szCs w:val="22"/>
              </w:rPr>
              <w:t xml:space="preserve">Percent of </w:t>
            </w:r>
            <w:r w:rsidR="0008240E">
              <w:rPr>
                <w:b/>
                <w:bCs/>
                <w:sz w:val="22"/>
                <w:szCs w:val="22"/>
              </w:rPr>
              <w:t>Spend</w:t>
            </w:r>
          </w:p>
        </w:tc>
      </w:tr>
      <w:tr w:rsidR="00A50617" w14:paraId="46DD5951" w14:textId="4CF2937A" w:rsidTr="0008240E">
        <w:trPr>
          <w:trHeight w:val="433"/>
        </w:trPr>
        <w:tc>
          <w:tcPr>
            <w:tcW w:w="2547" w:type="dxa"/>
          </w:tcPr>
          <w:p w14:paraId="359E63FE" w14:textId="39B781E0" w:rsidR="00A50617" w:rsidRPr="008F55EC" w:rsidRDefault="0008240E" w:rsidP="00757EEC">
            <w:pPr>
              <w:rPr>
                <w:rFonts w:cs="Arial"/>
                <w:color w:val="000000"/>
                <w:sz w:val="22"/>
                <w:szCs w:val="22"/>
              </w:rPr>
            </w:pPr>
            <w:r>
              <w:rPr>
                <w:rFonts w:cs="Arial"/>
                <w:color w:val="000000"/>
                <w:sz w:val="22"/>
                <w:szCs w:val="22"/>
              </w:rPr>
              <w:t>Domestic daytrips</w:t>
            </w:r>
          </w:p>
        </w:tc>
        <w:tc>
          <w:tcPr>
            <w:tcW w:w="2835" w:type="dxa"/>
            <w:vAlign w:val="bottom"/>
          </w:tcPr>
          <w:p w14:paraId="165C3F6C" w14:textId="1CF31E09" w:rsidR="00A50617" w:rsidRPr="008F55EC" w:rsidRDefault="0008240E" w:rsidP="00CA189C">
            <w:pPr>
              <w:jc w:val="right"/>
              <w:rPr>
                <w:sz w:val="22"/>
                <w:szCs w:val="22"/>
              </w:rPr>
            </w:pPr>
            <w:r>
              <w:rPr>
                <w:sz w:val="22"/>
                <w:szCs w:val="22"/>
              </w:rPr>
              <w:t>60%</w:t>
            </w:r>
          </w:p>
        </w:tc>
        <w:tc>
          <w:tcPr>
            <w:tcW w:w="2835" w:type="dxa"/>
            <w:vAlign w:val="bottom"/>
          </w:tcPr>
          <w:p w14:paraId="057FE03F" w14:textId="080DA3AF" w:rsidR="00A50617" w:rsidRPr="008F55EC" w:rsidRDefault="00CA189C" w:rsidP="00CA189C">
            <w:pPr>
              <w:jc w:val="right"/>
              <w:rPr>
                <w:sz w:val="22"/>
                <w:szCs w:val="22"/>
              </w:rPr>
            </w:pPr>
            <w:r>
              <w:rPr>
                <w:sz w:val="22"/>
                <w:szCs w:val="22"/>
              </w:rPr>
              <w:t>1</w:t>
            </w:r>
            <w:r w:rsidR="0008240E">
              <w:rPr>
                <w:sz w:val="22"/>
                <w:szCs w:val="22"/>
              </w:rPr>
              <w:t>4</w:t>
            </w:r>
            <w:r>
              <w:rPr>
                <w:sz w:val="22"/>
                <w:szCs w:val="22"/>
              </w:rPr>
              <w:t>%</w:t>
            </w:r>
          </w:p>
        </w:tc>
      </w:tr>
      <w:tr w:rsidR="0030394E" w14:paraId="0E5CDBEE" w14:textId="77777777" w:rsidTr="0008240E">
        <w:trPr>
          <w:trHeight w:val="433"/>
        </w:trPr>
        <w:tc>
          <w:tcPr>
            <w:tcW w:w="2547" w:type="dxa"/>
          </w:tcPr>
          <w:p w14:paraId="65E13384" w14:textId="23CDF6FE" w:rsidR="0030394E" w:rsidRDefault="0008240E" w:rsidP="0030394E">
            <w:pPr>
              <w:rPr>
                <w:rFonts w:cs="Arial"/>
                <w:color w:val="000000"/>
                <w:sz w:val="22"/>
                <w:szCs w:val="22"/>
              </w:rPr>
            </w:pPr>
            <w:r>
              <w:rPr>
                <w:rFonts w:cs="Arial"/>
                <w:color w:val="000000"/>
                <w:sz w:val="22"/>
                <w:szCs w:val="22"/>
              </w:rPr>
              <w:t>Intrastate overnight</w:t>
            </w:r>
          </w:p>
        </w:tc>
        <w:tc>
          <w:tcPr>
            <w:tcW w:w="2835" w:type="dxa"/>
            <w:vAlign w:val="bottom"/>
          </w:tcPr>
          <w:p w14:paraId="0B823B87" w14:textId="1A0A68B1" w:rsidR="0030394E" w:rsidRDefault="0008240E" w:rsidP="00CA189C">
            <w:pPr>
              <w:jc w:val="right"/>
              <w:rPr>
                <w:sz w:val="22"/>
                <w:szCs w:val="22"/>
              </w:rPr>
            </w:pPr>
            <w:r>
              <w:rPr>
                <w:sz w:val="22"/>
                <w:szCs w:val="22"/>
              </w:rPr>
              <w:t>14%</w:t>
            </w:r>
          </w:p>
        </w:tc>
        <w:tc>
          <w:tcPr>
            <w:tcW w:w="2835" w:type="dxa"/>
            <w:vAlign w:val="bottom"/>
          </w:tcPr>
          <w:p w14:paraId="1E326517" w14:textId="1A525E95" w:rsidR="0030394E" w:rsidRDefault="00CA189C" w:rsidP="00CA189C">
            <w:pPr>
              <w:jc w:val="right"/>
              <w:rPr>
                <w:rFonts w:cs="Arial"/>
                <w:color w:val="000000"/>
                <w:sz w:val="22"/>
                <w:szCs w:val="22"/>
              </w:rPr>
            </w:pPr>
            <w:r>
              <w:rPr>
                <w:rFonts w:cs="Arial"/>
                <w:color w:val="000000"/>
                <w:sz w:val="22"/>
                <w:szCs w:val="22"/>
              </w:rPr>
              <w:t>1</w:t>
            </w:r>
            <w:r w:rsidR="0008240E">
              <w:rPr>
                <w:rFonts w:cs="Arial"/>
                <w:color w:val="000000"/>
                <w:sz w:val="22"/>
                <w:szCs w:val="22"/>
              </w:rPr>
              <w:t>8</w:t>
            </w:r>
            <w:r>
              <w:rPr>
                <w:rFonts w:cs="Arial"/>
                <w:color w:val="000000"/>
                <w:sz w:val="22"/>
                <w:szCs w:val="22"/>
              </w:rPr>
              <w:t>%</w:t>
            </w:r>
          </w:p>
        </w:tc>
      </w:tr>
      <w:tr w:rsidR="005C7F51" w14:paraId="41BE5C97" w14:textId="5AADEE28" w:rsidTr="0008240E">
        <w:trPr>
          <w:trHeight w:val="415"/>
        </w:trPr>
        <w:tc>
          <w:tcPr>
            <w:tcW w:w="2547" w:type="dxa"/>
          </w:tcPr>
          <w:p w14:paraId="6EF2FBE6" w14:textId="2FD8C65A" w:rsidR="005C7F51" w:rsidRPr="008F55EC" w:rsidRDefault="0008240E" w:rsidP="005C7F51">
            <w:pPr>
              <w:rPr>
                <w:rFonts w:cs="Arial"/>
                <w:color w:val="000000"/>
                <w:sz w:val="22"/>
                <w:szCs w:val="22"/>
              </w:rPr>
            </w:pPr>
            <w:r>
              <w:rPr>
                <w:rFonts w:cs="Arial"/>
                <w:color w:val="000000"/>
                <w:sz w:val="22"/>
                <w:szCs w:val="22"/>
              </w:rPr>
              <w:t>Interstate overnight</w:t>
            </w:r>
          </w:p>
        </w:tc>
        <w:tc>
          <w:tcPr>
            <w:tcW w:w="2835" w:type="dxa"/>
            <w:vAlign w:val="bottom"/>
          </w:tcPr>
          <w:p w14:paraId="3DE824B1" w14:textId="6AE3359D" w:rsidR="005C7F51" w:rsidRPr="008F55EC" w:rsidRDefault="0008240E" w:rsidP="00CA189C">
            <w:pPr>
              <w:jc w:val="right"/>
              <w:rPr>
                <w:sz w:val="22"/>
                <w:szCs w:val="22"/>
              </w:rPr>
            </w:pPr>
            <w:r>
              <w:rPr>
                <w:sz w:val="22"/>
                <w:szCs w:val="22"/>
              </w:rPr>
              <w:t>19%</w:t>
            </w:r>
          </w:p>
        </w:tc>
        <w:tc>
          <w:tcPr>
            <w:tcW w:w="2835" w:type="dxa"/>
            <w:vAlign w:val="bottom"/>
          </w:tcPr>
          <w:p w14:paraId="50BA6004" w14:textId="70FAB79E" w:rsidR="005C7F51" w:rsidRPr="008F55EC" w:rsidRDefault="0008240E" w:rsidP="00CA189C">
            <w:pPr>
              <w:jc w:val="right"/>
              <w:rPr>
                <w:sz w:val="22"/>
                <w:szCs w:val="22"/>
              </w:rPr>
            </w:pPr>
            <w:r>
              <w:rPr>
                <w:sz w:val="22"/>
                <w:szCs w:val="22"/>
              </w:rPr>
              <w:t>34</w:t>
            </w:r>
            <w:r w:rsidR="00CA189C">
              <w:rPr>
                <w:sz w:val="22"/>
                <w:szCs w:val="22"/>
              </w:rPr>
              <w:t>%</w:t>
            </w:r>
          </w:p>
        </w:tc>
      </w:tr>
      <w:tr w:rsidR="005C7F51" w14:paraId="3DCA3DFF" w14:textId="77777777" w:rsidTr="0008240E">
        <w:trPr>
          <w:trHeight w:val="415"/>
        </w:trPr>
        <w:tc>
          <w:tcPr>
            <w:tcW w:w="2547" w:type="dxa"/>
          </w:tcPr>
          <w:p w14:paraId="3D88CE13" w14:textId="2E67C2BD" w:rsidR="005C7F51" w:rsidRDefault="0008240E" w:rsidP="005C7F51">
            <w:pPr>
              <w:rPr>
                <w:rFonts w:cs="Arial"/>
                <w:color w:val="000000"/>
                <w:sz w:val="22"/>
                <w:szCs w:val="22"/>
              </w:rPr>
            </w:pPr>
            <w:r>
              <w:rPr>
                <w:rFonts w:cs="Arial"/>
                <w:color w:val="000000"/>
                <w:sz w:val="22"/>
                <w:szCs w:val="22"/>
              </w:rPr>
              <w:t>International overnight</w:t>
            </w:r>
          </w:p>
        </w:tc>
        <w:tc>
          <w:tcPr>
            <w:tcW w:w="2835" w:type="dxa"/>
            <w:vAlign w:val="bottom"/>
          </w:tcPr>
          <w:p w14:paraId="44568FA3" w14:textId="2768B729" w:rsidR="005C7F51" w:rsidRDefault="0008240E" w:rsidP="00CA189C">
            <w:pPr>
              <w:jc w:val="right"/>
              <w:rPr>
                <w:sz w:val="22"/>
                <w:szCs w:val="22"/>
              </w:rPr>
            </w:pPr>
            <w:r>
              <w:rPr>
                <w:sz w:val="22"/>
                <w:szCs w:val="22"/>
              </w:rPr>
              <w:t>7%</w:t>
            </w:r>
          </w:p>
        </w:tc>
        <w:tc>
          <w:tcPr>
            <w:tcW w:w="2835" w:type="dxa"/>
            <w:vAlign w:val="bottom"/>
          </w:tcPr>
          <w:p w14:paraId="47D126CC" w14:textId="6347DBF6" w:rsidR="005C7F51" w:rsidRDefault="0008240E" w:rsidP="00CA189C">
            <w:pPr>
              <w:jc w:val="right"/>
              <w:rPr>
                <w:sz w:val="22"/>
                <w:szCs w:val="22"/>
              </w:rPr>
            </w:pPr>
            <w:r>
              <w:rPr>
                <w:sz w:val="22"/>
                <w:szCs w:val="22"/>
              </w:rPr>
              <w:t>33</w:t>
            </w:r>
            <w:r w:rsidR="00CA189C">
              <w:rPr>
                <w:sz w:val="22"/>
                <w:szCs w:val="22"/>
              </w:rPr>
              <w:t>%</w:t>
            </w:r>
          </w:p>
        </w:tc>
      </w:tr>
    </w:tbl>
    <w:bookmarkEnd w:id="3"/>
    <w:bookmarkEnd w:id="4"/>
    <w:bookmarkEnd w:id="5"/>
    <w:bookmarkEnd w:id="6"/>
    <w:p w14:paraId="14B04B6B" w14:textId="28849D4C" w:rsidR="0008240E" w:rsidRDefault="0008240E" w:rsidP="0008240E">
      <w:pPr>
        <w:pStyle w:val="ListBullet"/>
        <w:numPr>
          <w:ilvl w:val="0"/>
          <w:numId w:val="23"/>
        </w:numPr>
      </w:pPr>
      <w:r>
        <w:t>The number of total visitors for the year ending June 2024 was 31.9 million.</w:t>
      </w:r>
    </w:p>
    <w:p w14:paraId="1AEDA4B8" w14:textId="1784B75C" w:rsidR="0008240E" w:rsidRDefault="0008240E" w:rsidP="0008240E">
      <w:pPr>
        <w:pStyle w:val="ListBullet"/>
        <w:numPr>
          <w:ilvl w:val="0"/>
          <w:numId w:val="23"/>
        </w:numPr>
      </w:pPr>
      <w:r>
        <w:t>The total spending for the year ending June 2024 was $22.8 billion.</w:t>
      </w:r>
    </w:p>
    <w:p w14:paraId="694DF9D8" w14:textId="5C9B588C" w:rsidR="0008240E" w:rsidRDefault="0008240E" w:rsidP="0008240E">
      <w:pPr>
        <w:pStyle w:val="Heading3"/>
        <w:rPr>
          <w:rFonts w:hint="eastAsia"/>
        </w:rPr>
      </w:pPr>
      <w:bookmarkStart w:id="9" w:name="_Toc182490807"/>
      <w:r>
        <w:t xml:space="preserve">Table 3 – The number </w:t>
      </w:r>
      <w:r w:rsidRPr="0008240E">
        <w:t xml:space="preserve">of younger people visiting Melbourne is growing and leading interstate travel, while financially secure older </w:t>
      </w:r>
      <w:proofErr w:type="spellStart"/>
      <w:r w:rsidRPr="0008240E">
        <w:t>travellers</w:t>
      </w:r>
      <w:proofErr w:type="spellEnd"/>
      <w:r w:rsidRPr="0008240E">
        <w:t xml:space="preserve"> have increased their intrastate travel to stay and spend local. Year ending June 2024.</w:t>
      </w:r>
      <w:bookmarkEnd w:id="9"/>
    </w:p>
    <w:tbl>
      <w:tblPr>
        <w:tblStyle w:val="TableGrid"/>
        <w:tblW w:w="8642" w:type="dxa"/>
        <w:tblLook w:val="04A0" w:firstRow="1" w:lastRow="0" w:firstColumn="1" w:lastColumn="0" w:noHBand="0" w:noVBand="1"/>
      </w:tblPr>
      <w:tblGrid>
        <w:gridCol w:w="2122"/>
        <w:gridCol w:w="3260"/>
        <w:gridCol w:w="3260"/>
      </w:tblGrid>
      <w:tr w:rsidR="00D77423" w14:paraId="73A0F788" w14:textId="77777777" w:rsidTr="00A175CD">
        <w:trPr>
          <w:trHeight w:val="415"/>
        </w:trPr>
        <w:tc>
          <w:tcPr>
            <w:tcW w:w="2122" w:type="dxa"/>
          </w:tcPr>
          <w:p w14:paraId="3A4A992D" w14:textId="0296BE72" w:rsidR="00D77423" w:rsidRPr="008F55EC" w:rsidRDefault="00A175CD" w:rsidP="00341042">
            <w:pPr>
              <w:rPr>
                <w:b/>
                <w:sz w:val="22"/>
                <w:szCs w:val="22"/>
              </w:rPr>
            </w:pPr>
            <w:r>
              <w:rPr>
                <w:b/>
                <w:sz w:val="22"/>
                <w:szCs w:val="22"/>
              </w:rPr>
              <w:t>Visitor age</w:t>
            </w:r>
          </w:p>
        </w:tc>
        <w:tc>
          <w:tcPr>
            <w:tcW w:w="3260" w:type="dxa"/>
          </w:tcPr>
          <w:p w14:paraId="5AE3356D" w14:textId="21804E42" w:rsidR="00D77423" w:rsidRPr="008F55EC" w:rsidRDefault="00A175CD" w:rsidP="00341042">
            <w:pPr>
              <w:rPr>
                <w:b/>
                <w:sz w:val="22"/>
                <w:szCs w:val="22"/>
              </w:rPr>
            </w:pPr>
            <w:r>
              <w:rPr>
                <w:rFonts w:cs="Arial"/>
                <w:b/>
                <w:bCs/>
                <w:color w:val="000000"/>
                <w:sz w:val="22"/>
                <w:szCs w:val="22"/>
              </w:rPr>
              <w:t xml:space="preserve">Percent of </w:t>
            </w:r>
            <w:r>
              <w:rPr>
                <w:b/>
                <w:sz w:val="22"/>
                <w:szCs w:val="22"/>
              </w:rPr>
              <w:t>Interstate visitors</w:t>
            </w:r>
          </w:p>
        </w:tc>
        <w:tc>
          <w:tcPr>
            <w:tcW w:w="3260" w:type="dxa"/>
          </w:tcPr>
          <w:p w14:paraId="59858DE2" w14:textId="5246FFBC" w:rsidR="00D77423" w:rsidRPr="008F55EC" w:rsidRDefault="00A175CD" w:rsidP="00341042">
            <w:pPr>
              <w:rPr>
                <w:b/>
                <w:bCs/>
                <w:sz w:val="22"/>
                <w:szCs w:val="22"/>
              </w:rPr>
            </w:pPr>
            <w:r>
              <w:rPr>
                <w:rFonts w:cs="Arial"/>
                <w:b/>
                <w:bCs/>
                <w:color w:val="000000"/>
                <w:sz w:val="22"/>
                <w:szCs w:val="22"/>
              </w:rPr>
              <w:t xml:space="preserve">Percent of </w:t>
            </w:r>
            <w:r>
              <w:rPr>
                <w:b/>
                <w:bCs/>
                <w:sz w:val="22"/>
                <w:szCs w:val="22"/>
              </w:rPr>
              <w:t>Intrastate visitors</w:t>
            </w:r>
          </w:p>
        </w:tc>
      </w:tr>
      <w:tr w:rsidR="00D77423" w14:paraId="308FD9F7" w14:textId="77777777" w:rsidTr="00A175CD">
        <w:trPr>
          <w:trHeight w:val="433"/>
        </w:trPr>
        <w:tc>
          <w:tcPr>
            <w:tcW w:w="2122" w:type="dxa"/>
          </w:tcPr>
          <w:p w14:paraId="7A916C80" w14:textId="6F8F16D7" w:rsidR="00D77423" w:rsidRDefault="00A175CD" w:rsidP="00341042">
            <w:pPr>
              <w:rPr>
                <w:rFonts w:cs="Arial"/>
                <w:color w:val="000000"/>
                <w:sz w:val="22"/>
                <w:szCs w:val="22"/>
              </w:rPr>
            </w:pPr>
            <w:r>
              <w:rPr>
                <w:rFonts w:cs="Arial"/>
                <w:color w:val="000000"/>
                <w:sz w:val="22"/>
                <w:szCs w:val="22"/>
              </w:rPr>
              <w:t>65 and over</w:t>
            </w:r>
          </w:p>
        </w:tc>
        <w:tc>
          <w:tcPr>
            <w:tcW w:w="3260" w:type="dxa"/>
            <w:vAlign w:val="bottom"/>
          </w:tcPr>
          <w:p w14:paraId="37FC6562" w14:textId="5BB62365" w:rsidR="00D77423" w:rsidRDefault="00D77423" w:rsidP="00341042">
            <w:pPr>
              <w:jc w:val="right"/>
              <w:rPr>
                <w:sz w:val="22"/>
                <w:szCs w:val="22"/>
              </w:rPr>
            </w:pPr>
            <w:r>
              <w:rPr>
                <w:sz w:val="22"/>
                <w:szCs w:val="22"/>
              </w:rPr>
              <w:t>1</w:t>
            </w:r>
            <w:r w:rsidR="00A175CD">
              <w:rPr>
                <w:sz w:val="22"/>
                <w:szCs w:val="22"/>
              </w:rPr>
              <w:t>1</w:t>
            </w:r>
            <w:r>
              <w:rPr>
                <w:sz w:val="22"/>
                <w:szCs w:val="22"/>
              </w:rPr>
              <w:t>%</w:t>
            </w:r>
          </w:p>
        </w:tc>
        <w:tc>
          <w:tcPr>
            <w:tcW w:w="3260" w:type="dxa"/>
            <w:vAlign w:val="bottom"/>
          </w:tcPr>
          <w:p w14:paraId="68CA363E" w14:textId="7909B30F" w:rsidR="00D77423" w:rsidRDefault="00A175CD" w:rsidP="00341042">
            <w:pPr>
              <w:jc w:val="right"/>
              <w:rPr>
                <w:rFonts w:cs="Arial"/>
                <w:color w:val="000000"/>
                <w:sz w:val="22"/>
                <w:szCs w:val="22"/>
              </w:rPr>
            </w:pPr>
            <w:r>
              <w:rPr>
                <w:rFonts w:cs="Arial"/>
                <w:color w:val="000000"/>
                <w:sz w:val="22"/>
                <w:szCs w:val="22"/>
              </w:rPr>
              <w:t>21</w:t>
            </w:r>
            <w:r w:rsidR="00D77423">
              <w:rPr>
                <w:rFonts w:cs="Arial"/>
                <w:color w:val="000000"/>
                <w:sz w:val="22"/>
                <w:szCs w:val="22"/>
              </w:rPr>
              <w:t>%</w:t>
            </w:r>
          </w:p>
        </w:tc>
      </w:tr>
      <w:tr w:rsidR="00D77423" w14:paraId="76EE68DB" w14:textId="77777777" w:rsidTr="00A175CD">
        <w:trPr>
          <w:trHeight w:val="415"/>
        </w:trPr>
        <w:tc>
          <w:tcPr>
            <w:tcW w:w="2122" w:type="dxa"/>
          </w:tcPr>
          <w:p w14:paraId="19A9B2B9" w14:textId="1D402DC6" w:rsidR="00D77423" w:rsidRPr="008F55EC" w:rsidRDefault="00A175CD" w:rsidP="00341042">
            <w:pPr>
              <w:rPr>
                <w:rFonts w:cs="Arial"/>
                <w:color w:val="000000"/>
                <w:sz w:val="22"/>
                <w:szCs w:val="22"/>
              </w:rPr>
            </w:pPr>
            <w:r>
              <w:rPr>
                <w:rFonts w:cs="Arial"/>
                <w:color w:val="000000"/>
                <w:sz w:val="22"/>
                <w:szCs w:val="22"/>
              </w:rPr>
              <w:t>55 to 64</w:t>
            </w:r>
          </w:p>
        </w:tc>
        <w:tc>
          <w:tcPr>
            <w:tcW w:w="3260" w:type="dxa"/>
            <w:vAlign w:val="bottom"/>
          </w:tcPr>
          <w:p w14:paraId="1E3A1C74" w14:textId="31C8C2E0" w:rsidR="00D77423" w:rsidRPr="008F55EC" w:rsidRDefault="00D77423" w:rsidP="00341042">
            <w:pPr>
              <w:jc w:val="right"/>
              <w:rPr>
                <w:sz w:val="22"/>
                <w:szCs w:val="22"/>
              </w:rPr>
            </w:pPr>
            <w:r>
              <w:rPr>
                <w:sz w:val="22"/>
                <w:szCs w:val="22"/>
              </w:rPr>
              <w:t>1</w:t>
            </w:r>
            <w:r w:rsidR="00A175CD">
              <w:rPr>
                <w:sz w:val="22"/>
                <w:szCs w:val="22"/>
              </w:rPr>
              <w:t>7</w:t>
            </w:r>
            <w:r>
              <w:rPr>
                <w:sz w:val="22"/>
                <w:szCs w:val="22"/>
              </w:rPr>
              <w:t>%</w:t>
            </w:r>
          </w:p>
        </w:tc>
        <w:tc>
          <w:tcPr>
            <w:tcW w:w="3260" w:type="dxa"/>
            <w:vAlign w:val="bottom"/>
          </w:tcPr>
          <w:p w14:paraId="36625F4A" w14:textId="6F668550" w:rsidR="00D77423" w:rsidRPr="008F55EC" w:rsidRDefault="00A175CD" w:rsidP="00341042">
            <w:pPr>
              <w:jc w:val="right"/>
              <w:rPr>
                <w:sz w:val="22"/>
                <w:szCs w:val="22"/>
              </w:rPr>
            </w:pPr>
            <w:r>
              <w:rPr>
                <w:sz w:val="22"/>
                <w:szCs w:val="22"/>
              </w:rPr>
              <w:t>15</w:t>
            </w:r>
            <w:r w:rsidR="00D77423">
              <w:rPr>
                <w:sz w:val="22"/>
                <w:szCs w:val="22"/>
              </w:rPr>
              <w:t>%</w:t>
            </w:r>
          </w:p>
        </w:tc>
      </w:tr>
      <w:tr w:rsidR="00A175CD" w14:paraId="2FBF0887" w14:textId="77777777" w:rsidTr="00A175CD">
        <w:trPr>
          <w:trHeight w:val="415"/>
        </w:trPr>
        <w:tc>
          <w:tcPr>
            <w:tcW w:w="2122" w:type="dxa"/>
          </w:tcPr>
          <w:p w14:paraId="1AEABF50" w14:textId="1ACB2EBC" w:rsidR="00A175CD" w:rsidRDefault="00A175CD" w:rsidP="00341042">
            <w:pPr>
              <w:rPr>
                <w:rFonts w:cs="Arial"/>
                <w:color w:val="000000"/>
                <w:sz w:val="22"/>
                <w:szCs w:val="22"/>
              </w:rPr>
            </w:pPr>
            <w:r>
              <w:rPr>
                <w:rFonts w:cs="Arial"/>
                <w:color w:val="000000"/>
                <w:sz w:val="22"/>
                <w:szCs w:val="22"/>
              </w:rPr>
              <w:t>45 to 54</w:t>
            </w:r>
          </w:p>
        </w:tc>
        <w:tc>
          <w:tcPr>
            <w:tcW w:w="3260" w:type="dxa"/>
            <w:vAlign w:val="bottom"/>
          </w:tcPr>
          <w:p w14:paraId="3ABA1B8E" w14:textId="26EE3792" w:rsidR="00A175CD" w:rsidRDefault="00A175CD" w:rsidP="00341042">
            <w:pPr>
              <w:jc w:val="right"/>
              <w:rPr>
                <w:sz w:val="22"/>
                <w:szCs w:val="22"/>
              </w:rPr>
            </w:pPr>
            <w:r>
              <w:rPr>
                <w:sz w:val="22"/>
                <w:szCs w:val="22"/>
              </w:rPr>
              <w:t>18%</w:t>
            </w:r>
          </w:p>
        </w:tc>
        <w:tc>
          <w:tcPr>
            <w:tcW w:w="3260" w:type="dxa"/>
            <w:vAlign w:val="bottom"/>
          </w:tcPr>
          <w:p w14:paraId="10BFF8F8" w14:textId="09D315BF" w:rsidR="00A175CD" w:rsidRDefault="00A175CD" w:rsidP="00341042">
            <w:pPr>
              <w:jc w:val="right"/>
              <w:rPr>
                <w:sz w:val="22"/>
                <w:szCs w:val="22"/>
              </w:rPr>
            </w:pPr>
            <w:r>
              <w:rPr>
                <w:sz w:val="22"/>
                <w:szCs w:val="22"/>
              </w:rPr>
              <w:t>16%</w:t>
            </w:r>
          </w:p>
        </w:tc>
      </w:tr>
      <w:tr w:rsidR="00A175CD" w14:paraId="0BE045EE" w14:textId="77777777" w:rsidTr="00A175CD">
        <w:trPr>
          <w:trHeight w:val="415"/>
        </w:trPr>
        <w:tc>
          <w:tcPr>
            <w:tcW w:w="2122" w:type="dxa"/>
          </w:tcPr>
          <w:p w14:paraId="283D6140" w14:textId="2E1DBDAD" w:rsidR="00A175CD" w:rsidRDefault="00A175CD" w:rsidP="00341042">
            <w:pPr>
              <w:rPr>
                <w:rFonts w:cs="Arial"/>
                <w:color w:val="000000"/>
                <w:sz w:val="22"/>
                <w:szCs w:val="22"/>
              </w:rPr>
            </w:pPr>
            <w:r>
              <w:rPr>
                <w:rFonts w:cs="Arial"/>
                <w:color w:val="000000"/>
                <w:sz w:val="22"/>
                <w:szCs w:val="22"/>
              </w:rPr>
              <w:t>35 to 44</w:t>
            </w:r>
          </w:p>
        </w:tc>
        <w:tc>
          <w:tcPr>
            <w:tcW w:w="3260" w:type="dxa"/>
            <w:vAlign w:val="bottom"/>
          </w:tcPr>
          <w:p w14:paraId="55C8A47F" w14:textId="6F791702" w:rsidR="00A175CD" w:rsidRDefault="00A175CD" w:rsidP="00341042">
            <w:pPr>
              <w:jc w:val="right"/>
              <w:rPr>
                <w:sz w:val="22"/>
                <w:szCs w:val="22"/>
              </w:rPr>
            </w:pPr>
            <w:r>
              <w:rPr>
                <w:sz w:val="22"/>
                <w:szCs w:val="22"/>
              </w:rPr>
              <w:t>19%</w:t>
            </w:r>
          </w:p>
        </w:tc>
        <w:tc>
          <w:tcPr>
            <w:tcW w:w="3260" w:type="dxa"/>
            <w:vAlign w:val="bottom"/>
          </w:tcPr>
          <w:p w14:paraId="0D5B8A96" w14:textId="109D3A0D" w:rsidR="00A175CD" w:rsidRDefault="00A175CD" w:rsidP="00341042">
            <w:pPr>
              <w:jc w:val="right"/>
              <w:rPr>
                <w:sz w:val="22"/>
                <w:szCs w:val="22"/>
              </w:rPr>
            </w:pPr>
            <w:r>
              <w:rPr>
                <w:sz w:val="22"/>
                <w:szCs w:val="22"/>
              </w:rPr>
              <w:t>15%</w:t>
            </w:r>
          </w:p>
        </w:tc>
      </w:tr>
      <w:tr w:rsidR="00A175CD" w14:paraId="75CFC10D" w14:textId="77777777" w:rsidTr="00A175CD">
        <w:trPr>
          <w:trHeight w:val="415"/>
        </w:trPr>
        <w:tc>
          <w:tcPr>
            <w:tcW w:w="2122" w:type="dxa"/>
          </w:tcPr>
          <w:p w14:paraId="5571A4B8" w14:textId="0AA07618" w:rsidR="00A175CD" w:rsidRDefault="00A175CD" w:rsidP="00341042">
            <w:pPr>
              <w:rPr>
                <w:rFonts w:cs="Arial"/>
                <w:color w:val="000000"/>
                <w:sz w:val="22"/>
                <w:szCs w:val="22"/>
              </w:rPr>
            </w:pPr>
            <w:r>
              <w:rPr>
                <w:rFonts w:cs="Arial"/>
                <w:color w:val="000000"/>
                <w:sz w:val="22"/>
                <w:szCs w:val="22"/>
              </w:rPr>
              <w:t>25 to 34</w:t>
            </w:r>
          </w:p>
        </w:tc>
        <w:tc>
          <w:tcPr>
            <w:tcW w:w="3260" w:type="dxa"/>
            <w:vAlign w:val="bottom"/>
          </w:tcPr>
          <w:p w14:paraId="03C91824" w14:textId="2B918CFA" w:rsidR="00A175CD" w:rsidRDefault="00A175CD" w:rsidP="00341042">
            <w:pPr>
              <w:jc w:val="right"/>
              <w:rPr>
                <w:sz w:val="22"/>
                <w:szCs w:val="22"/>
              </w:rPr>
            </w:pPr>
            <w:r>
              <w:rPr>
                <w:sz w:val="22"/>
                <w:szCs w:val="22"/>
              </w:rPr>
              <w:t>21%</w:t>
            </w:r>
          </w:p>
        </w:tc>
        <w:tc>
          <w:tcPr>
            <w:tcW w:w="3260" w:type="dxa"/>
            <w:vAlign w:val="bottom"/>
          </w:tcPr>
          <w:p w14:paraId="54AFC2C4" w14:textId="1CD5B596" w:rsidR="00A175CD" w:rsidRDefault="00A175CD" w:rsidP="00341042">
            <w:pPr>
              <w:jc w:val="right"/>
              <w:rPr>
                <w:sz w:val="22"/>
                <w:szCs w:val="22"/>
              </w:rPr>
            </w:pPr>
            <w:r>
              <w:rPr>
                <w:sz w:val="22"/>
                <w:szCs w:val="22"/>
              </w:rPr>
              <w:t>14%</w:t>
            </w:r>
          </w:p>
        </w:tc>
      </w:tr>
      <w:tr w:rsidR="00A175CD" w14:paraId="0193D5D7" w14:textId="77777777" w:rsidTr="00A175CD">
        <w:trPr>
          <w:trHeight w:val="415"/>
        </w:trPr>
        <w:tc>
          <w:tcPr>
            <w:tcW w:w="2122" w:type="dxa"/>
          </w:tcPr>
          <w:p w14:paraId="1492A393" w14:textId="34B9D40C" w:rsidR="00A175CD" w:rsidRDefault="00A175CD" w:rsidP="00341042">
            <w:pPr>
              <w:rPr>
                <w:rFonts w:cs="Arial"/>
                <w:color w:val="000000"/>
                <w:sz w:val="22"/>
                <w:szCs w:val="22"/>
              </w:rPr>
            </w:pPr>
            <w:r>
              <w:rPr>
                <w:rFonts w:cs="Arial"/>
                <w:color w:val="000000"/>
                <w:sz w:val="22"/>
                <w:szCs w:val="22"/>
              </w:rPr>
              <w:lastRenderedPageBreak/>
              <w:t>15 to 24</w:t>
            </w:r>
          </w:p>
        </w:tc>
        <w:tc>
          <w:tcPr>
            <w:tcW w:w="3260" w:type="dxa"/>
            <w:vAlign w:val="bottom"/>
          </w:tcPr>
          <w:p w14:paraId="5899F9E5" w14:textId="4A62832F" w:rsidR="00A175CD" w:rsidRDefault="00A175CD" w:rsidP="00341042">
            <w:pPr>
              <w:jc w:val="right"/>
              <w:rPr>
                <w:sz w:val="22"/>
                <w:szCs w:val="22"/>
              </w:rPr>
            </w:pPr>
            <w:r>
              <w:rPr>
                <w:sz w:val="22"/>
                <w:szCs w:val="22"/>
              </w:rPr>
              <w:t>13%</w:t>
            </w:r>
          </w:p>
        </w:tc>
        <w:tc>
          <w:tcPr>
            <w:tcW w:w="3260" w:type="dxa"/>
            <w:vAlign w:val="bottom"/>
          </w:tcPr>
          <w:p w14:paraId="2614A893" w14:textId="638C00D7" w:rsidR="00A175CD" w:rsidRDefault="00A175CD" w:rsidP="00341042">
            <w:pPr>
              <w:jc w:val="right"/>
              <w:rPr>
                <w:sz w:val="22"/>
                <w:szCs w:val="22"/>
              </w:rPr>
            </w:pPr>
            <w:r>
              <w:rPr>
                <w:sz w:val="22"/>
                <w:szCs w:val="22"/>
              </w:rPr>
              <w:t>19%</w:t>
            </w:r>
          </w:p>
        </w:tc>
      </w:tr>
    </w:tbl>
    <w:p w14:paraId="292C1514" w14:textId="3200F1EE" w:rsidR="00A5193E" w:rsidRPr="00AF02E0" w:rsidRDefault="0008240E" w:rsidP="4E54D03C">
      <w:pPr>
        <w:pStyle w:val="Heading2"/>
        <w:rPr>
          <w:rFonts w:hint="eastAsia"/>
        </w:rPr>
      </w:pPr>
      <w:bookmarkStart w:id="10" w:name="_Toc182490808"/>
      <w:r>
        <w:t>Millennials are the big spenders in Melbourne.</w:t>
      </w:r>
      <w:bookmarkEnd w:id="10"/>
    </w:p>
    <w:p w14:paraId="436E49D1" w14:textId="77777777" w:rsidR="00E05E1C" w:rsidRDefault="00E05E1C" w:rsidP="00E05E1C">
      <w:r w:rsidRPr="00E05E1C">
        <w:t>Different demographics contribute to the economy in a variety of ways. Understanding and adjusting to your changing customer base can help boost your business. The largest segment of domestic† visitor spend in Melbourne is by people aged 24 to 34 years, generating one quarter of our city’s entire spend. Visitors aged over 45 years are a growing market and are the only group that has seen an increase in overall spend compared to 2023. Visitors aged over 65 years are also on the rise, spending more per transaction. They have demonstrated the largest overall growth in spending, particularly during work hours, when they explore the city and enjoy all it has to offer.</w:t>
      </w:r>
    </w:p>
    <w:p w14:paraId="7D5A6A53" w14:textId="0BA4917E" w:rsidR="006172D1" w:rsidRDefault="0EF83AAF" w:rsidP="006172D1">
      <w:pPr>
        <w:pStyle w:val="Heading3"/>
        <w:rPr>
          <w:rFonts w:hint="eastAsia"/>
        </w:rPr>
      </w:pPr>
      <w:bookmarkStart w:id="11" w:name="_Toc182490809"/>
      <w:r>
        <w:t xml:space="preserve">Table </w:t>
      </w:r>
      <w:r w:rsidR="00C55B65">
        <w:t>4</w:t>
      </w:r>
      <w:r w:rsidR="00772AEA">
        <w:t>.a</w:t>
      </w:r>
      <w:r w:rsidR="1139249F">
        <w:t xml:space="preserve"> </w:t>
      </w:r>
      <w:r w:rsidR="00F93CD4">
        <w:t>–</w:t>
      </w:r>
      <w:r w:rsidR="1139249F">
        <w:t xml:space="preserve"> </w:t>
      </w:r>
      <w:r w:rsidR="006172D1" w:rsidRPr="006172D1">
        <w:t>Female and older people spend more per transaction. From January 2024 to September 2024.</w:t>
      </w:r>
      <w:bookmarkEnd w:id="11"/>
    </w:p>
    <w:tbl>
      <w:tblPr>
        <w:tblStyle w:val="TableGrid"/>
        <w:tblW w:w="8642" w:type="dxa"/>
        <w:tblLook w:val="04A0" w:firstRow="1" w:lastRow="0" w:firstColumn="1" w:lastColumn="0" w:noHBand="0" w:noVBand="1"/>
      </w:tblPr>
      <w:tblGrid>
        <w:gridCol w:w="2122"/>
        <w:gridCol w:w="3260"/>
        <w:gridCol w:w="3260"/>
      </w:tblGrid>
      <w:tr w:rsidR="003F25BE" w14:paraId="3F901BF0" w14:textId="77777777" w:rsidTr="00341042">
        <w:trPr>
          <w:trHeight w:val="415"/>
        </w:trPr>
        <w:tc>
          <w:tcPr>
            <w:tcW w:w="2122" w:type="dxa"/>
          </w:tcPr>
          <w:p w14:paraId="27E018EA" w14:textId="77777777" w:rsidR="003F25BE" w:rsidRPr="008F55EC" w:rsidRDefault="003F25BE" w:rsidP="00341042">
            <w:pPr>
              <w:rPr>
                <w:b/>
                <w:sz w:val="22"/>
                <w:szCs w:val="22"/>
              </w:rPr>
            </w:pPr>
            <w:r>
              <w:rPr>
                <w:b/>
                <w:sz w:val="22"/>
                <w:szCs w:val="22"/>
              </w:rPr>
              <w:t>Visitor age</w:t>
            </w:r>
          </w:p>
        </w:tc>
        <w:tc>
          <w:tcPr>
            <w:tcW w:w="3260" w:type="dxa"/>
          </w:tcPr>
          <w:p w14:paraId="5B289EF3" w14:textId="70FFCB80" w:rsidR="003F25BE" w:rsidRPr="008F55EC" w:rsidRDefault="003F25BE" w:rsidP="00341042">
            <w:pPr>
              <w:rPr>
                <w:b/>
                <w:sz w:val="22"/>
                <w:szCs w:val="22"/>
              </w:rPr>
            </w:pPr>
            <w:r>
              <w:rPr>
                <w:b/>
                <w:sz w:val="22"/>
                <w:szCs w:val="22"/>
              </w:rPr>
              <w:t>Female visitors’ average transaction size</w:t>
            </w:r>
          </w:p>
        </w:tc>
        <w:tc>
          <w:tcPr>
            <w:tcW w:w="3260" w:type="dxa"/>
          </w:tcPr>
          <w:p w14:paraId="4066B73B" w14:textId="1D504E8B" w:rsidR="003F25BE" w:rsidRPr="008F55EC" w:rsidRDefault="003F25BE" w:rsidP="00341042">
            <w:pPr>
              <w:rPr>
                <w:b/>
                <w:bCs/>
                <w:sz w:val="22"/>
                <w:szCs w:val="22"/>
              </w:rPr>
            </w:pPr>
            <w:r>
              <w:rPr>
                <w:b/>
                <w:sz w:val="22"/>
                <w:szCs w:val="22"/>
              </w:rPr>
              <w:t>Male visitors’ average transaction size</w:t>
            </w:r>
          </w:p>
        </w:tc>
      </w:tr>
      <w:tr w:rsidR="003F25BE" w14:paraId="1DA13768" w14:textId="77777777" w:rsidTr="00341042">
        <w:trPr>
          <w:trHeight w:val="433"/>
        </w:trPr>
        <w:tc>
          <w:tcPr>
            <w:tcW w:w="2122" w:type="dxa"/>
          </w:tcPr>
          <w:p w14:paraId="168CA74C" w14:textId="77777777" w:rsidR="003F25BE" w:rsidRDefault="003F25BE" w:rsidP="00341042">
            <w:pPr>
              <w:rPr>
                <w:rFonts w:cs="Arial"/>
                <w:color w:val="000000"/>
                <w:sz w:val="22"/>
                <w:szCs w:val="22"/>
              </w:rPr>
            </w:pPr>
            <w:r>
              <w:rPr>
                <w:rFonts w:cs="Arial"/>
                <w:color w:val="000000"/>
                <w:sz w:val="22"/>
                <w:szCs w:val="22"/>
              </w:rPr>
              <w:t>65 and over</w:t>
            </w:r>
          </w:p>
        </w:tc>
        <w:tc>
          <w:tcPr>
            <w:tcW w:w="3260" w:type="dxa"/>
            <w:vAlign w:val="bottom"/>
          </w:tcPr>
          <w:p w14:paraId="2CFAD1AC" w14:textId="3B226D38" w:rsidR="003F25BE" w:rsidRDefault="00456FAB" w:rsidP="00341042">
            <w:pPr>
              <w:jc w:val="right"/>
              <w:rPr>
                <w:sz w:val="22"/>
                <w:szCs w:val="22"/>
              </w:rPr>
            </w:pPr>
            <w:r>
              <w:rPr>
                <w:sz w:val="22"/>
                <w:szCs w:val="22"/>
              </w:rPr>
              <w:t>$101</w:t>
            </w:r>
          </w:p>
        </w:tc>
        <w:tc>
          <w:tcPr>
            <w:tcW w:w="3260" w:type="dxa"/>
            <w:vAlign w:val="bottom"/>
          </w:tcPr>
          <w:p w14:paraId="2D4A7CC4" w14:textId="10D4C1A4" w:rsidR="003F25BE" w:rsidRDefault="00456FAB" w:rsidP="00341042">
            <w:pPr>
              <w:jc w:val="right"/>
              <w:rPr>
                <w:rFonts w:cs="Arial"/>
                <w:color w:val="000000"/>
                <w:sz w:val="22"/>
                <w:szCs w:val="22"/>
              </w:rPr>
            </w:pPr>
            <w:r>
              <w:rPr>
                <w:rFonts w:cs="Arial"/>
                <w:color w:val="000000"/>
                <w:sz w:val="22"/>
                <w:szCs w:val="22"/>
              </w:rPr>
              <w:t>$90</w:t>
            </w:r>
          </w:p>
        </w:tc>
      </w:tr>
      <w:tr w:rsidR="003F25BE" w14:paraId="2C4BFCAC" w14:textId="77777777" w:rsidTr="00341042">
        <w:trPr>
          <w:trHeight w:val="415"/>
        </w:trPr>
        <w:tc>
          <w:tcPr>
            <w:tcW w:w="2122" w:type="dxa"/>
          </w:tcPr>
          <w:p w14:paraId="4CD76034" w14:textId="77777777" w:rsidR="003F25BE" w:rsidRPr="008F55EC" w:rsidRDefault="003F25BE" w:rsidP="00341042">
            <w:pPr>
              <w:rPr>
                <w:rFonts w:cs="Arial"/>
                <w:color w:val="000000"/>
                <w:sz w:val="22"/>
                <w:szCs w:val="22"/>
              </w:rPr>
            </w:pPr>
            <w:r>
              <w:rPr>
                <w:rFonts w:cs="Arial"/>
                <w:color w:val="000000"/>
                <w:sz w:val="22"/>
                <w:szCs w:val="22"/>
              </w:rPr>
              <w:t>55 to 64</w:t>
            </w:r>
          </w:p>
        </w:tc>
        <w:tc>
          <w:tcPr>
            <w:tcW w:w="3260" w:type="dxa"/>
            <w:vAlign w:val="bottom"/>
          </w:tcPr>
          <w:p w14:paraId="7D929968" w14:textId="6D46065B" w:rsidR="003F25BE" w:rsidRPr="008F55EC" w:rsidRDefault="00456FAB" w:rsidP="00341042">
            <w:pPr>
              <w:jc w:val="right"/>
              <w:rPr>
                <w:sz w:val="22"/>
                <w:szCs w:val="22"/>
              </w:rPr>
            </w:pPr>
            <w:r>
              <w:rPr>
                <w:sz w:val="22"/>
                <w:szCs w:val="22"/>
              </w:rPr>
              <w:t>$79</w:t>
            </w:r>
          </w:p>
        </w:tc>
        <w:tc>
          <w:tcPr>
            <w:tcW w:w="3260" w:type="dxa"/>
            <w:vAlign w:val="bottom"/>
          </w:tcPr>
          <w:p w14:paraId="7C1427E8" w14:textId="4905E60B" w:rsidR="003F25BE" w:rsidRPr="008F55EC" w:rsidRDefault="00456FAB" w:rsidP="00341042">
            <w:pPr>
              <w:jc w:val="right"/>
              <w:rPr>
                <w:sz w:val="22"/>
                <w:szCs w:val="22"/>
              </w:rPr>
            </w:pPr>
            <w:r>
              <w:rPr>
                <w:sz w:val="22"/>
                <w:szCs w:val="22"/>
              </w:rPr>
              <w:t>$68</w:t>
            </w:r>
          </w:p>
        </w:tc>
      </w:tr>
      <w:tr w:rsidR="003F25BE" w14:paraId="3713D7D2" w14:textId="77777777" w:rsidTr="00341042">
        <w:trPr>
          <w:trHeight w:val="415"/>
        </w:trPr>
        <w:tc>
          <w:tcPr>
            <w:tcW w:w="2122" w:type="dxa"/>
          </w:tcPr>
          <w:p w14:paraId="7A292307" w14:textId="77777777" w:rsidR="003F25BE" w:rsidRDefault="003F25BE" w:rsidP="00341042">
            <w:pPr>
              <w:rPr>
                <w:rFonts w:cs="Arial"/>
                <w:color w:val="000000"/>
                <w:sz w:val="22"/>
                <w:szCs w:val="22"/>
              </w:rPr>
            </w:pPr>
            <w:r>
              <w:rPr>
                <w:rFonts w:cs="Arial"/>
                <w:color w:val="000000"/>
                <w:sz w:val="22"/>
                <w:szCs w:val="22"/>
              </w:rPr>
              <w:t>45 to 54</w:t>
            </w:r>
          </w:p>
        </w:tc>
        <w:tc>
          <w:tcPr>
            <w:tcW w:w="3260" w:type="dxa"/>
            <w:vAlign w:val="bottom"/>
          </w:tcPr>
          <w:p w14:paraId="1731CDDD" w14:textId="47F846E9" w:rsidR="003F25BE" w:rsidRDefault="00456FAB" w:rsidP="00341042">
            <w:pPr>
              <w:jc w:val="right"/>
              <w:rPr>
                <w:sz w:val="22"/>
                <w:szCs w:val="22"/>
              </w:rPr>
            </w:pPr>
            <w:r>
              <w:rPr>
                <w:sz w:val="22"/>
                <w:szCs w:val="22"/>
              </w:rPr>
              <w:t>$69</w:t>
            </w:r>
          </w:p>
        </w:tc>
        <w:tc>
          <w:tcPr>
            <w:tcW w:w="3260" w:type="dxa"/>
            <w:vAlign w:val="bottom"/>
          </w:tcPr>
          <w:p w14:paraId="6CB356BF" w14:textId="27F7828A" w:rsidR="003F25BE" w:rsidRDefault="00456FAB" w:rsidP="00341042">
            <w:pPr>
              <w:jc w:val="right"/>
              <w:rPr>
                <w:sz w:val="22"/>
                <w:szCs w:val="22"/>
              </w:rPr>
            </w:pPr>
            <w:r>
              <w:rPr>
                <w:sz w:val="22"/>
                <w:szCs w:val="22"/>
              </w:rPr>
              <w:t>$61</w:t>
            </w:r>
          </w:p>
        </w:tc>
      </w:tr>
      <w:tr w:rsidR="003F25BE" w14:paraId="444BD0F8" w14:textId="77777777" w:rsidTr="00341042">
        <w:trPr>
          <w:trHeight w:val="415"/>
        </w:trPr>
        <w:tc>
          <w:tcPr>
            <w:tcW w:w="2122" w:type="dxa"/>
          </w:tcPr>
          <w:p w14:paraId="0F4B65A3" w14:textId="77777777" w:rsidR="003F25BE" w:rsidRDefault="003F25BE" w:rsidP="00341042">
            <w:pPr>
              <w:rPr>
                <w:rFonts w:cs="Arial"/>
                <w:color w:val="000000"/>
                <w:sz w:val="22"/>
                <w:szCs w:val="22"/>
              </w:rPr>
            </w:pPr>
            <w:r>
              <w:rPr>
                <w:rFonts w:cs="Arial"/>
                <w:color w:val="000000"/>
                <w:sz w:val="22"/>
                <w:szCs w:val="22"/>
              </w:rPr>
              <w:t>35 to 44</w:t>
            </w:r>
          </w:p>
        </w:tc>
        <w:tc>
          <w:tcPr>
            <w:tcW w:w="3260" w:type="dxa"/>
            <w:vAlign w:val="bottom"/>
          </w:tcPr>
          <w:p w14:paraId="5A86E997" w14:textId="096334F7" w:rsidR="003F25BE" w:rsidRDefault="00456FAB" w:rsidP="00341042">
            <w:pPr>
              <w:jc w:val="right"/>
              <w:rPr>
                <w:sz w:val="22"/>
                <w:szCs w:val="22"/>
              </w:rPr>
            </w:pPr>
            <w:r>
              <w:rPr>
                <w:sz w:val="22"/>
                <w:szCs w:val="22"/>
              </w:rPr>
              <w:t>$63</w:t>
            </w:r>
          </w:p>
        </w:tc>
        <w:tc>
          <w:tcPr>
            <w:tcW w:w="3260" w:type="dxa"/>
            <w:vAlign w:val="bottom"/>
          </w:tcPr>
          <w:p w14:paraId="04BC3BB9" w14:textId="2A567C03" w:rsidR="003F25BE" w:rsidRDefault="00456FAB" w:rsidP="00341042">
            <w:pPr>
              <w:jc w:val="right"/>
              <w:rPr>
                <w:sz w:val="22"/>
                <w:szCs w:val="22"/>
              </w:rPr>
            </w:pPr>
            <w:r>
              <w:rPr>
                <w:sz w:val="22"/>
                <w:szCs w:val="22"/>
              </w:rPr>
              <w:t>$56</w:t>
            </w:r>
          </w:p>
        </w:tc>
      </w:tr>
      <w:tr w:rsidR="003F25BE" w14:paraId="692DC3CD" w14:textId="77777777" w:rsidTr="00341042">
        <w:trPr>
          <w:trHeight w:val="415"/>
        </w:trPr>
        <w:tc>
          <w:tcPr>
            <w:tcW w:w="2122" w:type="dxa"/>
          </w:tcPr>
          <w:p w14:paraId="2B9C8CBE" w14:textId="77777777" w:rsidR="003F25BE" w:rsidRDefault="003F25BE" w:rsidP="00341042">
            <w:pPr>
              <w:rPr>
                <w:rFonts w:cs="Arial"/>
                <w:color w:val="000000"/>
                <w:sz w:val="22"/>
                <w:szCs w:val="22"/>
              </w:rPr>
            </w:pPr>
            <w:r>
              <w:rPr>
                <w:rFonts w:cs="Arial"/>
                <w:color w:val="000000"/>
                <w:sz w:val="22"/>
                <w:szCs w:val="22"/>
              </w:rPr>
              <w:t>25 to 34</w:t>
            </w:r>
          </w:p>
        </w:tc>
        <w:tc>
          <w:tcPr>
            <w:tcW w:w="3260" w:type="dxa"/>
            <w:vAlign w:val="bottom"/>
          </w:tcPr>
          <w:p w14:paraId="2FD015EA" w14:textId="2A002AD3" w:rsidR="003F25BE" w:rsidRDefault="00456FAB" w:rsidP="00341042">
            <w:pPr>
              <w:jc w:val="right"/>
              <w:rPr>
                <w:sz w:val="22"/>
                <w:szCs w:val="22"/>
              </w:rPr>
            </w:pPr>
            <w:r>
              <w:rPr>
                <w:sz w:val="22"/>
                <w:szCs w:val="22"/>
              </w:rPr>
              <w:t>$51</w:t>
            </w:r>
          </w:p>
        </w:tc>
        <w:tc>
          <w:tcPr>
            <w:tcW w:w="3260" w:type="dxa"/>
            <w:vAlign w:val="bottom"/>
          </w:tcPr>
          <w:p w14:paraId="5CE57105" w14:textId="029AC7DA" w:rsidR="003F25BE" w:rsidRDefault="00456FAB" w:rsidP="00341042">
            <w:pPr>
              <w:jc w:val="right"/>
              <w:rPr>
                <w:sz w:val="22"/>
                <w:szCs w:val="22"/>
              </w:rPr>
            </w:pPr>
            <w:r>
              <w:rPr>
                <w:sz w:val="22"/>
                <w:szCs w:val="22"/>
              </w:rPr>
              <w:t>$48</w:t>
            </w:r>
          </w:p>
        </w:tc>
      </w:tr>
      <w:tr w:rsidR="003F25BE" w14:paraId="580E3864" w14:textId="77777777" w:rsidTr="00341042">
        <w:trPr>
          <w:trHeight w:val="415"/>
        </w:trPr>
        <w:tc>
          <w:tcPr>
            <w:tcW w:w="2122" w:type="dxa"/>
          </w:tcPr>
          <w:p w14:paraId="1BBD7A66" w14:textId="3EC5F951" w:rsidR="003F25BE" w:rsidRDefault="003F25BE" w:rsidP="00341042">
            <w:pPr>
              <w:rPr>
                <w:rFonts w:cs="Arial"/>
                <w:color w:val="000000"/>
                <w:sz w:val="22"/>
                <w:szCs w:val="22"/>
              </w:rPr>
            </w:pPr>
            <w:r>
              <w:rPr>
                <w:rFonts w:cs="Arial"/>
                <w:color w:val="000000"/>
                <w:sz w:val="22"/>
                <w:szCs w:val="22"/>
              </w:rPr>
              <w:t>1</w:t>
            </w:r>
            <w:r w:rsidR="002C031E">
              <w:rPr>
                <w:rFonts w:cs="Arial"/>
                <w:color w:val="000000"/>
                <w:sz w:val="22"/>
                <w:szCs w:val="22"/>
              </w:rPr>
              <w:t>8</w:t>
            </w:r>
            <w:r>
              <w:rPr>
                <w:rFonts w:cs="Arial"/>
                <w:color w:val="000000"/>
                <w:sz w:val="22"/>
                <w:szCs w:val="22"/>
              </w:rPr>
              <w:t xml:space="preserve"> to 24</w:t>
            </w:r>
          </w:p>
        </w:tc>
        <w:tc>
          <w:tcPr>
            <w:tcW w:w="3260" w:type="dxa"/>
            <w:vAlign w:val="bottom"/>
          </w:tcPr>
          <w:p w14:paraId="4F0D563F" w14:textId="54FC3B82" w:rsidR="003F25BE" w:rsidRDefault="00456FAB" w:rsidP="00341042">
            <w:pPr>
              <w:jc w:val="right"/>
              <w:rPr>
                <w:sz w:val="22"/>
                <w:szCs w:val="22"/>
              </w:rPr>
            </w:pPr>
            <w:r>
              <w:rPr>
                <w:sz w:val="22"/>
                <w:szCs w:val="22"/>
              </w:rPr>
              <w:t>$38</w:t>
            </w:r>
          </w:p>
        </w:tc>
        <w:tc>
          <w:tcPr>
            <w:tcW w:w="3260" w:type="dxa"/>
            <w:vAlign w:val="bottom"/>
          </w:tcPr>
          <w:p w14:paraId="4DB29BC2" w14:textId="4A639283" w:rsidR="003F25BE" w:rsidRDefault="00456FAB" w:rsidP="00341042">
            <w:pPr>
              <w:jc w:val="right"/>
              <w:rPr>
                <w:sz w:val="22"/>
                <w:szCs w:val="22"/>
              </w:rPr>
            </w:pPr>
            <w:r>
              <w:rPr>
                <w:sz w:val="22"/>
                <w:szCs w:val="22"/>
              </w:rPr>
              <w:t>$37</w:t>
            </w:r>
          </w:p>
        </w:tc>
      </w:tr>
    </w:tbl>
    <w:p w14:paraId="607CA61C" w14:textId="5C502BA1" w:rsidR="003F25BE" w:rsidRPr="003F25BE" w:rsidRDefault="003F25BE" w:rsidP="003F25BE">
      <w:pPr>
        <w:rPr>
          <w:lang w:val="en-US"/>
        </w:rPr>
      </w:pPr>
    </w:p>
    <w:p w14:paraId="3201BEDC" w14:textId="30603D67" w:rsidR="00772AEA" w:rsidRDefault="00772AEA" w:rsidP="00772AEA">
      <w:pPr>
        <w:pStyle w:val="Heading3"/>
        <w:rPr>
          <w:rFonts w:hint="eastAsia"/>
        </w:rPr>
      </w:pPr>
      <w:bookmarkStart w:id="12" w:name="_Toc182490810"/>
      <w:r>
        <w:t>Table 4.b – M</w:t>
      </w:r>
      <w:r w:rsidRPr="006172D1">
        <w:t>ale and younger people spend more, more often. From January 2024 to September 2024.</w:t>
      </w:r>
      <w:bookmarkEnd w:id="12"/>
    </w:p>
    <w:tbl>
      <w:tblPr>
        <w:tblStyle w:val="TableGrid"/>
        <w:tblW w:w="8642" w:type="dxa"/>
        <w:tblLook w:val="04A0" w:firstRow="1" w:lastRow="0" w:firstColumn="1" w:lastColumn="0" w:noHBand="0" w:noVBand="1"/>
      </w:tblPr>
      <w:tblGrid>
        <w:gridCol w:w="2122"/>
        <w:gridCol w:w="3260"/>
        <w:gridCol w:w="3260"/>
      </w:tblGrid>
      <w:tr w:rsidR="00032F51" w14:paraId="1C1B0CD9" w14:textId="77777777" w:rsidTr="00341042">
        <w:trPr>
          <w:trHeight w:val="415"/>
        </w:trPr>
        <w:tc>
          <w:tcPr>
            <w:tcW w:w="2122" w:type="dxa"/>
          </w:tcPr>
          <w:p w14:paraId="040170C7" w14:textId="77777777" w:rsidR="00032F51" w:rsidRPr="008F55EC" w:rsidRDefault="00032F51" w:rsidP="00341042">
            <w:pPr>
              <w:rPr>
                <w:b/>
                <w:sz w:val="22"/>
                <w:szCs w:val="22"/>
              </w:rPr>
            </w:pPr>
            <w:r>
              <w:rPr>
                <w:b/>
                <w:sz w:val="22"/>
                <w:szCs w:val="22"/>
              </w:rPr>
              <w:t>Visitor age</w:t>
            </w:r>
          </w:p>
        </w:tc>
        <w:tc>
          <w:tcPr>
            <w:tcW w:w="3260" w:type="dxa"/>
          </w:tcPr>
          <w:p w14:paraId="46502F66" w14:textId="7B8C321A" w:rsidR="00032F51" w:rsidRPr="008F55EC" w:rsidRDefault="00032F51" w:rsidP="00341042">
            <w:pPr>
              <w:rPr>
                <w:b/>
                <w:sz w:val="22"/>
                <w:szCs w:val="22"/>
              </w:rPr>
            </w:pPr>
            <w:r>
              <w:rPr>
                <w:b/>
                <w:sz w:val="22"/>
                <w:szCs w:val="22"/>
              </w:rPr>
              <w:t>Female visitors’ number of transactions</w:t>
            </w:r>
          </w:p>
        </w:tc>
        <w:tc>
          <w:tcPr>
            <w:tcW w:w="3260" w:type="dxa"/>
          </w:tcPr>
          <w:p w14:paraId="0D37433C" w14:textId="15E60B37" w:rsidR="00032F51" w:rsidRPr="008F55EC" w:rsidRDefault="00032F51" w:rsidP="00341042">
            <w:pPr>
              <w:rPr>
                <w:b/>
                <w:bCs/>
                <w:sz w:val="22"/>
                <w:szCs w:val="22"/>
              </w:rPr>
            </w:pPr>
            <w:r>
              <w:rPr>
                <w:b/>
                <w:sz w:val="22"/>
                <w:szCs w:val="22"/>
              </w:rPr>
              <w:t>Male visitors’ number of transactions</w:t>
            </w:r>
          </w:p>
        </w:tc>
      </w:tr>
      <w:tr w:rsidR="00032F51" w14:paraId="42CD8B5B" w14:textId="77777777" w:rsidTr="00341042">
        <w:trPr>
          <w:trHeight w:val="433"/>
        </w:trPr>
        <w:tc>
          <w:tcPr>
            <w:tcW w:w="2122" w:type="dxa"/>
          </w:tcPr>
          <w:p w14:paraId="54C88F36" w14:textId="77777777" w:rsidR="00032F51" w:rsidRDefault="00032F51" w:rsidP="00341042">
            <w:pPr>
              <w:rPr>
                <w:rFonts w:cs="Arial"/>
                <w:color w:val="000000"/>
                <w:sz w:val="22"/>
                <w:szCs w:val="22"/>
              </w:rPr>
            </w:pPr>
            <w:r>
              <w:rPr>
                <w:rFonts w:cs="Arial"/>
                <w:color w:val="000000"/>
                <w:sz w:val="22"/>
                <w:szCs w:val="22"/>
              </w:rPr>
              <w:t>65 and over</w:t>
            </w:r>
          </w:p>
        </w:tc>
        <w:tc>
          <w:tcPr>
            <w:tcW w:w="3260" w:type="dxa"/>
            <w:vAlign w:val="bottom"/>
          </w:tcPr>
          <w:p w14:paraId="2D2AF52B" w14:textId="145F56DC" w:rsidR="00032F51" w:rsidRDefault="00032F51" w:rsidP="00341042">
            <w:pPr>
              <w:jc w:val="right"/>
              <w:rPr>
                <w:sz w:val="22"/>
                <w:szCs w:val="22"/>
              </w:rPr>
            </w:pPr>
            <w:r>
              <w:rPr>
                <w:sz w:val="22"/>
                <w:szCs w:val="22"/>
              </w:rPr>
              <w:t>3,402,900</w:t>
            </w:r>
          </w:p>
        </w:tc>
        <w:tc>
          <w:tcPr>
            <w:tcW w:w="3260" w:type="dxa"/>
            <w:vAlign w:val="bottom"/>
          </w:tcPr>
          <w:p w14:paraId="640C3156" w14:textId="43FF9D7C" w:rsidR="00032F51" w:rsidRDefault="00032F51" w:rsidP="00341042">
            <w:pPr>
              <w:jc w:val="right"/>
              <w:rPr>
                <w:rFonts w:cs="Arial"/>
                <w:color w:val="000000"/>
                <w:sz w:val="22"/>
                <w:szCs w:val="22"/>
              </w:rPr>
            </w:pPr>
            <w:r>
              <w:rPr>
                <w:rFonts w:cs="Arial"/>
                <w:color w:val="000000"/>
                <w:sz w:val="22"/>
                <w:szCs w:val="22"/>
              </w:rPr>
              <w:t>3,579,200</w:t>
            </w:r>
          </w:p>
        </w:tc>
      </w:tr>
      <w:tr w:rsidR="00032F51" w14:paraId="127ECA1E" w14:textId="77777777" w:rsidTr="00341042">
        <w:trPr>
          <w:trHeight w:val="415"/>
        </w:trPr>
        <w:tc>
          <w:tcPr>
            <w:tcW w:w="2122" w:type="dxa"/>
          </w:tcPr>
          <w:p w14:paraId="6267F71A" w14:textId="77777777" w:rsidR="00032F51" w:rsidRPr="008F55EC" w:rsidRDefault="00032F51" w:rsidP="00341042">
            <w:pPr>
              <w:rPr>
                <w:rFonts w:cs="Arial"/>
                <w:color w:val="000000"/>
                <w:sz w:val="22"/>
                <w:szCs w:val="22"/>
              </w:rPr>
            </w:pPr>
            <w:r>
              <w:rPr>
                <w:rFonts w:cs="Arial"/>
                <w:color w:val="000000"/>
                <w:sz w:val="22"/>
                <w:szCs w:val="22"/>
              </w:rPr>
              <w:t>55 to 64</w:t>
            </w:r>
          </w:p>
        </w:tc>
        <w:tc>
          <w:tcPr>
            <w:tcW w:w="3260" w:type="dxa"/>
            <w:vAlign w:val="bottom"/>
          </w:tcPr>
          <w:p w14:paraId="497F8081" w14:textId="2D47CECC" w:rsidR="00032F51" w:rsidRPr="008F55EC" w:rsidRDefault="00032F51" w:rsidP="00341042">
            <w:pPr>
              <w:jc w:val="right"/>
              <w:rPr>
                <w:sz w:val="22"/>
                <w:szCs w:val="22"/>
              </w:rPr>
            </w:pPr>
            <w:r>
              <w:rPr>
                <w:sz w:val="22"/>
                <w:szCs w:val="22"/>
              </w:rPr>
              <w:t>5,580,500</w:t>
            </w:r>
          </w:p>
        </w:tc>
        <w:tc>
          <w:tcPr>
            <w:tcW w:w="3260" w:type="dxa"/>
            <w:vAlign w:val="bottom"/>
          </w:tcPr>
          <w:p w14:paraId="3B71A975" w14:textId="3CF83B99" w:rsidR="00032F51" w:rsidRPr="008F55EC" w:rsidRDefault="00032F51" w:rsidP="00341042">
            <w:pPr>
              <w:jc w:val="right"/>
              <w:rPr>
                <w:sz w:val="22"/>
                <w:szCs w:val="22"/>
              </w:rPr>
            </w:pPr>
            <w:r>
              <w:rPr>
                <w:sz w:val="22"/>
                <w:szCs w:val="22"/>
              </w:rPr>
              <w:t>6,638,800</w:t>
            </w:r>
          </w:p>
        </w:tc>
      </w:tr>
      <w:tr w:rsidR="00032F51" w14:paraId="08489633" w14:textId="77777777" w:rsidTr="00341042">
        <w:trPr>
          <w:trHeight w:val="415"/>
        </w:trPr>
        <w:tc>
          <w:tcPr>
            <w:tcW w:w="2122" w:type="dxa"/>
          </w:tcPr>
          <w:p w14:paraId="251CA7DC" w14:textId="77777777" w:rsidR="00032F51" w:rsidRDefault="00032F51" w:rsidP="00341042">
            <w:pPr>
              <w:rPr>
                <w:rFonts w:cs="Arial"/>
                <w:color w:val="000000"/>
                <w:sz w:val="22"/>
                <w:szCs w:val="22"/>
              </w:rPr>
            </w:pPr>
            <w:r>
              <w:rPr>
                <w:rFonts w:cs="Arial"/>
                <w:color w:val="000000"/>
                <w:sz w:val="22"/>
                <w:szCs w:val="22"/>
              </w:rPr>
              <w:t>45 to 54</w:t>
            </w:r>
          </w:p>
        </w:tc>
        <w:tc>
          <w:tcPr>
            <w:tcW w:w="3260" w:type="dxa"/>
            <w:vAlign w:val="bottom"/>
          </w:tcPr>
          <w:p w14:paraId="576056EC" w14:textId="4ACFF0CD" w:rsidR="00032F51" w:rsidRDefault="00032F51" w:rsidP="00341042">
            <w:pPr>
              <w:jc w:val="right"/>
              <w:rPr>
                <w:sz w:val="22"/>
                <w:szCs w:val="22"/>
              </w:rPr>
            </w:pPr>
            <w:r>
              <w:rPr>
                <w:sz w:val="22"/>
                <w:szCs w:val="22"/>
              </w:rPr>
              <w:t>9,535,400</w:t>
            </w:r>
          </w:p>
        </w:tc>
        <w:tc>
          <w:tcPr>
            <w:tcW w:w="3260" w:type="dxa"/>
            <w:vAlign w:val="bottom"/>
          </w:tcPr>
          <w:p w14:paraId="25F377D3" w14:textId="47CF0C85" w:rsidR="00032F51" w:rsidRDefault="00032F51" w:rsidP="00341042">
            <w:pPr>
              <w:jc w:val="right"/>
              <w:rPr>
                <w:sz w:val="22"/>
                <w:szCs w:val="22"/>
              </w:rPr>
            </w:pPr>
            <w:r>
              <w:rPr>
                <w:sz w:val="22"/>
                <w:szCs w:val="22"/>
              </w:rPr>
              <w:t>10,809,500</w:t>
            </w:r>
          </w:p>
        </w:tc>
      </w:tr>
      <w:tr w:rsidR="00032F51" w14:paraId="02FD995E" w14:textId="77777777" w:rsidTr="00341042">
        <w:trPr>
          <w:trHeight w:val="415"/>
        </w:trPr>
        <w:tc>
          <w:tcPr>
            <w:tcW w:w="2122" w:type="dxa"/>
          </w:tcPr>
          <w:p w14:paraId="63B6CD03" w14:textId="77777777" w:rsidR="00032F51" w:rsidRDefault="00032F51" w:rsidP="00341042">
            <w:pPr>
              <w:rPr>
                <w:rFonts w:cs="Arial"/>
                <w:color w:val="000000"/>
                <w:sz w:val="22"/>
                <w:szCs w:val="22"/>
              </w:rPr>
            </w:pPr>
            <w:r>
              <w:rPr>
                <w:rFonts w:cs="Arial"/>
                <w:color w:val="000000"/>
                <w:sz w:val="22"/>
                <w:szCs w:val="22"/>
              </w:rPr>
              <w:t>35 to 44</w:t>
            </w:r>
          </w:p>
        </w:tc>
        <w:tc>
          <w:tcPr>
            <w:tcW w:w="3260" w:type="dxa"/>
            <w:vAlign w:val="bottom"/>
          </w:tcPr>
          <w:p w14:paraId="76E3C58D" w14:textId="7EC84D73" w:rsidR="00032F51" w:rsidRDefault="00032F51" w:rsidP="00341042">
            <w:pPr>
              <w:jc w:val="right"/>
              <w:rPr>
                <w:sz w:val="22"/>
                <w:szCs w:val="22"/>
              </w:rPr>
            </w:pPr>
            <w:r>
              <w:rPr>
                <w:sz w:val="22"/>
                <w:szCs w:val="22"/>
              </w:rPr>
              <w:t>10,648,200</w:t>
            </w:r>
          </w:p>
        </w:tc>
        <w:tc>
          <w:tcPr>
            <w:tcW w:w="3260" w:type="dxa"/>
            <w:vAlign w:val="bottom"/>
          </w:tcPr>
          <w:p w14:paraId="1B1EADC8" w14:textId="11C2A1DB" w:rsidR="00032F51" w:rsidRDefault="00032F51" w:rsidP="00341042">
            <w:pPr>
              <w:jc w:val="right"/>
              <w:rPr>
                <w:sz w:val="22"/>
                <w:szCs w:val="22"/>
              </w:rPr>
            </w:pPr>
            <w:r>
              <w:rPr>
                <w:sz w:val="22"/>
                <w:szCs w:val="22"/>
              </w:rPr>
              <w:t>12,802,000</w:t>
            </w:r>
          </w:p>
        </w:tc>
      </w:tr>
      <w:tr w:rsidR="00032F51" w14:paraId="78344B61" w14:textId="77777777" w:rsidTr="00341042">
        <w:trPr>
          <w:trHeight w:val="415"/>
        </w:trPr>
        <w:tc>
          <w:tcPr>
            <w:tcW w:w="2122" w:type="dxa"/>
          </w:tcPr>
          <w:p w14:paraId="55F1581B" w14:textId="77777777" w:rsidR="00032F51" w:rsidRDefault="00032F51" w:rsidP="00341042">
            <w:pPr>
              <w:rPr>
                <w:rFonts w:cs="Arial"/>
                <w:color w:val="000000"/>
                <w:sz w:val="22"/>
                <w:szCs w:val="22"/>
              </w:rPr>
            </w:pPr>
            <w:r>
              <w:rPr>
                <w:rFonts w:cs="Arial"/>
                <w:color w:val="000000"/>
                <w:sz w:val="22"/>
                <w:szCs w:val="22"/>
              </w:rPr>
              <w:t>25 to 34</w:t>
            </w:r>
          </w:p>
        </w:tc>
        <w:tc>
          <w:tcPr>
            <w:tcW w:w="3260" w:type="dxa"/>
            <w:vAlign w:val="bottom"/>
          </w:tcPr>
          <w:p w14:paraId="26CDDD0D" w14:textId="740E3C0C" w:rsidR="00032F51" w:rsidRDefault="00032F51" w:rsidP="00341042">
            <w:pPr>
              <w:jc w:val="right"/>
              <w:rPr>
                <w:sz w:val="22"/>
                <w:szCs w:val="22"/>
              </w:rPr>
            </w:pPr>
            <w:r>
              <w:rPr>
                <w:sz w:val="22"/>
                <w:szCs w:val="22"/>
              </w:rPr>
              <w:t>15,521,700</w:t>
            </w:r>
          </w:p>
        </w:tc>
        <w:tc>
          <w:tcPr>
            <w:tcW w:w="3260" w:type="dxa"/>
            <w:vAlign w:val="bottom"/>
          </w:tcPr>
          <w:p w14:paraId="42A61304" w14:textId="5DC09594" w:rsidR="00032F51" w:rsidRDefault="00032F51" w:rsidP="00341042">
            <w:pPr>
              <w:jc w:val="right"/>
              <w:rPr>
                <w:sz w:val="22"/>
                <w:szCs w:val="22"/>
              </w:rPr>
            </w:pPr>
            <w:r>
              <w:rPr>
                <w:sz w:val="22"/>
                <w:szCs w:val="22"/>
              </w:rPr>
              <w:t>17,581,800</w:t>
            </w:r>
          </w:p>
        </w:tc>
      </w:tr>
      <w:tr w:rsidR="00032F51" w14:paraId="1185328B" w14:textId="77777777" w:rsidTr="00341042">
        <w:trPr>
          <w:trHeight w:val="415"/>
        </w:trPr>
        <w:tc>
          <w:tcPr>
            <w:tcW w:w="2122" w:type="dxa"/>
          </w:tcPr>
          <w:p w14:paraId="093CBAA8" w14:textId="65723875" w:rsidR="00032F51" w:rsidRDefault="00032F51" w:rsidP="00341042">
            <w:pPr>
              <w:rPr>
                <w:rFonts w:cs="Arial"/>
                <w:color w:val="000000"/>
                <w:sz w:val="22"/>
                <w:szCs w:val="22"/>
              </w:rPr>
            </w:pPr>
            <w:r>
              <w:rPr>
                <w:rFonts w:cs="Arial"/>
                <w:color w:val="000000"/>
                <w:sz w:val="22"/>
                <w:szCs w:val="22"/>
              </w:rPr>
              <w:lastRenderedPageBreak/>
              <w:t>1</w:t>
            </w:r>
            <w:r w:rsidR="002C031E">
              <w:rPr>
                <w:rFonts w:cs="Arial"/>
                <w:color w:val="000000"/>
                <w:sz w:val="22"/>
                <w:szCs w:val="22"/>
              </w:rPr>
              <w:t>8</w:t>
            </w:r>
            <w:r>
              <w:rPr>
                <w:rFonts w:cs="Arial"/>
                <w:color w:val="000000"/>
                <w:sz w:val="22"/>
                <w:szCs w:val="22"/>
              </w:rPr>
              <w:t xml:space="preserve"> to 24</w:t>
            </w:r>
          </w:p>
        </w:tc>
        <w:tc>
          <w:tcPr>
            <w:tcW w:w="3260" w:type="dxa"/>
            <w:vAlign w:val="bottom"/>
          </w:tcPr>
          <w:p w14:paraId="79D18097" w14:textId="288D922F" w:rsidR="00032F51" w:rsidRDefault="00032F51" w:rsidP="00341042">
            <w:pPr>
              <w:jc w:val="right"/>
              <w:rPr>
                <w:sz w:val="22"/>
                <w:szCs w:val="22"/>
              </w:rPr>
            </w:pPr>
            <w:r>
              <w:rPr>
                <w:sz w:val="22"/>
                <w:szCs w:val="22"/>
              </w:rPr>
              <w:t>13,903,900</w:t>
            </w:r>
          </w:p>
        </w:tc>
        <w:tc>
          <w:tcPr>
            <w:tcW w:w="3260" w:type="dxa"/>
            <w:vAlign w:val="bottom"/>
          </w:tcPr>
          <w:p w14:paraId="753F1E95" w14:textId="7EAF3FA0" w:rsidR="00032F51" w:rsidRDefault="00032F51" w:rsidP="00341042">
            <w:pPr>
              <w:jc w:val="right"/>
              <w:rPr>
                <w:sz w:val="22"/>
                <w:szCs w:val="22"/>
              </w:rPr>
            </w:pPr>
            <w:r>
              <w:rPr>
                <w:sz w:val="22"/>
                <w:szCs w:val="22"/>
              </w:rPr>
              <w:t>12,979,900</w:t>
            </w:r>
          </w:p>
        </w:tc>
      </w:tr>
    </w:tbl>
    <w:p w14:paraId="7C375ECD" w14:textId="77777777" w:rsidR="006172D1" w:rsidRPr="006172D1" w:rsidRDefault="006172D1" w:rsidP="006172D1">
      <w:pPr>
        <w:rPr>
          <w:lang w:val="en-US"/>
        </w:rPr>
      </w:pPr>
    </w:p>
    <w:p w14:paraId="22F2877D" w14:textId="7E526350" w:rsidR="00723A75" w:rsidRDefault="0EF83AAF" w:rsidP="006172D1">
      <w:pPr>
        <w:pStyle w:val="Heading3"/>
        <w:rPr>
          <w:rFonts w:hint="eastAsia"/>
        </w:rPr>
      </w:pPr>
      <w:bookmarkStart w:id="13" w:name="_Toc182490811"/>
      <w:r>
        <w:t xml:space="preserve">Table </w:t>
      </w:r>
      <w:r w:rsidR="00C55B65">
        <w:t>5</w:t>
      </w:r>
      <w:r w:rsidR="1139249F">
        <w:t xml:space="preserve"> </w:t>
      </w:r>
      <w:r w:rsidR="00F93CD4">
        <w:t>–</w:t>
      </w:r>
      <w:r w:rsidR="00E84AAE">
        <w:t xml:space="preserve"> </w:t>
      </w:r>
      <w:r w:rsidR="006172D1">
        <w:t>The largest segment of visitor spend in Melbourne is people aged 25 to 34 years, generating almost one quarter of the city's entire domestic visitor spend. From January 2024 to September 2024.</w:t>
      </w:r>
      <w:bookmarkEnd w:id="13"/>
    </w:p>
    <w:tbl>
      <w:tblPr>
        <w:tblStyle w:val="TableGrid"/>
        <w:tblW w:w="5382" w:type="dxa"/>
        <w:tblLook w:val="04A0" w:firstRow="1" w:lastRow="0" w:firstColumn="1" w:lastColumn="0" w:noHBand="0" w:noVBand="1"/>
      </w:tblPr>
      <w:tblGrid>
        <w:gridCol w:w="2122"/>
        <w:gridCol w:w="3260"/>
      </w:tblGrid>
      <w:tr w:rsidR="00505ACC" w14:paraId="15F0FC28" w14:textId="77777777" w:rsidTr="00505ACC">
        <w:trPr>
          <w:trHeight w:val="415"/>
        </w:trPr>
        <w:tc>
          <w:tcPr>
            <w:tcW w:w="2122" w:type="dxa"/>
          </w:tcPr>
          <w:p w14:paraId="611D7DE3" w14:textId="77777777" w:rsidR="00505ACC" w:rsidRPr="008F55EC" w:rsidRDefault="00505ACC" w:rsidP="00341042">
            <w:pPr>
              <w:rPr>
                <w:b/>
                <w:sz w:val="22"/>
                <w:szCs w:val="22"/>
              </w:rPr>
            </w:pPr>
            <w:r>
              <w:rPr>
                <w:b/>
                <w:sz w:val="22"/>
                <w:szCs w:val="22"/>
              </w:rPr>
              <w:t>Visitor age</w:t>
            </w:r>
          </w:p>
        </w:tc>
        <w:tc>
          <w:tcPr>
            <w:tcW w:w="3260" w:type="dxa"/>
          </w:tcPr>
          <w:p w14:paraId="4373570A" w14:textId="259B72E1" w:rsidR="00505ACC" w:rsidRPr="008F55EC" w:rsidRDefault="00505ACC" w:rsidP="00341042">
            <w:pPr>
              <w:rPr>
                <w:b/>
                <w:sz w:val="22"/>
                <w:szCs w:val="22"/>
              </w:rPr>
            </w:pPr>
            <w:r>
              <w:rPr>
                <w:b/>
                <w:sz w:val="22"/>
                <w:szCs w:val="22"/>
              </w:rPr>
              <w:t>Total Visitor Spend</w:t>
            </w:r>
          </w:p>
        </w:tc>
      </w:tr>
      <w:tr w:rsidR="00505ACC" w14:paraId="168FFF4D" w14:textId="77777777" w:rsidTr="00505ACC">
        <w:trPr>
          <w:trHeight w:val="433"/>
        </w:trPr>
        <w:tc>
          <w:tcPr>
            <w:tcW w:w="2122" w:type="dxa"/>
          </w:tcPr>
          <w:p w14:paraId="59065AB4" w14:textId="77777777" w:rsidR="00505ACC" w:rsidRDefault="00505ACC" w:rsidP="00341042">
            <w:pPr>
              <w:rPr>
                <w:rFonts w:cs="Arial"/>
                <w:color w:val="000000"/>
                <w:sz w:val="22"/>
                <w:szCs w:val="22"/>
              </w:rPr>
            </w:pPr>
            <w:r>
              <w:rPr>
                <w:rFonts w:cs="Arial"/>
                <w:color w:val="000000"/>
                <w:sz w:val="22"/>
                <w:szCs w:val="22"/>
              </w:rPr>
              <w:t>65 and over</w:t>
            </w:r>
          </w:p>
        </w:tc>
        <w:tc>
          <w:tcPr>
            <w:tcW w:w="3260" w:type="dxa"/>
            <w:vAlign w:val="bottom"/>
          </w:tcPr>
          <w:p w14:paraId="63D292DD" w14:textId="377E5350" w:rsidR="00505ACC" w:rsidRDefault="002C031E" w:rsidP="00341042">
            <w:pPr>
              <w:jc w:val="right"/>
              <w:rPr>
                <w:sz w:val="22"/>
                <w:szCs w:val="22"/>
              </w:rPr>
            </w:pPr>
            <w:r>
              <w:rPr>
                <w:sz w:val="22"/>
                <w:szCs w:val="22"/>
              </w:rPr>
              <w:t>$665,446,100</w:t>
            </w:r>
          </w:p>
        </w:tc>
      </w:tr>
      <w:tr w:rsidR="00505ACC" w14:paraId="3409971F" w14:textId="77777777" w:rsidTr="00505ACC">
        <w:trPr>
          <w:trHeight w:val="415"/>
        </w:trPr>
        <w:tc>
          <w:tcPr>
            <w:tcW w:w="2122" w:type="dxa"/>
          </w:tcPr>
          <w:p w14:paraId="2D41F2A8" w14:textId="77777777" w:rsidR="00505ACC" w:rsidRPr="008F55EC" w:rsidRDefault="00505ACC" w:rsidP="00341042">
            <w:pPr>
              <w:rPr>
                <w:rFonts w:cs="Arial"/>
                <w:color w:val="000000"/>
                <w:sz w:val="22"/>
                <w:szCs w:val="22"/>
              </w:rPr>
            </w:pPr>
            <w:r>
              <w:rPr>
                <w:rFonts w:cs="Arial"/>
                <w:color w:val="000000"/>
                <w:sz w:val="22"/>
                <w:szCs w:val="22"/>
              </w:rPr>
              <w:t>55 to 64</w:t>
            </w:r>
          </w:p>
        </w:tc>
        <w:tc>
          <w:tcPr>
            <w:tcW w:w="3260" w:type="dxa"/>
            <w:vAlign w:val="bottom"/>
          </w:tcPr>
          <w:p w14:paraId="5606EE06" w14:textId="1C5DE461" w:rsidR="00505ACC" w:rsidRPr="008F55EC" w:rsidRDefault="002C031E" w:rsidP="00341042">
            <w:pPr>
              <w:jc w:val="right"/>
              <w:rPr>
                <w:sz w:val="22"/>
                <w:szCs w:val="22"/>
              </w:rPr>
            </w:pPr>
            <w:r>
              <w:rPr>
                <w:sz w:val="22"/>
                <w:szCs w:val="22"/>
              </w:rPr>
              <w:t>$892,639,500</w:t>
            </w:r>
          </w:p>
        </w:tc>
      </w:tr>
      <w:tr w:rsidR="00505ACC" w14:paraId="48FF1806" w14:textId="77777777" w:rsidTr="00505ACC">
        <w:trPr>
          <w:trHeight w:val="415"/>
        </w:trPr>
        <w:tc>
          <w:tcPr>
            <w:tcW w:w="2122" w:type="dxa"/>
          </w:tcPr>
          <w:p w14:paraId="6EF7403F" w14:textId="77777777" w:rsidR="00505ACC" w:rsidRDefault="00505ACC" w:rsidP="00341042">
            <w:pPr>
              <w:rPr>
                <w:rFonts w:cs="Arial"/>
                <w:color w:val="000000"/>
                <w:sz w:val="22"/>
                <w:szCs w:val="22"/>
              </w:rPr>
            </w:pPr>
            <w:r>
              <w:rPr>
                <w:rFonts w:cs="Arial"/>
                <w:color w:val="000000"/>
                <w:sz w:val="22"/>
                <w:szCs w:val="22"/>
              </w:rPr>
              <w:t>45 to 54</w:t>
            </w:r>
          </w:p>
        </w:tc>
        <w:tc>
          <w:tcPr>
            <w:tcW w:w="3260" w:type="dxa"/>
            <w:vAlign w:val="bottom"/>
          </w:tcPr>
          <w:p w14:paraId="1E68B5BD" w14:textId="016DD499" w:rsidR="00505ACC" w:rsidRDefault="002C031E" w:rsidP="00341042">
            <w:pPr>
              <w:jc w:val="right"/>
              <w:rPr>
                <w:sz w:val="22"/>
                <w:szCs w:val="22"/>
              </w:rPr>
            </w:pPr>
            <w:r>
              <w:rPr>
                <w:sz w:val="22"/>
                <w:szCs w:val="22"/>
              </w:rPr>
              <w:t>$1,322,990,100</w:t>
            </w:r>
          </w:p>
        </w:tc>
      </w:tr>
      <w:tr w:rsidR="00505ACC" w14:paraId="20548FB8" w14:textId="77777777" w:rsidTr="00505ACC">
        <w:trPr>
          <w:trHeight w:val="415"/>
        </w:trPr>
        <w:tc>
          <w:tcPr>
            <w:tcW w:w="2122" w:type="dxa"/>
          </w:tcPr>
          <w:p w14:paraId="7D497F82" w14:textId="77777777" w:rsidR="00505ACC" w:rsidRDefault="00505ACC" w:rsidP="00341042">
            <w:pPr>
              <w:rPr>
                <w:rFonts w:cs="Arial"/>
                <w:color w:val="000000"/>
                <w:sz w:val="22"/>
                <w:szCs w:val="22"/>
              </w:rPr>
            </w:pPr>
            <w:r>
              <w:rPr>
                <w:rFonts w:cs="Arial"/>
                <w:color w:val="000000"/>
                <w:sz w:val="22"/>
                <w:szCs w:val="22"/>
              </w:rPr>
              <w:t>35 to 44</w:t>
            </w:r>
          </w:p>
        </w:tc>
        <w:tc>
          <w:tcPr>
            <w:tcW w:w="3260" w:type="dxa"/>
            <w:vAlign w:val="bottom"/>
          </w:tcPr>
          <w:p w14:paraId="07AD9C8F" w14:textId="475A5F2E" w:rsidR="00505ACC" w:rsidRDefault="002C031E" w:rsidP="00341042">
            <w:pPr>
              <w:jc w:val="right"/>
              <w:rPr>
                <w:sz w:val="22"/>
                <w:szCs w:val="22"/>
              </w:rPr>
            </w:pPr>
            <w:r>
              <w:rPr>
                <w:sz w:val="22"/>
                <w:szCs w:val="22"/>
              </w:rPr>
              <w:t>$1,384,452,500</w:t>
            </w:r>
          </w:p>
        </w:tc>
      </w:tr>
      <w:tr w:rsidR="00505ACC" w14:paraId="7F6CA303" w14:textId="77777777" w:rsidTr="00505ACC">
        <w:trPr>
          <w:trHeight w:val="415"/>
        </w:trPr>
        <w:tc>
          <w:tcPr>
            <w:tcW w:w="2122" w:type="dxa"/>
          </w:tcPr>
          <w:p w14:paraId="671A4275" w14:textId="77777777" w:rsidR="00505ACC" w:rsidRDefault="00505ACC" w:rsidP="00341042">
            <w:pPr>
              <w:rPr>
                <w:rFonts w:cs="Arial"/>
                <w:color w:val="000000"/>
                <w:sz w:val="22"/>
                <w:szCs w:val="22"/>
              </w:rPr>
            </w:pPr>
            <w:r>
              <w:rPr>
                <w:rFonts w:cs="Arial"/>
                <w:color w:val="000000"/>
                <w:sz w:val="22"/>
                <w:szCs w:val="22"/>
              </w:rPr>
              <w:t>25 to 34</w:t>
            </w:r>
          </w:p>
        </w:tc>
        <w:tc>
          <w:tcPr>
            <w:tcW w:w="3260" w:type="dxa"/>
            <w:vAlign w:val="bottom"/>
          </w:tcPr>
          <w:p w14:paraId="757480AE" w14:textId="20F83465" w:rsidR="00505ACC" w:rsidRDefault="002C031E" w:rsidP="00341042">
            <w:pPr>
              <w:jc w:val="right"/>
              <w:rPr>
                <w:sz w:val="22"/>
                <w:szCs w:val="22"/>
              </w:rPr>
            </w:pPr>
            <w:r>
              <w:rPr>
                <w:sz w:val="22"/>
                <w:szCs w:val="22"/>
              </w:rPr>
              <w:t>$1,624,731,100</w:t>
            </w:r>
          </w:p>
        </w:tc>
      </w:tr>
      <w:tr w:rsidR="002C031E" w14:paraId="5A6D42E6" w14:textId="77777777" w:rsidTr="00505ACC">
        <w:trPr>
          <w:trHeight w:val="415"/>
        </w:trPr>
        <w:tc>
          <w:tcPr>
            <w:tcW w:w="2122" w:type="dxa"/>
          </w:tcPr>
          <w:p w14:paraId="05B69B89" w14:textId="7CBF453B" w:rsidR="002C031E" w:rsidRDefault="002C031E" w:rsidP="002C031E">
            <w:pPr>
              <w:rPr>
                <w:rFonts w:cs="Arial"/>
                <w:color w:val="000000"/>
                <w:sz w:val="22"/>
                <w:szCs w:val="22"/>
              </w:rPr>
            </w:pPr>
            <w:r>
              <w:rPr>
                <w:rFonts w:cs="Arial"/>
                <w:color w:val="000000"/>
                <w:sz w:val="22"/>
                <w:szCs w:val="22"/>
              </w:rPr>
              <w:t>18 to 24</w:t>
            </w:r>
          </w:p>
        </w:tc>
        <w:tc>
          <w:tcPr>
            <w:tcW w:w="3260" w:type="dxa"/>
            <w:vAlign w:val="bottom"/>
          </w:tcPr>
          <w:p w14:paraId="49798A8B" w14:textId="553C78A4" w:rsidR="002C031E" w:rsidRDefault="002C031E" w:rsidP="002C031E">
            <w:pPr>
              <w:jc w:val="right"/>
              <w:rPr>
                <w:sz w:val="22"/>
                <w:szCs w:val="22"/>
              </w:rPr>
            </w:pPr>
            <w:r>
              <w:rPr>
                <w:sz w:val="22"/>
                <w:szCs w:val="22"/>
              </w:rPr>
              <w:t>$1,013,034,500</w:t>
            </w:r>
          </w:p>
        </w:tc>
      </w:tr>
    </w:tbl>
    <w:p w14:paraId="6EC6BAAA" w14:textId="77777777" w:rsidR="00505ACC" w:rsidRPr="00505ACC" w:rsidRDefault="00505ACC" w:rsidP="00505ACC">
      <w:pPr>
        <w:rPr>
          <w:lang w:val="en-US"/>
        </w:rPr>
      </w:pPr>
    </w:p>
    <w:p w14:paraId="4C460756" w14:textId="43EAE5A5" w:rsidR="006172D1" w:rsidRDefault="006172D1" w:rsidP="006172D1">
      <w:pPr>
        <w:pStyle w:val="Heading3"/>
        <w:rPr>
          <w:rFonts w:hint="eastAsia"/>
        </w:rPr>
      </w:pPr>
      <w:bookmarkStart w:id="14" w:name="_Toc182490812"/>
      <w:r>
        <w:t xml:space="preserve">Table 6 – </w:t>
      </w:r>
      <w:r w:rsidRPr="006172D1">
        <w:t>Visitors aged over 45 years are increasing their spend in the city, with people over 65 experiencing the most growth. 2023 vs 2024, January to September.</w:t>
      </w:r>
      <w:bookmarkEnd w:id="14"/>
    </w:p>
    <w:tbl>
      <w:tblPr>
        <w:tblStyle w:val="TableGrid"/>
        <w:tblW w:w="8642" w:type="dxa"/>
        <w:tblLook w:val="04A0" w:firstRow="1" w:lastRow="0" w:firstColumn="1" w:lastColumn="0" w:noHBand="0" w:noVBand="1"/>
      </w:tblPr>
      <w:tblGrid>
        <w:gridCol w:w="2122"/>
        <w:gridCol w:w="3260"/>
        <w:gridCol w:w="3260"/>
      </w:tblGrid>
      <w:tr w:rsidR="002C031E" w14:paraId="0ABF1ABD" w14:textId="77777777" w:rsidTr="002C031E">
        <w:trPr>
          <w:trHeight w:val="415"/>
        </w:trPr>
        <w:tc>
          <w:tcPr>
            <w:tcW w:w="2122" w:type="dxa"/>
          </w:tcPr>
          <w:p w14:paraId="5AED929B" w14:textId="77777777" w:rsidR="002C031E" w:rsidRPr="008F55EC" w:rsidRDefault="002C031E" w:rsidP="002C031E">
            <w:pPr>
              <w:rPr>
                <w:b/>
                <w:sz w:val="22"/>
                <w:szCs w:val="22"/>
              </w:rPr>
            </w:pPr>
            <w:r>
              <w:rPr>
                <w:b/>
                <w:sz w:val="22"/>
                <w:szCs w:val="22"/>
              </w:rPr>
              <w:t>Visitor age</w:t>
            </w:r>
          </w:p>
        </w:tc>
        <w:tc>
          <w:tcPr>
            <w:tcW w:w="3260" w:type="dxa"/>
          </w:tcPr>
          <w:p w14:paraId="1F530EB4" w14:textId="7102D16D" w:rsidR="002C031E" w:rsidRDefault="002C031E" w:rsidP="002C031E">
            <w:pPr>
              <w:rPr>
                <w:b/>
                <w:sz w:val="22"/>
                <w:szCs w:val="22"/>
              </w:rPr>
            </w:pPr>
            <w:r>
              <w:rPr>
                <w:b/>
                <w:sz w:val="22"/>
                <w:szCs w:val="22"/>
              </w:rPr>
              <w:t>Percent change in visitor spend during non-work hours</w:t>
            </w:r>
          </w:p>
        </w:tc>
        <w:tc>
          <w:tcPr>
            <w:tcW w:w="3260" w:type="dxa"/>
          </w:tcPr>
          <w:p w14:paraId="671E26B0" w14:textId="730BDB0E" w:rsidR="002C031E" w:rsidRPr="008F55EC" w:rsidRDefault="002C031E" w:rsidP="002C031E">
            <w:pPr>
              <w:rPr>
                <w:b/>
                <w:sz w:val="22"/>
                <w:szCs w:val="22"/>
              </w:rPr>
            </w:pPr>
            <w:r>
              <w:rPr>
                <w:b/>
                <w:sz w:val="22"/>
                <w:szCs w:val="22"/>
              </w:rPr>
              <w:t>Percent change in visitor spend during work hours</w:t>
            </w:r>
          </w:p>
        </w:tc>
      </w:tr>
      <w:tr w:rsidR="002C031E" w14:paraId="496C1DC9" w14:textId="77777777" w:rsidTr="002C031E">
        <w:trPr>
          <w:trHeight w:val="433"/>
        </w:trPr>
        <w:tc>
          <w:tcPr>
            <w:tcW w:w="2122" w:type="dxa"/>
          </w:tcPr>
          <w:p w14:paraId="60716E3E" w14:textId="77777777" w:rsidR="002C031E" w:rsidRDefault="002C031E" w:rsidP="002C031E">
            <w:pPr>
              <w:rPr>
                <w:rFonts w:cs="Arial"/>
                <w:color w:val="000000"/>
                <w:sz w:val="22"/>
                <w:szCs w:val="22"/>
              </w:rPr>
            </w:pPr>
            <w:r>
              <w:rPr>
                <w:rFonts w:cs="Arial"/>
                <w:color w:val="000000"/>
                <w:sz w:val="22"/>
                <w:szCs w:val="22"/>
              </w:rPr>
              <w:t>65 and over</w:t>
            </w:r>
          </w:p>
        </w:tc>
        <w:tc>
          <w:tcPr>
            <w:tcW w:w="3260" w:type="dxa"/>
          </w:tcPr>
          <w:p w14:paraId="39100049" w14:textId="18F760D5" w:rsidR="002C031E" w:rsidRDefault="002C031E" w:rsidP="002C031E">
            <w:pPr>
              <w:jc w:val="right"/>
              <w:rPr>
                <w:sz w:val="22"/>
                <w:szCs w:val="22"/>
              </w:rPr>
            </w:pPr>
            <w:r>
              <w:rPr>
                <w:sz w:val="22"/>
                <w:szCs w:val="22"/>
              </w:rPr>
              <w:t>6.6%</w:t>
            </w:r>
          </w:p>
        </w:tc>
        <w:tc>
          <w:tcPr>
            <w:tcW w:w="3260" w:type="dxa"/>
            <w:vAlign w:val="bottom"/>
          </w:tcPr>
          <w:p w14:paraId="7A9F3974" w14:textId="06BFD7C3" w:rsidR="002C031E" w:rsidRDefault="002C031E" w:rsidP="002C031E">
            <w:pPr>
              <w:jc w:val="right"/>
              <w:rPr>
                <w:sz w:val="22"/>
                <w:szCs w:val="22"/>
              </w:rPr>
            </w:pPr>
            <w:r>
              <w:rPr>
                <w:sz w:val="22"/>
                <w:szCs w:val="22"/>
              </w:rPr>
              <w:t>8.5%</w:t>
            </w:r>
          </w:p>
        </w:tc>
      </w:tr>
      <w:tr w:rsidR="002C031E" w14:paraId="1EF7CBA6" w14:textId="77777777" w:rsidTr="002C031E">
        <w:trPr>
          <w:trHeight w:val="415"/>
        </w:trPr>
        <w:tc>
          <w:tcPr>
            <w:tcW w:w="2122" w:type="dxa"/>
          </w:tcPr>
          <w:p w14:paraId="53BF9198" w14:textId="77777777" w:rsidR="002C031E" w:rsidRPr="008F55EC" w:rsidRDefault="002C031E" w:rsidP="002C031E">
            <w:pPr>
              <w:rPr>
                <w:rFonts w:cs="Arial"/>
                <w:color w:val="000000"/>
                <w:sz w:val="22"/>
                <w:szCs w:val="22"/>
              </w:rPr>
            </w:pPr>
            <w:r>
              <w:rPr>
                <w:rFonts w:cs="Arial"/>
                <w:color w:val="000000"/>
                <w:sz w:val="22"/>
                <w:szCs w:val="22"/>
              </w:rPr>
              <w:t>55 to 64</w:t>
            </w:r>
          </w:p>
        </w:tc>
        <w:tc>
          <w:tcPr>
            <w:tcW w:w="3260" w:type="dxa"/>
          </w:tcPr>
          <w:p w14:paraId="16625315" w14:textId="4A6B7637" w:rsidR="002C031E" w:rsidRPr="008F55EC" w:rsidRDefault="002C031E" w:rsidP="002C031E">
            <w:pPr>
              <w:jc w:val="right"/>
              <w:rPr>
                <w:sz w:val="22"/>
                <w:szCs w:val="22"/>
              </w:rPr>
            </w:pPr>
            <w:r>
              <w:rPr>
                <w:sz w:val="22"/>
                <w:szCs w:val="22"/>
              </w:rPr>
              <w:t>4.1%</w:t>
            </w:r>
          </w:p>
        </w:tc>
        <w:tc>
          <w:tcPr>
            <w:tcW w:w="3260" w:type="dxa"/>
            <w:vAlign w:val="bottom"/>
          </w:tcPr>
          <w:p w14:paraId="77414B6F" w14:textId="679CE1BF" w:rsidR="002C031E" w:rsidRPr="008F55EC" w:rsidRDefault="002C031E" w:rsidP="002C031E">
            <w:pPr>
              <w:jc w:val="right"/>
              <w:rPr>
                <w:sz w:val="22"/>
                <w:szCs w:val="22"/>
              </w:rPr>
            </w:pPr>
            <w:r>
              <w:rPr>
                <w:sz w:val="22"/>
                <w:szCs w:val="22"/>
              </w:rPr>
              <w:t>4.9%</w:t>
            </w:r>
          </w:p>
        </w:tc>
      </w:tr>
      <w:tr w:rsidR="002C031E" w14:paraId="7AB609EB" w14:textId="77777777" w:rsidTr="002C031E">
        <w:trPr>
          <w:trHeight w:val="415"/>
        </w:trPr>
        <w:tc>
          <w:tcPr>
            <w:tcW w:w="2122" w:type="dxa"/>
          </w:tcPr>
          <w:p w14:paraId="234C6F8E" w14:textId="77777777" w:rsidR="002C031E" w:rsidRDefault="002C031E" w:rsidP="002C031E">
            <w:pPr>
              <w:rPr>
                <w:rFonts w:cs="Arial"/>
                <w:color w:val="000000"/>
                <w:sz w:val="22"/>
                <w:szCs w:val="22"/>
              </w:rPr>
            </w:pPr>
            <w:r>
              <w:rPr>
                <w:rFonts w:cs="Arial"/>
                <w:color w:val="000000"/>
                <w:sz w:val="22"/>
                <w:szCs w:val="22"/>
              </w:rPr>
              <w:t>45 to 54</w:t>
            </w:r>
          </w:p>
        </w:tc>
        <w:tc>
          <w:tcPr>
            <w:tcW w:w="3260" w:type="dxa"/>
          </w:tcPr>
          <w:p w14:paraId="62F2CCED" w14:textId="35154C79" w:rsidR="002C031E" w:rsidRDefault="002C031E" w:rsidP="002C031E">
            <w:pPr>
              <w:jc w:val="right"/>
              <w:rPr>
                <w:sz w:val="22"/>
                <w:szCs w:val="22"/>
              </w:rPr>
            </w:pPr>
            <w:r>
              <w:rPr>
                <w:sz w:val="22"/>
                <w:szCs w:val="22"/>
              </w:rPr>
              <w:t>1.4%</w:t>
            </w:r>
          </w:p>
        </w:tc>
        <w:tc>
          <w:tcPr>
            <w:tcW w:w="3260" w:type="dxa"/>
            <w:vAlign w:val="bottom"/>
          </w:tcPr>
          <w:p w14:paraId="466062AB" w14:textId="62D72506" w:rsidR="002C031E" w:rsidRDefault="00AD7FE7" w:rsidP="002C031E">
            <w:pPr>
              <w:jc w:val="right"/>
              <w:rPr>
                <w:sz w:val="22"/>
                <w:szCs w:val="22"/>
              </w:rPr>
            </w:pPr>
            <w:r>
              <w:rPr>
                <w:sz w:val="22"/>
                <w:szCs w:val="22"/>
              </w:rPr>
              <w:t>1.2%</w:t>
            </w:r>
          </w:p>
        </w:tc>
      </w:tr>
      <w:tr w:rsidR="002C031E" w14:paraId="3D23D43C" w14:textId="77777777" w:rsidTr="002C031E">
        <w:trPr>
          <w:trHeight w:val="415"/>
        </w:trPr>
        <w:tc>
          <w:tcPr>
            <w:tcW w:w="2122" w:type="dxa"/>
          </w:tcPr>
          <w:p w14:paraId="34A7675F" w14:textId="77777777" w:rsidR="002C031E" w:rsidRDefault="002C031E" w:rsidP="002C031E">
            <w:pPr>
              <w:rPr>
                <w:rFonts w:cs="Arial"/>
                <w:color w:val="000000"/>
                <w:sz w:val="22"/>
                <w:szCs w:val="22"/>
              </w:rPr>
            </w:pPr>
            <w:r>
              <w:rPr>
                <w:rFonts w:cs="Arial"/>
                <w:color w:val="000000"/>
                <w:sz w:val="22"/>
                <w:szCs w:val="22"/>
              </w:rPr>
              <w:t>35 to 44</w:t>
            </w:r>
          </w:p>
        </w:tc>
        <w:tc>
          <w:tcPr>
            <w:tcW w:w="3260" w:type="dxa"/>
          </w:tcPr>
          <w:p w14:paraId="502D6E15" w14:textId="285CB6F2" w:rsidR="002C031E" w:rsidRDefault="002C031E" w:rsidP="002C031E">
            <w:pPr>
              <w:jc w:val="right"/>
              <w:rPr>
                <w:sz w:val="22"/>
                <w:szCs w:val="22"/>
              </w:rPr>
            </w:pPr>
            <w:r>
              <w:rPr>
                <w:sz w:val="22"/>
                <w:szCs w:val="22"/>
              </w:rPr>
              <w:t>-2.1%</w:t>
            </w:r>
          </w:p>
        </w:tc>
        <w:tc>
          <w:tcPr>
            <w:tcW w:w="3260" w:type="dxa"/>
            <w:vAlign w:val="bottom"/>
          </w:tcPr>
          <w:p w14:paraId="153569AD" w14:textId="56CD068F" w:rsidR="002C031E" w:rsidRDefault="002C031E" w:rsidP="002C031E">
            <w:pPr>
              <w:jc w:val="right"/>
              <w:rPr>
                <w:sz w:val="22"/>
                <w:szCs w:val="22"/>
              </w:rPr>
            </w:pPr>
            <w:r>
              <w:rPr>
                <w:sz w:val="22"/>
                <w:szCs w:val="22"/>
              </w:rPr>
              <w:t>-0.8%</w:t>
            </w:r>
          </w:p>
        </w:tc>
      </w:tr>
      <w:tr w:rsidR="002C031E" w14:paraId="11C44693" w14:textId="77777777" w:rsidTr="002C031E">
        <w:trPr>
          <w:trHeight w:val="415"/>
        </w:trPr>
        <w:tc>
          <w:tcPr>
            <w:tcW w:w="2122" w:type="dxa"/>
          </w:tcPr>
          <w:p w14:paraId="2291D917" w14:textId="77777777" w:rsidR="002C031E" w:rsidRDefault="002C031E" w:rsidP="002C031E">
            <w:pPr>
              <w:rPr>
                <w:rFonts w:cs="Arial"/>
                <w:color w:val="000000"/>
                <w:sz w:val="22"/>
                <w:szCs w:val="22"/>
              </w:rPr>
            </w:pPr>
            <w:r>
              <w:rPr>
                <w:rFonts w:cs="Arial"/>
                <w:color w:val="000000"/>
                <w:sz w:val="22"/>
                <w:szCs w:val="22"/>
              </w:rPr>
              <w:t>25 to 34</w:t>
            </w:r>
          </w:p>
        </w:tc>
        <w:tc>
          <w:tcPr>
            <w:tcW w:w="3260" w:type="dxa"/>
          </w:tcPr>
          <w:p w14:paraId="5EFD5606" w14:textId="0605BBC7" w:rsidR="002C031E" w:rsidRDefault="002C031E" w:rsidP="002C031E">
            <w:pPr>
              <w:jc w:val="right"/>
              <w:rPr>
                <w:sz w:val="22"/>
                <w:szCs w:val="22"/>
              </w:rPr>
            </w:pPr>
            <w:r>
              <w:rPr>
                <w:sz w:val="22"/>
                <w:szCs w:val="22"/>
              </w:rPr>
              <w:t>-4.</w:t>
            </w:r>
            <w:r w:rsidR="00AD7FE7">
              <w:rPr>
                <w:sz w:val="22"/>
                <w:szCs w:val="22"/>
              </w:rPr>
              <w:t>8</w:t>
            </w:r>
            <w:r>
              <w:rPr>
                <w:sz w:val="22"/>
                <w:szCs w:val="22"/>
              </w:rPr>
              <w:t>%</w:t>
            </w:r>
          </w:p>
        </w:tc>
        <w:tc>
          <w:tcPr>
            <w:tcW w:w="3260" w:type="dxa"/>
            <w:vAlign w:val="bottom"/>
          </w:tcPr>
          <w:p w14:paraId="50421248" w14:textId="68754D13" w:rsidR="002C031E" w:rsidRDefault="002C031E" w:rsidP="002C031E">
            <w:pPr>
              <w:jc w:val="right"/>
              <w:rPr>
                <w:sz w:val="22"/>
                <w:szCs w:val="22"/>
              </w:rPr>
            </w:pPr>
            <w:r>
              <w:rPr>
                <w:sz w:val="22"/>
                <w:szCs w:val="22"/>
              </w:rPr>
              <w:t>-2.1%</w:t>
            </w:r>
          </w:p>
        </w:tc>
      </w:tr>
      <w:tr w:rsidR="002C031E" w14:paraId="09E51C17" w14:textId="77777777" w:rsidTr="002C031E">
        <w:trPr>
          <w:trHeight w:val="415"/>
        </w:trPr>
        <w:tc>
          <w:tcPr>
            <w:tcW w:w="2122" w:type="dxa"/>
          </w:tcPr>
          <w:p w14:paraId="31D436E4" w14:textId="3DED43F6" w:rsidR="002C031E" w:rsidRDefault="002C031E" w:rsidP="002C031E">
            <w:pPr>
              <w:rPr>
                <w:rFonts w:cs="Arial"/>
                <w:color w:val="000000"/>
                <w:sz w:val="22"/>
                <w:szCs w:val="22"/>
              </w:rPr>
            </w:pPr>
            <w:r>
              <w:rPr>
                <w:rFonts w:cs="Arial"/>
                <w:color w:val="000000"/>
                <w:sz w:val="22"/>
                <w:szCs w:val="22"/>
              </w:rPr>
              <w:t>18 to 24</w:t>
            </w:r>
          </w:p>
        </w:tc>
        <w:tc>
          <w:tcPr>
            <w:tcW w:w="3260" w:type="dxa"/>
          </w:tcPr>
          <w:p w14:paraId="4376BA85" w14:textId="1A2F4F92" w:rsidR="002C031E" w:rsidRDefault="002C031E" w:rsidP="002C031E">
            <w:pPr>
              <w:jc w:val="right"/>
              <w:rPr>
                <w:sz w:val="22"/>
                <w:szCs w:val="22"/>
              </w:rPr>
            </w:pPr>
            <w:r>
              <w:rPr>
                <w:sz w:val="22"/>
                <w:szCs w:val="22"/>
              </w:rPr>
              <w:t>-6.4%</w:t>
            </w:r>
          </w:p>
        </w:tc>
        <w:tc>
          <w:tcPr>
            <w:tcW w:w="3260" w:type="dxa"/>
            <w:vAlign w:val="bottom"/>
          </w:tcPr>
          <w:p w14:paraId="354A993A" w14:textId="7BD23862" w:rsidR="002C031E" w:rsidRDefault="002C031E" w:rsidP="002C031E">
            <w:pPr>
              <w:jc w:val="right"/>
              <w:rPr>
                <w:sz w:val="22"/>
                <w:szCs w:val="22"/>
              </w:rPr>
            </w:pPr>
            <w:r>
              <w:rPr>
                <w:sz w:val="22"/>
                <w:szCs w:val="22"/>
              </w:rPr>
              <w:t>-2.4%</w:t>
            </w:r>
          </w:p>
        </w:tc>
      </w:tr>
    </w:tbl>
    <w:p w14:paraId="687C6264" w14:textId="77777777" w:rsidR="00E05E1C" w:rsidRDefault="00E05E1C" w:rsidP="00F221E1">
      <w:pPr>
        <w:pStyle w:val="Heading1"/>
        <w:rPr>
          <w:rFonts w:hint="eastAsia"/>
        </w:rPr>
      </w:pPr>
    </w:p>
    <w:p w14:paraId="15DC666B" w14:textId="77777777" w:rsidR="00E05E1C" w:rsidRDefault="00E05E1C">
      <w:pPr>
        <w:spacing w:after="0" w:line="240" w:lineRule="auto"/>
        <w:rPr>
          <w:rFonts w:ascii="Arial Bold" w:eastAsia="MS Gothic" w:hAnsi="Arial Bold" w:hint="eastAsia"/>
          <w:bCs/>
          <w:sz w:val="28"/>
          <w:szCs w:val="32"/>
          <w:lang w:val="en-US"/>
        </w:rPr>
      </w:pPr>
      <w:r>
        <w:rPr>
          <w:rFonts w:hint="eastAsia"/>
        </w:rPr>
        <w:br w:type="page"/>
      </w:r>
    </w:p>
    <w:p w14:paraId="3D677209" w14:textId="06D78A2C" w:rsidR="000437C5" w:rsidRDefault="00E05E1C" w:rsidP="00F221E1">
      <w:pPr>
        <w:pStyle w:val="Heading1"/>
        <w:rPr>
          <w:rFonts w:hint="eastAsia"/>
        </w:rPr>
      </w:pPr>
      <w:bookmarkStart w:id="15" w:name="_Toc182490813"/>
      <w:r>
        <w:lastRenderedPageBreak/>
        <w:t>N</w:t>
      </w:r>
      <w:r w:rsidR="009F7577">
        <w:t>eighbourhood Spend Trends</w:t>
      </w:r>
      <w:bookmarkEnd w:id="15"/>
    </w:p>
    <w:p w14:paraId="0F323027" w14:textId="77777777" w:rsidR="009B2762" w:rsidRDefault="009B2762" w:rsidP="005F3CEB">
      <w:pPr>
        <w:rPr>
          <w:bCs/>
        </w:rPr>
      </w:pPr>
      <w:r w:rsidRPr="009B2762">
        <w:t xml:space="preserve">Explore your unique neighbourhood with our Neighbourhood Spend Trends. Understanding when people spend, what they're buying, and where they're coming from can help you work smarter and tailor </w:t>
      </w:r>
      <w:proofErr w:type="gramStart"/>
      <w:r w:rsidRPr="009B2762">
        <w:t>your</w:t>
      </w:r>
      <w:proofErr w:type="gramEnd"/>
      <w:r w:rsidRPr="009B2762">
        <w:t xml:space="preserve"> offering to boost your business. These four bustling neighbourhoods make up nearly 70 per cent of domestic visitor spend in the city and demonstrate the incredible contribution visitors make to our local economy. </w:t>
      </w:r>
    </w:p>
    <w:p w14:paraId="26A945E7" w14:textId="0C6D238C" w:rsidR="009F7577" w:rsidRPr="009F7577" w:rsidRDefault="009F7577" w:rsidP="00F221E1">
      <w:pPr>
        <w:pStyle w:val="Heading2"/>
        <w:rPr>
          <w:rFonts w:hint="eastAsia"/>
        </w:rPr>
      </w:pPr>
      <w:bookmarkStart w:id="16" w:name="_Toc182490814"/>
      <w:r>
        <w:t>Melbourne CBD</w:t>
      </w:r>
      <w:r w:rsidR="00C55B65">
        <w:t xml:space="preserve"> – </w:t>
      </w:r>
      <w:r w:rsidR="009B2762">
        <w:t>East</w:t>
      </w:r>
      <w:bookmarkEnd w:id="16"/>
    </w:p>
    <w:p w14:paraId="41A4505F" w14:textId="3F0907D5" w:rsidR="00723A75" w:rsidRDefault="0EF83AAF" w:rsidP="4E54D03C">
      <w:pPr>
        <w:pStyle w:val="Heading3"/>
        <w:rPr>
          <w:rFonts w:hint="eastAsia"/>
        </w:rPr>
      </w:pPr>
      <w:bookmarkStart w:id="17" w:name="_Toc182490815"/>
      <w:r>
        <w:t xml:space="preserve">Table </w:t>
      </w:r>
      <w:r w:rsidR="009B2762">
        <w:t>7</w:t>
      </w:r>
      <w:r w:rsidR="6CA1FDE4">
        <w:t xml:space="preserve"> </w:t>
      </w:r>
      <w:r w:rsidR="009F7577">
        <w:t>–</w:t>
      </w:r>
      <w:r w:rsidR="6CA1FDE4">
        <w:t xml:space="preserve"> </w:t>
      </w:r>
      <w:r w:rsidR="009F7577">
        <w:t>Spending</w:t>
      </w:r>
      <w:r w:rsidR="00E84AAE">
        <w:t xml:space="preserve"> by</w:t>
      </w:r>
      <w:r w:rsidR="009F7577">
        <w:t xml:space="preserve"> </w:t>
      </w:r>
      <w:r w:rsidR="00F64925">
        <w:t>c</w:t>
      </w:r>
      <w:r w:rsidR="009F7577">
        <w:t>ategor</w:t>
      </w:r>
      <w:r w:rsidR="000F3A62">
        <w:t>y</w:t>
      </w:r>
      <w:r w:rsidR="009F7577">
        <w:t>, Q</w:t>
      </w:r>
      <w:r w:rsidR="009B2762">
        <w:t>3</w:t>
      </w:r>
      <w:r w:rsidR="009F7577">
        <w:t xml:space="preserve"> 2024</w:t>
      </w:r>
      <w:bookmarkEnd w:id="17"/>
    </w:p>
    <w:tbl>
      <w:tblPr>
        <w:tblStyle w:val="TableGrid"/>
        <w:tblW w:w="0" w:type="auto"/>
        <w:tblLook w:val="04A0" w:firstRow="1" w:lastRow="0" w:firstColumn="1" w:lastColumn="0" w:noHBand="0" w:noVBand="1"/>
      </w:tblPr>
      <w:tblGrid>
        <w:gridCol w:w="1980"/>
        <w:gridCol w:w="2977"/>
      </w:tblGrid>
      <w:tr w:rsidR="00F64925" w:rsidRPr="008F55EC" w14:paraId="26E5A4B1" w14:textId="77777777" w:rsidTr="00F1256F">
        <w:tc>
          <w:tcPr>
            <w:tcW w:w="1980" w:type="dxa"/>
            <w:vAlign w:val="center"/>
          </w:tcPr>
          <w:p w14:paraId="2C98157F" w14:textId="6FA641CB" w:rsidR="00F64925" w:rsidRPr="00F64925" w:rsidRDefault="00F64925" w:rsidP="00AA3C19">
            <w:pPr>
              <w:rPr>
                <w:rFonts w:cs="Arial"/>
                <w:b/>
                <w:bCs/>
                <w:sz w:val="22"/>
                <w:szCs w:val="22"/>
                <w:lang w:val="en-US"/>
              </w:rPr>
            </w:pPr>
            <w:r w:rsidRPr="00F64925">
              <w:rPr>
                <w:rFonts w:cs="Arial"/>
                <w:b/>
                <w:bCs/>
                <w:sz w:val="22"/>
                <w:szCs w:val="22"/>
                <w:lang w:val="en-US"/>
              </w:rPr>
              <w:t>Category</w:t>
            </w:r>
          </w:p>
        </w:tc>
        <w:tc>
          <w:tcPr>
            <w:tcW w:w="2977" w:type="dxa"/>
            <w:vAlign w:val="center"/>
          </w:tcPr>
          <w:p w14:paraId="617D81B3" w14:textId="61FBE0AE" w:rsidR="00F64925" w:rsidRPr="008F55EC" w:rsidRDefault="00F64925" w:rsidP="00AA3C19">
            <w:pPr>
              <w:rPr>
                <w:rFonts w:cs="Arial"/>
                <w:sz w:val="22"/>
                <w:szCs w:val="22"/>
                <w:lang w:val="en-US"/>
              </w:rPr>
            </w:pPr>
            <w:r>
              <w:rPr>
                <w:rFonts w:cs="Arial"/>
                <w:b/>
                <w:bCs/>
                <w:color w:val="000000"/>
                <w:sz w:val="22"/>
                <w:szCs w:val="22"/>
              </w:rPr>
              <w:t>Adjusted Spend</w:t>
            </w:r>
          </w:p>
        </w:tc>
      </w:tr>
      <w:tr w:rsidR="00F64925" w:rsidRPr="008F55EC" w14:paraId="13108588" w14:textId="77777777" w:rsidTr="00F1256F">
        <w:tc>
          <w:tcPr>
            <w:tcW w:w="1980" w:type="dxa"/>
            <w:vAlign w:val="center"/>
          </w:tcPr>
          <w:p w14:paraId="52EBED05" w14:textId="0B5D911C" w:rsidR="00F64925" w:rsidRPr="008F55EC" w:rsidRDefault="000A53E6" w:rsidP="00AA3C19">
            <w:pPr>
              <w:rPr>
                <w:rFonts w:cs="Arial"/>
                <w:sz w:val="22"/>
                <w:szCs w:val="22"/>
                <w:lang w:val="en-US"/>
              </w:rPr>
            </w:pPr>
            <w:r>
              <w:rPr>
                <w:rFonts w:cs="Arial"/>
                <w:sz w:val="22"/>
                <w:szCs w:val="22"/>
                <w:lang w:val="en-US"/>
              </w:rPr>
              <w:t>Retail</w:t>
            </w:r>
          </w:p>
        </w:tc>
        <w:tc>
          <w:tcPr>
            <w:tcW w:w="2977" w:type="dxa"/>
            <w:vAlign w:val="center"/>
          </w:tcPr>
          <w:p w14:paraId="3FF0C709" w14:textId="47DAC158" w:rsidR="00F64925" w:rsidRPr="008F55EC" w:rsidRDefault="000A53E6" w:rsidP="000A53E6">
            <w:pPr>
              <w:jc w:val="right"/>
              <w:rPr>
                <w:rFonts w:cs="Arial"/>
                <w:sz w:val="22"/>
                <w:szCs w:val="22"/>
                <w:lang w:val="en-US"/>
              </w:rPr>
            </w:pPr>
            <w:r>
              <w:rPr>
                <w:rFonts w:cs="Arial"/>
                <w:sz w:val="22"/>
                <w:szCs w:val="22"/>
                <w:lang w:val="en-US"/>
              </w:rPr>
              <w:t>$</w:t>
            </w:r>
            <w:r w:rsidR="008973E9">
              <w:rPr>
                <w:rFonts w:cs="Arial"/>
                <w:sz w:val="22"/>
                <w:szCs w:val="22"/>
                <w:lang w:val="en-US"/>
              </w:rPr>
              <w:t>344</w:t>
            </w:r>
            <w:r>
              <w:rPr>
                <w:rFonts w:cs="Arial"/>
                <w:sz w:val="22"/>
                <w:szCs w:val="22"/>
                <w:lang w:val="en-US"/>
              </w:rPr>
              <w:t>,</w:t>
            </w:r>
            <w:r w:rsidR="008973E9">
              <w:rPr>
                <w:rFonts w:cs="Arial"/>
                <w:sz w:val="22"/>
                <w:szCs w:val="22"/>
                <w:lang w:val="en-US"/>
              </w:rPr>
              <w:t>958</w:t>
            </w:r>
            <w:r>
              <w:rPr>
                <w:rFonts w:cs="Arial"/>
                <w:sz w:val="22"/>
                <w:szCs w:val="22"/>
                <w:lang w:val="en-US"/>
              </w:rPr>
              <w:t>,</w:t>
            </w:r>
            <w:r w:rsidR="008973E9">
              <w:rPr>
                <w:rFonts w:cs="Arial"/>
                <w:sz w:val="22"/>
                <w:szCs w:val="22"/>
                <w:lang w:val="en-US"/>
              </w:rPr>
              <w:t>300</w:t>
            </w:r>
          </w:p>
        </w:tc>
      </w:tr>
      <w:tr w:rsidR="00F64925" w:rsidRPr="008F55EC" w14:paraId="1F9C9639" w14:textId="77777777" w:rsidTr="00F1256F">
        <w:tc>
          <w:tcPr>
            <w:tcW w:w="1980" w:type="dxa"/>
            <w:vAlign w:val="center"/>
          </w:tcPr>
          <w:p w14:paraId="7BDF5D0A" w14:textId="5C0877AD" w:rsidR="00F64925" w:rsidRPr="008F55EC" w:rsidRDefault="000A53E6" w:rsidP="00AA3C19">
            <w:pPr>
              <w:rPr>
                <w:rFonts w:cs="Arial"/>
                <w:sz w:val="22"/>
                <w:szCs w:val="22"/>
                <w:lang w:val="en-US"/>
              </w:rPr>
            </w:pPr>
            <w:r>
              <w:rPr>
                <w:rFonts w:cs="Arial"/>
                <w:sz w:val="22"/>
                <w:szCs w:val="22"/>
                <w:lang w:val="en-US"/>
              </w:rPr>
              <w:t>Entertainment</w:t>
            </w:r>
          </w:p>
        </w:tc>
        <w:tc>
          <w:tcPr>
            <w:tcW w:w="2977" w:type="dxa"/>
            <w:vAlign w:val="center"/>
          </w:tcPr>
          <w:p w14:paraId="43013009" w14:textId="43CAC88E" w:rsidR="00F64925" w:rsidRPr="008F55EC" w:rsidRDefault="000A53E6" w:rsidP="000A53E6">
            <w:pPr>
              <w:jc w:val="right"/>
              <w:rPr>
                <w:rFonts w:cs="Arial"/>
                <w:sz w:val="22"/>
                <w:szCs w:val="22"/>
                <w:lang w:val="en-US"/>
              </w:rPr>
            </w:pPr>
            <w:r>
              <w:rPr>
                <w:rFonts w:cs="Arial"/>
                <w:sz w:val="22"/>
                <w:szCs w:val="22"/>
                <w:lang w:val="en-US"/>
              </w:rPr>
              <w:t>$</w:t>
            </w:r>
            <w:r w:rsidR="00CA203B">
              <w:rPr>
                <w:rFonts w:cs="Arial"/>
                <w:sz w:val="22"/>
                <w:szCs w:val="22"/>
                <w:lang w:val="en-US"/>
              </w:rPr>
              <w:t>253</w:t>
            </w:r>
            <w:r>
              <w:rPr>
                <w:rFonts w:cs="Arial"/>
                <w:sz w:val="22"/>
                <w:szCs w:val="22"/>
                <w:lang w:val="en-US"/>
              </w:rPr>
              <w:t>,</w:t>
            </w:r>
            <w:r w:rsidR="00CA203B">
              <w:rPr>
                <w:rFonts w:cs="Arial"/>
                <w:sz w:val="22"/>
                <w:szCs w:val="22"/>
                <w:lang w:val="en-US"/>
              </w:rPr>
              <w:t>440</w:t>
            </w:r>
            <w:r>
              <w:rPr>
                <w:rFonts w:cs="Arial"/>
                <w:sz w:val="22"/>
                <w:szCs w:val="22"/>
                <w:lang w:val="en-US"/>
              </w:rPr>
              <w:t>,</w:t>
            </w:r>
            <w:r w:rsidR="00CA203B">
              <w:rPr>
                <w:rFonts w:cs="Arial"/>
                <w:sz w:val="22"/>
                <w:szCs w:val="22"/>
                <w:lang w:val="en-US"/>
              </w:rPr>
              <w:t>500</w:t>
            </w:r>
          </w:p>
        </w:tc>
      </w:tr>
      <w:tr w:rsidR="00F64925" w:rsidRPr="008F55EC" w14:paraId="5C543805" w14:textId="77777777" w:rsidTr="00F1256F">
        <w:tc>
          <w:tcPr>
            <w:tcW w:w="1980" w:type="dxa"/>
            <w:vAlign w:val="center"/>
          </w:tcPr>
          <w:p w14:paraId="5350B8E9" w14:textId="7BA47A5E" w:rsidR="00F64925" w:rsidRDefault="000A53E6" w:rsidP="00AA3C19">
            <w:pPr>
              <w:rPr>
                <w:rFonts w:cs="Arial"/>
                <w:color w:val="000000"/>
                <w:sz w:val="22"/>
                <w:szCs w:val="22"/>
              </w:rPr>
            </w:pPr>
            <w:r>
              <w:rPr>
                <w:rFonts w:cs="Arial"/>
                <w:color w:val="000000"/>
                <w:sz w:val="22"/>
                <w:szCs w:val="22"/>
              </w:rPr>
              <w:t>Commercial</w:t>
            </w:r>
          </w:p>
        </w:tc>
        <w:tc>
          <w:tcPr>
            <w:tcW w:w="2977" w:type="dxa"/>
            <w:vAlign w:val="center"/>
          </w:tcPr>
          <w:p w14:paraId="5AD29969" w14:textId="53E255CA" w:rsidR="00F64925" w:rsidRPr="008F55EC" w:rsidRDefault="000A53E6" w:rsidP="000A53E6">
            <w:pPr>
              <w:jc w:val="right"/>
              <w:rPr>
                <w:rFonts w:cs="Arial"/>
                <w:sz w:val="22"/>
                <w:szCs w:val="22"/>
                <w:lang w:val="en-US"/>
              </w:rPr>
            </w:pPr>
            <w:r>
              <w:rPr>
                <w:rFonts w:cs="Arial"/>
                <w:sz w:val="22"/>
                <w:szCs w:val="22"/>
                <w:lang w:val="en-US"/>
              </w:rPr>
              <w:t>$</w:t>
            </w:r>
            <w:r w:rsidR="00CA203B">
              <w:rPr>
                <w:rFonts w:cs="Arial"/>
                <w:sz w:val="22"/>
                <w:szCs w:val="22"/>
                <w:lang w:val="en-US"/>
              </w:rPr>
              <w:t>67</w:t>
            </w:r>
            <w:r>
              <w:rPr>
                <w:rFonts w:cs="Arial"/>
                <w:sz w:val="22"/>
                <w:szCs w:val="22"/>
                <w:lang w:val="en-US"/>
              </w:rPr>
              <w:t>,1</w:t>
            </w:r>
            <w:r w:rsidR="00CA203B">
              <w:rPr>
                <w:rFonts w:cs="Arial"/>
                <w:sz w:val="22"/>
                <w:szCs w:val="22"/>
                <w:lang w:val="en-US"/>
              </w:rPr>
              <w:t>15</w:t>
            </w:r>
            <w:r>
              <w:rPr>
                <w:rFonts w:cs="Arial"/>
                <w:sz w:val="22"/>
                <w:szCs w:val="22"/>
                <w:lang w:val="en-US"/>
              </w:rPr>
              <w:t>,</w:t>
            </w:r>
            <w:r w:rsidR="00CA203B">
              <w:rPr>
                <w:rFonts w:cs="Arial"/>
                <w:sz w:val="22"/>
                <w:szCs w:val="22"/>
                <w:lang w:val="en-US"/>
              </w:rPr>
              <w:t>600</w:t>
            </w:r>
          </w:p>
        </w:tc>
      </w:tr>
      <w:tr w:rsidR="00F64925" w:rsidRPr="008F55EC" w14:paraId="0FA24A07" w14:textId="77777777" w:rsidTr="00F1256F">
        <w:tc>
          <w:tcPr>
            <w:tcW w:w="1980" w:type="dxa"/>
            <w:vAlign w:val="center"/>
          </w:tcPr>
          <w:p w14:paraId="60F975CD" w14:textId="4A5802A3" w:rsidR="00F64925" w:rsidRDefault="000A53E6" w:rsidP="00AA3C19">
            <w:pPr>
              <w:rPr>
                <w:rFonts w:cs="Arial"/>
                <w:color w:val="000000"/>
                <w:sz w:val="22"/>
                <w:szCs w:val="22"/>
              </w:rPr>
            </w:pPr>
            <w:r>
              <w:rPr>
                <w:rFonts w:cs="Arial"/>
                <w:color w:val="000000"/>
                <w:sz w:val="22"/>
                <w:szCs w:val="22"/>
              </w:rPr>
              <w:t>Tourism</w:t>
            </w:r>
          </w:p>
        </w:tc>
        <w:tc>
          <w:tcPr>
            <w:tcW w:w="2977" w:type="dxa"/>
            <w:vAlign w:val="center"/>
          </w:tcPr>
          <w:p w14:paraId="5D292CA3" w14:textId="5F527F69" w:rsidR="00F64925" w:rsidRPr="008F55EC" w:rsidRDefault="000A53E6" w:rsidP="000A53E6">
            <w:pPr>
              <w:jc w:val="right"/>
              <w:rPr>
                <w:rFonts w:cs="Arial"/>
                <w:sz w:val="22"/>
                <w:szCs w:val="22"/>
                <w:lang w:val="en-US"/>
              </w:rPr>
            </w:pPr>
            <w:r>
              <w:rPr>
                <w:rFonts w:cs="Arial"/>
                <w:sz w:val="22"/>
                <w:szCs w:val="22"/>
                <w:lang w:val="en-US"/>
              </w:rPr>
              <w:t>$</w:t>
            </w:r>
            <w:r w:rsidR="00CA203B">
              <w:rPr>
                <w:rFonts w:cs="Arial"/>
                <w:sz w:val="22"/>
                <w:szCs w:val="22"/>
                <w:lang w:val="en-US"/>
              </w:rPr>
              <w:t>43,990,000</w:t>
            </w:r>
          </w:p>
        </w:tc>
      </w:tr>
    </w:tbl>
    <w:p w14:paraId="30D90A39" w14:textId="70D38599" w:rsidR="009F7577" w:rsidRDefault="009F7577" w:rsidP="009F7577">
      <w:pPr>
        <w:pStyle w:val="Heading3"/>
        <w:rPr>
          <w:rFonts w:hint="eastAsia"/>
        </w:rPr>
      </w:pPr>
      <w:bookmarkStart w:id="18" w:name="_Toc182490816"/>
      <w:r>
        <w:t xml:space="preserve">Table </w:t>
      </w:r>
      <w:r w:rsidR="009B2762">
        <w:t>8</w:t>
      </w:r>
      <w:r>
        <w:t xml:space="preserve"> – Work </w:t>
      </w:r>
      <w:r w:rsidR="00F64925">
        <w:t>h</w:t>
      </w:r>
      <w:r>
        <w:t xml:space="preserve">ours and </w:t>
      </w:r>
      <w:r w:rsidR="00F64925">
        <w:t>n</w:t>
      </w:r>
      <w:r>
        <w:t xml:space="preserve">on-work </w:t>
      </w:r>
      <w:r w:rsidR="00F64925">
        <w:t>h</w:t>
      </w:r>
      <w:r>
        <w:t xml:space="preserve">ours </w:t>
      </w:r>
      <w:r w:rsidR="00F64925">
        <w:t>s</w:t>
      </w:r>
      <w:r>
        <w:t>pend</w:t>
      </w:r>
      <w:r w:rsidR="00CA203B">
        <w:t>ing</w:t>
      </w:r>
      <w:r w:rsidR="00B776A9">
        <w:t xml:space="preserve"> in Melbourne CBD – </w:t>
      </w:r>
      <w:r w:rsidR="009B2762">
        <w:t>East</w:t>
      </w:r>
      <w:r>
        <w:t>, Q</w:t>
      </w:r>
      <w:r w:rsidR="009B2762">
        <w:t>3</w:t>
      </w:r>
      <w:r>
        <w:t xml:space="preserve"> 2024</w:t>
      </w:r>
      <w:bookmarkEnd w:id="18"/>
    </w:p>
    <w:tbl>
      <w:tblPr>
        <w:tblStyle w:val="TableGrid"/>
        <w:tblW w:w="0" w:type="auto"/>
        <w:tblLook w:val="04A0" w:firstRow="1" w:lastRow="0" w:firstColumn="1" w:lastColumn="0" w:noHBand="0" w:noVBand="1"/>
      </w:tblPr>
      <w:tblGrid>
        <w:gridCol w:w="2689"/>
        <w:gridCol w:w="2268"/>
        <w:gridCol w:w="3118"/>
      </w:tblGrid>
      <w:tr w:rsidR="00F64925" w:rsidRPr="008F55EC" w14:paraId="4CEE8B83" w14:textId="04A459C0" w:rsidTr="00F64925">
        <w:tc>
          <w:tcPr>
            <w:tcW w:w="2689" w:type="dxa"/>
            <w:vAlign w:val="center"/>
          </w:tcPr>
          <w:p w14:paraId="4E87028C" w14:textId="28FD47F2" w:rsidR="00F64925" w:rsidRPr="00F64925" w:rsidRDefault="00F64925" w:rsidP="00AA3C19">
            <w:pPr>
              <w:rPr>
                <w:rFonts w:cs="Arial"/>
                <w:b/>
                <w:bCs/>
                <w:sz w:val="22"/>
                <w:szCs w:val="22"/>
                <w:lang w:val="en-US"/>
              </w:rPr>
            </w:pPr>
            <w:r>
              <w:rPr>
                <w:rFonts w:cs="Arial"/>
                <w:b/>
                <w:bCs/>
                <w:sz w:val="22"/>
                <w:szCs w:val="22"/>
                <w:lang w:val="en-US"/>
              </w:rPr>
              <w:t>Time Period</w:t>
            </w:r>
          </w:p>
        </w:tc>
        <w:tc>
          <w:tcPr>
            <w:tcW w:w="2268" w:type="dxa"/>
            <w:vAlign w:val="center"/>
          </w:tcPr>
          <w:p w14:paraId="2C7984F6" w14:textId="16AFE991" w:rsidR="00F64925" w:rsidRPr="008F55EC" w:rsidRDefault="00F64925" w:rsidP="00AA3C19">
            <w:pPr>
              <w:rPr>
                <w:rFonts w:cs="Arial"/>
                <w:sz w:val="22"/>
                <w:szCs w:val="22"/>
                <w:lang w:val="en-US"/>
              </w:rPr>
            </w:pPr>
            <w:r>
              <w:rPr>
                <w:rFonts w:cs="Arial"/>
                <w:b/>
                <w:bCs/>
                <w:color w:val="000000"/>
                <w:sz w:val="22"/>
                <w:szCs w:val="22"/>
              </w:rPr>
              <w:t>Adjusted Spend</w:t>
            </w:r>
          </w:p>
        </w:tc>
        <w:tc>
          <w:tcPr>
            <w:tcW w:w="3118" w:type="dxa"/>
          </w:tcPr>
          <w:p w14:paraId="3013D9C4" w14:textId="342EDAC2" w:rsidR="00F64925" w:rsidRDefault="00F64925" w:rsidP="00AA3C19">
            <w:pPr>
              <w:rPr>
                <w:rFonts w:cs="Arial"/>
                <w:b/>
                <w:bCs/>
                <w:color w:val="000000"/>
                <w:sz w:val="22"/>
                <w:szCs w:val="22"/>
              </w:rPr>
            </w:pPr>
            <w:r>
              <w:rPr>
                <w:rFonts w:cs="Arial"/>
                <w:b/>
                <w:bCs/>
                <w:color w:val="000000"/>
                <w:sz w:val="22"/>
                <w:szCs w:val="22"/>
              </w:rPr>
              <w:t>Percent of Average Spend</w:t>
            </w:r>
          </w:p>
        </w:tc>
      </w:tr>
      <w:tr w:rsidR="00C55B65" w:rsidRPr="008F55EC" w14:paraId="722E7603" w14:textId="049604D4" w:rsidTr="00F64925">
        <w:tc>
          <w:tcPr>
            <w:tcW w:w="2689" w:type="dxa"/>
            <w:vAlign w:val="center"/>
          </w:tcPr>
          <w:p w14:paraId="766AF8A1" w14:textId="6F54513D" w:rsidR="00C55B65" w:rsidRPr="008F55EC" w:rsidRDefault="00C55B65" w:rsidP="00C55B65">
            <w:pPr>
              <w:rPr>
                <w:rFonts w:cs="Arial"/>
                <w:sz w:val="22"/>
                <w:szCs w:val="22"/>
                <w:lang w:val="en-US"/>
              </w:rPr>
            </w:pPr>
            <w:r>
              <w:rPr>
                <w:rFonts w:cs="Arial"/>
                <w:color w:val="000000"/>
                <w:sz w:val="22"/>
                <w:szCs w:val="22"/>
              </w:rPr>
              <w:t>Work hours</w:t>
            </w:r>
          </w:p>
        </w:tc>
        <w:tc>
          <w:tcPr>
            <w:tcW w:w="2268" w:type="dxa"/>
            <w:vAlign w:val="center"/>
          </w:tcPr>
          <w:p w14:paraId="00D122BE" w14:textId="652B4E08" w:rsidR="00C55B65" w:rsidRPr="008F55EC" w:rsidRDefault="000A53E6" w:rsidP="000A53E6">
            <w:pPr>
              <w:jc w:val="right"/>
              <w:rPr>
                <w:rFonts w:cs="Arial"/>
                <w:sz w:val="22"/>
                <w:szCs w:val="22"/>
                <w:lang w:val="en-US"/>
              </w:rPr>
            </w:pPr>
            <w:r>
              <w:rPr>
                <w:rFonts w:cs="Arial"/>
                <w:sz w:val="22"/>
                <w:szCs w:val="22"/>
                <w:lang w:val="en-US"/>
              </w:rPr>
              <w:t>$</w:t>
            </w:r>
            <w:r w:rsidR="00CA203B">
              <w:rPr>
                <w:rFonts w:cs="Arial"/>
                <w:sz w:val="22"/>
                <w:szCs w:val="22"/>
                <w:lang w:val="en-US"/>
              </w:rPr>
              <w:t>392</w:t>
            </w:r>
            <w:r>
              <w:rPr>
                <w:rFonts w:cs="Arial"/>
                <w:sz w:val="22"/>
                <w:szCs w:val="22"/>
                <w:lang w:val="en-US"/>
              </w:rPr>
              <w:t>,000,000</w:t>
            </w:r>
          </w:p>
        </w:tc>
        <w:tc>
          <w:tcPr>
            <w:tcW w:w="3118" w:type="dxa"/>
          </w:tcPr>
          <w:p w14:paraId="0A43FD94" w14:textId="43D98F55" w:rsidR="00C55B65" w:rsidRPr="008F55EC" w:rsidRDefault="000A53E6" w:rsidP="000A53E6">
            <w:pPr>
              <w:jc w:val="right"/>
              <w:rPr>
                <w:rFonts w:cs="Arial"/>
                <w:sz w:val="22"/>
                <w:szCs w:val="22"/>
                <w:lang w:val="en-US"/>
              </w:rPr>
            </w:pPr>
            <w:r>
              <w:rPr>
                <w:rFonts w:cs="Arial"/>
                <w:sz w:val="22"/>
                <w:szCs w:val="22"/>
                <w:lang w:val="en-US"/>
              </w:rPr>
              <w:t>5</w:t>
            </w:r>
            <w:r w:rsidR="001C6A3B">
              <w:rPr>
                <w:rFonts w:cs="Arial"/>
                <w:sz w:val="22"/>
                <w:szCs w:val="22"/>
                <w:lang w:val="en-US"/>
              </w:rPr>
              <w:t>5</w:t>
            </w:r>
            <w:r>
              <w:rPr>
                <w:rFonts w:cs="Arial"/>
                <w:sz w:val="22"/>
                <w:szCs w:val="22"/>
                <w:lang w:val="en-US"/>
              </w:rPr>
              <w:t>%</w:t>
            </w:r>
          </w:p>
        </w:tc>
      </w:tr>
      <w:tr w:rsidR="00C55B65" w:rsidRPr="008F55EC" w14:paraId="71CF9BA6" w14:textId="6D63D1F5" w:rsidTr="00F64925">
        <w:tc>
          <w:tcPr>
            <w:tcW w:w="2689" w:type="dxa"/>
            <w:vAlign w:val="center"/>
          </w:tcPr>
          <w:p w14:paraId="7B724A9F" w14:textId="10BD9569" w:rsidR="00C55B65" w:rsidRPr="008F55EC" w:rsidRDefault="00C55B65" w:rsidP="00C55B65">
            <w:pPr>
              <w:rPr>
                <w:rFonts w:cs="Arial"/>
                <w:sz w:val="22"/>
                <w:szCs w:val="22"/>
                <w:lang w:val="en-US"/>
              </w:rPr>
            </w:pPr>
            <w:r>
              <w:rPr>
                <w:rFonts w:cs="Arial"/>
                <w:color w:val="000000"/>
                <w:sz w:val="22"/>
                <w:szCs w:val="22"/>
              </w:rPr>
              <w:t>Non-work hours</w:t>
            </w:r>
          </w:p>
        </w:tc>
        <w:tc>
          <w:tcPr>
            <w:tcW w:w="2268" w:type="dxa"/>
            <w:vAlign w:val="center"/>
          </w:tcPr>
          <w:p w14:paraId="6AA5B2F7" w14:textId="367E5886" w:rsidR="00C55B65" w:rsidRPr="008F55EC" w:rsidRDefault="000A53E6" w:rsidP="000A53E6">
            <w:pPr>
              <w:jc w:val="right"/>
              <w:rPr>
                <w:rFonts w:cs="Arial"/>
                <w:sz w:val="22"/>
                <w:szCs w:val="22"/>
                <w:lang w:val="en-US"/>
              </w:rPr>
            </w:pPr>
            <w:r>
              <w:rPr>
                <w:rFonts w:cs="Arial"/>
                <w:sz w:val="22"/>
                <w:szCs w:val="22"/>
                <w:lang w:val="en-US"/>
              </w:rPr>
              <w:t>$</w:t>
            </w:r>
            <w:r w:rsidR="00CA203B">
              <w:rPr>
                <w:rFonts w:cs="Arial"/>
                <w:sz w:val="22"/>
                <w:szCs w:val="22"/>
                <w:lang w:val="en-US"/>
              </w:rPr>
              <w:t>318</w:t>
            </w:r>
            <w:r>
              <w:rPr>
                <w:rFonts w:cs="Arial"/>
                <w:sz w:val="22"/>
                <w:szCs w:val="22"/>
                <w:lang w:val="en-US"/>
              </w:rPr>
              <w:t>,000,000</w:t>
            </w:r>
          </w:p>
        </w:tc>
        <w:tc>
          <w:tcPr>
            <w:tcW w:w="3118" w:type="dxa"/>
          </w:tcPr>
          <w:p w14:paraId="297A90E0" w14:textId="53DA3800" w:rsidR="00C55B65" w:rsidRPr="008F55EC" w:rsidRDefault="000A53E6" w:rsidP="000A53E6">
            <w:pPr>
              <w:jc w:val="right"/>
              <w:rPr>
                <w:rFonts w:cs="Arial"/>
                <w:sz w:val="22"/>
                <w:szCs w:val="22"/>
                <w:lang w:val="en-US"/>
              </w:rPr>
            </w:pPr>
            <w:r>
              <w:rPr>
                <w:rFonts w:cs="Arial"/>
                <w:sz w:val="22"/>
                <w:szCs w:val="22"/>
                <w:lang w:val="en-US"/>
              </w:rPr>
              <w:t>4</w:t>
            </w:r>
            <w:r w:rsidR="001C6A3B">
              <w:rPr>
                <w:rFonts w:cs="Arial"/>
                <w:sz w:val="22"/>
                <w:szCs w:val="22"/>
                <w:lang w:val="en-US"/>
              </w:rPr>
              <w:t>5</w:t>
            </w:r>
            <w:r>
              <w:rPr>
                <w:rFonts w:cs="Arial"/>
                <w:sz w:val="22"/>
                <w:szCs w:val="22"/>
                <w:lang w:val="en-US"/>
              </w:rPr>
              <w:t>%</w:t>
            </w:r>
          </w:p>
        </w:tc>
      </w:tr>
    </w:tbl>
    <w:p w14:paraId="2D6CEC97" w14:textId="1492CCD4" w:rsidR="004B0A87" w:rsidRDefault="004B0A87" w:rsidP="004B0A87">
      <w:pPr>
        <w:pStyle w:val="ListParagraph"/>
        <w:numPr>
          <w:ilvl w:val="0"/>
          <w:numId w:val="21"/>
        </w:numPr>
      </w:pPr>
      <w:r w:rsidRPr="005B476C">
        <w:t>Work hours are 8am to 6pm, Monday to Friday.</w:t>
      </w:r>
    </w:p>
    <w:p w14:paraId="66538CCA" w14:textId="24CB2701" w:rsidR="002031FC" w:rsidRDefault="002031FC" w:rsidP="002031FC">
      <w:pPr>
        <w:pStyle w:val="Heading3"/>
        <w:rPr>
          <w:rFonts w:hint="eastAsia"/>
        </w:rPr>
      </w:pPr>
      <w:bookmarkStart w:id="19" w:name="_Toc182490817"/>
      <w:r>
        <w:t xml:space="preserve">Table </w:t>
      </w:r>
      <w:r w:rsidR="009B2762">
        <w:t>9</w:t>
      </w:r>
      <w:r>
        <w:t xml:space="preserve"> – </w:t>
      </w:r>
      <w:r w:rsidRPr="002031FC">
        <w:t>Weekday and weekend spend</w:t>
      </w:r>
      <w:r w:rsidR="00CA203B">
        <w:t>ing</w:t>
      </w:r>
      <w:r w:rsidRPr="002031FC">
        <w:t xml:space="preserve"> in Melbourne CBD</w:t>
      </w:r>
      <w:r w:rsidR="00C55B65">
        <w:t xml:space="preserve"> – </w:t>
      </w:r>
      <w:r w:rsidR="009B2762">
        <w:t>East</w:t>
      </w:r>
      <w:r w:rsidRPr="002031FC">
        <w:t>, Q</w:t>
      </w:r>
      <w:r w:rsidR="009B2762">
        <w:t>3</w:t>
      </w:r>
      <w:r w:rsidRPr="002031FC">
        <w:t xml:space="preserve"> 2024</w:t>
      </w:r>
      <w:bookmarkEnd w:id="19"/>
      <w:r>
        <w:t xml:space="preserve"> </w:t>
      </w:r>
    </w:p>
    <w:tbl>
      <w:tblPr>
        <w:tblStyle w:val="TableGrid"/>
        <w:tblW w:w="0" w:type="auto"/>
        <w:tblLook w:val="04A0" w:firstRow="1" w:lastRow="0" w:firstColumn="1" w:lastColumn="0" w:noHBand="0" w:noVBand="1"/>
      </w:tblPr>
      <w:tblGrid>
        <w:gridCol w:w="2689"/>
        <w:gridCol w:w="2268"/>
        <w:gridCol w:w="3118"/>
      </w:tblGrid>
      <w:tr w:rsidR="00C55B65" w:rsidRPr="008F55EC" w14:paraId="17F54338" w14:textId="77777777" w:rsidTr="00922857">
        <w:tc>
          <w:tcPr>
            <w:tcW w:w="2689" w:type="dxa"/>
            <w:vAlign w:val="center"/>
          </w:tcPr>
          <w:p w14:paraId="2E4CFDFF" w14:textId="6FDE38F0" w:rsidR="00C55B65" w:rsidRPr="00F64925" w:rsidRDefault="00C55B65" w:rsidP="00C55B65">
            <w:pPr>
              <w:rPr>
                <w:rFonts w:cs="Arial"/>
                <w:b/>
                <w:bCs/>
                <w:sz w:val="22"/>
                <w:szCs w:val="22"/>
                <w:lang w:val="en-US"/>
              </w:rPr>
            </w:pPr>
            <w:r>
              <w:rPr>
                <w:rFonts w:cs="Arial"/>
                <w:b/>
                <w:bCs/>
                <w:sz w:val="22"/>
                <w:szCs w:val="22"/>
                <w:lang w:val="en-US"/>
              </w:rPr>
              <w:t>Time Period</w:t>
            </w:r>
          </w:p>
        </w:tc>
        <w:tc>
          <w:tcPr>
            <w:tcW w:w="2268" w:type="dxa"/>
            <w:vAlign w:val="center"/>
          </w:tcPr>
          <w:p w14:paraId="5AB8E698" w14:textId="3B3B5097" w:rsidR="00C55B65" w:rsidRPr="008F55EC" w:rsidRDefault="00C55B65" w:rsidP="00C55B65">
            <w:pPr>
              <w:rPr>
                <w:rFonts w:cs="Arial"/>
                <w:sz w:val="22"/>
                <w:szCs w:val="22"/>
                <w:lang w:val="en-US"/>
              </w:rPr>
            </w:pPr>
            <w:r>
              <w:rPr>
                <w:rFonts w:cs="Arial"/>
                <w:b/>
                <w:bCs/>
                <w:color w:val="000000"/>
                <w:sz w:val="22"/>
                <w:szCs w:val="22"/>
              </w:rPr>
              <w:t>Adjusted Spend</w:t>
            </w:r>
          </w:p>
        </w:tc>
        <w:tc>
          <w:tcPr>
            <w:tcW w:w="3118" w:type="dxa"/>
          </w:tcPr>
          <w:p w14:paraId="02732F96" w14:textId="6D8F7F01" w:rsidR="00C55B65" w:rsidRDefault="00C55B65" w:rsidP="00C55B65">
            <w:pPr>
              <w:rPr>
                <w:rFonts w:cs="Arial"/>
                <w:b/>
                <w:bCs/>
                <w:color w:val="000000"/>
                <w:sz w:val="22"/>
                <w:szCs w:val="22"/>
              </w:rPr>
            </w:pPr>
            <w:r>
              <w:rPr>
                <w:rFonts w:cs="Arial"/>
                <w:b/>
                <w:bCs/>
                <w:color w:val="000000"/>
                <w:sz w:val="22"/>
                <w:szCs w:val="22"/>
              </w:rPr>
              <w:t>Percent of Average Spend</w:t>
            </w:r>
          </w:p>
        </w:tc>
      </w:tr>
      <w:tr w:rsidR="00C55B65" w:rsidRPr="008F55EC" w14:paraId="3CFC5ABF" w14:textId="77777777" w:rsidTr="00922857">
        <w:tc>
          <w:tcPr>
            <w:tcW w:w="2689" w:type="dxa"/>
            <w:vAlign w:val="center"/>
          </w:tcPr>
          <w:p w14:paraId="372077E4" w14:textId="4D3E99DA" w:rsidR="00C55B65" w:rsidRPr="008F55EC" w:rsidRDefault="00C55B65" w:rsidP="00C55B65">
            <w:pPr>
              <w:rPr>
                <w:rFonts w:cs="Arial"/>
                <w:sz w:val="22"/>
                <w:szCs w:val="22"/>
                <w:lang w:val="en-US"/>
              </w:rPr>
            </w:pPr>
            <w:r>
              <w:rPr>
                <w:rFonts w:cs="Arial"/>
                <w:color w:val="000000"/>
                <w:sz w:val="22"/>
                <w:szCs w:val="22"/>
              </w:rPr>
              <w:t>Weekdays</w:t>
            </w:r>
          </w:p>
        </w:tc>
        <w:tc>
          <w:tcPr>
            <w:tcW w:w="2268" w:type="dxa"/>
            <w:vAlign w:val="center"/>
          </w:tcPr>
          <w:p w14:paraId="73A42750" w14:textId="6445E9EA" w:rsidR="00C55B65" w:rsidRPr="008F55EC" w:rsidRDefault="000A53E6" w:rsidP="000A53E6">
            <w:pPr>
              <w:jc w:val="right"/>
              <w:rPr>
                <w:rFonts w:cs="Arial"/>
                <w:sz w:val="22"/>
                <w:szCs w:val="22"/>
                <w:lang w:val="en-US"/>
              </w:rPr>
            </w:pPr>
            <w:r>
              <w:rPr>
                <w:rFonts w:cs="Arial"/>
                <w:sz w:val="22"/>
                <w:szCs w:val="22"/>
                <w:lang w:val="en-US"/>
              </w:rPr>
              <w:t>$</w:t>
            </w:r>
            <w:r w:rsidR="001C6A3B">
              <w:rPr>
                <w:rFonts w:cs="Arial"/>
                <w:sz w:val="22"/>
                <w:szCs w:val="22"/>
                <w:lang w:val="en-US"/>
              </w:rPr>
              <w:t>487</w:t>
            </w:r>
            <w:r>
              <w:rPr>
                <w:rFonts w:cs="Arial"/>
                <w:sz w:val="22"/>
                <w:szCs w:val="22"/>
                <w:lang w:val="en-US"/>
              </w:rPr>
              <w:t>,000,000</w:t>
            </w:r>
          </w:p>
        </w:tc>
        <w:tc>
          <w:tcPr>
            <w:tcW w:w="3118" w:type="dxa"/>
          </w:tcPr>
          <w:p w14:paraId="7B851ED2" w14:textId="5BCC3999" w:rsidR="00C55B65" w:rsidRPr="008F55EC" w:rsidRDefault="000A53E6" w:rsidP="000A53E6">
            <w:pPr>
              <w:jc w:val="right"/>
              <w:rPr>
                <w:rFonts w:cs="Arial"/>
                <w:sz w:val="22"/>
                <w:szCs w:val="22"/>
                <w:lang w:val="en-US"/>
              </w:rPr>
            </w:pPr>
            <w:r>
              <w:rPr>
                <w:rFonts w:cs="Arial"/>
                <w:sz w:val="22"/>
                <w:szCs w:val="22"/>
                <w:lang w:val="en-US"/>
              </w:rPr>
              <w:t>6</w:t>
            </w:r>
            <w:r w:rsidR="001C6A3B">
              <w:rPr>
                <w:rFonts w:cs="Arial"/>
                <w:sz w:val="22"/>
                <w:szCs w:val="22"/>
                <w:lang w:val="en-US"/>
              </w:rPr>
              <w:t>9</w:t>
            </w:r>
            <w:r>
              <w:rPr>
                <w:rFonts w:cs="Arial"/>
                <w:sz w:val="22"/>
                <w:szCs w:val="22"/>
                <w:lang w:val="en-US"/>
              </w:rPr>
              <w:t>%</w:t>
            </w:r>
          </w:p>
        </w:tc>
      </w:tr>
      <w:tr w:rsidR="00C55B65" w:rsidRPr="008F55EC" w14:paraId="0B046565" w14:textId="77777777" w:rsidTr="00922857">
        <w:tc>
          <w:tcPr>
            <w:tcW w:w="2689" w:type="dxa"/>
            <w:vAlign w:val="center"/>
          </w:tcPr>
          <w:p w14:paraId="38321FFD" w14:textId="75A13036" w:rsidR="00C55B65" w:rsidRPr="008F55EC" w:rsidRDefault="00C55B65" w:rsidP="00C55B65">
            <w:pPr>
              <w:rPr>
                <w:rFonts w:cs="Arial"/>
                <w:sz w:val="22"/>
                <w:szCs w:val="22"/>
                <w:lang w:val="en-US"/>
              </w:rPr>
            </w:pPr>
            <w:r>
              <w:rPr>
                <w:rFonts w:cs="Arial"/>
                <w:color w:val="000000"/>
                <w:sz w:val="22"/>
                <w:szCs w:val="22"/>
              </w:rPr>
              <w:t>Weekends</w:t>
            </w:r>
          </w:p>
        </w:tc>
        <w:tc>
          <w:tcPr>
            <w:tcW w:w="2268" w:type="dxa"/>
            <w:vAlign w:val="center"/>
          </w:tcPr>
          <w:p w14:paraId="7601F523" w14:textId="4F784F69" w:rsidR="00C55B65" w:rsidRPr="008F55EC" w:rsidRDefault="000A53E6" w:rsidP="000A53E6">
            <w:pPr>
              <w:jc w:val="right"/>
              <w:rPr>
                <w:rFonts w:cs="Arial"/>
                <w:sz w:val="22"/>
                <w:szCs w:val="22"/>
                <w:lang w:val="en-US"/>
              </w:rPr>
            </w:pPr>
            <w:r>
              <w:rPr>
                <w:rFonts w:cs="Arial"/>
                <w:sz w:val="22"/>
                <w:szCs w:val="22"/>
                <w:lang w:val="en-US"/>
              </w:rPr>
              <w:t>$</w:t>
            </w:r>
            <w:r w:rsidR="001C6A3B">
              <w:rPr>
                <w:rFonts w:cs="Arial"/>
                <w:sz w:val="22"/>
                <w:szCs w:val="22"/>
                <w:lang w:val="en-US"/>
              </w:rPr>
              <w:t>222</w:t>
            </w:r>
            <w:r>
              <w:rPr>
                <w:rFonts w:cs="Arial"/>
                <w:sz w:val="22"/>
                <w:szCs w:val="22"/>
                <w:lang w:val="en-US"/>
              </w:rPr>
              <w:t>,000,000</w:t>
            </w:r>
          </w:p>
        </w:tc>
        <w:tc>
          <w:tcPr>
            <w:tcW w:w="3118" w:type="dxa"/>
          </w:tcPr>
          <w:p w14:paraId="442643D0" w14:textId="26F74E34" w:rsidR="00C55B65" w:rsidRPr="008F55EC" w:rsidRDefault="000A53E6" w:rsidP="000A53E6">
            <w:pPr>
              <w:jc w:val="right"/>
              <w:rPr>
                <w:rFonts w:cs="Arial"/>
                <w:sz w:val="22"/>
                <w:szCs w:val="22"/>
                <w:lang w:val="en-US"/>
              </w:rPr>
            </w:pPr>
            <w:r>
              <w:rPr>
                <w:rFonts w:cs="Arial"/>
                <w:sz w:val="22"/>
                <w:szCs w:val="22"/>
                <w:lang w:val="en-US"/>
              </w:rPr>
              <w:t>3</w:t>
            </w:r>
            <w:r w:rsidR="001C6A3B">
              <w:rPr>
                <w:rFonts w:cs="Arial"/>
                <w:sz w:val="22"/>
                <w:szCs w:val="22"/>
                <w:lang w:val="en-US"/>
              </w:rPr>
              <w:t>1</w:t>
            </w:r>
            <w:r>
              <w:rPr>
                <w:rFonts w:cs="Arial"/>
                <w:sz w:val="22"/>
                <w:szCs w:val="22"/>
                <w:lang w:val="en-US"/>
              </w:rPr>
              <w:t>%</w:t>
            </w:r>
          </w:p>
        </w:tc>
      </w:tr>
    </w:tbl>
    <w:p w14:paraId="0BEFA9AD" w14:textId="77F20088" w:rsidR="009F7577" w:rsidRDefault="009F7577" w:rsidP="009F7577">
      <w:pPr>
        <w:pStyle w:val="Heading3"/>
        <w:rPr>
          <w:rFonts w:hint="eastAsia"/>
        </w:rPr>
      </w:pPr>
      <w:bookmarkStart w:id="20" w:name="_Toc182490818"/>
      <w:r>
        <w:t xml:space="preserve">Table </w:t>
      </w:r>
      <w:r w:rsidR="009B2762">
        <w:t>10</w:t>
      </w:r>
      <w:r w:rsidR="002031FC">
        <w:t>.</w:t>
      </w:r>
      <w:r w:rsidR="002F4DE8">
        <w:t>a</w:t>
      </w:r>
      <w:r>
        <w:t xml:space="preserve"> – </w:t>
      </w:r>
      <w:r w:rsidR="000F3A62" w:rsidRPr="000F3A62">
        <w:t>Where spending in Melbourne CBD</w:t>
      </w:r>
      <w:r w:rsidR="00C55B65">
        <w:t xml:space="preserve"> –</w:t>
      </w:r>
      <w:r w:rsidR="009B2762">
        <w:t xml:space="preserve"> East</w:t>
      </w:r>
      <w:r w:rsidR="000F3A62" w:rsidRPr="000F3A62">
        <w:t xml:space="preserve"> came from, Q</w:t>
      </w:r>
      <w:r w:rsidR="009B2762">
        <w:t>3</w:t>
      </w:r>
      <w:r w:rsidR="000F3A62" w:rsidRPr="000F3A62">
        <w:t xml:space="preserve"> 2024</w:t>
      </w:r>
      <w:bookmarkEnd w:id="20"/>
    </w:p>
    <w:tbl>
      <w:tblPr>
        <w:tblStyle w:val="TableGrid"/>
        <w:tblW w:w="0" w:type="auto"/>
        <w:tblLook w:val="04A0" w:firstRow="1" w:lastRow="0" w:firstColumn="1" w:lastColumn="0" w:noHBand="0" w:noVBand="1"/>
      </w:tblPr>
      <w:tblGrid>
        <w:gridCol w:w="2972"/>
        <w:gridCol w:w="1985"/>
        <w:gridCol w:w="3118"/>
      </w:tblGrid>
      <w:tr w:rsidR="00BA5216" w:rsidRPr="008F55EC" w14:paraId="225C4378" w14:textId="77777777" w:rsidTr="00AA3C19">
        <w:tc>
          <w:tcPr>
            <w:tcW w:w="2972" w:type="dxa"/>
            <w:vAlign w:val="center"/>
          </w:tcPr>
          <w:p w14:paraId="6CDF0906" w14:textId="77777777" w:rsidR="00BA5216" w:rsidRPr="00F64925" w:rsidRDefault="00BA5216" w:rsidP="00AA3C19">
            <w:pPr>
              <w:rPr>
                <w:rFonts w:cs="Arial"/>
                <w:b/>
                <w:bCs/>
                <w:sz w:val="22"/>
                <w:szCs w:val="22"/>
                <w:lang w:val="en-US"/>
              </w:rPr>
            </w:pPr>
            <w:r>
              <w:rPr>
                <w:rFonts w:cs="Arial"/>
                <w:b/>
                <w:bCs/>
                <w:sz w:val="22"/>
                <w:szCs w:val="22"/>
                <w:lang w:val="en-US"/>
              </w:rPr>
              <w:t>Customer Type</w:t>
            </w:r>
          </w:p>
        </w:tc>
        <w:tc>
          <w:tcPr>
            <w:tcW w:w="1985" w:type="dxa"/>
            <w:vAlign w:val="center"/>
          </w:tcPr>
          <w:p w14:paraId="436A0B3D" w14:textId="77777777" w:rsidR="00BA5216" w:rsidRPr="008F55EC" w:rsidRDefault="00BA5216" w:rsidP="00AA3C19">
            <w:pPr>
              <w:rPr>
                <w:rFonts w:cs="Arial"/>
                <w:sz w:val="22"/>
                <w:szCs w:val="22"/>
                <w:lang w:val="en-US"/>
              </w:rPr>
            </w:pPr>
            <w:r>
              <w:rPr>
                <w:rFonts w:cs="Arial"/>
                <w:b/>
                <w:bCs/>
                <w:color w:val="000000"/>
                <w:sz w:val="22"/>
                <w:szCs w:val="22"/>
              </w:rPr>
              <w:t>Adjusted Spend</w:t>
            </w:r>
          </w:p>
        </w:tc>
        <w:tc>
          <w:tcPr>
            <w:tcW w:w="3118" w:type="dxa"/>
          </w:tcPr>
          <w:p w14:paraId="563DF7E7" w14:textId="77777777" w:rsidR="00BA5216" w:rsidRDefault="00BA5216" w:rsidP="00AA3C19">
            <w:pPr>
              <w:rPr>
                <w:rFonts w:cs="Arial"/>
                <w:b/>
                <w:bCs/>
                <w:color w:val="000000"/>
                <w:sz w:val="22"/>
                <w:szCs w:val="22"/>
              </w:rPr>
            </w:pPr>
            <w:r>
              <w:rPr>
                <w:rFonts w:cs="Arial"/>
                <w:b/>
                <w:bCs/>
                <w:color w:val="000000"/>
                <w:sz w:val="22"/>
                <w:szCs w:val="22"/>
              </w:rPr>
              <w:t>Percent of Average Spend</w:t>
            </w:r>
          </w:p>
        </w:tc>
      </w:tr>
      <w:tr w:rsidR="00BA5216" w:rsidRPr="008F55EC" w14:paraId="7561685D" w14:textId="77777777" w:rsidTr="00AA3C19">
        <w:tc>
          <w:tcPr>
            <w:tcW w:w="2972" w:type="dxa"/>
            <w:vAlign w:val="center"/>
          </w:tcPr>
          <w:p w14:paraId="4895114F" w14:textId="77777777" w:rsidR="00BA5216" w:rsidRPr="008F55EC" w:rsidRDefault="00BA5216" w:rsidP="00AA3C19">
            <w:pPr>
              <w:rPr>
                <w:rFonts w:cs="Arial"/>
                <w:sz w:val="22"/>
                <w:szCs w:val="22"/>
                <w:lang w:val="en-US"/>
              </w:rPr>
            </w:pPr>
            <w:r>
              <w:rPr>
                <w:rFonts w:cs="Arial"/>
                <w:sz w:val="22"/>
                <w:szCs w:val="22"/>
                <w:lang w:val="en-US"/>
              </w:rPr>
              <w:t>City of Melbourne residents</w:t>
            </w:r>
          </w:p>
        </w:tc>
        <w:tc>
          <w:tcPr>
            <w:tcW w:w="1985" w:type="dxa"/>
            <w:vAlign w:val="center"/>
          </w:tcPr>
          <w:p w14:paraId="19C5DED1" w14:textId="699F97AA" w:rsidR="00BA5216" w:rsidRPr="008F55EC" w:rsidRDefault="000A53E6" w:rsidP="000A53E6">
            <w:pPr>
              <w:jc w:val="right"/>
              <w:rPr>
                <w:rFonts w:cs="Arial"/>
                <w:sz w:val="22"/>
                <w:szCs w:val="22"/>
                <w:lang w:val="en-US"/>
              </w:rPr>
            </w:pPr>
            <w:r>
              <w:rPr>
                <w:rFonts w:cs="Arial"/>
                <w:sz w:val="22"/>
                <w:szCs w:val="22"/>
                <w:lang w:val="en-US"/>
              </w:rPr>
              <w:t>$</w:t>
            </w:r>
            <w:r w:rsidR="001C6A3B">
              <w:rPr>
                <w:rFonts w:cs="Arial"/>
                <w:sz w:val="22"/>
                <w:szCs w:val="22"/>
                <w:lang w:val="en-US"/>
              </w:rPr>
              <w:t>65</w:t>
            </w:r>
            <w:r>
              <w:rPr>
                <w:rFonts w:cs="Arial"/>
                <w:sz w:val="22"/>
                <w:szCs w:val="22"/>
                <w:lang w:val="en-US"/>
              </w:rPr>
              <w:t>,000,000</w:t>
            </w:r>
          </w:p>
        </w:tc>
        <w:tc>
          <w:tcPr>
            <w:tcW w:w="3118" w:type="dxa"/>
          </w:tcPr>
          <w:p w14:paraId="5701A69B" w14:textId="70D00271" w:rsidR="00BA5216" w:rsidRPr="008F55EC" w:rsidRDefault="001C6A3B" w:rsidP="000A53E6">
            <w:pPr>
              <w:jc w:val="right"/>
              <w:rPr>
                <w:rFonts w:cs="Arial"/>
                <w:sz w:val="22"/>
                <w:szCs w:val="22"/>
                <w:lang w:val="en-US"/>
              </w:rPr>
            </w:pPr>
            <w:r>
              <w:rPr>
                <w:rFonts w:cs="Arial"/>
                <w:sz w:val="22"/>
                <w:szCs w:val="22"/>
                <w:lang w:val="en-US"/>
              </w:rPr>
              <w:t>9</w:t>
            </w:r>
            <w:r w:rsidR="000A53E6">
              <w:rPr>
                <w:rFonts w:cs="Arial"/>
                <w:sz w:val="22"/>
                <w:szCs w:val="22"/>
                <w:lang w:val="en-US"/>
              </w:rPr>
              <w:t>%</w:t>
            </w:r>
          </w:p>
        </w:tc>
      </w:tr>
      <w:tr w:rsidR="00BA5216" w:rsidRPr="008F55EC" w14:paraId="1F7EF73E" w14:textId="77777777" w:rsidTr="00AA3C19">
        <w:tc>
          <w:tcPr>
            <w:tcW w:w="2972" w:type="dxa"/>
            <w:vAlign w:val="center"/>
          </w:tcPr>
          <w:p w14:paraId="34EDB2BE" w14:textId="77777777" w:rsidR="00BA5216" w:rsidRPr="008F55EC" w:rsidRDefault="00BA5216" w:rsidP="00AA3C19">
            <w:pPr>
              <w:rPr>
                <w:rFonts w:cs="Arial"/>
                <w:sz w:val="22"/>
                <w:szCs w:val="22"/>
                <w:lang w:val="en-US"/>
              </w:rPr>
            </w:pPr>
            <w:r>
              <w:rPr>
                <w:rFonts w:cs="Arial"/>
                <w:color w:val="000000"/>
                <w:sz w:val="22"/>
                <w:szCs w:val="22"/>
              </w:rPr>
              <w:t>Visitors</w:t>
            </w:r>
          </w:p>
        </w:tc>
        <w:tc>
          <w:tcPr>
            <w:tcW w:w="1985" w:type="dxa"/>
            <w:vAlign w:val="center"/>
          </w:tcPr>
          <w:p w14:paraId="1DEEFFB6" w14:textId="4A12DD88" w:rsidR="00BA5216" w:rsidRPr="008F55EC" w:rsidRDefault="000A53E6" w:rsidP="000A53E6">
            <w:pPr>
              <w:jc w:val="right"/>
              <w:rPr>
                <w:rFonts w:cs="Arial"/>
                <w:sz w:val="22"/>
                <w:szCs w:val="22"/>
                <w:lang w:val="en-US"/>
              </w:rPr>
            </w:pPr>
            <w:r>
              <w:rPr>
                <w:rFonts w:cs="Arial"/>
                <w:sz w:val="22"/>
                <w:szCs w:val="22"/>
                <w:lang w:val="en-US"/>
              </w:rPr>
              <w:t>$</w:t>
            </w:r>
            <w:r w:rsidR="001C6A3B">
              <w:rPr>
                <w:rFonts w:cs="Arial"/>
                <w:sz w:val="22"/>
                <w:szCs w:val="22"/>
                <w:lang w:val="en-US"/>
              </w:rPr>
              <w:t>644</w:t>
            </w:r>
            <w:r>
              <w:rPr>
                <w:rFonts w:cs="Arial"/>
                <w:sz w:val="22"/>
                <w:szCs w:val="22"/>
                <w:lang w:val="en-US"/>
              </w:rPr>
              <w:t>,000,000</w:t>
            </w:r>
          </w:p>
        </w:tc>
        <w:tc>
          <w:tcPr>
            <w:tcW w:w="3118" w:type="dxa"/>
          </w:tcPr>
          <w:p w14:paraId="74D4B70A" w14:textId="61B3A21E" w:rsidR="00BA5216" w:rsidRPr="008F55EC" w:rsidRDefault="001C6A3B" w:rsidP="000A53E6">
            <w:pPr>
              <w:jc w:val="right"/>
              <w:rPr>
                <w:rFonts w:cs="Arial"/>
                <w:sz w:val="22"/>
                <w:szCs w:val="22"/>
                <w:lang w:val="en-US"/>
              </w:rPr>
            </w:pPr>
            <w:r>
              <w:rPr>
                <w:rFonts w:cs="Arial"/>
                <w:sz w:val="22"/>
                <w:szCs w:val="22"/>
                <w:lang w:val="en-US"/>
              </w:rPr>
              <w:t>91</w:t>
            </w:r>
            <w:r w:rsidR="000A53E6">
              <w:rPr>
                <w:rFonts w:cs="Arial"/>
                <w:sz w:val="22"/>
                <w:szCs w:val="22"/>
                <w:lang w:val="en-US"/>
              </w:rPr>
              <w:t>%</w:t>
            </w:r>
          </w:p>
        </w:tc>
      </w:tr>
    </w:tbl>
    <w:p w14:paraId="1195A177" w14:textId="77089FF6" w:rsidR="009F7577" w:rsidRDefault="009F7577" w:rsidP="009F7577">
      <w:pPr>
        <w:pStyle w:val="Heading3"/>
        <w:rPr>
          <w:rFonts w:hint="eastAsia"/>
        </w:rPr>
      </w:pPr>
      <w:bookmarkStart w:id="21" w:name="_Toc182490819"/>
      <w:r>
        <w:lastRenderedPageBreak/>
        <w:t xml:space="preserve">Table </w:t>
      </w:r>
      <w:r w:rsidR="009B2762">
        <w:t>10</w:t>
      </w:r>
      <w:r w:rsidR="002031FC">
        <w:t>.</w:t>
      </w:r>
      <w:r w:rsidR="002F4DE8">
        <w:t>b</w:t>
      </w:r>
      <w:r>
        <w:t xml:space="preserve"> – </w:t>
      </w:r>
      <w:r w:rsidR="002031FC" w:rsidRPr="000F3A62">
        <w:t>Where spending in Melbourne CBD</w:t>
      </w:r>
      <w:r w:rsidR="00C55B65">
        <w:t xml:space="preserve"> – </w:t>
      </w:r>
      <w:r w:rsidR="009B2762">
        <w:t>East</w:t>
      </w:r>
      <w:r w:rsidR="002031FC" w:rsidRPr="000F3A62">
        <w:t xml:space="preserve"> came from, Q</w:t>
      </w:r>
      <w:r w:rsidR="009B2762">
        <w:t>3</w:t>
      </w:r>
      <w:r w:rsidR="002031FC" w:rsidRPr="000F3A62">
        <w:t xml:space="preserve"> 2024</w:t>
      </w:r>
      <w:bookmarkEnd w:id="21"/>
    </w:p>
    <w:tbl>
      <w:tblPr>
        <w:tblStyle w:val="TableGrid"/>
        <w:tblW w:w="0" w:type="auto"/>
        <w:tblLook w:val="04A0" w:firstRow="1" w:lastRow="0" w:firstColumn="1" w:lastColumn="0" w:noHBand="0" w:noVBand="1"/>
      </w:tblPr>
      <w:tblGrid>
        <w:gridCol w:w="2972"/>
        <w:gridCol w:w="1985"/>
      </w:tblGrid>
      <w:tr w:rsidR="0009455A" w:rsidRPr="008F55EC" w14:paraId="347534B0" w14:textId="77777777" w:rsidTr="00AA3C19">
        <w:tc>
          <w:tcPr>
            <w:tcW w:w="2972" w:type="dxa"/>
            <w:vAlign w:val="center"/>
          </w:tcPr>
          <w:p w14:paraId="65AB01C5" w14:textId="2E359215" w:rsidR="0009455A" w:rsidRPr="00F64925" w:rsidRDefault="009B4DE8" w:rsidP="00AA3C19">
            <w:pPr>
              <w:rPr>
                <w:rFonts w:cs="Arial"/>
                <w:b/>
                <w:bCs/>
                <w:sz w:val="22"/>
                <w:szCs w:val="22"/>
                <w:lang w:val="en-US"/>
              </w:rPr>
            </w:pPr>
            <w:r>
              <w:rPr>
                <w:rFonts w:cs="Arial"/>
                <w:b/>
                <w:bCs/>
                <w:sz w:val="22"/>
                <w:szCs w:val="22"/>
                <w:lang w:val="en-US"/>
              </w:rPr>
              <w:t>Council Area</w:t>
            </w:r>
          </w:p>
        </w:tc>
        <w:tc>
          <w:tcPr>
            <w:tcW w:w="1985" w:type="dxa"/>
            <w:vAlign w:val="center"/>
          </w:tcPr>
          <w:p w14:paraId="6C6FC5FE" w14:textId="50F63F6D" w:rsidR="0009455A" w:rsidRPr="008F55EC" w:rsidRDefault="0009455A" w:rsidP="00AA3C19">
            <w:pPr>
              <w:rPr>
                <w:rFonts w:cs="Arial"/>
                <w:sz w:val="22"/>
                <w:szCs w:val="22"/>
                <w:lang w:val="en-US"/>
              </w:rPr>
            </w:pPr>
            <w:r>
              <w:rPr>
                <w:rFonts w:cs="Arial"/>
                <w:b/>
                <w:bCs/>
                <w:color w:val="000000"/>
                <w:sz w:val="22"/>
                <w:szCs w:val="22"/>
              </w:rPr>
              <w:t>Adjusted Spend</w:t>
            </w:r>
          </w:p>
        </w:tc>
      </w:tr>
      <w:tr w:rsidR="0009455A" w:rsidRPr="008F55EC" w14:paraId="657AB0E9" w14:textId="77777777" w:rsidTr="00AA3C19">
        <w:tc>
          <w:tcPr>
            <w:tcW w:w="2972" w:type="dxa"/>
            <w:vAlign w:val="center"/>
          </w:tcPr>
          <w:p w14:paraId="0F730355" w14:textId="31E2245E" w:rsidR="0009455A" w:rsidRPr="008F55EC" w:rsidRDefault="000A53E6" w:rsidP="00AA3C19">
            <w:pPr>
              <w:rPr>
                <w:rFonts w:cs="Arial"/>
                <w:sz w:val="22"/>
                <w:szCs w:val="22"/>
                <w:lang w:val="en-US"/>
              </w:rPr>
            </w:pPr>
            <w:r>
              <w:rPr>
                <w:rFonts w:cs="Arial"/>
                <w:sz w:val="22"/>
                <w:szCs w:val="22"/>
                <w:lang w:val="en-US"/>
              </w:rPr>
              <w:t>Boroondara</w:t>
            </w:r>
          </w:p>
        </w:tc>
        <w:tc>
          <w:tcPr>
            <w:tcW w:w="1985" w:type="dxa"/>
            <w:vAlign w:val="center"/>
          </w:tcPr>
          <w:p w14:paraId="4A537A9E" w14:textId="021E519A" w:rsidR="0009455A" w:rsidRPr="008F55EC" w:rsidRDefault="000A53E6" w:rsidP="000A53E6">
            <w:pPr>
              <w:jc w:val="right"/>
              <w:rPr>
                <w:rFonts w:cs="Arial"/>
                <w:sz w:val="22"/>
                <w:szCs w:val="22"/>
                <w:lang w:val="en-US"/>
              </w:rPr>
            </w:pPr>
            <w:r>
              <w:rPr>
                <w:rFonts w:cs="Arial"/>
                <w:sz w:val="22"/>
                <w:szCs w:val="22"/>
                <w:lang w:val="en-US"/>
              </w:rPr>
              <w:t>$3</w:t>
            </w:r>
            <w:r w:rsidR="001C6A3B">
              <w:rPr>
                <w:rFonts w:cs="Arial"/>
                <w:sz w:val="22"/>
                <w:szCs w:val="22"/>
                <w:lang w:val="en-US"/>
              </w:rPr>
              <w:t>0</w:t>
            </w:r>
            <w:r>
              <w:rPr>
                <w:rFonts w:cs="Arial"/>
                <w:sz w:val="22"/>
                <w:szCs w:val="22"/>
                <w:lang w:val="en-US"/>
              </w:rPr>
              <w:t>,1</w:t>
            </w:r>
            <w:r w:rsidR="001C6A3B">
              <w:rPr>
                <w:rFonts w:cs="Arial"/>
                <w:sz w:val="22"/>
                <w:szCs w:val="22"/>
                <w:lang w:val="en-US"/>
              </w:rPr>
              <w:t>10</w:t>
            </w:r>
            <w:r>
              <w:rPr>
                <w:rFonts w:cs="Arial"/>
                <w:sz w:val="22"/>
                <w:szCs w:val="22"/>
                <w:lang w:val="en-US"/>
              </w:rPr>
              <w:t>,</w:t>
            </w:r>
            <w:r w:rsidR="001C6A3B">
              <w:rPr>
                <w:rFonts w:cs="Arial"/>
                <w:sz w:val="22"/>
                <w:szCs w:val="22"/>
                <w:lang w:val="en-US"/>
              </w:rPr>
              <w:t>3</w:t>
            </w:r>
            <w:r>
              <w:rPr>
                <w:rFonts w:cs="Arial"/>
                <w:sz w:val="22"/>
                <w:szCs w:val="22"/>
                <w:lang w:val="en-US"/>
              </w:rPr>
              <w:t>00</w:t>
            </w:r>
          </w:p>
        </w:tc>
      </w:tr>
      <w:tr w:rsidR="0009455A" w:rsidRPr="008F55EC" w14:paraId="69C0E613" w14:textId="77777777" w:rsidTr="00AA3C19">
        <w:tc>
          <w:tcPr>
            <w:tcW w:w="2972" w:type="dxa"/>
            <w:vAlign w:val="center"/>
          </w:tcPr>
          <w:p w14:paraId="2EE1B5FC" w14:textId="60367ECF" w:rsidR="0009455A" w:rsidRPr="008F55EC" w:rsidRDefault="001C6A3B" w:rsidP="00AA3C19">
            <w:pPr>
              <w:rPr>
                <w:rFonts w:cs="Arial"/>
                <w:sz w:val="22"/>
                <w:szCs w:val="22"/>
                <w:lang w:val="en-US"/>
              </w:rPr>
            </w:pPr>
            <w:r>
              <w:rPr>
                <w:rFonts w:cs="Arial"/>
                <w:sz w:val="22"/>
                <w:szCs w:val="22"/>
                <w:lang w:val="en-US"/>
              </w:rPr>
              <w:t>Port Phillip</w:t>
            </w:r>
          </w:p>
        </w:tc>
        <w:tc>
          <w:tcPr>
            <w:tcW w:w="1985" w:type="dxa"/>
            <w:vAlign w:val="center"/>
          </w:tcPr>
          <w:p w14:paraId="240F4822" w14:textId="42F860EF" w:rsidR="0009455A" w:rsidRPr="008F55EC" w:rsidRDefault="000A53E6" w:rsidP="000A53E6">
            <w:pPr>
              <w:jc w:val="right"/>
              <w:rPr>
                <w:rFonts w:cs="Arial"/>
                <w:sz w:val="22"/>
                <w:szCs w:val="22"/>
                <w:lang w:val="en-US"/>
              </w:rPr>
            </w:pPr>
            <w:r>
              <w:rPr>
                <w:rFonts w:cs="Arial"/>
                <w:sz w:val="22"/>
                <w:szCs w:val="22"/>
                <w:lang w:val="en-US"/>
              </w:rPr>
              <w:t>$</w:t>
            </w:r>
            <w:r w:rsidR="001C6A3B">
              <w:rPr>
                <w:rFonts w:cs="Arial"/>
                <w:sz w:val="22"/>
                <w:szCs w:val="22"/>
                <w:lang w:val="en-US"/>
              </w:rPr>
              <w:t>25</w:t>
            </w:r>
            <w:r>
              <w:rPr>
                <w:rFonts w:cs="Arial"/>
                <w:sz w:val="22"/>
                <w:szCs w:val="22"/>
                <w:lang w:val="en-US"/>
              </w:rPr>
              <w:t>,</w:t>
            </w:r>
            <w:r w:rsidR="001C6A3B">
              <w:rPr>
                <w:rFonts w:cs="Arial"/>
                <w:sz w:val="22"/>
                <w:szCs w:val="22"/>
                <w:lang w:val="en-US"/>
              </w:rPr>
              <w:t>742</w:t>
            </w:r>
            <w:r>
              <w:rPr>
                <w:rFonts w:cs="Arial"/>
                <w:sz w:val="22"/>
                <w:szCs w:val="22"/>
                <w:lang w:val="en-US"/>
              </w:rPr>
              <w:t>,</w:t>
            </w:r>
            <w:r w:rsidR="001C6A3B">
              <w:rPr>
                <w:rFonts w:cs="Arial"/>
                <w:sz w:val="22"/>
                <w:szCs w:val="22"/>
                <w:lang w:val="en-US"/>
              </w:rPr>
              <w:t>5</w:t>
            </w:r>
            <w:r>
              <w:rPr>
                <w:rFonts w:cs="Arial"/>
                <w:sz w:val="22"/>
                <w:szCs w:val="22"/>
                <w:lang w:val="en-US"/>
              </w:rPr>
              <w:t>00</w:t>
            </w:r>
          </w:p>
        </w:tc>
      </w:tr>
      <w:tr w:rsidR="0009455A" w:rsidRPr="008F55EC" w14:paraId="505FC20A" w14:textId="77777777" w:rsidTr="00AA3C19">
        <w:tc>
          <w:tcPr>
            <w:tcW w:w="2972" w:type="dxa"/>
            <w:vAlign w:val="center"/>
          </w:tcPr>
          <w:p w14:paraId="28475F50" w14:textId="7270E53C" w:rsidR="0009455A" w:rsidRPr="008F55EC" w:rsidRDefault="001C6A3B" w:rsidP="00AA3C19">
            <w:pPr>
              <w:rPr>
                <w:rFonts w:cs="Arial"/>
                <w:sz w:val="22"/>
                <w:szCs w:val="22"/>
                <w:lang w:val="en-US"/>
              </w:rPr>
            </w:pPr>
            <w:proofErr w:type="spellStart"/>
            <w:r>
              <w:rPr>
                <w:rFonts w:cs="Arial"/>
                <w:sz w:val="22"/>
                <w:szCs w:val="22"/>
                <w:lang w:val="en-US"/>
              </w:rPr>
              <w:t>Yarra</w:t>
            </w:r>
            <w:proofErr w:type="spellEnd"/>
          </w:p>
        </w:tc>
        <w:tc>
          <w:tcPr>
            <w:tcW w:w="1985" w:type="dxa"/>
            <w:vAlign w:val="center"/>
          </w:tcPr>
          <w:p w14:paraId="552055EE" w14:textId="03A8D27A" w:rsidR="0009455A" w:rsidRPr="008F55EC" w:rsidRDefault="000A53E6" w:rsidP="000A53E6">
            <w:pPr>
              <w:jc w:val="right"/>
              <w:rPr>
                <w:rFonts w:cs="Arial"/>
                <w:sz w:val="22"/>
                <w:szCs w:val="22"/>
                <w:lang w:val="en-US"/>
              </w:rPr>
            </w:pPr>
            <w:r>
              <w:rPr>
                <w:rFonts w:cs="Arial"/>
                <w:sz w:val="22"/>
                <w:szCs w:val="22"/>
                <w:lang w:val="en-US"/>
              </w:rPr>
              <w:t>$2</w:t>
            </w:r>
            <w:r w:rsidR="001C6A3B">
              <w:rPr>
                <w:rFonts w:cs="Arial"/>
                <w:sz w:val="22"/>
                <w:szCs w:val="22"/>
                <w:lang w:val="en-US"/>
              </w:rPr>
              <w:t>3</w:t>
            </w:r>
            <w:r>
              <w:rPr>
                <w:rFonts w:cs="Arial"/>
                <w:sz w:val="22"/>
                <w:szCs w:val="22"/>
                <w:lang w:val="en-US"/>
              </w:rPr>
              <w:t>,</w:t>
            </w:r>
            <w:r w:rsidR="001C6A3B">
              <w:rPr>
                <w:rFonts w:cs="Arial"/>
                <w:sz w:val="22"/>
                <w:szCs w:val="22"/>
                <w:lang w:val="en-US"/>
              </w:rPr>
              <w:t>287</w:t>
            </w:r>
            <w:r>
              <w:rPr>
                <w:rFonts w:cs="Arial"/>
                <w:sz w:val="22"/>
                <w:szCs w:val="22"/>
                <w:lang w:val="en-US"/>
              </w:rPr>
              <w:t>,</w:t>
            </w:r>
            <w:r w:rsidR="001C6A3B">
              <w:rPr>
                <w:rFonts w:cs="Arial"/>
                <w:sz w:val="22"/>
                <w:szCs w:val="22"/>
                <w:lang w:val="en-US"/>
              </w:rPr>
              <w:t>7</w:t>
            </w:r>
            <w:r>
              <w:rPr>
                <w:rFonts w:cs="Arial"/>
                <w:sz w:val="22"/>
                <w:szCs w:val="22"/>
                <w:lang w:val="en-US"/>
              </w:rPr>
              <w:t>00</w:t>
            </w:r>
          </w:p>
        </w:tc>
      </w:tr>
      <w:tr w:rsidR="0009455A" w:rsidRPr="008F55EC" w14:paraId="12BEB79F" w14:textId="77777777" w:rsidTr="00AA3C19">
        <w:tc>
          <w:tcPr>
            <w:tcW w:w="2972" w:type="dxa"/>
            <w:vAlign w:val="center"/>
          </w:tcPr>
          <w:p w14:paraId="04A3DA5F" w14:textId="37D0C297" w:rsidR="0009455A" w:rsidRPr="008F55EC" w:rsidRDefault="001C6A3B" w:rsidP="00AA3C19">
            <w:pPr>
              <w:rPr>
                <w:rFonts w:cs="Arial"/>
                <w:sz w:val="22"/>
                <w:szCs w:val="22"/>
                <w:lang w:val="en-US"/>
              </w:rPr>
            </w:pPr>
            <w:proofErr w:type="spellStart"/>
            <w:r>
              <w:rPr>
                <w:rFonts w:cs="Arial"/>
                <w:sz w:val="22"/>
                <w:szCs w:val="22"/>
                <w:lang w:val="en-US"/>
              </w:rPr>
              <w:t>Stonnington</w:t>
            </w:r>
            <w:proofErr w:type="spellEnd"/>
            <w:r w:rsidR="000A53E6">
              <w:rPr>
                <w:rFonts w:cs="Arial"/>
                <w:sz w:val="22"/>
                <w:szCs w:val="22"/>
                <w:lang w:val="en-US"/>
              </w:rPr>
              <w:t xml:space="preserve"> – </w:t>
            </w:r>
            <w:r>
              <w:rPr>
                <w:rFonts w:cs="Arial"/>
                <w:sz w:val="22"/>
                <w:szCs w:val="22"/>
                <w:lang w:val="en-US"/>
              </w:rPr>
              <w:t>West</w:t>
            </w:r>
          </w:p>
        </w:tc>
        <w:tc>
          <w:tcPr>
            <w:tcW w:w="1985" w:type="dxa"/>
            <w:vAlign w:val="center"/>
          </w:tcPr>
          <w:p w14:paraId="1CFD0EBC" w14:textId="37C0CAE4" w:rsidR="0009455A" w:rsidRPr="008F55EC" w:rsidRDefault="000A53E6" w:rsidP="000A53E6">
            <w:pPr>
              <w:jc w:val="right"/>
              <w:rPr>
                <w:rFonts w:cs="Arial"/>
                <w:sz w:val="22"/>
                <w:szCs w:val="22"/>
                <w:lang w:val="en-US"/>
              </w:rPr>
            </w:pPr>
            <w:r>
              <w:rPr>
                <w:rFonts w:cs="Arial"/>
                <w:sz w:val="22"/>
                <w:szCs w:val="22"/>
                <w:lang w:val="en-US"/>
              </w:rPr>
              <w:t>$</w:t>
            </w:r>
            <w:r w:rsidR="001C6A3B">
              <w:rPr>
                <w:rFonts w:cs="Arial"/>
                <w:sz w:val="22"/>
                <w:szCs w:val="22"/>
                <w:lang w:val="en-US"/>
              </w:rPr>
              <w:t>17</w:t>
            </w:r>
            <w:r>
              <w:rPr>
                <w:rFonts w:cs="Arial"/>
                <w:sz w:val="22"/>
                <w:szCs w:val="22"/>
                <w:lang w:val="en-US"/>
              </w:rPr>
              <w:t>,</w:t>
            </w:r>
            <w:r w:rsidR="001C6A3B">
              <w:rPr>
                <w:rFonts w:cs="Arial"/>
                <w:sz w:val="22"/>
                <w:szCs w:val="22"/>
                <w:lang w:val="en-US"/>
              </w:rPr>
              <w:t>993</w:t>
            </w:r>
            <w:r>
              <w:rPr>
                <w:rFonts w:cs="Arial"/>
                <w:sz w:val="22"/>
                <w:szCs w:val="22"/>
                <w:lang w:val="en-US"/>
              </w:rPr>
              <w:t>,</w:t>
            </w:r>
            <w:r w:rsidR="001C6A3B">
              <w:rPr>
                <w:rFonts w:cs="Arial"/>
                <w:sz w:val="22"/>
                <w:szCs w:val="22"/>
                <w:lang w:val="en-US"/>
              </w:rPr>
              <w:t>5</w:t>
            </w:r>
            <w:r>
              <w:rPr>
                <w:rFonts w:cs="Arial"/>
                <w:sz w:val="22"/>
                <w:szCs w:val="22"/>
                <w:lang w:val="en-US"/>
              </w:rPr>
              <w:t>00</w:t>
            </w:r>
          </w:p>
        </w:tc>
      </w:tr>
      <w:tr w:rsidR="0009455A" w:rsidRPr="008F55EC" w14:paraId="60C50255" w14:textId="77777777" w:rsidTr="00AA3C19">
        <w:tc>
          <w:tcPr>
            <w:tcW w:w="2972" w:type="dxa"/>
            <w:vAlign w:val="center"/>
          </w:tcPr>
          <w:p w14:paraId="3997096E" w14:textId="7B9199DF" w:rsidR="0009455A" w:rsidRPr="008F55EC" w:rsidRDefault="001C6A3B" w:rsidP="00AA3C19">
            <w:pPr>
              <w:rPr>
                <w:rFonts w:cs="Arial"/>
                <w:sz w:val="22"/>
                <w:szCs w:val="22"/>
                <w:lang w:val="en-US"/>
              </w:rPr>
            </w:pPr>
            <w:r>
              <w:rPr>
                <w:rFonts w:cs="Arial"/>
                <w:sz w:val="22"/>
                <w:szCs w:val="22"/>
                <w:lang w:val="en-US"/>
              </w:rPr>
              <w:t>Brunswick – Coburg</w:t>
            </w:r>
          </w:p>
        </w:tc>
        <w:tc>
          <w:tcPr>
            <w:tcW w:w="1985" w:type="dxa"/>
            <w:vAlign w:val="center"/>
          </w:tcPr>
          <w:p w14:paraId="7251A36A" w14:textId="371610F2" w:rsidR="0009455A" w:rsidRPr="008F55EC" w:rsidRDefault="000A53E6" w:rsidP="000A53E6">
            <w:pPr>
              <w:jc w:val="right"/>
              <w:rPr>
                <w:rFonts w:cs="Arial"/>
                <w:sz w:val="22"/>
                <w:szCs w:val="22"/>
                <w:lang w:val="en-US"/>
              </w:rPr>
            </w:pPr>
            <w:r>
              <w:rPr>
                <w:rFonts w:cs="Arial"/>
                <w:sz w:val="22"/>
                <w:szCs w:val="22"/>
                <w:lang w:val="en-US"/>
              </w:rPr>
              <w:t>$1</w:t>
            </w:r>
            <w:r w:rsidR="001C6A3B">
              <w:rPr>
                <w:rFonts w:cs="Arial"/>
                <w:sz w:val="22"/>
                <w:szCs w:val="22"/>
                <w:lang w:val="en-US"/>
              </w:rPr>
              <w:t>5</w:t>
            </w:r>
            <w:r>
              <w:rPr>
                <w:rFonts w:cs="Arial"/>
                <w:sz w:val="22"/>
                <w:szCs w:val="22"/>
                <w:lang w:val="en-US"/>
              </w:rPr>
              <w:t>,</w:t>
            </w:r>
            <w:r w:rsidR="001C6A3B">
              <w:rPr>
                <w:rFonts w:cs="Arial"/>
                <w:sz w:val="22"/>
                <w:szCs w:val="22"/>
                <w:lang w:val="en-US"/>
              </w:rPr>
              <w:t>770</w:t>
            </w:r>
            <w:r>
              <w:rPr>
                <w:rFonts w:cs="Arial"/>
                <w:sz w:val="22"/>
                <w:szCs w:val="22"/>
                <w:lang w:val="en-US"/>
              </w:rPr>
              <w:t>,</w:t>
            </w:r>
            <w:r w:rsidR="001C6A3B">
              <w:rPr>
                <w:rFonts w:cs="Arial"/>
                <w:sz w:val="22"/>
                <w:szCs w:val="22"/>
                <w:lang w:val="en-US"/>
              </w:rPr>
              <w:t>9</w:t>
            </w:r>
            <w:r>
              <w:rPr>
                <w:rFonts w:cs="Arial"/>
                <w:sz w:val="22"/>
                <w:szCs w:val="22"/>
                <w:lang w:val="en-US"/>
              </w:rPr>
              <w:t>00</w:t>
            </w:r>
          </w:p>
        </w:tc>
      </w:tr>
    </w:tbl>
    <w:p w14:paraId="162E34AB" w14:textId="1FD3D925" w:rsidR="009B2762" w:rsidRPr="009F7577" w:rsidRDefault="009B2762" w:rsidP="009B2762">
      <w:pPr>
        <w:pStyle w:val="Heading2"/>
        <w:rPr>
          <w:rFonts w:hint="eastAsia"/>
        </w:rPr>
      </w:pPr>
      <w:bookmarkStart w:id="22" w:name="_Toc182490820"/>
      <w:r>
        <w:t>Melbourne CBD – West</w:t>
      </w:r>
      <w:bookmarkEnd w:id="22"/>
    </w:p>
    <w:p w14:paraId="594C2F00" w14:textId="71DC8C8C" w:rsidR="00F64925" w:rsidRDefault="00F64925" w:rsidP="00F64925">
      <w:pPr>
        <w:pStyle w:val="Heading3"/>
        <w:rPr>
          <w:rFonts w:hint="eastAsia"/>
        </w:rPr>
      </w:pPr>
      <w:bookmarkStart w:id="23" w:name="_Toc182490821"/>
      <w:r>
        <w:t>Table 1</w:t>
      </w:r>
      <w:r w:rsidR="009B2762">
        <w:t>1</w:t>
      </w:r>
      <w:r>
        <w:t xml:space="preserve"> – Spending</w:t>
      </w:r>
      <w:r w:rsidR="000F3A62">
        <w:t xml:space="preserve"> by</w:t>
      </w:r>
      <w:r>
        <w:t xml:space="preserve"> categor</w:t>
      </w:r>
      <w:r w:rsidR="000F3A62">
        <w:t>y</w:t>
      </w:r>
      <w:r>
        <w:t>, Q</w:t>
      </w:r>
      <w:r w:rsidR="009B2762">
        <w:t>3</w:t>
      </w:r>
      <w:r>
        <w:t xml:space="preserve"> 2024</w:t>
      </w:r>
      <w:bookmarkEnd w:id="23"/>
    </w:p>
    <w:tbl>
      <w:tblPr>
        <w:tblStyle w:val="TableGrid"/>
        <w:tblW w:w="0" w:type="auto"/>
        <w:tblLook w:val="04A0" w:firstRow="1" w:lastRow="0" w:firstColumn="1" w:lastColumn="0" w:noHBand="0" w:noVBand="1"/>
      </w:tblPr>
      <w:tblGrid>
        <w:gridCol w:w="1980"/>
        <w:gridCol w:w="2977"/>
      </w:tblGrid>
      <w:tr w:rsidR="00F1256F" w:rsidRPr="008F55EC" w14:paraId="552FD9E6" w14:textId="77777777" w:rsidTr="00AA3C19">
        <w:tc>
          <w:tcPr>
            <w:tcW w:w="1980" w:type="dxa"/>
            <w:vAlign w:val="center"/>
          </w:tcPr>
          <w:p w14:paraId="32602796" w14:textId="77777777" w:rsidR="00F1256F" w:rsidRPr="00F64925" w:rsidRDefault="00F1256F" w:rsidP="00AA3C19">
            <w:pPr>
              <w:rPr>
                <w:rFonts w:cs="Arial"/>
                <w:b/>
                <w:bCs/>
                <w:sz w:val="22"/>
                <w:szCs w:val="22"/>
                <w:lang w:val="en-US"/>
              </w:rPr>
            </w:pPr>
            <w:r w:rsidRPr="00F64925">
              <w:rPr>
                <w:rFonts w:cs="Arial"/>
                <w:b/>
                <w:bCs/>
                <w:sz w:val="22"/>
                <w:szCs w:val="22"/>
                <w:lang w:val="en-US"/>
              </w:rPr>
              <w:t>Category</w:t>
            </w:r>
          </w:p>
        </w:tc>
        <w:tc>
          <w:tcPr>
            <w:tcW w:w="2977" w:type="dxa"/>
            <w:vAlign w:val="center"/>
          </w:tcPr>
          <w:p w14:paraId="2DDB67F4" w14:textId="77777777" w:rsidR="00F1256F" w:rsidRPr="008F55EC" w:rsidRDefault="00F1256F" w:rsidP="00AA3C19">
            <w:pPr>
              <w:rPr>
                <w:rFonts w:cs="Arial"/>
                <w:sz w:val="22"/>
                <w:szCs w:val="22"/>
                <w:lang w:val="en-US"/>
              </w:rPr>
            </w:pPr>
            <w:r>
              <w:rPr>
                <w:rFonts w:cs="Arial"/>
                <w:b/>
                <w:bCs/>
                <w:color w:val="000000"/>
                <w:sz w:val="22"/>
                <w:szCs w:val="22"/>
              </w:rPr>
              <w:t>Adjusted Spend</w:t>
            </w:r>
          </w:p>
        </w:tc>
      </w:tr>
      <w:tr w:rsidR="00F1256F" w:rsidRPr="008F55EC" w14:paraId="59DBFAF7" w14:textId="77777777" w:rsidTr="00AA3C19">
        <w:tc>
          <w:tcPr>
            <w:tcW w:w="1980" w:type="dxa"/>
            <w:vAlign w:val="center"/>
          </w:tcPr>
          <w:p w14:paraId="27C739BA" w14:textId="659972FA" w:rsidR="00F1256F" w:rsidRPr="008F55EC" w:rsidRDefault="001C6A3B" w:rsidP="00AA3C19">
            <w:pPr>
              <w:rPr>
                <w:rFonts w:cs="Arial"/>
                <w:sz w:val="22"/>
                <w:szCs w:val="22"/>
                <w:lang w:val="en-US"/>
              </w:rPr>
            </w:pPr>
            <w:r>
              <w:rPr>
                <w:rFonts w:cs="Arial"/>
                <w:sz w:val="22"/>
                <w:szCs w:val="22"/>
                <w:lang w:val="en-US"/>
              </w:rPr>
              <w:t>Entertainment</w:t>
            </w:r>
          </w:p>
        </w:tc>
        <w:tc>
          <w:tcPr>
            <w:tcW w:w="2977" w:type="dxa"/>
            <w:vAlign w:val="center"/>
          </w:tcPr>
          <w:p w14:paraId="20FE6100" w14:textId="7D3E5D69" w:rsidR="00F1256F" w:rsidRPr="008F55EC" w:rsidRDefault="00387840" w:rsidP="00387840">
            <w:pPr>
              <w:jc w:val="right"/>
              <w:rPr>
                <w:rFonts w:cs="Arial"/>
                <w:sz w:val="22"/>
                <w:szCs w:val="22"/>
                <w:lang w:val="en-US"/>
              </w:rPr>
            </w:pPr>
            <w:r>
              <w:rPr>
                <w:rFonts w:cs="Arial"/>
                <w:sz w:val="22"/>
                <w:szCs w:val="22"/>
                <w:lang w:val="en-US"/>
              </w:rPr>
              <w:t>$</w:t>
            </w:r>
            <w:r w:rsidR="001C6A3B">
              <w:rPr>
                <w:rFonts w:cs="Arial"/>
                <w:sz w:val="22"/>
                <w:szCs w:val="22"/>
                <w:lang w:val="en-US"/>
              </w:rPr>
              <w:t>100</w:t>
            </w:r>
            <w:r>
              <w:rPr>
                <w:rFonts w:cs="Arial"/>
                <w:sz w:val="22"/>
                <w:szCs w:val="22"/>
                <w:lang w:val="en-US"/>
              </w:rPr>
              <w:t>,</w:t>
            </w:r>
            <w:r w:rsidR="001C6A3B">
              <w:rPr>
                <w:rFonts w:cs="Arial"/>
                <w:sz w:val="22"/>
                <w:szCs w:val="22"/>
                <w:lang w:val="en-US"/>
              </w:rPr>
              <w:t>320</w:t>
            </w:r>
            <w:r>
              <w:rPr>
                <w:rFonts w:cs="Arial"/>
                <w:sz w:val="22"/>
                <w:szCs w:val="22"/>
                <w:lang w:val="en-US"/>
              </w:rPr>
              <w:t>,</w:t>
            </w:r>
            <w:r w:rsidR="001C6A3B">
              <w:rPr>
                <w:rFonts w:cs="Arial"/>
                <w:sz w:val="22"/>
                <w:szCs w:val="22"/>
                <w:lang w:val="en-US"/>
              </w:rPr>
              <w:t>3</w:t>
            </w:r>
            <w:r>
              <w:rPr>
                <w:rFonts w:cs="Arial"/>
                <w:sz w:val="22"/>
                <w:szCs w:val="22"/>
                <w:lang w:val="en-US"/>
              </w:rPr>
              <w:t>00</w:t>
            </w:r>
          </w:p>
        </w:tc>
      </w:tr>
      <w:tr w:rsidR="00F1256F" w:rsidRPr="008F55EC" w14:paraId="25A21A5F" w14:textId="77777777" w:rsidTr="00AA3C19">
        <w:tc>
          <w:tcPr>
            <w:tcW w:w="1980" w:type="dxa"/>
            <w:vAlign w:val="center"/>
          </w:tcPr>
          <w:p w14:paraId="6737B7E2" w14:textId="6BAA09BE" w:rsidR="00F1256F" w:rsidRPr="008F55EC" w:rsidRDefault="001C6A3B" w:rsidP="00AA3C19">
            <w:pPr>
              <w:rPr>
                <w:rFonts w:cs="Arial"/>
                <w:sz w:val="22"/>
                <w:szCs w:val="22"/>
                <w:lang w:val="en-US"/>
              </w:rPr>
            </w:pPr>
            <w:r>
              <w:rPr>
                <w:rFonts w:cs="Arial"/>
                <w:sz w:val="22"/>
                <w:szCs w:val="22"/>
                <w:lang w:val="en-US"/>
              </w:rPr>
              <w:t>Retail</w:t>
            </w:r>
          </w:p>
        </w:tc>
        <w:tc>
          <w:tcPr>
            <w:tcW w:w="2977" w:type="dxa"/>
            <w:vAlign w:val="center"/>
          </w:tcPr>
          <w:p w14:paraId="5F96575B" w14:textId="3BE376F1" w:rsidR="00F1256F" w:rsidRPr="008F55EC" w:rsidRDefault="00387840" w:rsidP="00387840">
            <w:pPr>
              <w:jc w:val="right"/>
              <w:rPr>
                <w:rFonts w:cs="Arial"/>
                <w:sz w:val="22"/>
                <w:szCs w:val="22"/>
                <w:lang w:val="en-US"/>
              </w:rPr>
            </w:pPr>
            <w:r>
              <w:rPr>
                <w:rFonts w:cs="Arial"/>
                <w:sz w:val="22"/>
                <w:szCs w:val="22"/>
                <w:lang w:val="en-US"/>
              </w:rPr>
              <w:t>$</w:t>
            </w:r>
            <w:r w:rsidR="001C6A3B">
              <w:rPr>
                <w:rFonts w:cs="Arial"/>
                <w:sz w:val="22"/>
                <w:szCs w:val="22"/>
                <w:lang w:val="en-US"/>
              </w:rPr>
              <w:t>81</w:t>
            </w:r>
            <w:r>
              <w:rPr>
                <w:rFonts w:cs="Arial"/>
                <w:sz w:val="22"/>
                <w:szCs w:val="22"/>
                <w:lang w:val="en-US"/>
              </w:rPr>
              <w:t>,</w:t>
            </w:r>
            <w:r w:rsidR="001C6A3B">
              <w:rPr>
                <w:rFonts w:cs="Arial"/>
                <w:sz w:val="22"/>
                <w:szCs w:val="22"/>
                <w:lang w:val="en-US"/>
              </w:rPr>
              <w:t>035</w:t>
            </w:r>
            <w:r>
              <w:rPr>
                <w:rFonts w:cs="Arial"/>
                <w:sz w:val="22"/>
                <w:szCs w:val="22"/>
                <w:lang w:val="en-US"/>
              </w:rPr>
              <w:t>,</w:t>
            </w:r>
            <w:r w:rsidR="001C6A3B">
              <w:rPr>
                <w:rFonts w:cs="Arial"/>
                <w:sz w:val="22"/>
                <w:szCs w:val="22"/>
                <w:lang w:val="en-US"/>
              </w:rPr>
              <w:t>6</w:t>
            </w:r>
            <w:r>
              <w:rPr>
                <w:rFonts w:cs="Arial"/>
                <w:sz w:val="22"/>
                <w:szCs w:val="22"/>
                <w:lang w:val="en-US"/>
              </w:rPr>
              <w:t>00</w:t>
            </w:r>
          </w:p>
        </w:tc>
      </w:tr>
      <w:tr w:rsidR="00F1256F" w:rsidRPr="008F55EC" w14:paraId="1C6BB9C9" w14:textId="77777777" w:rsidTr="00AA3C19">
        <w:tc>
          <w:tcPr>
            <w:tcW w:w="1980" w:type="dxa"/>
            <w:vAlign w:val="center"/>
          </w:tcPr>
          <w:p w14:paraId="56DA7FF5" w14:textId="29E117CA" w:rsidR="00F1256F" w:rsidRDefault="001C6A3B" w:rsidP="00AA3C19">
            <w:pPr>
              <w:rPr>
                <w:rFonts w:cs="Arial"/>
                <w:color w:val="000000"/>
                <w:sz w:val="22"/>
                <w:szCs w:val="22"/>
              </w:rPr>
            </w:pPr>
            <w:r>
              <w:rPr>
                <w:rFonts w:cs="Arial"/>
                <w:color w:val="000000"/>
                <w:sz w:val="22"/>
                <w:szCs w:val="22"/>
              </w:rPr>
              <w:t>Tourism</w:t>
            </w:r>
          </w:p>
        </w:tc>
        <w:tc>
          <w:tcPr>
            <w:tcW w:w="2977" w:type="dxa"/>
            <w:vAlign w:val="center"/>
          </w:tcPr>
          <w:p w14:paraId="176BC4DB" w14:textId="7BE5F052" w:rsidR="00F1256F" w:rsidRPr="008F55EC" w:rsidRDefault="00387840" w:rsidP="00387840">
            <w:pPr>
              <w:jc w:val="right"/>
              <w:rPr>
                <w:rFonts w:cs="Arial"/>
                <w:sz w:val="22"/>
                <w:szCs w:val="22"/>
                <w:lang w:val="en-US"/>
              </w:rPr>
            </w:pPr>
            <w:r>
              <w:rPr>
                <w:rFonts w:cs="Arial"/>
                <w:sz w:val="22"/>
                <w:szCs w:val="22"/>
                <w:lang w:val="en-US"/>
              </w:rPr>
              <w:t>$</w:t>
            </w:r>
            <w:r w:rsidR="001C6A3B">
              <w:rPr>
                <w:rFonts w:cs="Arial"/>
                <w:sz w:val="22"/>
                <w:szCs w:val="22"/>
                <w:lang w:val="en-US"/>
              </w:rPr>
              <w:t>37</w:t>
            </w:r>
            <w:r>
              <w:rPr>
                <w:rFonts w:cs="Arial"/>
                <w:sz w:val="22"/>
                <w:szCs w:val="22"/>
                <w:lang w:val="en-US"/>
              </w:rPr>
              <w:t>,</w:t>
            </w:r>
            <w:r w:rsidR="001C6A3B">
              <w:rPr>
                <w:rFonts w:cs="Arial"/>
                <w:sz w:val="22"/>
                <w:szCs w:val="22"/>
                <w:lang w:val="en-US"/>
              </w:rPr>
              <w:t>259</w:t>
            </w:r>
            <w:r>
              <w:rPr>
                <w:rFonts w:cs="Arial"/>
                <w:sz w:val="22"/>
                <w:szCs w:val="22"/>
                <w:lang w:val="en-US"/>
              </w:rPr>
              <w:t>,</w:t>
            </w:r>
            <w:r w:rsidR="001C6A3B">
              <w:rPr>
                <w:rFonts w:cs="Arial"/>
                <w:sz w:val="22"/>
                <w:szCs w:val="22"/>
                <w:lang w:val="en-US"/>
              </w:rPr>
              <w:t>2</w:t>
            </w:r>
            <w:r>
              <w:rPr>
                <w:rFonts w:cs="Arial"/>
                <w:sz w:val="22"/>
                <w:szCs w:val="22"/>
                <w:lang w:val="en-US"/>
              </w:rPr>
              <w:t>00</w:t>
            </w:r>
          </w:p>
        </w:tc>
      </w:tr>
      <w:tr w:rsidR="00F1256F" w:rsidRPr="008F55EC" w14:paraId="1C3D02E2" w14:textId="77777777" w:rsidTr="00AA3C19">
        <w:tc>
          <w:tcPr>
            <w:tcW w:w="1980" w:type="dxa"/>
            <w:vAlign w:val="center"/>
          </w:tcPr>
          <w:p w14:paraId="6BC31EA5" w14:textId="13E569DF" w:rsidR="00F1256F" w:rsidRDefault="001C6A3B" w:rsidP="00AA3C19">
            <w:pPr>
              <w:rPr>
                <w:rFonts w:cs="Arial"/>
                <w:color w:val="000000"/>
                <w:sz w:val="22"/>
                <w:szCs w:val="22"/>
              </w:rPr>
            </w:pPr>
            <w:r>
              <w:rPr>
                <w:rFonts w:cs="Arial"/>
                <w:color w:val="000000"/>
                <w:sz w:val="22"/>
                <w:szCs w:val="22"/>
              </w:rPr>
              <w:t>Commercial</w:t>
            </w:r>
          </w:p>
        </w:tc>
        <w:tc>
          <w:tcPr>
            <w:tcW w:w="2977" w:type="dxa"/>
            <w:vAlign w:val="center"/>
          </w:tcPr>
          <w:p w14:paraId="377B9CD9" w14:textId="3B0B32EF" w:rsidR="00F1256F" w:rsidRPr="008F55EC" w:rsidRDefault="00387840" w:rsidP="00387840">
            <w:pPr>
              <w:jc w:val="right"/>
              <w:rPr>
                <w:rFonts w:cs="Arial"/>
                <w:sz w:val="22"/>
                <w:szCs w:val="22"/>
                <w:lang w:val="en-US"/>
              </w:rPr>
            </w:pPr>
            <w:r>
              <w:rPr>
                <w:rFonts w:cs="Arial"/>
                <w:sz w:val="22"/>
                <w:szCs w:val="22"/>
                <w:lang w:val="en-US"/>
              </w:rPr>
              <w:t>$</w:t>
            </w:r>
            <w:r w:rsidR="001C6A3B">
              <w:rPr>
                <w:rFonts w:cs="Arial"/>
                <w:sz w:val="22"/>
                <w:szCs w:val="22"/>
                <w:lang w:val="en-US"/>
              </w:rPr>
              <w:t>19</w:t>
            </w:r>
            <w:r>
              <w:rPr>
                <w:rFonts w:cs="Arial"/>
                <w:sz w:val="22"/>
                <w:szCs w:val="22"/>
                <w:lang w:val="en-US"/>
              </w:rPr>
              <w:t>,</w:t>
            </w:r>
            <w:r w:rsidR="001C6A3B">
              <w:rPr>
                <w:rFonts w:cs="Arial"/>
                <w:sz w:val="22"/>
                <w:szCs w:val="22"/>
                <w:lang w:val="en-US"/>
              </w:rPr>
              <w:t>418</w:t>
            </w:r>
            <w:r>
              <w:rPr>
                <w:rFonts w:cs="Arial"/>
                <w:sz w:val="22"/>
                <w:szCs w:val="22"/>
                <w:lang w:val="en-US"/>
              </w:rPr>
              <w:t>,</w:t>
            </w:r>
            <w:r w:rsidR="001C6A3B">
              <w:rPr>
                <w:rFonts w:cs="Arial"/>
                <w:sz w:val="22"/>
                <w:szCs w:val="22"/>
                <w:lang w:val="en-US"/>
              </w:rPr>
              <w:t>1</w:t>
            </w:r>
            <w:r>
              <w:rPr>
                <w:rFonts w:cs="Arial"/>
                <w:sz w:val="22"/>
                <w:szCs w:val="22"/>
                <w:lang w:val="en-US"/>
              </w:rPr>
              <w:t>00</w:t>
            </w:r>
          </w:p>
        </w:tc>
      </w:tr>
    </w:tbl>
    <w:p w14:paraId="5AB3FD66" w14:textId="2748A7DF" w:rsidR="00F64925" w:rsidRDefault="00F64925" w:rsidP="00F64925">
      <w:pPr>
        <w:pStyle w:val="Heading3"/>
        <w:rPr>
          <w:rFonts w:hint="eastAsia"/>
        </w:rPr>
      </w:pPr>
      <w:bookmarkStart w:id="24" w:name="_Toc182490822"/>
      <w:r>
        <w:t>Table 1</w:t>
      </w:r>
      <w:r w:rsidR="009B2762">
        <w:t>2</w:t>
      </w:r>
      <w:r>
        <w:t xml:space="preserve"> – Work hours and non-work hours spend</w:t>
      </w:r>
      <w:r w:rsidR="00CA203B">
        <w:t>ing</w:t>
      </w:r>
      <w:r w:rsidR="00B776A9">
        <w:t xml:space="preserve"> </w:t>
      </w:r>
      <w:r w:rsidR="00B776A9" w:rsidRPr="002031FC">
        <w:t xml:space="preserve">in </w:t>
      </w:r>
      <w:r w:rsidR="009B2762" w:rsidRPr="000F3A62">
        <w:t>Melbourne CBD</w:t>
      </w:r>
      <w:r w:rsidR="009B2762">
        <w:t xml:space="preserve"> – West</w:t>
      </w:r>
      <w:r>
        <w:t>, Q</w:t>
      </w:r>
      <w:r w:rsidR="009B2762">
        <w:t>3</w:t>
      </w:r>
      <w:r>
        <w:t xml:space="preserve"> 2024</w:t>
      </w:r>
      <w:bookmarkEnd w:id="24"/>
    </w:p>
    <w:tbl>
      <w:tblPr>
        <w:tblStyle w:val="TableGrid"/>
        <w:tblW w:w="0" w:type="auto"/>
        <w:tblLook w:val="04A0" w:firstRow="1" w:lastRow="0" w:firstColumn="1" w:lastColumn="0" w:noHBand="0" w:noVBand="1"/>
      </w:tblPr>
      <w:tblGrid>
        <w:gridCol w:w="2972"/>
        <w:gridCol w:w="1985"/>
        <w:gridCol w:w="3118"/>
      </w:tblGrid>
      <w:tr w:rsidR="00BA5216" w:rsidRPr="008F55EC" w14:paraId="1E14B8A4" w14:textId="77777777" w:rsidTr="00BA5216">
        <w:tc>
          <w:tcPr>
            <w:tcW w:w="2972" w:type="dxa"/>
            <w:vAlign w:val="center"/>
          </w:tcPr>
          <w:p w14:paraId="3B41BC8E" w14:textId="77777777" w:rsidR="00F64925" w:rsidRPr="00F64925" w:rsidRDefault="00F64925" w:rsidP="00AA3C19">
            <w:pPr>
              <w:rPr>
                <w:rFonts w:cs="Arial"/>
                <w:b/>
                <w:bCs/>
                <w:sz w:val="22"/>
                <w:szCs w:val="22"/>
                <w:lang w:val="en-US"/>
              </w:rPr>
            </w:pPr>
            <w:r>
              <w:rPr>
                <w:rFonts w:cs="Arial"/>
                <w:b/>
                <w:bCs/>
                <w:sz w:val="22"/>
                <w:szCs w:val="22"/>
                <w:lang w:val="en-US"/>
              </w:rPr>
              <w:t>Time Period</w:t>
            </w:r>
          </w:p>
        </w:tc>
        <w:tc>
          <w:tcPr>
            <w:tcW w:w="1985" w:type="dxa"/>
            <w:vAlign w:val="center"/>
          </w:tcPr>
          <w:p w14:paraId="63EB6255" w14:textId="77777777" w:rsidR="00F64925" w:rsidRPr="008F55EC" w:rsidRDefault="00F64925" w:rsidP="00AA3C19">
            <w:pPr>
              <w:rPr>
                <w:rFonts w:cs="Arial"/>
                <w:sz w:val="22"/>
                <w:szCs w:val="22"/>
                <w:lang w:val="en-US"/>
              </w:rPr>
            </w:pPr>
            <w:r>
              <w:rPr>
                <w:rFonts w:cs="Arial"/>
                <w:b/>
                <w:bCs/>
                <w:color w:val="000000"/>
                <w:sz w:val="22"/>
                <w:szCs w:val="22"/>
              </w:rPr>
              <w:t>Adjusted Spend</w:t>
            </w:r>
          </w:p>
        </w:tc>
        <w:tc>
          <w:tcPr>
            <w:tcW w:w="3118" w:type="dxa"/>
          </w:tcPr>
          <w:p w14:paraId="58285369" w14:textId="77777777" w:rsidR="00F64925" w:rsidRDefault="00F64925" w:rsidP="00AA3C19">
            <w:pPr>
              <w:rPr>
                <w:rFonts w:cs="Arial"/>
                <w:b/>
                <w:bCs/>
                <w:color w:val="000000"/>
                <w:sz w:val="22"/>
                <w:szCs w:val="22"/>
              </w:rPr>
            </w:pPr>
            <w:r>
              <w:rPr>
                <w:rFonts w:cs="Arial"/>
                <w:b/>
                <w:bCs/>
                <w:color w:val="000000"/>
                <w:sz w:val="22"/>
                <w:szCs w:val="22"/>
              </w:rPr>
              <w:t>Percent of Average Spend</w:t>
            </w:r>
          </w:p>
        </w:tc>
      </w:tr>
      <w:tr w:rsidR="00BA5216" w:rsidRPr="008F55EC" w14:paraId="445B3108" w14:textId="77777777" w:rsidTr="00BA5216">
        <w:tc>
          <w:tcPr>
            <w:tcW w:w="2972" w:type="dxa"/>
            <w:vAlign w:val="center"/>
          </w:tcPr>
          <w:p w14:paraId="1BFC28B9" w14:textId="77777777" w:rsidR="00F64925" w:rsidRPr="008F55EC" w:rsidRDefault="00F64925" w:rsidP="00AA3C19">
            <w:pPr>
              <w:rPr>
                <w:rFonts w:cs="Arial"/>
                <w:sz w:val="22"/>
                <w:szCs w:val="22"/>
                <w:lang w:val="en-US"/>
              </w:rPr>
            </w:pPr>
            <w:r>
              <w:rPr>
                <w:rFonts w:cs="Arial"/>
                <w:color w:val="000000"/>
                <w:sz w:val="22"/>
                <w:szCs w:val="22"/>
              </w:rPr>
              <w:t>Work hours</w:t>
            </w:r>
          </w:p>
        </w:tc>
        <w:tc>
          <w:tcPr>
            <w:tcW w:w="1985" w:type="dxa"/>
            <w:vAlign w:val="center"/>
          </w:tcPr>
          <w:p w14:paraId="33B2FD13" w14:textId="05E06C3F" w:rsidR="00F64925" w:rsidRPr="008F55EC" w:rsidRDefault="00387840" w:rsidP="00387840">
            <w:pPr>
              <w:jc w:val="right"/>
              <w:rPr>
                <w:rFonts w:cs="Arial"/>
                <w:sz w:val="22"/>
                <w:szCs w:val="22"/>
                <w:lang w:val="en-US"/>
              </w:rPr>
            </w:pPr>
            <w:r>
              <w:rPr>
                <w:rFonts w:cs="Arial"/>
                <w:sz w:val="22"/>
                <w:szCs w:val="22"/>
                <w:lang w:val="en-US"/>
              </w:rPr>
              <w:t>$</w:t>
            </w:r>
            <w:r w:rsidR="00F44EDC">
              <w:rPr>
                <w:rFonts w:cs="Arial"/>
                <w:sz w:val="22"/>
                <w:szCs w:val="22"/>
                <w:lang w:val="en-US"/>
              </w:rPr>
              <w:t>139</w:t>
            </w:r>
            <w:r>
              <w:rPr>
                <w:rFonts w:cs="Arial"/>
                <w:sz w:val="22"/>
                <w:szCs w:val="22"/>
                <w:lang w:val="en-US"/>
              </w:rPr>
              <w:t>,000,000</w:t>
            </w:r>
          </w:p>
        </w:tc>
        <w:tc>
          <w:tcPr>
            <w:tcW w:w="3118" w:type="dxa"/>
          </w:tcPr>
          <w:p w14:paraId="74A3A0C2" w14:textId="1D37D868" w:rsidR="00F64925" w:rsidRPr="008F55EC" w:rsidRDefault="00387840" w:rsidP="00387840">
            <w:pPr>
              <w:jc w:val="right"/>
              <w:rPr>
                <w:rFonts w:cs="Arial"/>
                <w:sz w:val="22"/>
                <w:szCs w:val="22"/>
                <w:lang w:val="en-US"/>
              </w:rPr>
            </w:pPr>
            <w:r>
              <w:rPr>
                <w:rFonts w:cs="Arial"/>
                <w:sz w:val="22"/>
                <w:szCs w:val="22"/>
                <w:lang w:val="en-US"/>
              </w:rPr>
              <w:t>5</w:t>
            </w:r>
            <w:r w:rsidR="00F44EDC">
              <w:rPr>
                <w:rFonts w:cs="Arial"/>
                <w:sz w:val="22"/>
                <w:szCs w:val="22"/>
                <w:lang w:val="en-US"/>
              </w:rPr>
              <w:t>8</w:t>
            </w:r>
            <w:r>
              <w:rPr>
                <w:rFonts w:cs="Arial"/>
                <w:sz w:val="22"/>
                <w:szCs w:val="22"/>
                <w:lang w:val="en-US"/>
              </w:rPr>
              <w:t>%</w:t>
            </w:r>
          </w:p>
        </w:tc>
      </w:tr>
      <w:tr w:rsidR="00BA5216" w:rsidRPr="008F55EC" w14:paraId="0E667ED7" w14:textId="77777777" w:rsidTr="00BA5216">
        <w:tc>
          <w:tcPr>
            <w:tcW w:w="2972" w:type="dxa"/>
            <w:vAlign w:val="center"/>
          </w:tcPr>
          <w:p w14:paraId="7974D1CD" w14:textId="77777777" w:rsidR="00F64925" w:rsidRPr="008F55EC" w:rsidRDefault="00F64925" w:rsidP="00AA3C19">
            <w:pPr>
              <w:rPr>
                <w:rFonts w:cs="Arial"/>
                <w:sz w:val="22"/>
                <w:szCs w:val="22"/>
                <w:lang w:val="en-US"/>
              </w:rPr>
            </w:pPr>
            <w:r>
              <w:rPr>
                <w:rFonts w:cs="Arial"/>
                <w:color w:val="000000"/>
                <w:sz w:val="22"/>
                <w:szCs w:val="22"/>
              </w:rPr>
              <w:t>Non-work hours</w:t>
            </w:r>
          </w:p>
        </w:tc>
        <w:tc>
          <w:tcPr>
            <w:tcW w:w="1985" w:type="dxa"/>
            <w:vAlign w:val="center"/>
          </w:tcPr>
          <w:p w14:paraId="11A193C5" w14:textId="5A66D98E" w:rsidR="00F64925" w:rsidRPr="008F55EC" w:rsidRDefault="00387840" w:rsidP="00387840">
            <w:pPr>
              <w:jc w:val="right"/>
              <w:rPr>
                <w:rFonts w:cs="Arial"/>
                <w:sz w:val="22"/>
                <w:szCs w:val="22"/>
                <w:lang w:val="en-US"/>
              </w:rPr>
            </w:pPr>
            <w:r>
              <w:rPr>
                <w:rFonts w:cs="Arial"/>
                <w:sz w:val="22"/>
                <w:szCs w:val="22"/>
                <w:lang w:val="en-US"/>
              </w:rPr>
              <w:t>$</w:t>
            </w:r>
            <w:r w:rsidR="00F44EDC">
              <w:rPr>
                <w:rFonts w:cs="Arial"/>
                <w:sz w:val="22"/>
                <w:szCs w:val="22"/>
                <w:lang w:val="en-US"/>
              </w:rPr>
              <w:t>99</w:t>
            </w:r>
            <w:r>
              <w:rPr>
                <w:rFonts w:cs="Arial"/>
                <w:sz w:val="22"/>
                <w:szCs w:val="22"/>
                <w:lang w:val="en-US"/>
              </w:rPr>
              <w:t>,000,000</w:t>
            </w:r>
          </w:p>
        </w:tc>
        <w:tc>
          <w:tcPr>
            <w:tcW w:w="3118" w:type="dxa"/>
          </w:tcPr>
          <w:p w14:paraId="7EAEAE6D" w14:textId="59780D16" w:rsidR="00F64925" w:rsidRPr="008F55EC" w:rsidRDefault="00387840" w:rsidP="00387840">
            <w:pPr>
              <w:jc w:val="right"/>
              <w:rPr>
                <w:rFonts w:cs="Arial"/>
                <w:sz w:val="22"/>
                <w:szCs w:val="22"/>
                <w:lang w:val="en-US"/>
              </w:rPr>
            </w:pPr>
            <w:r>
              <w:rPr>
                <w:rFonts w:cs="Arial"/>
                <w:sz w:val="22"/>
                <w:szCs w:val="22"/>
                <w:lang w:val="en-US"/>
              </w:rPr>
              <w:t>4</w:t>
            </w:r>
            <w:r w:rsidR="00F44EDC">
              <w:rPr>
                <w:rFonts w:cs="Arial"/>
                <w:sz w:val="22"/>
                <w:szCs w:val="22"/>
                <w:lang w:val="en-US"/>
              </w:rPr>
              <w:t>2</w:t>
            </w:r>
            <w:r>
              <w:rPr>
                <w:rFonts w:cs="Arial"/>
                <w:sz w:val="22"/>
                <w:szCs w:val="22"/>
                <w:lang w:val="en-US"/>
              </w:rPr>
              <w:t>%</w:t>
            </w:r>
          </w:p>
        </w:tc>
      </w:tr>
    </w:tbl>
    <w:p w14:paraId="5D4489CB" w14:textId="03E60521" w:rsidR="004B0A87" w:rsidRDefault="004B0A87" w:rsidP="004B0A87">
      <w:pPr>
        <w:pStyle w:val="ListParagraph"/>
        <w:numPr>
          <w:ilvl w:val="0"/>
          <w:numId w:val="21"/>
        </w:numPr>
      </w:pPr>
      <w:r w:rsidRPr="005B476C">
        <w:t>Work hours are 8am to 6pm, Monday to Friday.</w:t>
      </w:r>
    </w:p>
    <w:p w14:paraId="53D041BE" w14:textId="738B2F54" w:rsidR="009B4DE8" w:rsidRDefault="009B4DE8" w:rsidP="009B4DE8">
      <w:pPr>
        <w:pStyle w:val="Heading3"/>
        <w:rPr>
          <w:rFonts w:hint="eastAsia"/>
        </w:rPr>
      </w:pPr>
      <w:bookmarkStart w:id="25" w:name="_Toc182490823"/>
      <w:r>
        <w:t>Table 1</w:t>
      </w:r>
      <w:r w:rsidR="009B2762">
        <w:t>3</w:t>
      </w:r>
      <w:r>
        <w:t xml:space="preserve"> – </w:t>
      </w:r>
      <w:r w:rsidRPr="002031FC">
        <w:t>Weekday and weekend spend</w:t>
      </w:r>
      <w:r w:rsidR="00CA203B">
        <w:t>ing</w:t>
      </w:r>
      <w:r w:rsidRPr="002031FC">
        <w:t xml:space="preserve"> in </w:t>
      </w:r>
      <w:r w:rsidR="009B2762" w:rsidRPr="000F3A62">
        <w:t>Melbourne CBD</w:t>
      </w:r>
      <w:r w:rsidR="009B2762">
        <w:t xml:space="preserve"> – West, Q3 </w:t>
      </w:r>
      <w:r w:rsidRPr="002031FC">
        <w:t>2024</w:t>
      </w:r>
      <w:bookmarkEnd w:id="25"/>
      <w:r>
        <w:t xml:space="preserve"> </w:t>
      </w:r>
    </w:p>
    <w:tbl>
      <w:tblPr>
        <w:tblStyle w:val="TableGrid"/>
        <w:tblW w:w="0" w:type="auto"/>
        <w:tblLook w:val="04A0" w:firstRow="1" w:lastRow="0" w:firstColumn="1" w:lastColumn="0" w:noHBand="0" w:noVBand="1"/>
      </w:tblPr>
      <w:tblGrid>
        <w:gridCol w:w="2689"/>
        <w:gridCol w:w="2268"/>
        <w:gridCol w:w="3118"/>
      </w:tblGrid>
      <w:tr w:rsidR="009B4DE8" w:rsidRPr="008F55EC" w14:paraId="0D8C98E4" w14:textId="77777777" w:rsidTr="00922857">
        <w:tc>
          <w:tcPr>
            <w:tcW w:w="2689" w:type="dxa"/>
            <w:vAlign w:val="center"/>
          </w:tcPr>
          <w:p w14:paraId="7776F807" w14:textId="77777777" w:rsidR="009B4DE8" w:rsidRPr="00F64925" w:rsidRDefault="009B4DE8" w:rsidP="00922857">
            <w:pPr>
              <w:rPr>
                <w:rFonts w:cs="Arial"/>
                <w:b/>
                <w:bCs/>
                <w:sz w:val="22"/>
                <w:szCs w:val="22"/>
                <w:lang w:val="en-US"/>
              </w:rPr>
            </w:pPr>
            <w:r>
              <w:rPr>
                <w:rFonts w:cs="Arial"/>
                <w:b/>
                <w:bCs/>
                <w:sz w:val="22"/>
                <w:szCs w:val="22"/>
                <w:lang w:val="en-US"/>
              </w:rPr>
              <w:t>Time Period</w:t>
            </w:r>
          </w:p>
        </w:tc>
        <w:tc>
          <w:tcPr>
            <w:tcW w:w="2268" w:type="dxa"/>
            <w:vAlign w:val="center"/>
          </w:tcPr>
          <w:p w14:paraId="2A1614DD" w14:textId="77777777" w:rsidR="009B4DE8" w:rsidRPr="008F55EC" w:rsidRDefault="009B4DE8" w:rsidP="00922857">
            <w:pPr>
              <w:rPr>
                <w:rFonts w:cs="Arial"/>
                <w:sz w:val="22"/>
                <w:szCs w:val="22"/>
                <w:lang w:val="en-US"/>
              </w:rPr>
            </w:pPr>
            <w:r>
              <w:rPr>
                <w:rFonts w:cs="Arial"/>
                <w:b/>
                <w:bCs/>
                <w:color w:val="000000"/>
                <w:sz w:val="22"/>
                <w:szCs w:val="22"/>
              </w:rPr>
              <w:t>Adjusted Spend</w:t>
            </w:r>
          </w:p>
        </w:tc>
        <w:tc>
          <w:tcPr>
            <w:tcW w:w="3118" w:type="dxa"/>
          </w:tcPr>
          <w:p w14:paraId="2C2B208D" w14:textId="77777777" w:rsidR="009B4DE8" w:rsidRDefault="009B4DE8" w:rsidP="00922857">
            <w:pPr>
              <w:rPr>
                <w:rFonts w:cs="Arial"/>
                <w:b/>
                <w:bCs/>
                <w:color w:val="000000"/>
                <w:sz w:val="22"/>
                <w:szCs w:val="22"/>
              </w:rPr>
            </w:pPr>
            <w:r>
              <w:rPr>
                <w:rFonts w:cs="Arial"/>
                <w:b/>
                <w:bCs/>
                <w:color w:val="000000"/>
                <w:sz w:val="22"/>
                <w:szCs w:val="22"/>
              </w:rPr>
              <w:t>Percent of Average Spend</w:t>
            </w:r>
          </w:p>
        </w:tc>
      </w:tr>
      <w:tr w:rsidR="009B4DE8" w:rsidRPr="008F55EC" w14:paraId="6C49F10F" w14:textId="77777777" w:rsidTr="00922857">
        <w:tc>
          <w:tcPr>
            <w:tcW w:w="2689" w:type="dxa"/>
            <w:vAlign w:val="center"/>
          </w:tcPr>
          <w:p w14:paraId="65D22A3C" w14:textId="77777777" w:rsidR="009B4DE8" w:rsidRPr="008F55EC" w:rsidRDefault="009B4DE8" w:rsidP="00922857">
            <w:pPr>
              <w:rPr>
                <w:rFonts w:cs="Arial"/>
                <w:sz w:val="22"/>
                <w:szCs w:val="22"/>
                <w:lang w:val="en-US"/>
              </w:rPr>
            </w:pPr>
            <w:r>
              <w:rPr>
                <w:rFonts w:cs="Arial"/>
                <w:color w:val="000000"/>
                <w:sz w:val="22"/>
                <w:szCs w:val="22"/>
              </w:rPr>
              <w:t>Weekdays</w:t>
            </w:r>
          </w:p>
        </w:tc>
        <w:tc>
          <w:tcPr>
            <w:tcW w:w="2268" w:type="dxa"/>
            <w:vAlign w:val="center"/>
          </w:tcPr>
          <w:p w14:paraId="4AAB1D9B" w14:textId="44C76FAA" w:rsidR="009B4DE8" w:rsidRPr="008F55EC" w:rsidRDefault="00387840" w:rsidP="00387840">
            <w:pPr>
              <w:jc w:val="right"/>
              <w:rPr>
                <w:rFonts w:cs="Arial"/>
                <w:sz w:val="22"/>
                <w:szCs w:val="22"/>
                <w:lang w:val="en-US"/>
              </w:rPr>
            </w:pPr>
            <w:r>
              <w:rPr>
                <w:rFonts w:cs="Arial"/>
                <w:sz w:val="22"/>
                <w:szCs w:val="22"/>
                <w:lang w:val="en-US"/>
              </w:rPr>
              <w:t>$</w:t>
            </w:r>
            <w:r w:rsidR="00F44EDC">
              <w:rPr>
                <w:rFonts w:cs="Arial"/>
                <w:sz w:val="22"/>
                <w:szCs w:val="22"/>
                <w:lang w:val="en-US"/>
              </w:rPr>
              <w:t>176</w:t>
            </w:r>
            <w:r>
              <w:rPr>
                <w:rFonts w:cs="Arial"/>
                <w:sz w:val="22"/>
                <w:szCs w:val="22"/>
                <w:lang w:val="en-US"/>
              </w:rPr>
              <w:t>,000,000</w:t>
            </w:r>
          </w:p>
        </w:tc>
        <w:tc>
          <w:tcPr>
            <w:tcW w:w="3118" w:type="dxa"/>
          </w:tcPr>
          <w:p w14:paraId="219BAD09" w14:textId="75B30C67" w:rsidR="009B4DE8" w:rsidRPr="008F55EC" w:rsidRDefault="00387840" w:rsidP="00387840">
            <w:pPr>
              <w:jc w:val="right"/>
              <w:rPr>
                <w:rFonts w:cs="Arial"/>
                <w:sz w:val="22"/>
                <w:szCs w:val="22"/>
                <w:lang w:val="en-US"/>
              </w:rPr>
            </w:pPr>
            <w:r>
              <w:rPr>
                <w:rFonts w:cs="Arial"/>
                <w:sz w:val="22"/>
                <w:szCs w:val="22"/>
                <w:lang w:val="en-US"/>
              </w:rPr>
              <w:t>7</w:t>
            </w:r>
            <w:r w:rsidR="00F44EDC">
              <w:rPr>
                <w:rFonts w:cs="Arial"/>
                <w:sz w:val="22"/>
                <w:szCs w:val="22"/>
                <w:lang w:val="en-US"/>
              </w:rPr>
              <w:t>4</w:t>
            </w:r>
            <w:r>
              <w:rPr>
                <w:rFonts w:cs="Arial"/>
                <w:sz w:val="22"/>
                <w:szCs w:val="22"/>
                <w:lang w:val="en-US"/>
              </w:rPr>
              <w:t>%</w:t>
            </w:r>
          </w:p>
        </w:tc>
      </w:tr>
      <w:tr w:rsidR="009B4DE8" w:rsidRPr="008F55EC" w14:paraId="1AA10B1D" w14:textId="77777777" w:rsidTr="00922857">
        <w:tc>
          <w:tcPr>
            <w:tcW w:w="2689" w:type="dxa"/>
            <w:vAlign w:val="center"/>
          </w:tcPr>
          <w:p w14:paraId="6BB1AE87" w14:textId="77777777" w:rsidR="009B4DE8" w:rsidRPr="008F55EC" w:rsidRDefault="009B4DE8" w:rsidP="00922857">
            <w:pPr>
              <w:rPr>
                <w:rFonts w:cs="Arial"/>
                <w:sz w:val="22"/>
                <w:szCs w:val="22"/>
                <w:lang w:val="en-US"/>
              </w:rPr>
            </w:pPr>
            <w:r>
              <w:rPr>
                <w:rFonts w:cs="Arial"/>
                <w:color w:val="000000"/>
                <w:sz w:val="22"/>
                <w:szCs w:val="22"/>
              </w:rPr>
              <w:t>Weekends</w:t>
            </w:r>
          </w:p>
        </w:tc>
        <w:tc>
          <w:tcPr>
            <w:tcW w:w="2268" w:type="dxa"/>
            <w:vAlign w:val="center"/>
          </w:tcPr>
          <w:p w14:paraId="1A816868" w14:textId="6F60E90C" w:rsidR="009B4DE8" w:rsidRPr="008F55EC" w:rsidRDefault="00387840" w:rsidP="00387840">
            <w:pPr>
              <w:jc w:val="right"/>
              <w:rPr>
                <w:rFonts w:cs="Arial"/>
                <w:sz w:val="22"/>
                <w:szCs w:val="22"/>
                <w:lang w:val="en-US"/>
              </w:rPr>
            </w:pPr>
            <w:r>
              <w:rPr>
                <w:rFonts w:cs="Arial"/>
                <w:sz w:val="22"/>
                <w:szCs w:val="22"/>
                <w:lang w:val="en-US"/>
              </w:rPr>
              <w:t>$</w:t>
            </w:r>
            <w:r w:rsidR="00F44EDC">
              <w:rPr>
                <w:rFonts w:cs="Arial"/>
                <w:sz w:val="22"/>
                <w:szCs w:val="22"/>
                <w:lang w:val="en-US"/>
              </w:rPr>
              <w:t>62</w:t>
            </w:r>
            <w:r>
              <w:rPr>
                <w:rFonts w:cs="Arial"/>
                <w:sz w:val="22"/>
                <w:szCs w:val="22"/>
                <w:lang w:val="en-US"/>
              </w:rPr>
              <w:t>,000,000</w:t>
            </w:r>
          </w:p>
        </w:tc>
        <w:tc>
          <w:tcPr>
            <w:tcW w:w="3118" w:type="dxa"/>
          </w:tcPr>
          <w:p w14:paraId="718F1EE4" w14:textId="3BB0D582" w:rsidR="009B4DE8" w:rsidRPr="008F55EC" w:rsidRDefault="00387840" w:rsidP="00387840">
            <w:pPr>
              <w:jc w:val="right"/>
              <w:rPr>
                <w:rFonts w:cs="Arial"/>
                <w:sz w:val="22"/>
                <w:szCs w:val="22"/>
                <w:lang w:val="en-US"/>
              </w:rPr>
            </w:pPr>
            <w:r>
              <w:rPr>
                <w:rFonts w:cs="Arial"/>
                <w:sz w:val="22"/>
                <w:szCs w:val="22"/>
                <w:lang w:val="en-US"/>
              </w:rPr>
              <w:t>2</w:t>
            </w:r>
            <w:r w:rsidR="00F44EDC">
              <w:rPr>
                <w:rFonts w:cs="Arial"/>
                <w:sz w:val="22"/>
                <w:szCs w:val="22"/>
                <w:lang w:val="en-US"/>
              </w:rPr>
              <w:t>6</w:t>
            </w:r>
            <w:r>
              <w:rPr>
                <w:rFonts w:cs="Arial"/>
                <w:sz w:val="22"/>
                <w:szCs w:val="22"/>
                <w:lang w:val="en-US"/>
              </w:rPr>
              <w:t>%</w:t>
            </w:r>
          </w:p>
        </w:tc>
      </w:tr>
    </w:tbl>
    <w:p w14:paraId="460D0932" w14:textId="0585CA1E" w:rsidR="00F64925" w:rsidRDefault="00F64925" w:rsidP="00F64925">
      <w:pPr>
        <w:pStyle w:val="Heading3"/>
        <w:rPr>
          <w:rFonts w:hint="eastAsia"/>
        </w:rPr>
      </w:pPr>
      <w:bookmarkStart w:id="26" w:name="_Toc182490824"/>
      <w:r>
        <w:lastRenderedPageBreak/>
        <w:t>Table 1</w:t>
      </w:r>
      <w:r w:rsidR="009B2762">
        <w:t>4</w:t>
      </w:r>
      <w:r w:rsidR="009B4DE8">
        <w:t>.</w:t>
      </w:r>
      <w:r w:rsidR="002F4DE8">
        <w:t>a</w:t>
      </w:r>
      <w:r>
        <w:t xml:space="preserve"> – </w:t>
      </w:r>
      <w:r w:rsidR="009B4DE8" w:rsidRPr="009B4DE8">
        <w:t xml:space="preserve">Where spending in </w:t>
      </w:r>
      <w:r w:rsidR="009B2762" w:rsidRPr="000F3A62">
        <w:t>Melbourne CBD</w:t>
      </w:r>
      <w:r w:rsidR="009B2762">
        <w:t xml:space="preserve"> – West </w:t>
      </w:r>
      <w:r w:rsidR="009B4DE8" w:rsidRPr="009B4DE8">
        <w:t>came from, Q</w:t>
      </w:r>
      <w:r w:rsidR="009B2762">
        <w:t>3</w:t>
      </w:r>
      <w:r w:rsidR="009B4DE8" w:rsidRPr="009B4DE8">
        <w:t xml:space="preserve"> 2024</w:t>
      </w:r>
      <w:bookmarkEnd w:id="26"/>
    </w:p>
    <w:tbl>
      <w:tblPr>
        <w:tblStyle w:val="TableGrid"/>
        <w:tblW w:w="0" w:type="auto"/>
        <w:tblLook w:val="04A0" w:firstRow="1" w:lastRow="0" w:firstColumn="1" w:lastColumn="0" w:noHBand="0" w:noVBand="1"/>
      </w:tblPr>
      <w:tblGrid>
        <w:gridCol w:w="2972"/>
        <w:gridCol w:w="1985"/>
        <w:gridCol w:w="3118"/>
      </w:tblGrid>
      <w:tr w:rsidR="00F64925" w:rsidRPr="008F55EC" w14:paraId="78F0521C" w14:textId="77777777" w:rsidTr="00BA5216">
        <w:tc>
          <w:tcPr>
            <w:tcW w:w="2972" w:type="dxa"/>
            <w:vAlign w:val="center"/>
          </w:tcPr>
          <w:p w14:paraId="22FDE77B" w14:textId="4BB53821" w:rsidR="00F64925" w:rsidRPr="00F64925" w:rsidRDefault="00F64925" w:rsidP="00AA3C19">
            <w:pPr>
              <w:rPr>
                <w:rFonts w:cs="Arial"/>
                <w:b/>
                <w:bCs/>
                <w:sz w:val="22"/>
                <w:szCs w:val="22"/>
                <w:lang w:val="en-US"/>
              </w:rPr>
            </w:pPr>
            <w:bookmarkStart w:id="27" w:name="_Hlk167445344"/>
            <w:r>
              <w:rPr>
                <w:rFonts w:cs="Arial"/>
                <w:b/>
                <w:bCs/>
                <w:sz w:val="22"/>
                <w:szCs w:val="22"/>
                <w:lang w:val="en-US"/>
              </w:rPr>
              <w:t>Customer Type</w:t>
            </w:r>
          </w:p>
        </w:tc>
        <w:tc>
          <w:tcPr>
            <w:tcW w:w="1985" w:type="dxa"/>
            <w:vAlign w:val="center"/>
          </w:tcPr>
          <w:p w14:paraId="01A60F30" w14:textId="77777777" w:rsidR="00F64925" w:rsidRPr="008F55EC" w:rsidRDefault="00F64925" w:rsidP="00AA3C19">
            <w:pPr>
              <w:rPr>
                <w:rFonts w:cs="Arial"/>
                <w:sz w:val="22"/>
                <w:szCs w:val="22"/>
                <w:lang w:val="en-US"/>
              </w:rPr>
            </w:pPr>
            <w:r>
              <w:rPr>
                <w:rFonts w:cs="Arial"/>
                <w:b/>
                <w:bCs/>
                <w:color w:val="000000"/>
                <w:sz w:val="22"/>
                <w:szCs w:val="22"/>
              </w:rPr>
              <w:t>Adjusted Spend</w:t>
            </w:r>
          </w:p>
        </w:tc>
        <w:tc>
          <w:tcPr>
            <w:tcW w:w="3118" w:type="dxa"/>
          </w:tcPr>
          <w:p w14:paraId="5AA14C13" w14:textId="77777777" w:rsidR="00F64925" w:rsidRDefault="00F64925" w:rsidP="00AA3C19">
            <w:pPr>
              <w:rPr>
                <w:rFonts w:cs="Arial"/>
                <w:b/>
                <w:bCs/>
                <w:color w:val="000000"/>
                <w:sz w:val="22"/>
                <w:szCs w:val="22"/>
              </w:rPr>
            </w:pPr>
            <w:r>
              <w:rPr>
                <w:rFonts w:cs="Arial"/>
                <w:b/>
                <w:bCs/>
                <w:color w:val="000000"/>
                <w:sz w:val="22"/>
                <w:szCs w:val="22"/>
              </w:rPr>
              <w:t>Percent of Average Spend</w:t>
            </w:r>
          </w:p>
        </w:tc>
      </w:tr>
      <w:tr w:rsidR="00F64925" w:rsidRPr="008F55EC" w14:paraId="35D4D472" w14:textId="77777777" w:rsidTr="00BA5216">
        <w:tc>
          <w:tcPr>
            <w:tcW w:w="2972" w:type="dxa"/>
            <w:vAlign w:val="center"/>
          </w:tcPr>
          <w:p w14:paraId="368B0657" w14:textId="38C67887" w:rsidR="00F64925" w:rsidRPr="008F55EC" w:rsidRDefault="00F64925" w:rsidP="00AA3C19">
            <w:pPr>
              <w:rPr>
                <w:rFonts w:cs="Arial"/>
                <w:sz w:val="22"/>
                <w:szCs w:val="22"/>
                <w:lang w:val="en-US"/>
              </w:rPr>
            </w:pPr>
            <w:r>
              <w:rPr>
                <w:rFonts w:cs="Arial"/>
                <w:sz w:val="22"/>
                <w:szCs w:val="22"/>
                <w:lang w:val="en-US"/>
              </w:rPr>
              <w:t>City of Melbourne residents</w:t>
            </w:r>
          </w:p>
        </w:tc>
        <w:tc>
          <w:tcPr>
            <w:tcW w:w="1985" w:type="dxa"/>
            <w:vAlign w:val="center"/>
          </w:tcPr>
          <w:p w14:paraId="0E7F0F5A" w14:textId="16DB0EFE" w:rsidR="00F64925" w:rsidRPr="008F55EC" w:rsidRDefault="00387840" w:rsidP="00387840">
            <w:pPr>
              <w:jc w:val="right"/>
              <w:rPr>
                <w:rFonts w:cs="Arial"/>
                <w:sz w:val="22"/>
                <w:szCs w:val="22"/>
                <w:lang w:val="en-US"/>
              </w:rPr>
            </w:pPr>
            <w:r>
              <w:rPr>
                <w:rFonts w:cs="Arial"/>
                <w:sz w:val="22"/>
                <w:szCs w:val="22"/>
                <w:lang w:val="en-US"/>
              </w:rPr>
              <w:t>$1</w:t>
            </w:r>
            <w:r w:rsidR="00F44EDC">
              <w:rPr>
                <w:rFonts w:cs="Arial"/>
                <w:sz w:val="22"/>
                <w:szCs w:val="22"/>
                <w:lang w:val="en-US"/>
              </w:rPr>
              <w:t>9</w:t>
            </w:r>
            <w:r>
              <w:rPr>
                <w:rFonts w:cs="Arial"/>
                <w:sz w:val="22"/>
                <w:szCs w:val="22"/>
                <w:lang w:val="en-US"/>
              </w:rPr>
              <w:t>,000,000</w:t>
            </w:r>
          </w:p>
        </w:tc>
        <w:tc>
          <w:tcPr>
            <w:tcW w:w="3118" w:type="dxa"/>
          </w:tcPr>
          <w:p w14:paraId="3B7C97B5" w14:textId="609A7B28" w:rsidR="00F64925" w:rsidRPr="008F55EC" w:rsidRDefault="003F09EC" w:rsidP="00387840">
            <w:pPr>
              <w:jc w:val="right"/>
              <w:rPr>
                <w:rFonts w:cs="Arial"/>
                <w:sz w:val="22"/>
                <w:szCs w:val="22"/>
                <w:lang w:val="en-US"/>
              </w:rPr>
            </w:pPr>
            <w:r>
              <w:rPr>
                <w:rFonts w:cs="Arial"/>
                <w:sz w:val="22"/>
                <w:szCs w:val="22"/>
                <w:lang w:val="en-US"/>
              </w:rPr>
              <w:t>8</w:t>
            </w:r>
            <w:r w:rsidR="00387840">
              <w:rPr>
                <w:rFonts w:cs="Arial"/>
                <w:sz w:val="22"/>
                <w:szCs w:val="22"/>
                <w:lang w:val="en-US"/>
              </w:rPr>
              <w:t>%</w:t>
            </w:r>
          </w:p>
        </w:tc>
      </w:tr>
      <w:tr w:rsidR="00F64925" w:rsidRPr="008F55EC" w14:paraId="465D5834" w14:textId="77777777" w:rsidTr="00BA5216">
        <w:tc>
          <w:tcPr>
            <w:tcW w:w="2972" w:type="dxa"/>
            <w:vAlign w:val="center"/>
          </w:tcPr>
          <w:p w14:paraId="40E6DD26" w14:textId="4645EA6C" w:rsidR="00F64925" w:rsidRPr="008F55EC" w:rsidRDefault="00F64925" w:rsidP="00AA3C19">
            <w:pPr>
              <w:rPr>
                <w:rFonts w:cs="Arial"/>
                <w:sz w:val="22"/>
                <w:szCs w:val="22"/>
                <w:lang w:val="en-US"/>
              </w:rPr>
            </w:pPr>
            <w:r>
              <w:rPr>
                <w:rFonts w:cs="Arial"/>
                <w:color w:val="000000"/>
                <w:sz w:val="22"/>
                <w:szCs w:val="22"/>
              </w:rPr>
              <w:t>Visitors</w:t>
            </w:r>
          </w:p>
        </w:tc>
        <w:tc>
          <w:tcPr>
            <w:tcW w:w="1985" w:type="dxa"/>
            <w:vAlign w:val="center"/>
          </w:tcPr>
          <w:p w14:paraId="73BEDC6F" w14:textId="242B890C" w:rsidR="00F64925" w:rsidRPr="008F55EC" w:rsidRDefault="00387840" w:rsidP="00387840">
            <w:pPr>
              <w:jc w:val="right"/>
              <w:rPr>
                <w:rFonts w:cs="Arial"/>
                <w:sz w:val="22"/>
                <w:szCs w:val="22"/>
                <w:lang w:val="en-US"/>
              </w:rPr>
            </w:pPr>
            <w:r>
              <w:rPr>
                <w:rFonts w:cs="Arial"/>
                <w:sz w:val="22"/>
                <w:szCs w:val="22"/>
                <w:lang w:val="en-US"/>
              </w:rPr>
              <w:t>$</w:t>
            </w:r>
            <w:r w:rsidR="00F44EDC">
              <w:rPr>
                <w:rFonts w:cs="Arial"/>
                <w:sz w:val="22"/>
                <w:szCs w:val="22"/>
                <w:lang w:val="en-US"/>
              </w:rPr>
              <w:t>219</w:t>
            </w:r>
            <w:r>
              <w:rPr>
                <w:rFonts w:cs="Arial"/>
                <w:sz w:val="22"/>
                <w:szCs w:val="22"/>
                <w:lang w:val="en-US"/>
              </w:rPr>
              <w:t>,000,000</w:t>
            </w:r>
          </w:p>
        </w:tc>
        <w:tc>
          <w:tcPr>
            <w:tcW w:w="3118" w:type="dxa"/>
          </w:tcPr>
          <w:p w14:paraId="7C1B8229" w14:textId="5C2AC309" w:rsidR="00F64925" w:rsidRPr="008F55EC" w:rsidRDefault="00387840" w:rsidP="00387840">
            <w:pPr>
              <w:jc w:val="right"/>
              <w:rPr>
                <w:rFonts w:cs="Arial"/>
                <w:sz w:val="22"/>
                <w:szCs w:val="22"/>
                <w:lang w:val="en-US"/>
              </w:rPr>
            </w:pPr>
            <w:r>
              <w:rPr>
                <w:rFonts w:cs="Arial"/>
                <w:sz w:val="22"/>
                <w:szCs w:val="22"/>
                <w:lang w:val="en-US"/>
              </w:rPr>
              <w:t>9</w:t>
            </w:r>
            <w:r w:rsidR="00F44EDC">
              <w:rPr>
                <w:rFonts w:cs="Arial"/>
                <w:sz w:val="22"/>
                <w:szCs w:val="22"/>
                <w:lang w:val="en-US"/>
              </w:rPr>
              <w:t>2</w:t>
            </w:r>
            <w:r>
              <w:rPr>
                <w:rFonts w:cs="Arial"/>
                <w:sz w:val="22"/>
                <w:szCs w:val="22"/>
                <w:lang w:val="en-US"/>
              </w:rPr>
              <w:t>%</w:t>
            </w:r>
          </w:p>
        </w:tc>
      </w:tr>
    </w:tbl>
    <w:p w14:paraId="7D26A684" w14:textId="08189F96" w:rsidR="00F64925" w:rsidRDefault="00F64925" w:rsidP="00F64925">
      <w:pPr>
        <w:pStyle w:val="Heading3"/>
        <w:rPr>
          <w:rFonts w:hint="eastAsia"/>
        </w:rPr>
      </w:pPr>
      <w:bookmarkStart w:id="28" w:name="_Toc182490825"/>
      <w:bookmarkEnd w:id="27"/>
      <w:r>
        <w:t>Table 1</w:t>
      </w:r>
      <w:r w:rsidR="009B2762">
        <w:t>4</w:t>
      </w:r>
      <w:r w:rsidR="009B4DE8">
        <w:t>.</w:t>
      </w:r>
      <w:r w:rsidR="002F4DE8">
        <w:t>b</w:t>
      </w:r>
      <w:r>
        <w:t xml:space="preserve"> – </w:t>
      </w:r>
      <w:r w:rsidR="009B4DE8" w:rsidRPr="009B4DE8">
        <w:t xml:space="preserve">Where spending in </w:t>
      </w:r>
      <w:r w:rsidR="009B2762" w:rsidRPr="000F3A62">
        <w:t>Melbourne CBD</w:t>
      </w:r>
      <w:r w:rsidR="009B2762">
        <w:t xml:space="preserve"> – West </w:t>
      </w:r>
      <w:r w:rsidR="009B2762" w:rsidRPr="009B4DE8">
        <w:t>came from, Q</w:t>
      </w:r>
      <w:r w:rsidR="009B2762">
        <w:t>3</w:t>
      </w:r>
      <w:r w:rsidR="009B2762" w:rsidRPr="009B4DE8">
        <w:t xml:space="preserve"> </w:t>
      </w:r>
      <w:r w:rsidR="009B4DE8" w:rsidRPr="009B4DE8">
        <w:t>2024</w:t>
      </w:r>
      <w:bookmarkEnd w:id="28"/>
    </w:p>
    <w:tbl>
      <w:tblPr>
        <w:tblStyle w:val="TableGrid"/>
        <w:tblW w:w="0" w:type="auto"/>
        <w:tblLook w:val="04A0" w:firstRow="1" w:lastRow="0" w:firstColumn="1" w:lastColumn="0" w:noHBand="0" w:noVBand="1"/>
      </w:tblPr>
      <w:tblGrid>
        <w:gridCol w:w="2972"/>
        <w:gridCol w:w="1985"/>
      </w:tblGrid>
      <w:tr w:rsidR="0009455A" w:rsidRPr="008F55EC" w14:paraId="33A336EC" w14:textId="77777777" w:rsidTr="00AA3C19">
        <w:tc>
          <w:tcPr>
            <w:tcW w:w="2972" w:type="dxa"/>
            <w:vAlign w:val="center"/>
          </w:tcPr>
          <w:p w14:paraId="0753FC37" w14:textId="387CDA76" w:rsidR="0009455A" w:rsidRPr="00F64925" w:rsidRDefault="009B4DE8" w:rsidP="00AA3C19">
            <w:pPr>
              <w:rPr>
                <w:rFonts w:cs="Arial"/>
                <w:b/>
                <w:bCs/>
                <w:sz w:val="22"/>
                <w:szCs w:val="22"/>
                <w:lang w:val="en-US"/>
              </w:rPr>
            </w:pPr>
            <w:r>
              <w:rPr>
                <w:rFonts w:cs="Arial"/>
                <w:b/>
                <w:bCs/>
                <w:sz w:val="22"/>
                <w:szCs w:val="22"/>
                <w:lang w:val="en-US"/>
              </w:rPr>
              <w:t>Council Area</w:t>
            </w:r>
          </w:p>
        </w:tc>
        <w:tc>
          <w:tcPr>
            <w:tcW w:w="1985" w:type="dxa"/>
            <w:vAlign w:val="center"/>
          </w:tcPr>
          <w:p w14:paraId="3BFF725E" w14:textId="77777777" w:rsidR="0009455A" w:rsidRPr="008F55EC" w:rsidRDefault="0009455A" w:rsidP="00AA3C19">
            <w:pPr>
              <w:rPr>
                <w:rFonts w:cs="Arial"/>
                <w:sz w:val="22"/>
                <w:szCs w:val="22"/>
                <w:lang w:val="en-US"/>
              </w:rPr>
            </w:pPr>
            <w:r>
              <w:rPr>
                <w:rFonts w:cs="Arial"/>
                <w:b/>
                <w:bCs/>
                <w:color w:val="000000"/>
                <w:sz w:val="22"/>
                <w:szCs w:val="22"/>
              </w:rPr>
              <w:t>Adjusted Spend</w:t>
            </w:r>
          </w:p>
        </w:tc>
      </w:tr>
      <w:tr w:rsidR="003F09EC" w:rsidRPr="008F55EC" w14:paraId="5F7F41F6" w14:textId="77777777" w:rsidTr="00AA3C19">
        <w:tc>
          <w:tcPr>
            <w:tcW w:w="2972" w:type="dxa"/>
            <w:vAlign w:val="center"/>
          </w:tcPr>
          <w:p w14:paraId="177EB8E1" w14:textId="5B1C322F" w:rsidR="003F09EC" w:rsidRPr="008F55EC" w:rsidRDefault="003F09EC" w:rsidP="003F09EC">
            <w:pPr>
              <w:rPr>
                <w:rFonts w:cs="Arial"/>
                <w:sz w:val="22"/>
                <w:szCs w:val="22"/>
                <w:lang w:val="en-US"/>
              </w:rPr>
            </w:pPr>
            <w:r>
              <w:rPr>
                <w:rFonts w:cs="Arial"/>
                <w:sz w:val="22"/>
                <w:szCs w:val="22"/>
                <w:lang w:val="en-US"/>
              </w:rPr>
              <w:t>Boroondara</w:t>
            </w:r>
          </w:p>
        </w:tc>
        <w:tc>
          <w:tcPr>
            <w:tcW w:w="1985" w:type="dxa"/>
            <w:vAlign w:val="center"/>
          </w:tcPr>
          <w:p w14:paraId="73874B9A" w14:textId="58F74EE0" w:rsidR="003F09EC" w:rsidRPr="008F55EC" w:rsidRDefault="003F09EC" w:rsidP="003F09EC">
            <w:pPr>
              <w:jc w:val="right"/>
              <w:rPr>
                <w:rFonts w:cs="Arial"/>
                <w:sz w:val="22"/>
                <w:szCs w:val="22"/>
                <w:lang w:val="en-US"/>
              </w:rPr>
            </w:pPr>
            <w:r>
              <w:rPr>
                <w:rFonts w:cs="Arial"/>
                <w:sz w:val="22"/>
                <w:szCs w:val="22"/>
                <w:lang w:val="en-US"/>
              </w:rPr>
              <w:t>$7,508,000</w:t>
            </w:r>
          </w:p>
        </w:tc>
      </w:tr>
      <w:tr w:rsidR="003F09EC" w:rsidRPr="008F55EC" w14:paraId="008E08A8" w14:textId="77777777" w:rsidTr="00AA3C19">
        <w:tc>
          <w:tcPr>
            <w:tcW w:w="2972" w:type="dxa"/>
            <w:vAlign w:val="center"/>
          </w:tcPr>
          <w:p w14:paraId="30125A20" w14:textId="0D37F9B8" w:rsidR="003F09EC" w:rsidRPr="008F55EC" w:rsidRDefault="003F09EC" w:rsidP="003F09EC">
            <w:pPr>
              <w:rPr>
                <w:rFonts w:cs="Arial"/>
                <w:sz w:val="22"/>
                <w:szCs w:val="22"/>
                <w:lang w:val="en-US"/>
              </w:rPr>
            </w:pPr>
            <w:r>
              <w:rPr>
                <w:rFonts w:cs="Arial"/>
                <w:sz w:val="22"/>
                <w:szCs w:val="22"/>
                <w:lang w:val="en-US"/>
              </w:rPr>
              <w:t>Port Phillip</w:t>
            </w:r>
          </w:p>
        </w:tc>
        <w:tc>
          <w:tcPr>
            <w:tcW w:w="1985" w:type="dxa"/>
            <w:vAlign w:val="center"/>
          </w:tcPr>
          <w:p w14:paraId="4B185CB5" w14:textId="62ADBC24" w:rsidR="003F09EC" w:rsidRPr="008F55EC" w:rsidRDefault="003F09EC" w:rsidP="003F09EC">
            <w:pPr>
              <w:jc w:val="right"/>
              <w:rPr>
                <w:rFonts w:cs="Arial"/>
                <w:sz w:val="22"/>
                <w:szCs w:val="22"/>
                <w:lang w:val="en-US"/>
              </w:rPr>
            </w:pPr>
            <w:r>
              <w:rPr>
                <w:rFonts w:cs="Arial"/>
                <w:sz w:val="22"/>
                <w:szCs w:val="22"/>
                <w:lang w:val="en-US"/>
              </w:rPr>
              <w:t>$7,478,800</w:t>
            </w:r>
          </w:p>
        </w:tc>
      </w:tr>
      <w:tr w:rsidR="003F09EC" w:rsidRPr="008F55EC" w14:paraId="508B4388" w14:textId="77777777" w:rsidTr="00AA3C19">
        <w:tc>
          <w:tcPr>
            <w:tcW w:w="2972" w:type="dxa"/>
            <w:vAlign w:val="center"/>
          </w:tcPr>
          <w:p w14:paraId="63EED71E" w14:textId="6D05D48C" w:rsidR="003F09EC" w:rsidRPr="008F55EC" w:rsidRDefault="003F09EC" w:rsidP="003F09EC">
            <w:pPr>
              <w:rPr>
                <w:rFonts w:cs="Arial"/>
                <w:sz w:val="22"/>
                <w:szCs w:val="22"/>
                <w:lang w:val="en-US"/>
              </w:rPr>
            </w:pPr>
            <w:proofErr w:type="spellStart"/>
            <w:r>
              <w:rPr>
                <w:rFonts w:cs="Arial"/>
                <w:sz w:val="22"/>
                <w:szCs w:val="22"/>
                <w:lang w:val="en-US"/>
              </w:rPr>
              <w:t>Yarra</w:t>
            </w:r>
            <w:proofErr w:type="spellEnd"/>
          </w:p>
        </w:tc>
        <w:tc>
          <w:tcPr>
            <w:tcW w:w="1985" w:type="dxa"/>
            <w:vAlign w:val="center"/>
          </w:tcPr>
          <w:p w14:paraId="5CBF872D" w14:textId="12B2B1D2" w:rsidR="003F09EC" w:rsidRPr="008F55EC" w:rsidRDefault="003F09EC" w:rsidP="003F09EC">
            <w:pPr>
              <w:jc w:val="right"/>
              <w:rPr>
                <w:rFonts w:cs="Arial"/>
                <w:sz w:val="22"/>
                <w:szCs w:val="22"/>
                <w:lang w:val="en-US"/>
              </w:rPr>
            </w:pPr>
            <w:r>
              <w:rPr>
                <w:rFonts w:cs="Arial"/>
                <w:sz w:val="22"/>
                <w:szCs w:val="22"/>
                <w:lang w:val="en-US"/>
              </w:rPr>
              <w:t>$5,652,000</w:t>
            </w:r>
          </w:p>
        </w:tc>
      </w:tr>
      <w:tr w:rsidR="003F09EC" w:rsidRPr="008F55EC" w14:paraId="1AD9930A" w14:textId="77777777" w:rsidTr="00AA3C19">
        <w:tc>
          <w:tcPr>
            <w:tcW w:w="2972" w:type="dxa"/>
            <w:vAlign w:val="center"/>
          </w:tcPr>
          <w:p w14:paraId="09AAAB6D" w14:textId="111D8477" w:rsidR="003F09EC" w:rsidRPr="008F55EC" w:rsidRDefault="003F09EC" w:rsidP="003F09EC">
            <w:pPr>
              <w:rPr>
                <w:rFonts w:cs="Arial"/>
                <w:sz w:val="22"/>
                <w:szCs w:val="22"/>
                <w:lang w:val="en-US"/>
              </w:rPr>
            </w:pPr>
            <w:proofErr w:type="spellStart"/>
            <w:r>
              <w:rPr>
                <w:rFonts w:cs="Arial"/>
                <w:sz w:val="22"/>
                <w:szCs w:val="22"/>
                <w:lang w:val="en-US"/>
              </w:rPr>
              <w:t>Stonnington</w:t>
            </w:r>
            <w:proofErr w:type="spellEnd"/>
            <w:r>
              <w:rPr>
                <w:rFonts w:cs="Arial"/>
                <w:sz w:val="22"/>
                <w:szCs w:val="22"/>
                <w:lang w:val="en-US"/>
              </w:rPr>
              <w:t xml:space="preserve"> – West</w:t>
            </w:r>
          </w:p>
        </w:tc>
        <w:tc>
          <w:tcPr>
            <w:tcW w:w="1985" w:type="dxa"/>
            <w:vAlign w:val="center"/>
          </w:tcPr>
          <w:p w14:paraId="737F211A" w14:textId="248BC255" w:rsidR="003F09EC" w:rsidRPr="008F55EC" w:rsidRDefault="003F09EC" w:rsidP="003F09EC">
            <w:pPr>
              <w:jc w:val="right"/>
              <w:rPr>
                <w:rFonts w:cs="Arial"/>
                <w:sz w:val="22"/>
                <w:szCs w:val="22"/>
                <w:lang w:val="en-US"/>
              </w:rPr>
            </w:pPr>
            <w:r>
              <w:rPr>
                <w:rFonts w:cs="Arial"/>
                <w:sz w:val="22"/>
                <w:szCs w:val="22"/>
                <w:lang w:val="en-US"/>
              </w:rPr>
              <w:t>$4,624,000</w:t>
            </w:r>
          </w:p>
        </w:tc>
      </w:tr>
      <w:tr w:rsidR="003F09EC" w:rsidRPr="008F55EC" w14:paraId="0D0FBB63" w14:textId="77777777" w:rsidTr="00AA3C19">
        <w:tc>
          <w:tcPr>
            <w:tcW w:w="2972" w:type="dxa"/>
            <w:vAlign w:val="center"/>
          </w:tcPr>
          <w:p w14:paraId="27EA9910" w14:textId="33EA9F1C" w:rsidR="003F09EC" w:rsidRPr="008F55EC" w:rsidRDefault="003F09EC" w:rsidP="003F09EC">
            <w:pPr>
              <w:rPr>
                <w:rFonts w:cs="Arial"/>
                <w:sz w:val="22"/>
                <w:szCs w:val="22"/>
                <w:lang w:val="en-US"/>
              </w:rPr>
            </w:pPr>
            <w:r>
              <w:rPr>
                <w:rFonts w:cs="Arial"/>
                <w:sz w:val="22"/>
                <w:szCs w:val="22"/>
                <w:lang w:val="en-US"/>
              </w:rPr>
              <w:t>Brunswick – Coburg</w:t>
            </w:r>
          </w:p>
        </w:tc>
        <w:tc>
          <w:tcPr>
            <w:tcW w:w="1985" w:type="dxa"/>
            <w:vAlign w:val="center"/>
          </w:tcPr>
          <w:p w14:paraId="6DFEB7A7" w14:textId="53547C9A" w:rsidR="003F09EC" w:rsidRPr="008F55EC" w:rsidRDefault="003F09EC" w:rsidP="003F09EC">
            <w:pPr>
              <w:jc w:val="right"/>
              <w:rPr>
                <w:rFonts w:cs="Arial"/>
                <w:sz w:val="22"/>
                <w:szCs w:val="22"/>
                <w:lang w:val="en-US"/>
              </w:rPr>
            </w:pPr>
            <w:r>
              <w:rPr>
                <w:rFonts w:cs="Arial"/>
                <w:sz w:val="22"/>
                <w:szCs w:val="22"/>
                <w:lang w:val="en-US"/>
              </w:rPr>
              <w:t>$4,592,300</w:t>
            </w:r>
          </w:p>
        </w:tc>
      </w:tr>
    </w:tbl>
    <w:p w14:paraId="4F0B8CDB" w14:textId="6F20ED75" w:rsidR="009B2762" w:rsidRPr="009B2762" w:rsidRDefault="00C55B65" w:rsidP="009B2762">
      <w:pPr>
        <w:pStyle w:val="Heading2"/>
        <w:rPr>
          <w:rFonts w:hint="eastAsia"/>
        </w:rPr>
      </w:pPr>
      <w:bookmarkStart w:id="29" w:name="_Toc182490826"/>
      <w:r>
        <w:t>Melbourne</w:t>
      </w:r>
      <w:r w:rsidR="009B2762">
        <w:t xml:space="preserve"> CBD – North</w:t>
      </w:r>
      <w:bookmarkEnd w:id="29"/>
    </w:p>
    <w:p w14:paraId="3C684FE7" w14:textId="3196D75D" w:rsidR="00F64925" w:rsidRDefault="00F64925" w:rsidP="00F64925">
      <w:pPr>
        <w:pStyle w:val="Heading3"/>
        <w:rPr>
          <w:rFonts w:hint="eastAsia"/>
        </w:rPr>
      </w:pPr>
      <w:bookmarkStart w:id="30" w:name="_Toc182490827"/>
      <w:r>
        <w:t>Table 1</w:t>
      </w:r>
      <w:r w:rsidR="009B2762">
        <w:t>5</w:t>
      </w:r>
      <w:r>
        <w:t xml:space="preserve"> – Spending </w:t>
      </w:r>
      <w:r w:rsidR="000F3A62">
        <w:t xml:space="preserve">by </w:t>
      </w:r>
      <w:r>
        <w:t>categor</w:t>
      </w:r>
      <w:r w:rsidR="000F3A62">
        <w:t>y</w:t>
      </w:r>
      <w:r>
        <w:t>, Q</w:t>
      </w:r>
      <w:r w:rsidR="009B2762">
        <w:t>3</w:t>
      </w:r>
      <w:r>
        <w:t xml:space="preserve"> 2024</w:t>
      </w:r>
      <w:bookmarkEnd w:id="30"/>
    </w:p>
    <w:tbl>
      <w:tblPr>
        <w:tblStyle w:val="TableGrid"/>
        <w:tblW w:w="0" w:type="auto"/>
        <w:tblLook w:val="04A0" w:firstRow="1" w:lastRow="0" w:firstColumn="1" w:lastColumn="0" w:noHBand="0" w:noVBand="1"/>
      </w:tblPr>
      <w:tblGrid>
        <w:gridCol w:w="1980"/>
        <w:gridCol w:w="2977"/>
      </w:tblGrid>
      <w:tr w:rsidR="00F1256F" w:rsidRPr="008F55EC" w14:paraId="18783BF3" w14:textId="77777777" w:rsidTr="00AA3C19">
        <w:tc>
          <w:tcPr>
            <w:tcW w:w="1980" w:type="dxa"/>
            <w:vAlign w:val="center"/>
          </w:tcPr>
          <w:p w14:paraId="6BA4479B" w14:textId="77777777" w:rsidR="00F1256F" w:rsidRPr="00F64925" w:rsidRDefault="00F1256F" w:rsidP="00AA3C19">
            <w:pPr>
              <w:rPr>
                <w:rFonts w:cs="Arial"/>
                <w:b/>
                <w:bCs/>
                <w:sz w:val="22"/>
                <w:szCs w:val="22"/>
                <w:lang w:val="en-US"/>
              </w:rPr>
            </w:pPr>
            <w:r w:rsidRPr="00F64925">
              <w:rPr>
                <w:rFonts w:cs="Arial"/>
                <w:b/>
                <w:bCs/>
                <w:sz w:val="22"/>
                <w:szCs w:val="22"/>
                <w:lang w:val="en-US"/>
              </w:rPr>
              <w:t>Category</w:t>
            </w:r>
          </w:p>
        </w:tc>
        <w:tc>
          <w:tcPr>
            <w:tcW w:w="2977" w:type="dxa"/>
            <w:vAlign w:val="center"/>
          </w:tcPr>
          <w:p w14:paraId="185BE54B" w14:textId="77777777" w:rsidR="00F1256F" w:rsidRPr="008F55EC" w:rsidRDefault="00F1256F" w:rsidP="00AA3C19">
            <w:pPr>
              <w:rPr>
                <w:rFonts w:cs="Arial"/>
                <w:sz w:val="22"/>
                <w:szCs w:val="22"/>
                <w:lang w:val="en-US"/>
              </w:rPr>
            </w:pPr>
            <w:r>
              <w:rPr>
                <w:rFonts w:cs="Arial"/>
                <w:b/>
                <w:bCs/>
                <w:color w:val="000000"/>
                <w:sz w:val="22"/>
                <w:szCs w:val="22"/>
              </w:rPr>
              <w:t>Adjusted Spend</w:t>
            </w:r>
          </w:p>
        </w:tc>
      </w:tr>
      <w:tr w:rsidR="00F1256F" w:rsidRPr="008F55EC" w14:paraId="24AF132F" w14:textId="77777777" w:rsidTr="00AA3C19">
        <w:tc>
          <w:tcPr>
            <w:tcW w:w="1980" w:type="dxa"/>
            <w:vAlign w:val="center"/>
          </w:tcPr>
          <w:p w14:paraId="57A09A9D" w14:textId="357F5E46" w:rsidR="00F1256F" w:rsidRPr="008F55EC" w:rsidRDefault="00B95A9B" w:rsidP="00AA3C19">
            <w:pPr>
              <w:rPr>
                <w:rFonts w:cs="Arial"/>
                <w:sz w:val="22"/>
                <w:szCs w:val="22"/>
                <w:lang w:val="en-US"/>
              </w:rPr>
            </w:pPr>
            <w:r>
              <w:rPr>
                <w:rFonts w:cs="Arial"/>
                <w:sz w:val="22"/>
                <w:szCs w:val="22"/>
                <w:lang w:val="en-US"/>
              </w:rPr>
              <w:t>Retail</w:t>
            </w:r>
          </w:p>
        </w:tc>
        <w:tc>
          <w:tcPr>
            <w:tcW w:w="2977" w:type="dxa"/>
            <w:vAlign w:val="center"/>
          </w:tcPr>
          <w:p w14:paraId="475861DC" w14:textId="1AB51F8B" w:rsidR="00F1256F" w:rsidRPr="008F55EC" w:rsidRDefault="00B95A9B" w:rsidP="00B95A9B">
            <w:pPr>
              <w:jc w:val="right"/>
              <w:rPr>
                <w:rFonts w:cs="Arial"/>
                <w:sz w:val="22"/>
                <w:szCs w:val="22"/>
                <w:lang w:val="en-US"/>
              </w:rPr>
            </w:pPr>
            <w:r>
              <w:rPr>
                <w:rFonts w:cs="Arial"/>
                <w:sz w:val="22"/>
                <w:szCs w:val="22"/>
                <w:lang w:val="en-US"/>
              </w:rPr>
              <w:t>$1</w:t>
            </w:r>
            <w:r w:rsidR="002E7B8E">
              <w:rPr>
                <w:rFonts w:cs="Arial"/>
                <w:sz w:val="22"/>
                <w:szCs w:val="22"/>
                <w:lang w:val="en-US"/>
              </w:rPr>
              <w:t>07</w:t>
            </w:r>
            <w:r>
              <w:rPr>
                <w:rFonts w:cs="Arial"/>
                <w:sz w:val="22"/>
                <w:szCs w:val="22"/>
                <w:lang w:val="en-US"/>
              </w:rPr>
              <w:t>,</w:t>
            </w:r>
            <w:r w:rsidR="002E7B8E">
              <w:rPr>
                <w:rFonts w:cs="Arial"/>
                <w:sz w:val="22"/>
                <w:szCs w:val="22"/>
                <w:lang w:val="en-US"/>
              </w:rPr>
              <w:t>561</w:t>
            </w:r>
            <w:r>
              <w:rPr>
                <w:rFonts w:cs="Arial"/>
                <w:sz w:val="22"/>
                <w:szCs w:val="22"/>
                <w:lang w:val="en-US"/>
              </w:rPr>
              <w:t>,</w:t>
            </w:r>
            <w:r w:rsidR="002E7B8E">
              <w:rPr>
                <w:rFonts w:cs="Arial"/>
                <w:sz w:val="22"/>
                <w:szCs w:val="22"/>
                <w:lang w:val="en-US"/>
              </w:rPr>
              <w:t>5</w:t>
            </w:r>
            <w:r>
              <w:rPr>
                <w:rFonts w:cs="Arial"/>
                <w:sz w:val="22"/>
                <w:szCs w:val="22"/>
                <w:lang w:val="en-US"/>
              </w:rPr>
              <w:t>00</w:t>
            </w:r>
          </w:p>
        </w:tc>
      </w:tr>
      <w:tr w:rsidR="00F1256F" w:rsidRPr="008F55EC" w14:paraId="6270595F" w14:textId="77777777" w:rsidTr="00AA3C19">
        <w:tc>
          <w:tcPr>
            <w:tcW w:w="1980" w:type="dxa"/>
            <w:vAlign w:val="center"/>
          </w:tcPr>
          <w:p w14:paraId="6B7FB8E1" w14:textId="5B526BF1" w:rsidR="00F1256F" w:rsidRPr="008F55EC" w:rsidRDefault="00B95A9B" w:rsidP="00AA3C19">
            <w:pPr>
              <w:rPr>
                <w:rFonts w:cs="Arial"/>
                <w:sz w:val="22"/>
                <w:szCs w:val="22"/>
                <w:lang w:val="en-US"/>
              </w:rPr>
            </w:pPr>
            <w:r>
              <w:rPr>
                <w:rFonts w:cs="Arial"/>
                <w:sz w:val="22"/>
                <w:szCs w:val="22"/>
                <w:lang w:val="en-US"/>
              </w:rPr>
              <w:t>Entertainment</w:t>
            </w:r>
          </w:p>
        </w:tc>
        <w:tc>
          <w:tcPr>
            <w:tcW w:w="2977" w:type="dxa"/>
            <w:vAlign w:val="center"/>
          </w:tcPr>
          <w:p w14:paraId="1DE48288" w14:textId="546AE5D2" w:rsidR="00F1256F" w:rsidRPr="008F55EC" w:rsidRDefault="00B95A9B" w:rsidP="00B95A9B">
            <w:pPr>
              <w:jc w:val="right"/>
              <w:rPr>
                <w:rFonts w:cs="Arial"/>
                <w:sz w:val="22"/>
                <w:szCs w:val="22"/>
                <w:lang w:val="en-US"/>
              </w:rPr>
            </w:pPr>
            <w:r>
              <w:rPr>
                <w:rFonts w:cs="Arial"/>
                <w:sz w:val="22"/>
                <w:szCs w:val="22"/>
                <w:lang w:val="en-US"/>
              </w:rPr>
              <w:t>$</w:t>
            </w:r>
            <w:r w:rsidR="002E7B8E">
              <w:rPr>
                <w:rFonts w:cs="Arial"/>
                <w:sz w:val="22"/>
                <w:szCs w:val="22"/>
                <w:lang w:val="en-US"/>
              </w:rPr>
              <w:t>51</w:t>
            </w:r>
            <w:r>
              <w:rPr>
                <w:rFonts w:cs="Arial"/>
                <w:sz w:val="22"/>
                <w:szCs w:val="22"/>
                <w:lang w:val="en-US"/>
              </w:rPr>
              <w:t>,</w:t>
            </w:r>
            <w:r w:rsidR="002E7B8E">
              <w:rPr>
                <w:rFonts w:cs="Arial"/>
                <w:sz w:val="22"/>
                <w:szCs w:val="22"/>
                <w:lang w:val="en-US"/>
              </w:rPr>
              <w:t>478</w:t>
            </w:r>
            <w:r>
              <w:rPr>
                <w:rFonts w:cs="Arial"/>
                <w:sz w:val="22"/>
                <w:szCs w:val="22"/>
                <w:lang w:val="en-US"/>
              </w:rPr>
              <w:t>,</w:t>
            </w:r>
            <w:r w:rsidR="002E7B8E">
              <w:rPr>
                <w:rFonts w:cs="Arial"/>
                <w:sz w:val="22"/>
                <w:szCs w:val="22"/>
                <w:lang w:val="en-US"/>
              </w:rPr>
              <w:t>3</w:t>
            </w:r>
            <w:r>
              <w:rPr>
                <w:rFonts w:cs="Arial"/>
                <w:sz w:val="22"/>
                <w:szCs w:val="22"/>
                <w:lang w:val="en-US"/>
              </w:rPr>
              <w:t>00</w:t>
            </w:r>
          </w:p>
        </w:tc>
      </w:tr>
      <w:tr w:rsidR="00F1256F" w:rsidRPr="008F55EC" w14:paraId="6A013266" w14:textId="77777777" w:rsidTr="00AA3C19">
        <w:tc>
          <w:tcPr>
            <w:tcW w:w="1980" w:type="dxa"/>
            <w:vAlign w:val="center"/>
          </w:tcPr>
          <w:p w14:paraId="0B2173AC" w14:textId="39E51B0D" w:rsidR="00F1256F" w:rsidRDefault="002E7B8E" w:rsidP="00AA3C19">
            <w:pPr>
              <w:rPr>
                <w:rFonts w:cs="Arial"/>
                <w:color w:val="000000"/>
                <w:sz w:val="22"/>
                <w:szCs w:val="22"/>
              </w:rPr>
            </w:pPr>
            <w:r>
              <w:rPr>
                <w:rFonts w:cs="Arial"/>
                <w:color w:val="000000"/>
                <w:sz w:val="22"/>
                <w:szCs w:val="22"/>
              </w:rPr>
              <w:t>Tourism</w:t>
            </w:r>
          </w:p>
        </w:tc>
        <w:tc>
          <w:tcPr>
            <w:tcW w:w="2977" w:type="dxa"/>
            <w:vAlign w:val="center"/>
          </w:tcPr>
          <w:p w14:paraId="1D5F3F04" w14:textId="79C1717A" w:rsidR="00F1256F" w:rsidRPr="008F55EC" w:rsidRDefault="00B95A9B" w:rsidP="00B95A9B">
            <w:pPr>
              <w:jc w:val="right"/>
              <w:rPr>
                <w:rFonts w:cs="Arial"/>
                <w:sz w:val="22"/>
                <w:szCs w:val="22"/>
                <w:lang w:val="en-US"/>
              </w:rPr>
            </w:pPr>
            <w:r>
              <w:rPr>
                <w:rFonts w:cs="Arial"/>
                <w:sz w:val="22"/>
                <w:szCs w:val="22"/>
                <w:lang w:val="en-US"/>
              </w:rPr>
              <w:t>$</w:t>
            </w:r>
            <w:r w:rsidR="002E7B8E">
              <w:rPr>
                <w:rFonts w:cs="Arial"/>
                <w:sz w:val="22"/>
                <w:szCs w:val="22"/>
                <w:lang w:val="en-US"/>
              </w:rPr>
              <w:t>9</w:t>
            </w:r>
            <w:r>
              <w:rPr>
                <w:rFonts w:cs="Arial"/>
                <w:sz w:val="22"/>
                <w:szCs w:val="22"/>
                <w:lang w:val="en-US"/>
              </w:rPr>
              <w:t>,</w:t>
            </w:r>
            <w:r w:rsidR="002E7B8E">
              <w:rPr>
                <w:rFonts w:cs="Arial"/>
                <w:sz w:val="22"/>
                <w:szCs w:val="22"/>
                <w:lang w:val="en-US"/>
              </w:rPr>
              <w:t>327</w:t>
            </w:r>
            <w:r>
              <w:rPr>
                <w:rFonts w:cs="Arial"/>
                <w:sz w:val="22"/>
                <w:szCs w:val="22"/>
                <w:lang w:val="en-US"/>
              </w:rPr>
              <w:t>,</w:t>
            </w:r>
            <w:r w:rsidR="002E7B8E">
              <w:rPr>
                <w:rFonts w:cs="Arial"/>
                <w:sz w:val="22"/>
                <w:szCs w:val="22"/>
                <w:lang w:val="en-US"/>
              </w:rPr>
              <w:t>7</w:t>
            </w:r>
            <w:r>
              <w:rPr>
                <w:rFonts w:cs="Arial"/>
                <w:sz w:val="22"/>
                <w:szCs w:val="22"/>
                <w:lang w:val="en-US"/>
              </w:rPr>
              <w:t>00</w:t>
            </w:r>
          </w:p>
        </w:tc>
      </w:tr>
      <w:tr w:rsidR="00F1256F" w:rsidRPr="008F55EC" w14:paraId="6BA571F0" w14:textId="77777777" w:rsidTr="00AA3C19">
        <w:tc>
          <w:tcPr>
            <w:tcW w:w="1980" w:type="dxa"/>
            <w:vAlign w:val="center"/>
          </w:tcPr>
          <w:p w14:paraId="4AF76ADD" w14:textId="141F598F" w:rsidR="00F1256F" w:rsidRDefault="002E7B8E" w:rsidP="00AA3C19">
            <w:pPr>
              <w:rPr>
                <w:rFonts w:cs="Arial"/>
                <w:color w:val="000000"/>
                <w:sz w:val="22"/>
                <w:szCs w:val="22"/>
              </w:rPr>
            </w:pPr>
            <w:r>
              <w:rPr>
                <w:rFonts w:cs="Arial"/>
                <w:color w:val="000000"/>
                <w:sz w:val="22"/>
                <w:szCs w:val="22"/>
              </w:rPr>
              <w:t>Commercial</w:t>
            </w:r>
          </w:p>
        </w:tc>
        <w:tc>
          <w:tcPr>
            <w:tcW w:w="2977" w:type="dxa"/>
            <w:vAlign w:val="center"/>
          </w:tcPr>
          <w:p w14:paraId="10CB8B23" w14:textId="0C7470AF" w:rsidR="00F1256F" w:rsidRPr="008F55EC" w:rsidRDefault="00B95A9B" w:rsidP="00B95A9B">
            <w:pPr>
              <w:jc w:val="right"/>
              <w:rPr>
                <w:rFonts w:cs="Arial"/>
                <w:sz w:val="22"/>
                <w:szCs w:val="22"/>
                <w:lang w:val="en-US"/>
              </w:rPr>
            </w:pPr>
            <w:r>
              <w:rPr>
                <w:rFonts w:cs="Arial"/>
                <w:sz w:val="22"/>
                <w:szCs w:val="22"/>
                <w:lang w:val="en-US"/>
              </w:rPr>
              <w:t>$</w:t>
            </w:r>
            <w:r w:rsidR="002E7B8E">
              <w:rPr>
                <w:rFonts w:cs="Arial"/>
                <w:sz w:val="22"/>
                <w:szCs w:val="22"/>
                <w:lang w:val="en-US"/>
              </w:rPr>
              <w:t>7</w:t>
            </w:r>
            <w:r>
              <w:rPr>
                <w:rFonts w:cs="Arial"/>
                <w:sz w:val="22"/>
                <w:szCs w:val="22"/>
                <w:lang w:val="en-US"/>
              </w:rPr>
              <w:t>,</w:t>
            </w:r>
            <w:r w:rsidR="002E7B8E">
              <w:rPr>
                <w:rFonts w:cs="Arial"/>
                <w:sz w:val="22"/>
                <w:szCs w:val="22"/>
                <w:lang w:val="en-US"/>
              </w:rPr>
              <w:t>620,7</w:t>
            </w:r>
            <w:r>
              <w:rPr>
                <w:rFonts w:cs="Arial"/>
                <w:sz w:val="22"/>
                <w:szCs w:val="22"/>
                <w:lang w:val="en-US"/>
              </w:rPr>
              <w:t>00</w:t>
            </w:r>
          </w:p>
        </w:tc>
      </w:tr>
    </w:tbl>
    <w:p w14:paraId="08CE2AE9" w14:textId="253408A3" w:rsidR="00F64925" w:rsidRDefault="00F64925" w:rsidP="00F64925">
      <w:pPr>
        <w:pStyle w:val="Heading3"/>
        <w:rPr>
          <w:rFonts w:hint="eastAsia"/>
        </w:rPr>
      </w:pPr>
      <w:bookmarkStart w:id="31" w:name="_Toc182490828"/>
      <w:r>
        <w:t>Table 1</w:t>
      </w:r>
      <w:r w:rsidR="009B2762">
        <w:t>6</w:t>
      </w:r>
      <w:r>
        <w:t xml:space="preserve"> – Work hours and non-work hours spend</w:t>
      </w:r>
      <w:r w:rsidR="00CA203B">
        <w:t>ing</w:t>
      </w:r>
      <w:r w:rsidR="00B776A9">
        <w:t xml:space="preserve"> </w:t>
      </w:r>
      <w:r w:rsidR="00B776A9" w:rsidRPr="002031FC">
        <w:t xml:space="preserve">in </w:t>
      </w:r>
      <w:r w:rsidR="009B2762" w:rsidRPr="000F3A62">
        <w:t>Melbourne CBD</w:t>
      </w:r>
      <w:r w:rsidR="009B2762">
        <w:t xml:space="preserve"> – North</w:t>
      </w:r>
      <w:r>
        <w:t>, Q</w:t>
      </w:r>
      <w:r w:rsidR="009B2762">
        <w:t>3</w:t>
      </w:r>
      <w:r>
        <w:t xml:space="preserve"> 2024</w:t>
      </w:r>
      <w:bookmarkEnd w:id="31"/>
    </w:p>
    <w:tbl>
      <w:tblPr>
        <w:tblStyle w:val="TableGrid"/>
        <w:tblW w:w="0" w:type="auto"/>
        <w:tblLook w:val="04A0" w:firstRow="1" w:lastRow="0" w:firstColumn="1" w:lastColumn="0" w:noHBand="0" w:noVBand="1"/>
      </w:tblPr>
      <w:tblGrid>
        <w:gridCol w:w="2689"/>
        <w:gridCol w:w="2268"/>
        <w:gridCol w:w="3118"/>
      </w:tblGrid>
      <w:tr w:rsidR="00F64925" w:rsidRPr="008F55EC" w14:paraId="46B4EA5B" w14:textId="77777777" w:rsidTr="00AA3C19">
        <w:tc>
          <w:tcPr>
            <w:tcW w:w="2689" w:type="dxa"/>
            <w:vAlign w:val="center"/>
          </w:tcPr>
          <w:p w14:paraId="3357BF4F" w14:textId="77777777" w:rsidR="00F64925" w:rsidRPr="00F64925" w:rsidRDefault="00F64925" w:rsidP="00AA3C19">
            <w:pPr>
              <w:rPr>
                <w:rFonts w:cs="Arial"/>
                <w:b/>
                <w:bCs/>
                <w:sz w:val="22"/>
                <w:szCs w:val="22"/>
                <w:lang w:val="en-US"/>
              </w:rPr>
            </w:pPr>
            <w:r>
              <w:rPr>
                <w:rFonts w:cs="Arial"/>
                <w:b/>
                <w:bCs/>
                <w:sz w:val="22"/>
                <w:szCs w:val="22"/>
                <w:lang w:val="en-US"/>
              </w:rPr>
              <w:t>Time Period</w:t>
            </w:r>
          </w:p>
        </w:tc>
        <w:tc>
          <w:tcPr>
            <w:tcW w:w="2268" w:type="dxa"/>
            <w:vAlign w:val="center"/>
          </w:tcPr>
          <w:p w14:paraId="485301A1" w14:textId="77777777" w:rsidR="00F64925" w:rsidRPr="008F55EC" w:rsidRDefault="00F64925" w:rsidP="00AA3C19">
            <w:pPr>
              <w:rPr>
                <w:rFonts w:cs="Arial"/>
                <w:sz w:val="22"/>
                <w:szCs w:val="22"/>
                <w:lang w:val="en-US"/>
              </w:rPr>
            </w:pPr>
            <w:r>
              <w:rPr>
                <w:rFonts w:cs="Arial"/>
                <w:b/>
                <w:bCs/>
                <w:color w:val="000000"/>
                <w:sz w:val="22"/>
                <w:szCs w:val="22"/>
              </w:rPr>
              <w:t>Adjusted Spend</w:t>
            </w:r>
          </w:p>
        </w:tc>
        <w:tc>
          <w:tcPr>
            <w:tcW w:w="3118" w:type="dxa"/>
          </w:tcPr>
          <w:p w14:paraId="337265B7" w14:textId="77777777" w:rsidR="00F64925" w:rsidRDefault="00F64925" w:rsidP="00AA3C19">
            <w:pPr>
              <w:rPr>
                <w:rFonts w:cs="Arial"/>
                <w:b/>
                <w:bCs/>
                <w:color w:val="000000"/>
                <w:sz w:val="22"/>
                <w:szCs w:val="22"/>
              </w:rPr>
            </w:pPr>
            <w:r>
              <w:rPr>
                <w:rFonts w:cs="Arial"/>
                <w:b/>
                <w:bCs/>
                <w:color w:val="000000"/>
                <w:sz w:val="22"/>
                <w:szCs w:val="22"/>
              </w:rPr>
              <w:t>Percent of Average Spend</w:t>
            </w:r>
          </w:p>
        </w:tc>
      </w:tr>
      <w:tr w:rsidR="00F64925" w:rsidRPr="008F55EC" w14:paraId="7222ABCE" w14:textId="77777777" w:rsidTr="00AA3C19">
        <w:tc>
          <w:tcPr>
            <w:tcW w:w="2689" w:type="dxa"/>
            <w:vAlign w:val="center"/>
          </w:tcPr>
          <w:p w14:paraId="258F8CD6" w14:textId="77777777" w:rsidR="00F64925" w:rsidRPr="008F55EC" w:rsidRDefault="00F64925" w:rsidP="00AA3C19">
            <w:pPr>
              <w:rPr>
                <w:rFonts w:cs="Arial"/>
                <w:sz w:val="22"/>
                <w:szCs w:val="22"/>
                <w:lang w:val="en-US"/>
              </w:rPr>
            </w:pPr>
            <w:r>
              <w:rPr>
                <w:rFonts w:cs="Arial"/>
                <w:color w:val="000000"/>
                <w:sz w:val="22"/>
                <w:szCs w:val="22"/>
              </w:rPr>
              <w:t>Work hours</w:t>
            </w:r>
          </w:p>
        </w:tc>
        <w:tc>
          <w:tcPr>
            <w:tcW w:w="2268" w:type="dxa"/>
            <w:vAlign w:val="center"/>
          </w:tcPr>
          <w:p w14:paraId="0F1AB72D" w14:textId="0EB97BB2" w:rsidR="00F64925" w:rsidRPr="008F55EC" w:rsidRDefault="00B95A9B" w:rsidP="00B95A9B">
            <w:pPr>
              <w:jc w:val="right"/>
              <w:rPr>
                <w:rFonts w:cs="Arial"/>
                <w:sz w:val="22"/>
                <w:szCs w:val="22"/>
                <w:lang w:val="en-US"/>
              </w:rPr>
            </w:pPr>
            <w:r>
              <w:rPr>
                <w:rFonts w:cs="Arial"/>
                <w:sz w:val="22"/>
                <w:szCs w:val="22"/>
                <w:lang w:val="en-US"/>
              </w:rPr>
              <w:t>$</w:t>
            </w:r>
            <w:r w:rsidR="00FA7EFD">
              <w:rPr>
                <w:rFonts w:cs="Arial"/>
                <w:sz w:val="22"/>
                <w:szCs w:val="22"/>
                <w:lang w:val="en-US"/>
              </w:rPr>
              <w:t>98</w:t>
            </w:r>
            <w:r>
              <w:rPr>
                <w:rFonts w:cs="Arial"/>
                <w:sz w:val="22"/>
                <w:szCs w:val="22"/>
                <w:lang w:val="en-US"/>
              </w:rPr>
              <w:t>,000,000</w:t>
            </w:r>
          </w:p>
        </w:tc>
        <w:tc>
          <w:tcPr>
            <w:tcW w:w="3118" w:type="dxa"/>
          </w:tcPr>
          <w:p w14:paraId="0EF1ED20" w14:textId="03E3E2B0" w:rsidR="00F64925" w:rsidRPr="008F55EC" w:rsidRDefault="00FA7EFD" w:rsidP="00B95A9B">
            <w:pPr>
              <w:jc w:val="right"/>
              <w:rPr>
                <w:rFonts w:cs="Arial"/>
                <w:sz w:val="22"/>
                <w:szCs w:val="22"/>
                <w:lang w:val="en-US"/>
              </w:rPr>
            </w:pPr>
            <w:r>
              <w:rPr>
                <w:rFonts w:cs="Arial"/>
                <w:sz w:val="22"/>
                <w:szCs w:val="22"/>
                <w:lang w:val="en-US"/>
              </w:rPr>
              <w:t>56</w:t>
            </w:r>
            <w:r w:rsidR="00B95A9B">
              <w:rPr>
                <w:rFonts w:cs="Arial"/>
                <w:sz w:val="22"/>
                <w:szCs w:val="22"/>
                <w:lang w:val="en-US"/>
              </w:rPr>
              <w:t>%</w:t>
            </w:r>
          </w:p>
        </w:tc>
      </w:tr>
      <w:tr w:rsidR="00F64925" w:rsidRPr="008F55EC" w14:paraId="77889DDC" w14:textId="77777777" w:rsidTr="00AA3C19">
        <w:tc>
          <w:tcPr>
            <w:tcW w:w="2689" w:type="dxa"/>
            <w:vAlign w:val="center"/>
          </w:tcPr>
          <w:p w14:paraId="3725ED1B" w14:textId="77777777" w:rsidR="00F64925" w:rsidRPr="008F55EC" w:rsidRDefault="00F64925" w:rsidP="00AA3C19">
            <w:pPr>
              <w:rPr>
                <w:rFonts w:cs="Arial"/>
                <w:sz w:val="22"/>
                <w:szCs w:val="22"/>
                <w:lang w:val="en-US"/>
              </w:rPr>
            </w:pPr>
            <w:r>
              <w:rPr>
                <w:rFonts w:cs="Arial"/>
                <w:color w:val="000000"/>
                <w:sz w:val="22"/>
                <w:szCs w:val="22"/>
              </w:rPr>
              <w:t>Non-work hours</w:t>
            </w:r>
          </w:p>
        </w:tc>
        <w:tc>
          <w:tcPr>
            <w:tcW w:w="2268" w:type="dxa"/>
            <w:vAlign w:val="center"/>
          </w:tcPr>
          <w:p w14:paraId="4505F49B" w14:textId="7CCB192D" w:rsidR="00F64925" w:rsidRPr="008F55EC" w:rsidRDefault="00B95A9B" w:rsidP="00B95A9B">
            <w:pPr>
              <w:jc w:val="right"/>
              <w:rPr>
                <w:rFonts w:cs="Arial"/>
                <w:sz w:val="22"/>
                <w:szCs w:val="22"/>
                <w:lang w:val="en-US"/>
              </w:rPr>
            </w:pPr>
            <w:r>
              <w:rPr>
                <w:rFonts w:cs="Arial"/>
                <w:sz w:val="22"/>
                <w:szCs w:val="22"/>
                <w:lang w:val="en-US"/>
              </w:rPr>
              <w:t>$7</w:t>
            </w:r>
            <w:r w:rsidR="00FA7EFD">
              <w:rPr>
                <w:rFonts w:cs="Arial"/>
                <w:sz w:val="22"/>
                <w:szCs w:val="22"/>
                <w:lang w:val="en-US"/>
              </w:rPr>
              <w:t>8</w:t>
            </w:r>
            <w:r>
              <w:rPr>
                <w:rFonts w:cs="Arial"/>
                <w:sz w:val="22"/>
                <w:szCs w:val="22"/>
                <w:lang w:val="en-US"/>
              </w:rPr>
              <w:t>,000,000</w:t>
            </w:r>
          </w:p>
        </w:tc>
        <w:tc>
          <w:tcPr>
            <w:tcW w:w="3118" w:type="dxa"/>
          </w:tcPr>
          <w:p w14:paraId="1085C94F" w14:textId="2BEBA1B7" w:rsidR="00F64925" w:rsidRPr="008F55EC" w:rsidRDefault="00FA7EFD" w:rsidP="00B95A9B">
            <w:pPr>
              <w:jc w:val="right"/>
              <w:rPr>
                <w:rFonts w:cs="Arial"/>
                <w:sz w:val="22"/>
                <w:szCs w:val="22"/>
                <w:lang w:val="en-US"/>
              </w:rPr>
            </w:pPr>
            <w:r>
              <w:rPr>
                <w:rFonts w:cs="Arial"/>
                <w:sz w:val="22"/>
                <w:szCs w:val="22"/>
                <w:lang w:val="en-US"/>
              </w:rPr>
              <w:t>44</w:t>
            </w:r>
            <w:r w:rsidR="00B95A9B">
              <w:rPr>
                <w:rFonts w:cs="Arial"/>
                <w:sz w:val="22"/>
                <w:szCs w:val="22"/>
                <w:lang w:val="en-US"/>
              </w:rPr>
              <w:t>%</w:t>
            </w:r>
          </w:p>
        </w:tc>
      </w:tr>
    </w:tbl>
    <w:p w14:paraId="62230873" w14:textId="2B3BE35A" w:rsidR="004B0A87" w:rsidRDefault="004B0A87" w:rsidP="004B0A87">
      <w:pPr>
        <w:pStyle w:val="ListParagraph"/>
        <w:numPr>
          <w:ilvl w:val="0"/>
          <w:numId w:val="21"/>
        </w:numPr>
      </w:pPr>
      <w:r w:rsidRPr="005B476C">
        <w:t>Work hours are 8am to 6pm, Monday to Friday.</w:t>
      </w:r>
    </w:p>
    <w:p w14:paraId="34C12089" w14:textId="7D36A404" w:rsidR="009B4DE8" w:rsidRDefault="009B4DE8" w:rsidP="009B4DE8">
      <w:pPr>
        <w:pStyle w:val="Heading3"/>
        <w:rPr>
          <w:rFonts w:hint="eastAsia"/>
        </w:rPr>
      </w:pPr>
      <w:bookmarkStart w:id="32" w:name="_Toc182490829"/>
      <w:r>
        <w:lastRenderedPageBreak/>
        <w:t>Table 1</w:t>
      </w:r>
      <w:r w:rsidR="009B2762">
        <w:t>7</w:t>
      </w:r>
      <w:r>
        <w:t xml:space="preserve"> – </w:t>
      </w:r>
      <w:r w:rsidRPr="002031FC">
        <w:t>Weekday and weekend spend</w:t>
      </w:r>
      <w:r w:rsidR="00CA203B">
        <w:t>ing</w:t>
      </w:r>
      <w:r w:rsidRPr="002031FC">
        <w:t xml:space="preserve"> in </w:t>
      </w:r>
      <w:r w:rsidR="009B2762" w:rsidRPr="000F3A62">
        <w:t>Melbourne CBD</w:t>
      </w:r>
      <w:r w:rsidR="009B2762">
        <w:t xml:space="preserve"> – North</w:t>
      </w:r>
      <w:r w:rsidRPr="002031FC">
        <w:t>, Q</w:t>
      </w:r>
      <w:r w:rsidR="009B2762">
        <w:t>3</w:t>
      </w:r>
      <w:r w:rsidRPr="002031FC">
        <w:t xml:space="preserve"> 2024</w:t>
      </w:r>
      <w:bookmarkEnd w:id="32"/>
      <w:r>
        <w:t xml:space="preserve"> </w:t>
      </w:r>
    </w:p>
    <w:tbl>
      <w:tblPr>
        <w:tblStyle w:val="TableGrid"/>
        <w:tblW w:w="0" w:type="auto"/>
        <w:tblLook w:val="04A0" w:firstRow="1" w:lastRow="0" w:firstColumn="1" w:lastColumn="0" w:noHBand="0" w:noVBand="1"/>
      </w:tblPr>
      <w:tblGrid>
        <w:gridCol w:w="2689"/>
        <w:gridCol w:w="2268"/>
        <w:gridCol w:w="3118"/>
      </w:tblGrid>
      <w:tr w:rsidR="009B4DE8" w:rsidRPr="008F55EC" w14:paraId="76D67C29" w14:textId="77777777" w:rsidTr="00922857">
        <w:tc>
          <w:tcPr>
            <w:tcW w:w="2689" w:type="dxa"/>
            <w:vAlign w:val="center"/>
          </w:tcPr>
          <w:p w14:paraId="7009ED27" w14:textId="77777777" w:rsidR="009B4DE8" w:rsidRPr="00F64925" w:rsidRDefault="009B4DE8" w:rsidP="00922857">
            <w:pPr>
              <w:rPr>
                <w:rFonts w:cs="Arial"/>
                <w:b/>
                <w:bCs/>
                <w:sz w:val="22"/>
                <w:szCs w:val="22"/>
                <w:lang w:val="en-US"/>
              </w:rPr>
            </w:pPr>
            <w:r>
              <w:rPr>
                <w:rFonts w:cs="Arial"/>
                <w:b/>
                <w:bCs/>
                <w:sz w:val="22"/>
                <w:szCs w:val="22"/>
                <w:lang w:val="en-US"/>
              </w:rPr>
              <w:t>Time Period</w:t>
            </w:r>
          </w:p>
        </w:tc>
        <w:tc>
          <w:tcPr>
            <w:tcW w:w="2268" w:type="dxa"/>
            <w:vAlign w:val="center"/>
          </w:tcPr>
          <w:p w14:paraId="47DBD2A6" w14:textId="77777777" w:rsidR="009B4DE8" w:rsidRPr="008F55EC" w:rsidRDefault="009B4DE8" w:rsidP="00922857">
            <w:pPr>
              <w:rPr>
                <w:rFonts w:cs="Arial"/>
                <w:sz w:val="22"/>
                <w:szCs w:val="22"/>
                <w:lang w:val="en-US"/>
              </w:rPr>
            </w:pPr>
            <w:r>
              <w:rPr>
                <w:rFonts w:cs="Arial"/>
                <w:b/>
                <w:bCs/>
                <w:color w:val="000000"/>
                <w:sz w:val="22"/>
                <w:szCs w:val="22"/>
              </w:rPr>
              <w:t>Adjusted Spend</w:t>
            </w:r>
          </w:p>
        </w:tc>
        <w:tc>
          <w:tcPr>
            <w:tcW w:w="3118" w:type="dxa"/>
          </w:tcPr>
          <w:p w14:paraId="572D1048" w14:textId="77777777" w:rsidR="009B4DE8" w:rsidRDefault="009B4DE8" w:rsidP="00922857">
            <w:pPr>
              <w:rPr>
                <w:rFonts w:cs="Arial"/>
                <w:b/>
                <w:bCs/>
                <w:color w:val="000000"/>
                <w:sz w:val="22"/>
                <w:szCs w:val="22"/>
              </w:rPr>
            </w:pPr>
            <w:r>
              <w:rPr>
                <w:rFonts w:cs="Arial"/>
                <w:b/>
                <w:bCs/>
                <w:color w:val="000000"/>
                <w:sz w:val="22"/>
                <w:szCs w:val="22"/>
              </w:rPr>
              <w:t>Percent of Average Spend</w:t>
            </w:r>
          </w:p>
        </w:tc>
      </w:tr>
      <w:tr w:rsidR="009B4DE8" w:rsidRPr="008F55EC" w14:paraId="1636B825" w14:textId="77777777" w:rsidTr="00922857">
        <w:tc>
          <w:tcPr>
            <w:tcW w:w="2689" w:type="dxa"/>
            <w:vAlign w:val="center"/>
          </w:tcPr>
          <w:p w14:paraId="1D662137" w14:textId="77777777" w:rsidR="009B4DE8" w:rsidRPr="008F55EC" w:rsidRDefault="009B4DE8" w:rsidP="00922857">
            <w:pPr>
              <w:rPr>
                <w:rFonts w:cs="Arial"/>
                <w:sz w:val="22"/>
                <w:szCs w:val="22"/>
                <w:lang w:val="en-US"/>
              </w:rPr>
            </w:pPr>
            <w:r>
              <w:rPr>
                <w:rFonts w:cs="Arial"/>
                <w:color w:val="000000"/>
                <w:sz w:val="22"/>
                <w:szCs w:val="22"/>
              </w:rPr>
              <w:t>Weekdays</w:t>
            </w:r>
          </w:p>
        </w:tc>
        <w:tc>
          <w:tcPr>
            <w:tcW w:w="2268" w:type="dxa"/>
            <w:vAlign w:val="center"/>
          </w:tcPr>
          <w:p w14:paraId="7214F93E" w14:textId="7B22D9E9" w:rsidR="009B4DE8" w:rsidRPr="008F55EC" w:rsidRDefault="00B95A9B" w:rsidP="00B95A9B">
            <w:pPr>
              <w:jc w:val="right"/>
              <w:rPr>
                <w:rFonts w:cs="Arial"/>
                <w:sz w:val="22"/>
                <w:szCs w:val="22"/>
                <w:lang w:val="en-US"/>
              </w:rPr>
            </w:pPr>
            <w:r>
              <w:rPr>
                <w:rFonts w:cs="Arial"/>
                <w:sz w:val="22"/>
                <w:szCs w:val="22"/>
                <w:lang w:val="en-US"/>
              </w:rPr>
              <w:t>$1</w:t>
            </w:r>
            <w:r w:rsidR="00FA7EFD">
              <w:rPr>
                <w:rFonts w:cs="Arial"/>
                <w:sz w:val="22"/>
                <w:szCs w:val="22"/>
                <w:lang w:val="en-US"/>
              </w:rPr>
              <w:t>19</w:t>
            </w:r>
            <w:r>
              <w:rPr>
                <w:rFonts w:cs="Arial"/>
                <w:sz w:val="22"/>
                <w:szCs w:val="22"/>
                <w:lang w:val="en-US"/>
              </w:rPr>
              <w:t>,000,000</w:t>
            </w:r>
          </w:p>
        </w:tc>
        <w:tc>
          <w:tcPr>
            <w:tcW w:w="3118" w:type="dxa"/>
          </w:tcPr>
          <w:p w14:paraId="29AABD8E" w14:textId="0563EDEF" w:rsidR="009B4DE8" w:rsidRPr="008F55EC" w:rsidRDefault="00FA7EFD" w:rsidP="00B95A9B">
            <w:pPr>
              <w:jc w:val="right"/>
              <w:rPr>
                <w:rFonts w:cs="Arial"/>
                <w:sz w:val="22"/>
                <w:szCs w:val="22"/>
                <w:lang w:val="en-US"/>
              </w:rPr>
            </w:pPr>
            <w:r>
              <w:rPr>
                <w:rFonts w:cs="Arial"/>
                <w:sz w:val="22"/>
                <w:szCs w:val="22"/>
                <w:lang w:val="en-US"/>
              </w:rPr>
              <w:t>68</w:t>
            </w:r>
            <w:r w:rsidR="00B95A9B">
              <w:rPr>
                <w:rFonts w:cs="Arial"/>
                <w:sz w:val="22"/>
                <w:szCs w:val="22"/>
                <w:lang w:val="en-US"/>
              </w:rPr>
              <w:t>%</w:t>
            </w:r>
          </w:p>
        </w:tc>
      </w:tr>
      <w:tr w:rsidR="009B4DE8" w:rsidRPr="008F55EC" w14:paraId="395426A7" w14:textId="77777777" w:rsidTr="00922857">
        <w:tc>
          <w:tcPr>
            <w:tcW w:w="2689" w:type="dxa"/>
            <w:vAlign w:val="center"/>
          </w:tcPr>
          <w:p w14:paraId="4C4328D3" w14:textId="77777777" w:rsidR="009B4DE8" w:rsidRPr="008F55EC" w:rsidRDefault="009B4DE8" w:rsidP="00922857">
            <w:pPr>
              <w:rPr>
                <w:rFonts w:cs="Arial"/>
                <w:sz w:val="22"/>
                <w:szCs w:val="22"/>
                <w:lang w:val="en-US"/>
              </w:rPr>
            </w:pPr>
            <w:r>
              <w:rPr>
                <w:rFonts w:cs="Arial"/>
                <w:color w:val="000000"/>
                <w:sz w:val="22"/>
                <w:szCs w:val="22"/>
              </w:rPr>
              <w:t>Weekends</w:t>
            </w:r>
          </w:p>
        </w:tc>
        <w:tc>
          <w:tcPr>
            <w:tcW w:w="2268" w:type="dxa"/>
            <w:vAlign w:val="center"/>
          </w:tcPr>
          <w:p w14:paraId="47820822" w14:textId="030EBEF4" w:rsidR="009B4DE8" w:rsidRPr="008F55EC" w:rsidRDefault="00B95A9B" w:rsidP="00B95A9B">
            <w:pPr>
              <w:jc w:val="right"/>
              <w:rPr>
                <w:rFonts w:cs="Arial"/>
                <w:sz w:val="22"/>
                <w:szCs w:val="22"/>
                <w:lang w:val="en-US"/>
              </w:rPr>
            </w:pPr>
            <w:r>
              <w:rPr>
                <w:rFonts w:cs="Arial"/>
                <w:sz w:val="22"/>
                <w:szCs w:val="22"/>
                <w:lang w:val="en-US"/>
              </w:rPr>
              <w:t>$5</w:t>
            </w:r>
            <w:r w:rsidR="00FA7EFD">
              <w:rPr>
                <w:rFonts w:cs="Arial"/>
                <w:sz w:val="22"/>
                <w:szCs w:val="22"/>
                <w:lang w:val="en-US"/>
              </w:rPr>
              <w:t>7</w:t>
            </w:r>
            <w:r>
              <w:rPr>
                <w:rFonts w:cs="Arial"/>
                <w:sz w:val="22"/>
                <w:szCs w:val="22"/>
                <w:lang w:val="en-US"/>
              </w:rPr>
              <w:t>,000,000</w:t>
            </w:r>
          </w:p>
        </w:tc>
        <w:tc>
          <w:tcPr>
            <w:tcW w:w="3118" w:type="dxa"/>
          </w:tcPr>
          <w:p w14:paraId="627EE641" w14:textId="4244F7BA" w:rsidR="009B4DE8" w:rsidRPr="008F55EC" w:rsidRDefault="00FA7EFD" w:rsidP="00B95A9B">
            <w:pPr>
              <w:jc w:val="right"/>
              <w:rPr>
                <w:rFonts w:cs="Arial"/>
                <w:sz w:val="22"/>
                <w:szCs w:val="22"/>
                <w:lang w:val="en-US"/>
              </w:rPr>
            </w:pPr>
            <w:r>
              <w:rPr>
                <w:rFonts w:cs="Arial"/>
                <w:sz w:val="22"/>
                <w:szCs w:val="22"/>
                <w:lang w:val="en-US"/>
              </w:rPr>
              <w:t>32</w:t>
            </w:r>
            <w:r w:rsidR="00B95A9B">
              <w:rPr>
                <w:rFonts w:cs="Arial"/>
                <w:sz w:val="22"/>
                <w:szCs w:val="22"/>
                <w:lang w:val="en-US"/>
              </w:rPr>
              <w:t>%</w:t>
            </w:r>
          </w:p>
        </w:tc>
      </w:tr>
    </w:tbl>
    <w:p w14:paraId="6850E5E3" w14:textId="391F05EE" w:rsidR="00F64925" w:rsidRDefault="00F64925" w:rsidP="00F64925">
      <w:pPr>
        <w:pStyle w:val="Heading3"/>
        <w:rPr>
          <w:rFonts w:hint="eastAsia"/>
        </w:rPr>
      </w:pPr>
      <w:bookmarkStart w:id="33" w:name="_Toc182490830"/>
      <w:r>
        <w:t>Table 1</w:t>
      </w:r>
      <w:r w:rsidR="009B2762">
        <w:t>8</w:t>
      </w:r>
      <w:r w:rsidR="009B4DE8">
        <w:t>.</w:t>
      </w:r>
      <w:r w:rsidR="002F4DE8">
        <w:t>a</w:t>
      </w:r>
      <w:r>
        <w:t xml:space="preserve"> – </w:t>
      </w:r>
      <w:r w:rsidR="009B4DE8" w:rsidRPr="009B4DE8">
        <w:t xml:space="preserve">Where spending in </w:t>
      </w:r>
      <w:r w:rsidR="009B2762" w:rsidRPr="000F3A62">
        <w:t>Melbourne CBD</w:t>
      </w:r>
      <w:r w:rsidR="009B2762">
        <w:t xml:space="preserve"> – North </w:t>
      </w:r>
      <w:r w:rsidR="009B4DE8" w:rsidRPr="009B4DE8">
        <w:t>came from, Q</w:t>
      </w:r>
      <w:r w:rsidR="009B2762">
        <w:t>3</w:t>
      </w:r>
      <w:r w:rsidR="009B4DE8" w:rsidRPr="009B4DE8">
        <w:t xml:space="preserve"> 2024</w:t>
      </w:r>
      <w:bookmarkEnd w:id="33"/>
    </w:p>
    <w:tbl>
      <w:tblPr>
        <w:tblStyle w:val="TableGrid"/>
        <w:tblW w:w="0" w:type="auto"/>
        <w:tblLook w:val="04A0" w:firstRow="1" w:lastRow="0" w:firstColumn="1" w:lastColumn="0" w:noHBand="0" w:noVBand="1"/>
      </w:tblPr>
      <w:tblGrid>
        <w:gridCol w:w="2972"/>
        <w:gridCol w:w="1985"/>
        <w:gridCol w:w="3118"/>
      </w:tblGrid>
      <w:tr w:rsidR="00BA5216" w:rsidRPr="008F55EC" w14:paraId="6D6C69AB" w14:textId="77777777" w:rsidTr="00AA3C19">
        <w:tc>
          <w:tcPr>
            <w:tcW w:w="2972" w:type="dxa"/>
            <w:vAlign w:val="center"/>
          </w:tcPr>
          <w:p w14:paraId="703B16A8" w14:textId="77777777" w:rsidR="00BA5216" w:rsidRPr="00F64925" w:rsidRDefault="00BA5216" w:rsidP="00AA3C19">
            <w:pPr>
              <w:rPr>
                <w:rFonts w:cs="Arial"/>
                <w:b/>
                <w:bCs/>
                <w:sz w:val="22"/>
                <w:szCs w:val="22"/>
                <w:lang w:val="en-US"/>
              </w:rPr>
            </w:pPr>
            <w:r>
              <w:rPr>
                <w:rFonts w:cs="Arial"/>
                <w:b/>
                <w:bCs/>
                <w:sz w:val="22"/>
                <w:szCs w:val="22"/>
                <w:lang w:val="en-US"/>
              </w:rPr>
              <w:t>Customer Type</w:t>
            </w:r>
          </w:p>
        </w:tc>
        <w:tc>
          <w:tcPr>
            <w:tcW w:w="1985" w:type="dxa"/>
            <w:vAlign w:val="center"/>
          </w:tcPr>
          <w:p w14:paraId="25E13188" w14:textId="77777777" w:rsidR="00BA5216" w:rsidRPr="008F55EC" w:rsidRDefault="00BA5216" w:rsidP="00AA3C19">
            <w:pPr>
              <w:rPr>
                <w:rFonts w:cs="Arial"/>
                <w:sz w:val="22"/>
                <w:szCs w:val="22"/>
                <w:lang w:val="en-US"/>
              </w:rPr>
            </w:pPr>
            <w:r>
              <w:rPr>
                <w:rFonts w:cs="Arial"/>
                <w:b/>
                <w:bCs/>
                <w:color w:val="000000"/>
                <w:sz w:val="22"/>
                <w:szCs w:val="22"/>
              </w:rPr>
              <w:t>Adjusted Spend</w:t>
            </w:r>
          </w:p>
        </w:tc>
        <w:tc>
          <w:tcPr>
            <w:tcW w:w="3118" w:type="dxa"/>
          </w:tcPr>
          <w:p w14:paraId="4B35E3AE" w14:textId="77777777" w:rsidR="00BA5216" w:rsidRDefault="00BA5216" w:rsidP="00AA3C19">
            <w:pPr>
              <w:rPr>
                <w:rFonts w:cs="Arial"/>
                <w:b/>
                <w:bCs/>
                <w:color w:val="000000"/>
                <w:sz w:val="22"/>
                <w:szCs w:val="22"/>
              </w:rPr>
            </w:pPr>
            <w:r>
              <w:rPr>
                <w:rFonts w:cs="Arial"/>
                <w:b/>
                <w:bCs/>
                <w:color w:val="000000"/>
                <w:sz w:val="22"/>
                <w:szCs w:val="22"/>
              </w:rPr>
              <w:t>Percent of Average Spend</w:t>
            </w:r>
          </w:p>
        </w:tc>
      </w:tr>
      <w:tr w:rsidR="00BA5216" w:rsidRPr="008F55EC" w14:paraId="319B9AD3" w14:textId="77777777" w:rsidTr="00AA3C19">
        <w:tc>
          <w:tcPr>
            <w:tcW w:w="2972" w:type="dxa"/>
            <w:vAlign w:val="center"/>
          </w:tcPr>
          <w:p w14:paraId="731EAEB1" w14:textId="77777777" w:rsidR="00BA5216" w:rsidRPr="008F55EC" w:rsidRDefault="00BA5216" w:rsidP="00AA3C19">
            <w:pPr>
              <w:rPr>
                <w:rFonts w:cs="Arial"/>
                <w:sz w:val="22"/>
                <w:szCs w:val="22"/>
                <w:lang w:val="en-US"/>
              </w:rPr>
            </w:pPr>
            <w:r>
              <w:rPr>
                <w:rFonts w:cs="Arial"/>
                <w:sz w:val="22"/>
                <w:szCs w:val="22"/>
                <w:lang w:val="en-US"/>
              </w:rPr>
              <w:t>City of Melbourne residents</w:t>
            </w:r>
          </w:p>
        </w:tc>
        <w:tc>
          <w:tcPr>
            <w:tcW w:w="1985" w:type="dxa"/>
            <w:vAlign w:val="center"/>
          </w:tcPr>
          <w:p w14:paraId="7B20B9F4" w14:textId="4CD172B4" w:rsidR="00BA5216" w:rsidRPr="008F55EC" w:rsidRDefault="00B95A9B" w:rsidP="00B95A9B">
            <w:pPr>
              <w:jc w:val="right"/>
              <w:rPr>
                <w:rFonts w:cs="Arial"/>
                <w:sz w:val="22"/>
                <w:szCs w:val="22"/>
                <w:lang w:val="en-US"/>
              </w:rPr>
            </w:pPr>
            <w:r>
              <w:rPr>
                <w:rFonts w:cs="Arial"/>
                <w:sz w:val="22"/>
                <w:szCs w:val="22"/>
                <w:lang w:val="en-US"/>
              </w:rPr>
              <w:t>$</w:t>
            </w:r>
            <w:r w:rsidR="00FA7EFD">
              <w:rPr>
                <w:rFonts w:cs="Arial"/>
                <w:sz w:val="22"/>
                <w:szCs w:val="22"/>
                <w:lang w:val="en-US"/>
              </w:rPr>
              <w:t>30</w:t>
            </w:r>
            <w:r>
              <w:rPr>
                <w:rFonts w:cs="Arial"/>
                <w:sz w:val="22"/>
                <w:szCs w:val="22"/>
                <w:lang w:val="en-US"/>
              </w:rPr>
              <w:t>,000,000</w:t>
            </w:r>
          </w:p>
        </w:tc>
        <w:tc>
          <w:tcPr>
            <w:tcW w:w="3118" w:type="dxa"/>
          </w:tcPr>
          <w:p w14:paraId="318AB702" w14:textId="51AD0899" w:rsidR="00BA5216" w:rsidRPr="008F55EC" w:rsidRDefault="00B95A9B" w:rsidP="00B95A9B">
            <w:pPr>
              <w:jc w:val="right"/>
              <w:rPr>
                <w:rFonts w:cs="Arial"/>
                <w:sz w:val="22"/>
                <w:szCs w:val="22"/>
                <w:lang w:val="en-US"/>
              </w:rPr>
            </w:pPr>
            <w:r>
              <w:rPr>
                <w:rFonts w:cs="Arial"/>
                <w:sz w:val="22"/>
                <w:szCs w:val="22"/>
                <w:lang w:val="en-US"/>
              </w:rPr>
              <w:t>17%</w:t>
            </w:r>
          </w:p>
        </w:tc>
      </w:tr>
      <w:tr w:rsidR="00BA5216" w:rsidRPr="008F55EC" w14:paraId="7C78D5DD" w14:textId="77777777" w:rsidTr="00AA3C19">
        <w:tc>
          <w:tcPr>
            <w:tcW w:w="2972" w:type="dxa"/>
            <w:vAlign w:val="center"/>
          </w:tcPr>
          <w:p w14:paraId="398F54FD" w14:textId="77777777" w:rsidR="00BA5216" w:rsidRPr="008F55EC" w:rsidRDefault="00BA5216" w:rsidP="00AA3C19">
            <w:pPr>
              <w:rPr>
                <w:rFonts w:cs="Arial"/>
                <w:sz w:val="22"/>
                <w:szCs w:val="22"/>
                <w:lang w:val="en-US"/>
              </w:rPr>
            </w:pPr>
            <w:r>
              <w:rPr>
                <w:rFonts w:cs="Arial"/>
                <w:color w:val="000000"/>
                <w:sz w:val="22"/>
                <w:szCs w:val="22"/>
              </w:rPr>
              <w:t>Visitors</w:t>
            </w:r>
          </w:p>
        </w:tc>
        <w:tc>
          <w:tcPr>
            <w:tcW w:w="1985" w:type="dxa"/>
            <w:vAlign w:val="center"/>
          </w:tcPr>
          <w:p w14:paraId="4ABC3A90" w14:textId="5DF2EECA" w:rsidR="00BA5216" w:rsidRPr="008F55EC" w:rsidRDefault="00B95A9B" w:rsidP="00B95A9B">
            <w:pPr>
              <w:jc w:val="right"/>
              <w:rPr>
                <w:rFonts w:cs="Arial"/>
                <w:sz w:val="22"/>
                <w:szCs w:val="22"/>
                <w:lang w:val="en-US"/>
              </w:rPr>
            </w:pPr>
            <w:r>
              <w:rPr>
                <w:rFonts w:cs="Arial"/>
                <w:sz w:val="22"/>
                <w:szCs w:val="22"/>
                <w:lang w:val="en-US"/>
              </w:rPr>
              <w:t>$1</w:t>
            </w:r>
            <w:r w:rsidR="00FA7EFD">
              <w:rPr>
                <w:rFonts w:cs="Arial"/>
                <w:sz w:val="22"/>
                <w:szCs w:val="22"/>
                <w:lang w:val="en-US"/>
              </w:rPr>
              <w:t>46</w:t>
            </w:r>
            <w:r>
              <w:rPr>
                <w:rFonts w:cs="Arial"/>
                <w:sz w:val="22"/>
                <w:szCs w:val="22"/>
                <w:lang w:val="en-US"/>
              </w:rPr>
              <w:t>,000,000</w:t>
            </w:r>
          </w:p>
        </w:tc>
        <w:tc>
          <w:tcPr>
            <w:tcW w:w="3118" w:type="dxa"/>
          </w:tcPr>
          <w:p w14:paraId="321F792F" w14:textId="4156B53F" w:rsidR="00BA5216" w:rsidRPr="008F55EC" w:rsidRDefault="00B95A9B" w:rsidP="00B95A9B">
            <w:pPr>
              <w:jc w:val="right"/>
              <w:rPr>
                <w:rFonts w:cs="Arial"/>
                <w:sz w:val="22"/>
                <w:szCs w:val="22"/>
                <w:lang w:val="en-US"/>
              </w:rPr>
            </w:pPr>
            <w:r>
              <w:rPr>
                <w:rFonts w:cs="Arial"/>
                <w:sz w:val="22"/>
                <w:szCs w:val="22"/>
                <w:lang w:val="en-US"/>
              </w:rPr>
              <w:t>83%</w:t>
            </w:r>
          </w:p>
        </w:tc>
      </w:tr>
    </w:tbl>
    <w:p w14:paraId="02902CFB" w14:textId="1FBCCB87" w:rsidR="00F64925" w:rsidRDefault="00F64925" w:rsidP="00F64925">
      <w:pPr>
        <w:pStyle w:val="Heading3"/>
        <w:rPr>
          <w:rFonts w:hint="eastAsia"/>
        </w:rPr>
      </w:pPr>
      <w:bookmarkStart w:id="34" w:name="_Toc182490831"/>
      <w:r>
        <w:t>Table 1</w:t>
      </w:r>
      <w:r w:rsidR="009B2762">
        <w:t>8</w:t>
      </w:r>
      <w:r w:rsidR="009B4DE8">
        <w:t>.</w:t>
      </w:r>
      <w:r w:rsidR="002F4DE8">
        <w:t>b</w:t>
      </w:r>
      <w:r>
        <w:t xml:space="preserve"> – </w:t>
      </w:r>
      <w:r w:rsidR="009B4DE8" w:rsidRPr="009B4DE8">
        <w:t xml:space="preserve">Where spending in </w:t>
      </w:r>
      <w:r w:rsidR="009B2762" w:rsidRPr="000F3A62">
        <w:t>Melbourne CBD</w:t>
      </w:r>
      <w:r w:rsidR="009B2762">
        <w:t xml:space="preserve"> – North </w:t>
      </w:r>
      <w:r w:rsidR="009B4DE8" w:rsidRPr="009B4DE8">
        <w:t>came from, Q</w:t>
      </w:r>
      <w:r w:rsidR="009B2762">
        <w:t>3</w:t>
      </w:r>
      <w:r w:rsidR="009B4DE8" w:rsidRPr="009B4DE8">
        <w:t xml:space="preserve"> 2024</w:t>
      </w:r>
      <w:bookmarkEnd w:id="34"/>
    </w:p>
    <w:tbl>
      <w:tblPr>
        <w:tblStyle w:val="TableGrid"/>
        <w:tblW w:w="0" w:type="auto"/>
        <w:tblLook w:val="04A0" w:firstRow="1" w:lastRow="0" w:firstColumn="1" w:lastColumn="0" w:noHBand="0" w:noVBand="1"/>
      </w:tblPr>
      <w:tblGrid>
        <w:gridCol w:w="2972"/>
        <w:gridCol w:w="1985"/>
      </w:tblGrid>
      <w:tr w:rsidR="0009455A" w:rsidRPr="008F55EC" w14:paraId="686EA463" w14:textId="77777777" w:rsidTr="00AA3C19">
        <w:tc>
          <w:tcPr>
            <w:tcW w:w="2972" w:type="dxa"/>
            <w:vAlign w:val="center"/>
          </w:tcPr>
          <w:p w14:paraId="7BA0247B" w14:textId="101F1079" w:rsidR="0009455A" w:rsidRPr="00F64925" w:rsidRDefault="009B4DE8" w:rsidP="00AA3C19">
            <w:pPr>
              <w:rPr>
                <w:rFonts w:cs="Arial"/>
                <w:b/>
                <w:bCs/>
                <w:sz w:val="22"/>
                <w:szCs w:val="22"/>
                <w:lang w:val="en-US"/>
              </w:rPr>
            </w:pPr>
            <w:r>
              <w:rPr>
                <w:rFonts w:cs="Arial"/>
                <w:b/>
                <w:bCs/>
                <w:sz w:val="22"/>
                <w:szCs w:val="22"/>
                <w:lang w:val="en-US"/>
              </w:rPr>
              <w:t>Council Area</w:t>
            </w:r>
          </w:p>
        </w:tc>
        <w:tc>
          <w:tcPr>
            <w:tcW w:w="1985" w:type="dxa"/>
            <w:vAlign w:val="center"/>
          </w:tcPr>
          <w:p w14:paraId="49A478EC" w14:textId="77777777" w:rsidR="0009455A" w:rsidRPr="008F55EC" w:rsidRDefault="0009455A" w:rsidP="00AA3C19">
            <w:pPr>
              <w:rPr>
                <w:rFonts w:cs="Arial"/>
                <w:sz w:val="22"/>
                <w:szCs w:val="22"/>
                <w:lang w:val="en-US"/>
              </w:rPr>
            </w:pPr>
            <w:r>
              <w:rPr>
                <w:rFonts w:cs="Arial"/>
                <w:b/>
                <w:bCs/>
                <w:color w:val="000000"/>
                <w:sz w:val="22"/>
                <w:szCs w:val="22"/>
              </w:rPr>
              <w:t>Adjusted Spend</w:t>
            </w:r>
          </w:p>
        </w:tc>
      </w:tr>
      <w:tr w:rsidR="00FA7EFD" w:rsidRPr="008F55EC" w14:paraId="0A2FF1B0" w14:textId="77777777" w:rsidTr="00AA3C19">
        <w:tc>
          <w:tcPr>
            <w:tcW w:w="2972" w:type="dxa"/>
            <w:vAlign w:val="center"/>
          </w:tcPr>
          <w:p w14:paraId="77A54AD8" w14:textId="58635BAD" w:rsidR="00FA7EFD" w:rsidRPr="008F55EC" w:rsidRDefault="00FA7EFD" w:rsidP="00FA7EFD">
            <w:pPr>
              <w:rPr>
                <w:rFonts w:cs="Arial"/>
                <w:sz w:val="22"/>
                <w:szCs w:val="22"/>
                <w:lang w:val="en-US"/>
              </w:rPr>
            </w:pPr>
            <w:r>
              <w:rPr>
                <w:rFonts w:cs="Arial"/>
                <w:sz w:val="22"/>
                <w:szCs w:val="22"/>
                <w:lang w:val="en-US"/>
              </w:rPr>
              <w:t>Boroondara</w:t>
            </w:r>
          </w:p>
        </w:tc>
        <w:tc>
          <w:tcPr>
            <w:tcW w:w="1985" w:type="dxa"/>
            <w:vAlign w:val="center"/>
          </w:tcPr>
          <w:p w14:paraId="1B353B5B" w14:textId="12F1E1BB" w:rsidR="00FA7EFD" w:rsidRPr="008F55EC" w:rsidRDefault="00FA7EFD" w:rsidP="00FA7EFD">
            <w:pPr>
              <w:jc w:val="right"/>
              <w:rPr>
                <w:rFonts w:cs="Arial"/>
                <w:sz w:val="22"/>
                <w:szCs w:val="22"/>
                <w:lang w:val="en-US"/>
              </w:rPr>
            </w:pPr>
            <w:r>
              <w:rPr>
                <w:rFonts w:cs="Arial"/>
                <w:sz w:val="22"/>
                <w:szCs w:val="22"/>
                <w:lang w:val="en-US"/>
              </w:rPr>
              <w:t>$</w:t>
            </w:r>
            <w:r w:rsidR="00B80ADB">
              <w:rPr>
                <w:rFonts w:cs="Arial"/>
                <w:sz w:val="22"/>
                <w:szCs w:val="22"/>
                <w:lang w:val="en-US"/>
              </w:rPr>
              <w:t>5,816</w:t>
            </w:r>
            <w:r>
              <w:rPr>
                <w:rFonts w:cs="Arial"/>
                <w:sz w:val="22"/>
                <w:szCs w:val="22"/>
                <w:lang w:val="en-US"/>
              </w:rPr>
              <w:t>,</w:t>
            </w:r>
            <w:r w:rsidR="00B80ADB">
              <w:rPr>
                <w:rFonts w:cs="Arial"/>
                <w:sz w:val="22"/>
                <w:szCs w:val="22"/>
                <w:lang w:val="en-US"/>
              </w:rPr>
              <w:t>7</w:t>
            </w:r>
            <w:r>
              <w:rPr>
                <w:rFonts w:cs="Arial"/>
                <w:sz w:val="22"/>
                <w:szCs w:val="22"/>
                <w:lang w:val="en-US"/>
              </w:rPr>
              <w:t>00</w:t>
            </w:r>
          </w:p>
        </w:tc>
      </w:tr>
      <w:tr w:rsidR="00FA7EFD" w:rsidRPr="008F55EC" w14:paraId="1F2CCE27" w14:textId="77777777" w:rsidTr="00AA3C19">
        <w:tc>
          <w:tcPr>
            <w:tcW w:w="2972" w:type="dxa"/>
            <w:vAlign w:val="center"/>
          </w:tcPr>
          <w:p w14:paraId="6C57A090" w14:textId="56CFB9BC" w:rsidR="00FA7EFD" w:rsidRPr="008F55EC" w:rsidRDefault="00FA7EFD" w:rsidP="00FA7EFD">
            <w:pPr>
              <w:rPr>
                <w:rFonts w:cs="Arial"/>
                <w:sz w:val="22"/>
                <w:szCs w:val="22"/>
                <w:lang w:val="en-US"/>
              </w:rPr>
            </w:pPr>
            <w:proofErr w:type="spellStart"/>
            <w:r>
              <w:rPr>
                <w:rFonts w:cs="Arial"/>
                <w:sz w:val="22"/>
                <w:szCs w:val="22"/>
                <w:lang w:val="en-US"/>
              </w:rPr>
              <w:t>Yarra</w:t>
            </w:r>
            <w:proofErr w:type="spellEnd"/>
          </w:p>
        </w:tc>
        <w:tc>
          <w:tcPr>
            <w:tcW w:w="1985" w:type="dxa"/>
            <w:vAlign w:val="center"/>
          </w:tcPr>
          <w:p w14:paraId="78B793EB" w14:textId="71CD77DC" w:rsidR="00FA7EFD" w:rsidRPr="008F55EC" w:rsidRDefault="00FA7EFD" w:rsidP="00FA7EFD">
            <w:pPr>
              <w:jc w:val="right"/>
              <w:rPr>
                <w:rFonts w:cs="Arial"/>
                <w:sz w:val="22"/>
                <w:szCs w:val="22"/>
                <w:lang w:val="en-US"/>
              </w:rPr>
            </w:pPr>
            <w:r>
              <w:rPr>
                <w:rFonts w:cs="Arial"/>
                <w:sz w:val="22"/>
                <w:szCs w:val="22"/>
                <w:lang w:val="en-US"/>
              </w:rPr>
              <w:t>$4</w:t>
            </w:r>
            <w:r w:rsidR="00EB64C9">
              <w:rPr>
                <w:rFonts w:cs="Arial"/>
                <w:sz w:val="22"/>
                <w:szCs w:val="22"/>
                <w:lang w:val="en-US"/>
              </w:rPr>
              <w:t>,799</w:t>
            </w:r>
            <w:r>
              <w:rPr>
                <w:rFonts w:cs="Arial"/>
                <w:sz w:val="22"/>
                <w:szCs w:val="22"/>
                <w:lang w:val="en-US"/>
              </w:rPr>
              <w:t>,</w:t>
            </w:r>
            <w:r w:rsidR="00EB64C9">
              <w:rPr>
                <w:rFonts w:cs="Arial"/>
                <w:sz w:val="22"/>
                <w:szCs w:val="22"/>
                <w:lang w:val="en-US"/>
              </w:rPr>
              <w:t>3</w:t>
            </w:r>
            <w:r>
              <w:rPr>
                <w:rFonts w:cs="Arial"/>
                <w:sz w:val="22"/>
                <w:szCs w:val="22"/>
                <w:lang w:val="en-US"/>
              </w:rPr>
              <w:t>00</w:t>
            </w:r>
          </w:p>
        </w:tc>
      </w:tr>
      <w:tr w:rsidR="00FA7EFD" w:rsidRPr="008F55EC" w14:paraId="5FC52678" w14:textId="77777777" w:rsidTr="00AA3C19">
        <w:tc>
          <w:tcPr>
            <w:tcW w:w="2972" w:type="dxa"/>
            <w:vAlign w:val="center"/>
          </w:tcPr>
          <w:p w14:paraId="7D0138B9" w14:textId="5465A285" w:rsidR="00FA7EFD" w:rsidRPr="008F55EC" w:rsidRDefault="00FA7EFD" w:rsidP="00FA7EFD">
            <w:pPr>
              <w:rPr>
                <w:rFonts w:cs="Arial"/>
                <w:sz w:val="22"/>
                <w:szCs w:val="22"/>
                <w:lang w:val="en-US"/>
              </w:rPr>
            </w:pPr>
            <w:r>
              <w:rPr>
                <w:rFonts w:cs="Arial"/>
                <w:sz w:val="22"/>
                <w:szCs w:val="22"/>
                <w:lang w:val="en-US"/>
              </w:rPr>
              <w:t>Port Phillip</w:t>
            </w:r>
          </w:p>
        </w:tc>
        <w:tc>
          <w:tcPr>
            <w:tcW w:w="1985" w:type="dxa"/>
            <w:vAlign w:val="center"/>
          </w:tcPr>
          <w:p w14:paraId="32EA18C1" w14:textId="743F128F" w:rsidR="00FA7EFD" w:rsidRPr="008F55EC" w:rsidRDefault="00FA7EFD" w:rsidP="00FA7EFD">
            <w:pPr>
              <w:jc w:val="right"/>
              <w:rPr>
                <w:rFonts w:cs="Arial"/>
                <w:sz w:val="22"/>
                <w:szCs w:val="22"/>
                <w:lang w:val="en-US"/>
              </w:rPr>
            </w:pPr>
            <w:r>
              <w:rPr>
                <w:rFonts w:cs="Arial"/>
                <w:sz w:val="22"/>
                <w:szCs w:val="22"/>
                <w:lang w:val="en-US"/>
              </w:rPr>
              <w:t>$4</w:t>
            </w:r>
            <w:r w:rsidR="00EB64C9">
              <w:rPr>
                <w:rFonts w:cs="Arial"/>
                <w:sz w:val="22"/>
                <w:szCs w:val="22"/>
                <w:lang w:val="en-US"/>
              </w:rPr>
              <w:t>,633</w:t>
            </w:r>
            <w:r>
              <w:rPr>
                <w:rFonts w:cs="Arial"/>
                <w:sz w:val="22"/>
                <w:szCs w:val="22"/>
                <w:lang w:val="en-US"/>
              </w:rPr>
              <w:t>,</w:t>
            </w:r>
            <w:r w:rsidR="00EB64C9">
              <w:rPr>
                <w:rFonts w:cs="Arial"/>
                <w:sz w:val="22"/>
                <w:szCs w:val="22"/>
                <w:lang w:val="en-US"/>
              </w:rPr>
              <w:t>3</w:t>
            </w:r>
            <w:r>
              <w:rPr>
                <w:rFonts w:cs="Arial"/>
                <w:sz w:val="22"/>
                <w:szCs w:val="22"/>
                <w:lang w:val="en-US"/>
              </w:rPr>
              <w:t>00</w:t>
            </w:r>
          </w:p>
        </w:tc>
      </w:tr>
      <w:tr w:rsidR="00FA7EFD" w:rsidRPr="008F55EC" w14:paraId="06863948" w14:textId="77777777" w:rsidTr="00AA3C19">
        <w:tc>
          <w:tcPr>
            <w:tcW w:w="2972" w:type="dxa"/>
            <w:vAlign w:val="center"/>
          </w:tcPr>
          <w:p w14:paraId="70B8DD8A" w14:textId="4582D3A7" w:rsidR="00FA7EFD" w:rsidRPr="008F55EC" w:rsidRDefault="00FA7EFD" w:rsidP="00FA7EFD">
            <w:pPr>
              <w:rPr>
                <w:rFonts w:cs="Arial"/>
                <w:sz w:val="22"/>
                <w:szCs w:val="22"/>
                <w:lang w:val="en-US"/>
              </w:rPr>
            </w:pPr>
            <w:r>
              <w:rPr>
                <w:rFonts w:cs="Arial"/>
                <w:sz w:val="22"/>
                <w:szCs w:val="22"/>
                <w:lang w:val="en-US"/>
              </w:rPr>
              <w:t>Brunswick – Coburg</w:t>
            </w:r>
          </w:p>
        </w:tc>
        <w:tc>
          <w:tcPr>
            <w:tcW w:w="1985" w:type="dxa"/>
            <w:vAlign w:val="center"/>
          </w:tcPr>
          <w:p w14:paraId="7F17F4A2" w14:textId="14E55E0E" w:rsidR="00FA7EFD" w:rsidRPr="008F55EC" w:rsidRDefault="00FA7EFD" w:rsidP="00FA7EFD">
            <w:pPr>
              <w:jc w:val="right"/>
              <w:rPr>
                <w:rFonts w:cs="Arial"/>
                <w:sz w:val="22"/>
                <w:szCs w:val="22"/>
                <w:lang w:val="en-US"/>
              </w:rPr>
            </w:pPr>
            <w:r>
              <w:rPr>
                <w:rFonts w:cs="Arial"/>
                <w:sz w:val="22"/>
                <w:szCs w:val="22"/>
                <w:lang w:val="en-US"/>
              </w:rPr>
              <w:t>$</w:t>
            </w:r>
            <w:r w:rsidR="00EB64C9">
              <w:rPr>
                <w:rFonts w:cs="Arial"/>
                <w:sz w:val="22"/>
                <w:szCs w:val="22"/>
                <w:lang w:val="en-US"/>
              </w:rPr>
              <w:t>4,092</w:t>
            </w:r>
            <w:r>
              <w:rPr>
                <w:rFonts w:cs="Arial"/>
                <w:sz w:val="22"/>
                <w:szCs w:val="22"/>
                <w:lang w:val="en-US"/>
              </w:rPr>
              <w:t>,</w:t>
            </w:r>
            <w:r w:rsidR="00EB64C9">
              <w:rPr>
                <w:rFonts w:cs="Arial"/>
                <w:sz w:val="22"/>
                <w:szCs w:val="22"/>
                <w:lang w:val="en-US"/>
              </w:rPr>
              <w:t>3</w:t>
            </w:r>
            <w:r>
              <w:rPr>
                <w:rFonts w:cs="Arial"/>
                <w:sz w:val="22"/>
                <w:szCs w:val="22"/>
                <w:lang w:val="en-US"/>
              </w:rPr>
              <w:t>00</w:t>
            </w:r>
          </w:p>
        </w:tc>
      </w:tr>
      <w:tr w:rsidR="00FA7EFD" w:rsidRPr="008F55EC" w14:paraId="05A9652B" w14:textId="77777777" w:rsidTr="00AA3C19">
        <w:tc>
          <w:tcPr>
            <w:tcW w:w="2972" w:type="dxa"/>
            <w:vAlign w:val="center"/>
          </w:tcPr>
          <w:p w14:paraId="15EA245D" w14:textId="16F983FE" w:rsidR="00FA7EFD" w:rsidRPr="008F55EC" w:rsidRDefault="00FA7EFD" w:rsidP="00FA7EFD">
            <w:pPr>
              <w:rPr>
                <w:rFonts w:cs="Arial"/>
                <w:sz w:val="22"/>
                <w:szCs w:val="22"/>
                <w:lang w:val="en-US"/>
              </w:rPr>
            </w:pPr>
            <w:r>
              <w:rPr>
                <w:rFonts w:cs="Arial"/>
                <w:sz w:val="22"/>
                <w:szCs w:val="22"/>
                <w:lang w:val="en-US"/>
              </w:rPr>
              <w:t>Maribyrnong</w:t>
            </w:r>
          </w:p>
        </w:tc>
        <w:tc>
          <w:tcPr>
            <w:tcW w:w="1985" w:type="dxa"/>
            <w:vAlign w:val="center"/>
          </w:tcPr>
          <w:p w14:paraId="5281B35D" w14:textId="4D35762D" w:rsidR="00FA7EFD" w:rsidRPr="008F55EC" w:rsidRDefault="00EB64C9" w:rsidP="00FA7EFD">
            <w:pPr>
              <w:jc w:val="right"/>
              <w:rPr>
                <w:rFonts w:cs="Arial"/>
                <w:sz w:val="22"/>
                <w:szCs w:val="22"/>
                <w:lang w:val="en-US"/>
              </w:rPr>
            </w:pPr>
            <w:r>
              <w:rPr>
                <w:rFonts w:cs="Arial"/>
                <w:sz w:val="22"/>
                <w:szCs w:val="22"/>
                <w:lang w:val="en-US"/>
              </w:rPr>
              <w:t>$3,309</w:t>
            </w:r>
            <w:r w:rsidR="00FA7EFD">
              <w:rPr>
                <w:rFonts w:cs="Arial"/>
                <w:sz w:val="22"/>
                <w:szCs w:val="22"/>
                <w:lang w:val="en-US"/>
              </w:rPr>
              <w:t>,</w:t>
            </w:r>
            <w:r>
              <w:rPr>
                <w:rFonts w:cs="Arial"/>
                <w:sz w:val="22"/>
                <w:szCs w:val="22"/>
                <w:lang w:val="en-US"/>
              </w:rPr>
              <w:t>6</w:t>
            </w:r>
            <w:r w:rsidR="00FA7EFD">
              <w:rPr>
                <w:rFonts w:cs="Arial"/>
                <w:sz w:val="22"/>
                <w:szCs w:val="22"/>
                <w:lang w:val="en-US"/>
              </w:rPr>
              <w:t>00</w:t>
            </w:r>
          </w:p>
        </w:tc>
      </w:tr>
    </w:tbl>
    <w:p w14:paraId="76E2F2E2" w14:textId="31AF229A" w:rsidR="00F64925" w:rsidRPr="009F7577" w:rsidRDefault="009B2762" w:rsidP="00F221E1">
      <w:pPr>
        <w:pStyle w:val="Heading2"/>
        <w:rPr>
          <w:rFonts w:hint="eastAsia"/>
        </w:rPr>
      </w:pPr>
      <w:bookmarkStart w:id="35" w:name="_Toc182490832"/>
      <w:r>
        <w:t>Southbank</w:t>
      </w:r>
      <w:bookmarkEnd w:id="35"/>
    </w:p>
    <w:p w14:paraId="615ABC30" w14:textId="4200AD17" w:rsidR="00F64925" w:rsidRDefault="000F3A62" w:rsidP="000F3A62">
      <w:pPr>
        <w:pStyle w:val="Heading3"/>
        <w:rPr>
          <w:rFonts w:hint="eastAsia"/>
        </w:rPr>
      </w:pPr>
      <w:bookmarkStart w:id="36" w:name="_Toc182490833"/>
      <w:r>
        <w:t>Table 1</w:t>
      </w:r>
      <w:r w:rsidR="009B2762">
        <w:t>9</w:t>
      </w:r>
      <w:r>
        <w:t xml:space="preserve"> – Spending by category, Q</w:t>
      </w:r>
      <w:r w:rsidR="009B2762">
        <w:t>3</w:t>
      </w:r>
      <w:r>
        <w:t xml:space="preserve"> 2024</w:t>
      </w:r>
      <w:bookmarkEnd w:id="36"/>
    </w:p>
    <w:tbl>
      <w:tblPr>
        <w:tblStyle w:val="TableGrid"/>
        <w:tblW w:w="0" w:type="auto"/>
        <w:tblLook w:val="04A0" w:firstRow="1" w:lastRow="0" w:firstColumn="1" w:lastColumn="0" w:noHBand="0" w:noVBand="1"/>
      </w:tblPr>
      <w:tblGrid>
        <w:gridCol w:w="1980"/>
        <w:gridCol w:w="2977"/>
      </w:tblGrid>
      <w:tr w:rsidR="00F1256F" w:rsidRPr="008F55EC" w14:paraId="6934DB95" w14:textId="77777777" w:rsidTr="00AA3C19">
        <w:tc>
          <w:tcPr>
            <w:tcW w:w="1980" w:type="dxa"/>
            <w:vAlign w:val="center"/>
          </w:tcPr>
          <w:p w14:paraId="4510F52E" w14:textId="77777777" w:rsidR="00F1256F" w:rsidRPr="00F64925" w:rsidRDefault="00F1256F" w:rsidP="00AA3C19">
            <w:pPr>
              <w:rPr>
                <w:rFonts w:cs="Arial"/>
                <w:b/>
                <w:bCs/>
                <w:sz w:val="22"/>
                <w:szCs w:val="22"/>
                <w:lang w:val="en-US"/>
              </w:rPr>
            </w:pPr>
            <w:r w:rsidRPr="00F64925">
              <w:rPr>
                <w:rFonts w:cs="Arial"/>
                <w:b/>
                <w:bCs/>
                <w:sz w:val="22"/>
                <w:szCs w:val="22"/>
                <w:lang w:val="en-US"/>
              </w:rPr>
              <w:t>Category</w:t>
            </w:r>
          </w:p>
        </w:tc>
        <w:tc>
          <w:tcPr>
            <w:tcW w:w="2977" w:type="dxa"/>
            <w:vAlign w:val="center"/>
          </w:tcPr>
          <w:p w14:paraId="369ABC41" w14:textId="77777777" w:rsidR="00F1256F" w:rsidRPr="008F55EC" w:rsidRDefault="00F1256F" w:rsidP="00AA3C19">
            <w:pPr>
              <w:rPr>
                <w:rFonts w:cs="Arial"/>
                <w:sz w:val="22"/>
                <w:szCs w:val="22"/>
                <w:lang w:val="en-US"/>
              </w:rPr>
            </w:pPr>
            <w:r>
              <w:rPr>
                <w:rFonts w:cs="Arial"/>
                <w:b/>
                <w:bCs/>
                <w:color w:val="000000"/>
                <w:sz w:val="22"/>
                <w:szCs w:val="22"/>
              </w:rPr>
              <w:t>Adjusted Spend</w:t>
            </w:r>
          </w:p>
        </w:tc>
      </w:tr>
      <w:tr w:rsidR="00F1256F" w:rsidRPr="008F55EC" w14:paraId="44376793" w14:textId="77777777" w:rsidTr="00AA3C19">
        <w:tc>
          <w:tcPr>
            <w:tcW w:w="1980" w:type="dxa"/>
            <w:vAlign w:val="center"/>
          </w:tcPr>
          <w:p w14:paraId="2BD8D865" w14:textId="3921EA8F" w:rsidR="00F1256F" w:rsidRPr="008F55EC" w:rsidRDefault="00D24DA3" w:rsidP="00AA3C19">
            <w:pPr>
              <w:rPr>
                <w:rFonts w:cs="Arial"/>
                <w:sz w:val="22"/>
                <w:szCs w:val="22"/>
                <w:lang w:val="en-US"/>
              </w:rPr>
            </w:pPr>
            <w:r>
              <w:rPr>
                <w:rFonts w:cs="Arial"/>
                <w:sz w:val="22"/>
                <w:szCs w:val="22"/>
                <w:lang w:val="en-US"/>
              </w:rPr>
              <w:t>Retail</w:t>
            </w:r>
          </w:p>
        </w:tc>
        <w:tc>
          <w:tcPr>
            <w:tcW w:w="2977" w:type="dxa"/>
            <w:vAlign w:val="center"/>
          </w:tcPr>
          <w:p w14:paraId="38F2586F" w14:textId="0E0CD3CC" w:rsidR="00F1256F" w:rsidRPr="008F55EC" w:rsidRDefault="00850060" w:rsidP="00B95A9B">
            <w:pPr>
              <w:jc w:val="right"/>
              <w:rPr>
                <w:rFonts w:cs="Arial"/>
                <w:sz w:val="22"/>
                <w:szCs w:val="22"/>
                <w:lang w:val="en-US"/>
              </w:rPr>
            </w:pPr>
            <w:r>
              <w:rPr>
                <w:rFonts w:cs="Arial"/>
                <w:sz w:val="22"/>
                <w:szCs w:val="22"/>
                <w:lang w:val="en-US"/>
              </w:rPr>
              <w:t>$</w:t>
            </w:r>
            <w:r w:rsidR="00AD184C">
              <w:rPr>
                <w:rFonts w:cs="Arial"/>
                <w:sz w:val="22"/>
                <w:szCs w:val="22"/>
                <w:lang w:val="en-US"/>
              </w:rPr>
              <w:t>90</w:t>
            </w:r>
            <w:r>
              <w:rPr>
                <w:rFonts w:cs="Arial"/>
                <w:sz w:val="22"/>
                <w:szCs w:val="22"/>
                <w:lang w:val="en-US"/>
              </w:rPr>
              <w:t>,</w:t>
            </w:r>
            <w:r w:rsidR="00AD184C">
              <w:rPr>
                <w:rFonts w:cs="Arial"/>
                <w:sz w:val="22"/>
                <w:szCs w:val="22"/>
                <w:lang w:val="en-US"/>
              </w:rPr>
              <w:t>467</w:t>
            </w:r>
            <w:r>
              <w:rPr>
                <w:rFonts w:cs="Arial"/>
                <w:sz w:val="22"/>
                <w:szCs w:val="22"/>
                <w:lang w:val="en-US"/>
              </w:rPr>
              <w:t>,</w:t>
            </w:r>
            <w:r w:rsidR="00AD184C">
              <w:rPr>
                <w:rFonts w:cs="Arial"/>
                <w:sz w:val="22"/>
                <w:szCs w:val="22"/>
                <w:lang w:val="en-US"/>
              </w:rPr>
              <w:t>9</w:t>
            </w:r>
            <w:r>
              <w:rPr>
                <w:rFonts w:cs="Arial"/>
                <w:sz w:val="22"/>
                <w:szCs w:val="22"/>
                <w:lang w:val="en-US"/>
              </w:rPr>
              <w:t>00</w:t>
            </w:r>
          </w:p>
        </w:tc>
      </w:tr>
      <w:tr w:rsidR="00F1256F" w:rsidRPr="008F55EC" w14:paraId="0A8CAE5C" w14:textId="77777777" w:rsidTr="00AA3C19">
        <w:tc>
          <w:tcPr>
            <w:tcW w:w="1980" w:type="dxa"/>
            <w:vAlign w:val="center"/>
          </w:tcPr>
          <w:p w14:paraId="1C8D56A9" w14:textId="68C07FEB" w:rsidR="00F1256F" w:rsidRPr="008F55EC" w:rsidRDefault="00D24DA3" w:rsidP="00AA3C19">
            <w:pPr>
              <w:rPr>
                <w:rFonts w:cs="Arial"/>
                <w:sz w:val="22"/>
                <w:szCs w:val="22"/>
                <w:lang w:val="en-US"/>
              </w:rPr>
            </w:pPr>
            <w:r>
              <w:rPr>
                <w:rFonts w:cs="Arial"/>
                <w:sz w:val="22"/>
                <w:szCs w:val="22"/>
                <w:lang w:val="en-US"/>
              </w:rPr>
              <w:t>Tourism</w:t>
            </w:r>
          </w:p>
        </w:tc>
        <w:tc>
          <w:tcPr>
            <w:tcW w:w="2977" w:type="dxa"/>
            <w:vAlign w:val="center"/>
          </w:tcPr>
          <w:p w14:paraId="75424637" w14:textId="7E9C7770" w:rsidR="00F1256F" w:rsidRPr="008F55EC" w:rsidRDefault="00850060" w:rsidP="00B95A9B">
            <w:pPr>
              <w:jc w:val="right"/>
              <w:rPr>
                <w:rFonts w:cs="Arial"/>
                <w:sz w:val="22"/>
                <w:szCs w:val="22"/>
                <w:lang w:val="en-US"/>
              </w:rPr>
            </w:pPr>
            <w:r>
              <w:rPr>
                <w:rFonts w:cs="Arial"/>
                <w:sz w:val="22"/>
                <w:szCs w:val="22"/>
                <w:lang w:val="en-US"/>
              </w:rPr>
              <w:t>$</w:t>
            </w:r>
            <w:r w:rsidR="00AD184C">
              <w:rPr>
                <w:rFonts w:cs="Arial"/>
                <w:sz w:val="22"/>
                <w:szCs w:val="22"/>
                <w:lang w:val="en-US"/>
              </w:rPr>
              <w:t>80</w:t>
            </w:r>
            <w:r>
              <w:rPr>
                <w:rFonts w:cs="Arial"/>
                <w:sz w:val="22"/>
                <w:szCs w:val="22"/>
                <w:lang w:val="en-US"/>
              </w:rPr>
              <w:t>,</w:t>
            </w:r>
            <w:r w:rsidR="00AD184C">
              <w:rPr>
                <w:rFonts w:cs="Arial"/>
                <w:sz w:val="22"/>
                <w:szCs w:val="22"/>
                <w:lang w:val="en-US"/>
              </w:rPr>
              <w:t>909</w:t>
            </w:r>
            <w:r>
              <w:rPr>
                <w:rFonts w:cs="Arial"/>
                <w:sz w:val="22"/>
                <w:szCs w:val="22"/>
                <w:lang w:val="en-US"/>
              </w:rPr>
              <w:t>,</w:t>
            </w:r>
            <w:r w:rsidR="00AD184C">
              <w:rPr>
                <w:rFonts w:cs="Arial"/>
                <w:sz w:val="22"/>
                <w:szCs w:val="22"/>
                <w:lang w:val="en-US"/>
              </w:rPr>
              <w:t>7</w:t>
            </w:r>
            <w:r>
              <w:rPr>
                <w:rFonts w:cs="Arial"/>
                <w:sz w:val="22"/>
                <w:szCs w:val="22"/>
                <w:lang w:val="en-US"/>
              </w:rPr>
              <w:t>00</w:t>
            </w:r>
          </w:p>
        </w:tc>
      </w:tr>
      <w:tr w:rsidR="00F1256F" w:rsidRPr="008F55EC" w14:paraId="6FD36665" w14:textId="77777777" w:rsidTr="00AA3C19">
        <w:tc>
          <w:tcPr>
            <w:tcW w:w="1980" w:type="dxa"/>
            <w:vAlign w:val="center"/>
          </w:tcPr>
          <w:p w14:paraId="5209B4FF" w14:textId="4D841F7F" w:rsidR="00F1256F" w:rsidRDefault="00D24DA3" w:rsidP="00AA3C19">
            <w:pPr>
              <w:rPr>
                <w:rFonts w:cs="Arial"/>
                <w:color w:val="000000"/>
                <w:sz w:val="22"/>
                <w:szCs w:val="22"/>
              </w:rPr>
            </w:pPr>
            <w:r>
              <w:rPr>
                <w:rFonts w:cs="Arial"/>
                <w:sz w:val="22"/>
                <w:szCs w:val="22"/>
                <w:lang w:val="en-US"/>
              </w:rPr>
              <w:t>Entertainment</w:t>
            </w:r>
          </w:p>
        </w:tc>
        <w:tc>
          <w:tcPr>
            <w:tcW w:w="2977" w:type="dxa"/>
            <w:vAlign w:val="center"/>
          </w:tcPr>
          <w:p w14:paraId="59716F9B" w14:textId="125616B0" w:rsidR="00F1256F" w:rsidRPr="008F55EC" w:rsidRDefault="00850060" w:rsidP="00B95A9B">
            <w:pPr>
              <w:jc w:val="right"/>
              <w:rPr>
                <w:rFonts w:cs="Arial"/>
                <w:sz w:val="22"/>
                <w:szCs w:val="22"/>
                <w:lang w:val="en-US"/>
              </w:rPr>
            </w:pPr>
            <w:r>
              <w:rPr>
                <w:rFonts w:cs="Arial"/>
                <w:sz w:val="22"/>
                <w:szCs w:val="22"/>
                <w:lang w:val="en-US"/>
              </w:rPr>
              <w:t>$</w:t>
            </w:r>
            <w:r w:rsidR="00AD184C">
              <w:rPr>
                <w:rFonts w:cs="Arial"/>
                <w:sz w:val="22"/>
                <w:szCs w:val="22"/>
                <w:lang w:val="en-US"/>
              </w:rPr>
              <w:t>73</w:t>
            </w:r>
            <w:r>
              <w:rPr>
                <w:rFonts w:cs="Arial"/>
                <w:sz w:val="22"/>
                <w:szCs w:val="22"/>
                <w:lang w:val="en-US"/>
              </w:rPr>
              <w:t>,</w:t>
            </w:r>
            <w:r w:rsidR="00AD184C">
              <w:rPr>
                <w:rFonts w:cs="Arial"/>
                <w:sz w:val="22"/>
                <w:szCs w:val="22"/>
                <w:lang w:val="en-US"/>
              </w:rPr>
              <w:t>582</w:t>
            </w:r>
            <w:r>
              <w:rPr>
                <w:rFonts w:cs="Arial"/>
                <w:sz w:val="22"/>
                <w:szCs w:val="22"/>
                <w:lang w:val="en-US"/>
              </w:rPr>
              <w:t>,</w:t>
            </w:r>
            <w:r w:rsidR="00AD184C">
              <w:rPr>
                <w:rFonts w:cs="Arial"/>
                <w:sz w:val="22"/>
                <w:szCs w:val="22"/>
                <w:lang w:val="en-US"/>
              </w:rPr>
              <w:t>1</w:t>
            </w:r>
            <w:r>
              <w:rPr>
                <w:rFonts w:cs="Arial"/>
                <w:sz w:val="22"/>
                <w:szCs w:val="22"/>
                <w:lang w:val="en-US"/>
              </w:rPr>
              <w:t>00</w:t>
            </w:r>
          </w:p>
        </w:tc>
      </w:tr>
      <w:tr w:rsidR="00F1256F" w:rsidRPr="008F55EC" w14:paraId="593ACD50" w14:textId="77777777" w:rsidTr="00AA3C19">
        <w:tc>
          <w:tcPr>
            <w:tcW w:w="1980" w:type="dxa"/>
            <w:vAlign w:val="center"/>
          </w:tcPr>
          <w:p w14:paraId="1C0C2FC6" w14:textId="2A73395E" w:rsidR="00F1256F" w:rsidRDefault="00D24DA3" w:rsidP="00AA3C19">
            <w:pPr>
              <w:rPr>
                <w:rFonts w:cs="Arial"/>
                <w:color w:val="000000"/>
                <w:sz w:val="22"/>
                <w:szCs w:val="22"/>
              </w:rPr>
            </w:pPr>
            <w:r>
              <w:rPr>
                <w:rFonts w:cs="Arial"/>
                <w:sz w:val="22"/>
                <w:szCs w:val="22"/>
                <w:lang w:val="en-US"/>
              </w:rPr>
              <w:t>Commercial</w:t>
            </w:r>
          </w:p>
        </w:tc>
        <w:tc>
          <w:tcPr>
            <w:tcW w:w="2977" w:type="dxa"/>
            <w:vAlign w:val="center"/>
          </w:tcPr>
          <w:p w14:paraId="1A9174CE" w14:textId="5678AF18" w:rsidR="00F1256F" w:rsidRPr="008F55EC" w:rsidRDefault="00850060" w:rsidP="00B95A9B">
            <w:pPr>
              <w:jc w:val="right"/>
              <w:rPr>
                <w:rFonts w:cs="Arial"/>
                <w:sz w:val="22"/>
                <w:szCs w:val="22"/>
                <w:lang w:val="en-US"/>
              </w:rPr>
            </w:pPr>
            <w:r>
              <w:rPr>
                <w:rFonts w:cs="Arial"/>
                <w:sz w:val="22"/>
                <w:szCs w:val="22"/>
                <w:lang w:val="en-US"/>
              </w:rPr>
              <w:t>$</w:t>
            </w:r>
            <w:r w:rsidR="00AD184C">
              <w:rPr>
                <w:rFonts w:cs="Arial"/>
                <w:sz w:val="22"/>
                <w:szCs w:val="22"/>
                <w:lang w:val="en-US"/>
              </w:rPr>
              <w:t>5</w:t>
            </w:r>
            <w:r>
              <w:rPr>
                <w:rFonts w:cs="Arial"/>
                <w:sz w:val="22"/>
                <w:szCs w:val="22"/>
                <w:lang w:val="en-US"/>
              </w:rPr>
              <w:t>,</w:t>
            </w:r>
            <w:r w:rsidR="00AD184C">
              <w:rPr>
                <w:rFonts w:cs="Arial"/>
                <w:sz w:val="22"/>
                <w:szCs w:val="22"/>
                <w:lang w:val="en-US"/>
              </w:rPr>
              <w:t>660</w:t>
            </w:r>
            <w:r>
              <w:rPr>
                <w:rFonts w:cs="Arial"/>
                <w:sz w:val="22"/>
                <w:szCs w:val="22"/>
                <w:lang w:val="en-US"/>
              </w:rPr>
              <w:t>,</w:t>
            </w:r>
            <w:r w:rsidR="00AD184C">
              <w:rPr>
                <w:rFonts w:cs="Arial"/>
                <w:sz w:val="22"/>
                <w:szCs w:val="22"/>
                <w:lang w:val="en-US"/>
              </w:rPr>
              <w:t>3</w:t>
            </w:r>
            <w:r>
              <w:rPr>
                <w:rFonts w:cs="Arial"/>
                <w:sz w:val="22"/>
                <w:szCs w:val="22"/>
                <w:lang w:val="en-US"/>
              </w:rPr>
              <w:t>00</w:t>
            </w:r>
          </w:p>
        </w:tc>
      </w:tr>
    </w:tbl>
    <w:p w14:paraId="70F25F5E" w14:textId="706CE43F" w:rsidR="00F64925" w:rsidRDefault="00F64925" w:rsidP="00F64925">
      <w:pPr>
        <w:pStyle w:val="Heading3"/>
        <w:rPr>
          <w:rFonts w:hint="eastAsia"/>
        </w:rPr>
      </w:pPr>
      <w:bookmarkStart w:id="37" w:name="_Toc182490834"/>
      <w:r>
        <w:t xml:space="preserve">Table </w:t>
      </w:r>
      <w:r w:rsidR="009B2762">
        <w:t>20</w:t>
      </w:r>
      <w:r>
        <w:t xml:space="preserve"> – Work hours and non-work hours spend</w:t>
      </w:r>
      <w:r w:rsidR="00CA203B">
        <w:t>ing</w:t>
      </w:r>
      <w:r w:rsidR="00B776A9">
        <w:t xml:space="preserve"> in </w:t>
      </w:r>
      <w:r w:rsidR="009B2762">
        <w:t>Southbank</w:t>
      </w:r>
      <w:r>
        <w:t>, Q</w:t>
      </w:r>
      <w:r w:rsidR="009B2762">
        <w:t>3</w:t>
      </w:r>
      <w:r>
        <w:t xml:space="preserve"> 2024</w:t>
      </w:r>
      <w:bookmarkEnd w:id="37"/>
    </w:p>
    <w:tbl>
      <w:tblPr>
        <w:tblStyle w:val="TableGrid"/>
        <w:tblW w:w="0" w:type="auto"/>
        <w:tblLook w:val="04A0" w:firstRow="1" w:lastRow="0" w:firstColumn="1" w:lastColumn="0" w:noHBand="0" w:noVBand="1"/>
      </w:tblPr>
      <w:tblGrid>
        <w:gridCol w:w="2689"/>
        <w:gridCol w:w="2268"/>
        <w:gridCol w:w="3118"/>
      </w:tblGrid>
      <w:tr w:rsidR="00F64925" w:rsidRPr="008F55EC" w14:paraId="54036F09" w14:textId="77777777" w:rsidTr="00AA3C19">
        <w:tc>
          <w:tcPr>
            <w:tcW w:w="2689" w:type="dxa"/>
            <w:vAlign w:val="center"/>
          </w:tcPr>
          <w:p w14:paraId="003D56F8" w14:textId="77777777" w:rsidR="00F64925" w:rsidRPr="00F64925" w:rsidRDefault="00F64925" w:rsidP="00AA3C19">
            <w:pPr>
              <w:rPr>
                <w:rFonts w:cs="Arial"/>
                <w:b/>
                <w:bCs/>
                <w:sz w:val="22"/>
                <w:szCs w:val="22"/>
                <w:lang w:val="en-US"/>
              </w:rPr>
            </w:pPr>
            <w:r>
              <w:rPr>
                <w:rFonts w:cs="Arial"/>
                <w:b/>
                <w:bCs/>
                <w:sz w:val="22"/>
                <w:szCs w:val="22"/>
                <w:lang w:val="en-US"/>
              </w:rPr>
              <w:lastRenderedPageBreak/>
              <w:t>Time Period</w:t>
            </w:r>
          </w:p>
        </w:tc>
        <w:tc>
          <w:tcPr>
            <w:tcW w:w="2268" w:type="dxa"/>
            <w:vAlign w:val="center"/>
          </w:tcPr>
          <w:p w14:paraId="4C3E058A" w14:textId="77777777" w:rsidR="00F64925" w:rsidRPr="008F55EC" w:rsidRDefault="00F64925" w:rsidP="00AA3C19">
            <w:pPr>
              <w:rPr>
                <w:rFonts w:cs="Arial"/>
                <w:sz w:val="22"/>
                <w:szCs w:val="22"/>
                <w:lang w:val="en-US"/>
              </w:rPr>
            </w:pPr>
            <w:r>
              <w:rPr>
                <w:rFonts w:cs="Arial"/>
                <w:b/>
                <w:bCs/>
                <w:color w:val="000000"/>
                <w:sz w:val="22"/>
                <w:szCs w:val="22"/>
              </w:rPr>
              <w:t>Adjusted Spend</w:t>
            </w:r>
          </w:p>
        </w:tc>
        <w:tc>
          <w:tcPr>
            <w:tcW w:w="3118" w:type="dxa"/>
          </w:tcPr>
          <w:p w14:paraId="026767BD" w14:textId="77777777" w:rsidR="00F64925" w:rsidRDefault="00F64925" w:rsidP="00AA3C19">
            <w:pPr>
              <w:rPr>
                <w:rFonts w:cs="Arial"/>
                <w:b/>
                <w:bCs/>
                <w:color w:val="000000"/>
                <w:sz w:val="22"/>
                <w:szCs w:val="22"/>
              </w:rPr>
            </w:pPr>
            <w:r>
              <w:rPr>
                <w:rFonts w:cs="Arial"/>
                <w:b/>
                <w:bCs/>
                <w:color w:val="000000"/>
                <w:sz w:val="22"/>
                <w:szCs w:val="22"/>
              </w:rPr>
              <w:t>Percent of Average Spend</w:t>
            </w:r>
          </w:p>
        </w:tc>
      </w:tr>
      <w:tr w:rsidR="00F64925" w:rsidRPr="008F55EC" w14:paraId="1C622F60" w14:textId="77777777" w:rsidTr="00AA3C19">
        <w:tc>
          <w:tcPr>
            <w:tcW w:w="2689" w:type="dxa"/>
            <w:vAlign w:val="center"/>
          </w:tcPr>
          <w:p w14:paraId="22C7A103" w14:textId="77777777" w:rsidR="00F64925" w:rsidRPr="008F55EC" w:rsidRDefault="00F64925" w:rsidP="00AA3C19">
            <w:pPr>
              <w:rPr>
                <w:rFonts w:cs="Arial"/>
                <w:sz w:val="22"/>
                <w:szCs w:val="22"/>
                <w:lang w:val="en-US"/>
              </w:rPr>
            </w:pPr>
            <w:r>
              <w:rPr>
                <w:rFonts w:cs="Arial"/>
                <w:color w:val="000000"/>
                <w:sz w:val="22"/>
                <w:szCs w:val="22"/>
              </w:rPr>
              <w:t>Work hours</w:t>
            </w:r>
          </w:p>
        </w:tc>
        <w:tc>
          <w:tcPr>
            <w:tcW w:w="2268" w:type="dxa"/>
            <w:vAlign w:val="center"/>
          </w:tcPr>
          <w:p w14:paraId="5F78BA6B" w14:textId="32829B0D" w:rsidR="00F64925" w:rsidRPr="008F55EC" w:rsidRDefault="00B95A9B" w:rsidP="00B95A9B">
            <w:pPr>
              <w:jc w:val="right"/>
              <w:rPr>
                <w:rFonts w:cs="Arial"/>
                <w:sz w:val="22"/>
                <w:szCs w:val="22"/>
                <w:lang w:val="en-US"/>
              </w:rPr>
            </w:pPr>
            <w:r>
              <w:rPr>
                <w:rFonts w:cs="Arial"/>
                <w:sz w:val="22"/>
                <w:szCs w:val="22"/>
                <w:lang w:val="en-US"/>
              </w:rPr>
              <w:t>$</w:t>
            </w:r>
            <w:r w:rsidR="00AD184C">
              <w:rPr>
                <w:rFonts w:cs="Arial"/>
                <w:sz w:val="22"/>
                <w:szCs w:val="22"/>
                <w:lang w:val="en-US"/>
              </w:rPr>
              <w:t>118</w:t>
            </w:r>
            <w:r>
              <w:rPr>
                <w:rFonts w:cs="Arial"/>
                <w:sz w:val="22"/>
                <w:szCs w:val="22"/>
                <w:lang w:val="en-US"/>
              </w:rPr>
              <w:t>,000,000</w:t>
            </w:r>
          </w:p>
        </w:tc>
        <w:tc>
          <w:tcPr>
            <w:tcW w:w="3118" w:type="dxa"/>
          </w:tcPr>
          <w:p w14:paraId="35947BE7" w14:textId="509FEA21" w:rsidR="00F64925" w:rsidRPr="008F55EC" w:rsidRDefault="00AD184C" w:rsidP="00B95A9B">
            <w:pPr>
              <w:jc w:val="right"/>
              <w:rPr>
                <w:rFonts w:cs="Arial"/>
                <w:sz w:val="22"/>
                <w:szCs w:val="22"/>
                <w:lang w:val="en-US"/>
              </w:rPr>
            </w:pPr>
            <w:r>
              <w:rPr>
                <w:rFonts w:cs="Arial"/>
                <w:sz w:val="22"/>
                <w:szCs w:val="22"/>
                <w:lang w:val="en-US"/>
              </w:rPr>
              <w:t>47</w:t>
            </w:r>
            <w:r w:rsidR="00B95A9B">
              <w:rPr>
                <w:rFonts w:cs="Arial"/>
                <w:sz w:val="22"/>
                <w:szCs w:val="22"/>
                <w:lang w:val="en-US"/>
              </w:rPr>
              <w:t>%</w:t>
            </w:r>
          </w:p>
        </w:tc>
      </w:tr>
      <w:tr w:rsidR="00F64925" w:rsidRPr="008F55EC" w14:paraId="2D8EC084" w14:textId="77777777" w:rsidTr="00AA3C19">
        <w:tc>
          <w:tcPr>
            <w:tcW w:w="2689" w:type="dxa"/>
            <w:vAlign w:val="center"/>
          </w:tcPr>
          <w:p w14:paraId="7DC04346" w14:textId="77777777" w:rsidR="00F64925" w:rsidRPr="008F55EC" w:rsidRDefault="00F64925" w:rsidP="00AA3C19">
            <w:pPr>
              <w:rPr>
                <w:rFonts w:cs="Arial"/>
                <w:sz w:val="22"/>
                <w:szCs w:val="22"/>
                <w:lang w:val="en-US"/>
              </w:rPr>
            </w:pPr>
            <w:r>
              <w:rPr>
                <w:rFonts w:cs="Arial"/>
                <w:color w:val="000000"/>
                <w:sz w:val="22"/>
                <w:szCs w:val="22"/>
              </w:rPr>
              <w:t>Non-work hours</w:t>
            </w:r>
          </w:p>
        </w:tc>
        <w:tc>
          <w:tcPr>
            <w:tcW w:w="2268" w:type="dxa"/>
            <w:vAlign w:val="center"/>
          </w:tcPr>
          <w:p w14:paraId="53E1C69F" w14:textId="1CCC0149" w:rsidR="00F64925" w:rsidRPr="008F55EC" w:rsidRDefault="00B95A9B" w:rsidP="00B95A9B">
            <w:pPr>
              <w:jc w:val="right"/>
              <w:rPr>
                <w:rFonts w:cs="Arial"/>
                <w:sz w:val="22"/>
                <w:szCs w:val="22"/>
                <w:lang w:val="en-US"/>
              </w:rPr>
            </w:pPr>
            <w:r>
              <w:rPr>
                <w:rFonts w:cs="Arial"/>
                <w:sz w:val="22"/>
                <w:szCs w:val="22"/>
                <w:lang w:val="en-US"/>
              </w:rPr>
              <w:t>$</w:t>
            </w:r>
            <w:r w:rsidR="00AD184C">
              <w:rPr>
                <w:rFonts w:cs="Arial"/>
                <w:sz w:val="22"/>
                <w:szCs w:val="22"/>
                <w:lang w:val="en-US"/>
              </w:rPr>
              <w:t>133</w:t>
            </w:r>
            <w:r>
              <w:rPr>
                <w:rFonts w:cs="Arial"/>
                <w:sz w:val="22"/>
                <w:szCs w:val="22"/>
                <w:lang w:val="en-US"/>
              </w:rPr>
              <w:t>,000,000</w:t>
            </w:r>
          </w:p>
        </w:tc>
        <w:tc>
          <w:tcPr>
            <w:tcW w:w="3118" w:type="dxa"/>
          </w:tcPr>
          <w:p w14:paraId="178D94B6" w14:textId="5CB29BEE" w:rsidR="00F64925" w:rsidRPr="008F55EC" w:rsidRDefault="00AD184C" w:rsidP="00B95A9B">
            <w:pPr>
              <w:jc w:val="right"/>
              <w:rPr>
                <w:rFonts w:cs="Arial"/>
                <w:sz w:val="22"/>
                <w:szCs w:val="22"/>
                <w:lang w:val="en-US"/>
              </w:rPr>
            </w:pPr>
            <w:r>
              <w:rPr>
                <w:rFonts w:cs="Arial"/>
                <w:sz w:val="22"/>
                <w:szCs w:val="22"/>
                <w:lang w:val="en-US"/>
              </w:rPr>
              <w:t>53</w:t>
            </w:r>
            <w:r w:rsidR="00B95A9B">
              <w:rPr>
                <w:rFonts w:cs="Arial"/>
                <w:sz w:val="22"/>
                <w:szCs w:val="22"/>
                <w:lang w:val="en-US"/>
              </w:rPr>
              <w:t>%</w:t>
            </w:r>
          </w:p>
        </w:tc>
      </w:tr>
    </w:tbl>
    <w:p w14:paraId="3196D9FD" w14:textId="25BA42D1" w:rsidR="005B476C" w:rsidRDefault="005B476C" w:rsidP="005B476C">
      <w:pPr>
        <w:pStyle w:val="ListParagraph"/>
        <w:numPr>
          <w:ilvl w:val="0"/>
          <w:numId w:val="21"/>
        </w:numPr>
      </w:pPr>
      <w:r w:rsidRPr="005B476C">
        <w:t>Work hours are 8am to 6pm, Monday to Friday.</w:t>
      </w:r>
    </w:p>
    <w:p w14:paraId="7854EA9E" w14:textId="7643FF3D" w:rsidR="005B476C" w:rsidRDefault="005B476C" w:rsidP="005B476C">
      <w:pPr>
        <w:pStyle w:val="Heading3"/>
        <w:rPr>
          <w:rFonts w:hint="eastAsia"/>
        </w:rPr>
      </w:pPr>
      <w:bookmarkStart w:id="38" w:name="_Toc182490835"/>
      <w:r>
        <w:t>Table 2</w:t>
      </w:r>
      <w:r w:rsidR="009B2762">
        <w:t>1</w:t>
      </w:r>
      <w:r>
        <w:t xml:space="preserve"> – </w:t>
      </w:r>
      <w:r w:rsidRPr="002031FC">
        <w:t>Weekday and weekend spend</w:t>
      </w:r>
      <w:r w:rsidR="00CA203B">
        <w:t>ing</w:t>
      </w:r>
      <w:r w:rsidRPr="002031FC">
        <w:t xml:space="preserve"> in </w:t>
      </w:r>
      <w:r w:rsidR="009B2762">
        <w:t>Southbank</w:t>
      </w:r>
      <w:r w:rsidRPr="002031FC">
        <w:t>, Q</w:t>
      </w:r>
      <w:r w:rsidR="009B2762">
        <w:t>3</w:t>
      </w:r>
      <w:r w:rsidRPr="002031FC">
        <w:t xml:space="preserve"> 2024</w:t>
      </w:r>
      <w:bookmarkEnd w:id="38"/>
      <w:r>
        <w:t xml:space="preserve"> </w:t>
      </w:r>
    </w:p>
    <w:tbl>
      <w:tblPr>
        <w:tblStyle w:val="TableGrid"/>
        <w:tblW w:w="0" w:type="auto"/>
        <w:tblLook w:val="04A0" w:firstRow="1" w:lastRow="0" w:firstColumn="1" w:lastColumn="0" w:noHBand="0" w:noVBand="1"/>
      </w:tblPr>
      <w:tblGrid>
        <w:gridCol w:w="2689"/>
        <w:gridCol w:w="2268"/>
        <w:gridCol w:w="3118"/>
      </w:tblGrid>
      <w:tr w:rsidR="005B476C" w:rsidRPr="008F55EC" w14:paraId="4860EF49" w14:textId="77777777" w:rsidTr="00922857">
        <w:tc>
          <w:tcPr>
            <w:tcW w:w="2689" w:type="dxa"/>
            <w:vAlign w:val="center"/>
          </w:tcPr>
          <w:p w14:paraId="6CB99A18" w14:textId="77777777" w:rsidR="005B476C" w:rsidRPr="00F64925" w:rsidRDefault="005B476C" w:rsidP="00922857">
            <w:pPr>
              <w:rPr>
                <w:rFonts w:cs="Arial"/>
                <w:b/>
                <w:bCs/>
                <w:sz w:val="22"/>
                <w:szCs w:val="22"/>
                <w:lang w:val="en-US"/>
              </w:rPr>
            </w:pPr>
            <w:r>
              <w:rPr>
                <w:rFonts w:cs="Arial"/>
                <w:b/>
                <w:bCs/>
                <w:sz w:val="22"/>
                <w:szCs w:val="22"/>
                <w:lang w:val="en-US"/>
              </w:rPr>
              <w:t>Time Period</w:t>
            </w:r>
          </w:p>
        </w:tc>
        <w:tc>
          <w:tcPr>
            <w:tcW w:w="2268" w:type="dxa"/>
            <w:vAlign w:val="center"/>
          </w:tcPr>
          <w:p w14:paraId="27597DBC" w14:textId="77777777" w:rsidR="005B476C" w:rsidRPr="008F55EC" w:rsidRDefault="005B476C" w:rsidP="00922857">
            <w:pPr>
              <w:rPr>
                <w:rFonts w:cs="Arial"/>
                <w:sz w:val="22"/>
                <w:szCs w:val="22"/>
                <w:lang w:val="en-US"/>
              </w:rPr>
            </w:pPr>
            <w:r>
              <w:rPr>
                <w:rFonts w:cs="Arial"/>
                <w:b/>
                <w:bCs/>
                <w:color w:val="000000"/>
                <w:sz w:val="22"/>
                <w:szCs w:val="22"/>
              </w:rPr>
              <w:t>Adjusted Spend</w:t>
            </w:r>
          </w:p>
        </w:tc>
        <w:tc>
          <w:tcPr>
            <w:tcW w:w="3118" w:type="dxa"/>
          </w:tcPr>
          <w:p w14:paraId="2F39683E" w14:textId="77777777" w:rsidR="005B476C" w:rsidRDefault="005B476C" w:rsidP="00922857">
            <w:pPr>
              <w:rPr>
                <w:rFonts w:cs="Arial"/>
                <w:b/>
                <w:bCs/>
                <w:color w:val="000000"/>
                <w:sz w:val="22"/>
                <w:szCs w:val="22"/>
              </w:rPr>
            </w:pPr>
            <w:r>
              <w:rPr>
                <w:rFonts w:cs="Arial"/>
                <w:b/>
                <w:bCs/>
                <w:color w:val="000000"/>
                <w:sz w:val="22"/>
                <w:szCs w:val="22"/>
              </w:rPr>
              <w:t>Percent of Average Spend</w:t>
            </w:r>
          </w:p>
        </w:tc>
      </w:tr>
      <w:tr w:rsidR="005B476C" w:rsidRPr="008F55EC" w14:paraId="2B2F8104" w14:textId="77777777" w:rsidTr="00922857">
        <w:tc>
          <w:tcPr>
            <w:tcW w:w="2689" w:type="dxa"/>
            <w:vAlign w:val="center"/>
          </w:tcPr>
          <w:p w14:paraId="49C8986A" w14:textId="77777777" w:rsidR="005B476C" w:rsidRPr="008F55EC" w:rsidRDefault="005B476C" w:rsidP="00922857">
            <w:pPr>
              <w:rPr>
                <w:rFonts w:cs="Arial"/>
                <w:sz w:val="22"/>
                <w:szCs w:val="22"/>
                <w:lang w:val="en-US"/>
              </w:rPr>
            </w:pPr>
            <w:r>
              <w:rPr>
                <w:rFonts w:cs="Arial"/>
                <w:color w:val="000000"/>
                <w:sz w:val="22"/>
                <w:szCs w:val="22"/>
              </w:rPr>
              <w:t>Weekdays</w:t>
            </w:r>
          </w:p>
        </w:tc>
        <w:tc>
          <w:tcPr>
            <w:tcW w:w="2268" w:type="dxa"/>
            <w:vAlign w:val="center"/>
          </w:tcPr>
          <w:p w14:paraId="2F8BECA1" w14:textId="0EC60D68" w:rsidR="005B476C" w:rsidRPr="008F55EC" w:rsidRDefault="00B95A9B" w:rsidP="00B95A9B">
            <w:pPr>
              <w:jc w:val="right"/>
              <w:rPr>
                <w:rFonts w:cs="Arial"/>
                <w:sz w:val="22"/>
                <w:szCs w:val="22"/>
                <w:lang w:val="en-US"/>
              </w:rPr>
            </w:pPr>
            <w:r>
              <w:rPr>
                <w:rFonts w:cs="Arial"/>
                <w:sz w:val="22"/>
                <w:szCs w:val="22"/>
                <w:lang w:val="en-US"/>
              </w:rPr>
              <w:t>$</w:t>
            </w:r>
            <w:r w:rsidR="006A7F7E">
              <w:rPr>
                <w:rFonts w:cs="Arial"/>
                <w:sz w:val="22"/>
                <w:szCs w:val="22"/>
                <w:lang w:val="en-US"/>
              </w:rPr>
              <w:t>155</w:t>
            </w:r>
            <w:r>
              <w:rPr>
                <w:rFonts w:cs="Arial"/>
                <w:sz w:val="22"/>
                <w:szCs w:val="22"/>
                <w:lang w:val="en-US"/>
              </w:rPr>
              <w:t>,000,000</w:t>
            </w:r>
          </w:p>
        </w:tc>
        <w:tc>
          <w:tcPr>
            <w:tcW w:w="3118" w:type="dxa"/>
          </w:tcPr>
          <w:p w14:paraId="2601B954" w14:textId="6358FA9D" w:rsidR="005B476C" w:rsidRPr="008F55EC" w:rsidRDefault="00B95A9B" w:rsidP="00B95A9B">
            <w:pPr>
              <w:jc w:val="right"/>
              <w:rPr>
                <w:rFonts w:cs="Arial"/>
                <w:sz w:val="22"/>
                <w:szCs w:val="22"/>
                <w:lang w:val="en-US"/>
              </w:rPr>
            </w:pPr>
            <w:r>
              <w:rPr>
                <w:rFonts w:cs="Arial"/>
                <w:sz w:val="22"/>
                <w:szCs w:val="22"/>
                <w:lang w:val="en-US"/>
              </w:rPr>
              <w:t>6</w:t>
            </w:r>
            <w:r w:rsidR="006A7F7E">
              <w:rPr>
                <w:rFonts w:cs="Arial"/>
                <w:sz w:val="22"/>
                <w:szCs w:val="22"/>
                <w:lang w:val="en-US"/>
              </w:rPr>
              <w:t>2</w:t>
            </w:r>
            <w:r>
              <w:rPr>
                <w:rFonts w:cs="Arial"/>
                <w:sz w:val="22"/>
                <w:szCs w:val="22"/>
                <w:lang w:val="en-US"/>
              </w:rPr>
              <w:t>%</w:t>
            </w:r>
          </w:p>
        </w:tc>
      </w:tr>
      <w:tr w:rsidR="005B476C" w:rsidRPr="008F55EC" w14:paraId="5FE9E507" w14:textId="77777777" w:rsidTr="00922857">
        <w:tc>
          <w:tcPr>
            <w:tcW w:w="2689" w:type="dxa"/>
            <w:vAlign w:val="center"/>
          </w:tcPr>
          <w:p w14:paraId="58754474" w14:textId="77777777" w:rsidR="005B476C" w:rsidRPr="008F55EC" w:rsidRDefault="005B476C" w:rsidP="00922857">
            <w:pPr>
              <w:rPr>
                <w:rFonts w:cs="Arial"/>
                <w:sz w:val="22"/>
                <w:szCs w:val="22"/>
                <w:lang w:val="en-US"/>
              </w:rPr>
            </w:pPr>
            <w:r>
              <w:rPr>
                <w:rFonts w:cs="Arial"/>
                <w:color w:val="000000"/>
                <w:sz w:val="22"/>
                <w:szCs w:val="22"/>
              </w:rPr>
              <w:t>Weekends</w:t>
            </w:r>
          </w:p>
        </w:tc>
        <w:tc>
          <w:tcPr>
            <w:tcW w:w="2268" w:type="dxa"/>
            <w:vAlign w:val="center"/>
          </w:tcPr>
          <w:p w14:paraId="25CFF35A" w14:textId="4980FA04" w:rsidR="005B476C" w:rsidRPr="008F55EC" w:rsidRDefault="00B95A9B" w:rsidP="00B95A9B">
            <w:pPr>
              <w:jc w:val="right"/>
              <w:rPr>
                <w:rFonts w:cs="Arial"/>
                <w:sz w:val="22"/>
                <w:szCs w:val="22"/>
                <w:lang w:val="en-US"/>
              </w:rPr>
            </w:pPr>
            <w:r>
              <w:rPr>
                <w:rFonts w:cs="Arial"/>
                <w:sz w:val="22"/>
                <w:szCs w:val="22"/>
                <w:lang w:val="en-US"/>
              </w:rPr>
              <w:t>$</w:t>
            </w:r>
            <w:r w:rsidR="006A7F7E">
              <w:rPr>
                <w:rFonts w:cs="Arial"/>
                <w:sz w:val="22"/>
                <w:szCs w:val="22"/>
                <w:lang w:val="en-US"/>
              </w:rPr>
              <w:t>96</w:t>
            </w:r>
            <w:r>
              <w:rPr>
                <w:rFonts w:cs="Arial"/>
                <w:sz w:val="22"/>
                <w:szCs w:val="22"/>
                <w:lang w:val="en-US"/>
              </w:rPr>
              <w:t>,000,000</w:t>
            </w:r>
          </w:p>
        </w:tc>
        <w:tc>
          <w:tcPr>
            <w:tcW w:w="3118" w:type="dxa"/>
          </w:tcPr>
          <w:p w14:paraId="35B79C09" w14:textId="27DA36CF" w:rsidR="005B476C" w:rsidRPr="008F55EC" w:rsidRDefault="006A7F7E" w:rsidP="00B95A9B">
            <w:pPr>
              <w:jc w:val="right"/>
              <w:rPr>
                <w:rFonts w:cs="Arial"/>
                <w:sz w:val="22"/>
                <w:szCs w:val="22"/>
                <w:lang w:val="en-US"/>
              </w:rPr>
            </w:pPr>
            <w:r>
              <w:rPr>
                <w:rFonts w:cs="Arial"/>
                <w:sz w:val="22"/>
                <w:szCs w:val="22"/>
                <w:lang w:val="en-US"/>
              </w:rPr>
              <w:t>38</w:t>
            </w:r>
            <w:r w:rsidR="00B95A9B">
              <w:rPr>
                <w:rFonts w:cs="Arial"/>
                <w:sz w:val="22"/>
                <w:szCs w:val="22"/>
                <w:lang w:val="en-US"/>
              </w:rPr>
              <w:t>%</w:t>
            </w:r>
          </w:p>
        </w:tc>
      </w:tr>
    </w:tbl>
    <w:p w14:paraId="1D418280" w14:textId="5491F004" w:rsidR="00F64925" w:rsidRDefault="00F64925" w:rsidP="00F64925">
      <w:pPr>
        <w:pStyle w:val="Heading3"/>
        <w:rPr>
          <w:rFonts w:hint="eastAsia"/>
        </w:rPr>
      </w:pPr>
      <w:bookmarkStart w:id="39" w:name="_Toc182490836"/>
      <w:r>
        <w:t>Table 2</w:t>
      </w:r>
      <w:r w:rsidR="009B2762">
        <w:t>2</w:t>
      </w:r>
      <w:r w:rsidR="005B476C">
        <w:t>.</w:t>
      </w:r>
      <w:r w:rsidR="002F4DE8">
        <w:t>a</w:t>
      </w:r>
      <w:r>
        <w:t xml:space="preserve"> – </w:t>
      </w:r>
      <w:r w:rsidR="005B476C" w:rsidRPr="005B476C">
        <w:t xml:space="preserve">Where spending in </w:t>
      </w:r>
      <w:r w:rsidR="009B2762">
        <w:t>Southbank</w:t>
      </w:r>
      <w:r w:rsidR="009B2762" w:rsidRPr="005B476C">
        <w:t xml:space="preserve"> </w:t>
      </w:r>
      <w:r w:rsidR="005B476C" w:rsidRPr="005B476C">
        <w:t>came from, Q</w:t>
      </w:r>
      <w:r w:rsidR="009B2762">
        <w:t>3</w:t>
      </w:r>
      <w:r w:rsidR="005B476C" w:rsidRPr="005B476C">
        <w:t xml:space="preserve"> 2024</w:t>
      </w:r>
      <w:bookmarkEnd w:id="39"/>
    </w:p>
    <w:tbl>
      <w:tblPr>
        <w:tblStyle w:val="TableGrid"/>
        <w:tblW w:w="0" w:type="auto"/>
        <w:tblLook w:val="04A0" w:firstRow="1" w:lastRow="0" w:firstColumn="1" w:lastColumn="0" w:noHBand="0" w:noVBand="1"/>
      </w:tblPr>
      <w:tblGrid>
        <w:gridCol w:w="2972"/>
        <w:gridCol w:w="1985"/>
        <w:gridCol w:w="3118"/>
      </w:tblGrid>
      <w:tr w:rsidR="00BA5216" w:rsidRPr="008F55EC" w14:paraId="3CDFE7C2" w14:textId="77777777" w:rsidTr="00AA3C19">
        <w:tc>
          <w:tcPr>
            <w:tcW w:w="2972" w:type="dxa"/>
            <w:vAlign w:val="center"/>
          </w:tcPr>
          <w:p w14:paraId="108D6239" w14:textId="77777777" w:rsidR="00BA5216" w:rsidRPr="00F64925" w:rsidRDefault="00BA5216" w:rsidP="00AA3C19">
            <w:pPr>
              <w:rPr>
                <w:rFonts w:cs="Arial"/>
                <w:b/>
                <w:bCs/>
                <w:sz w:val="22"/>
                <w:szCs w:val="22"/>
                <w:lang w:val="en-US"/>
              </w:rPr>
            </w:pPr>
            <w:r>
              <w:rPr>
                <w:rFonts w:cs="Arial"/>
                <w:b/>
                <w:bCs/>
                <w:sz w:val="22"/>
                <w:szCs w:val="22"/>
                <w:lang w:val="en-US"/>
              </w:rPr>
              <w:t>Customer Type</w:t>
            </w:r>
          </w:p>
        </w:tc>
        <w:tc>
          <w:tcPr>
            <w:tcW w:w="1985" w:type="dxa"/>
            <w:vAlign w:val="center"/>
          </w:tcPr>
          <w:p w14:paraId="1AFDEED0" w14:textId="77777777" w:rsidR="00BA5216" w:rsidRPr="008F55EC" w:rsidRDefault="00BA5216" w:rsidP="00AA3C19">
            <w:pPr>
              <w:rPr>
                <w:rFonts w:cs="Arial"/>
                <w:sz w:val="22"/>
                <w:szCs w:val="22"/>
                <w:lang w:val="en-US"/>
              </w:rPr>
            </w:pPr>
            <w:r>
              <w:rPr>
                <w:rFonts w:cs="Arial"/>
                <w:b/>
                <w:bCs/>
                <w:color w:val="000000"/>
                <w:sz w:val="22"/>
                <w:szCs w:val="22"/>
              </w:rPr>
              <w:t>Adjusted Spend</w:t>
            </w:r>
          </w:p>
        </w:tc>
        <w:tc>
          <w:tcPr>
            <w:tcW w:w="3118" w:type="dxa"/>
          </w:tcPr>
          <w:p w14:paraId="1ABF6DB1" w14:textId="77777777" w:rsidR="00BA5216" w:rsidRDefault="00BA5216" w:rsidP="00AA3C19">
            <w:pPr>
              <w:rPr>
                <w:rFonts w:cs="Arial"/>
                <w:b/>
                <w:bCs/>
                <w:color w:val="000000"/>
                <w:sz w:val="22"/>
                <w:szCs w:val="22"/>
              </w:rPr>
            </w:pPr>
            <w:r>
              <w:rPr>
                <w:rFonts w:cs="Arial"/>
                <w:b/>
                <w:bCs/>
                <w:color w:val="000000"/>
                <w:sz w:val="22"/>
                <w:szCs w:val="22"/>
              </w:rPr>
              <w:t>Percent of Average Spend</w:t>
            </w:r>
          </w:p>
        </w:tc>
      </w:tr>
      <w:tr w:rsidR="00BA5216" w:rsidRPr="008F55EC" w14:paraId="052BE35B" w14:textId="77777777" w:rsidTr="00AA3C19">
        <w:tc>
          <w:tcPr>
            <w:tcW w:w="2972" w:type="dxa"/>
            <w:vAlign w:val="center"/>
          </w:tcPr>
          <w:p w14:paraId="74CAC9C0" w14:textId="77777777" w:rsidR="00BA5216" w:rsidRPr="008F55EC" w:rsidRDefault="00BA5216" w:rsidP="00AA3C19">
            <w:pPr>
              <w:rPr>
                <w:rFonts w:cs="Arial"/>
                <w:sz w:val="22"/>
                <w:szCs w:val="22"/>
                <w:lang w:val="en-US"/>
              </w:rPr>
            </w:pPr>
            <w:r>
              <w:rPr>
                <w:rFonts w:cs="Arial"/>
                <w:sz w:val="22"/>
                <w:szCs w:val="22"/>
                <w:lang w:val="en-US"/>
              </w:rPr>
              <w:t>City of Melbourne residents</w:t>
            </w:r>
          </w:p>
        </w:tc>
        <w:tc>
          <w:tcPr>
            <w:tcW w:w="1985" w:type="dxa"/>
            <w:vAlign w:val="center"/>
          </w:tcPr>
          <w:p w14:paraId="22AAC782" w14:textId="0D3A2E9C" w:rsidR="00BA5216" w:rsidRPr="008F55EC" w:rsidRDefault="00B95A9B" w:rsidP="00B95A9B">
            <w:pPr>
              <w:jc w:val="right"/>
              <w:rPr>
                <w:rFonts w:cs="Arial"/>
                <w:sz w:val="22"/>
                <w:szCs w:val="22"/>
                <w:lang w:val="en-US"/>
              </w:rPr>
            </w:pPr>
            <w:r>
              <w:rPr>
                <w:rFonts w:cs="Arial"/>
                <w:sz w:val="22"/>
                <w:szCs w:val="22"/>
                <w:lang w:val="en-US"/>
              </w:rPr>
              <w:t>$</w:t>
            </w:r>
            <w:r w:rsidR="006A7F7E">
              <w:rPr>
                <w:rFonts w:cs="Arial"/>
                <w:sz w:val="22"/>
                <w:szCs w:val="22"/>
                <w:lang w:val="en-US"/>
              </w:rPr>
              <w:t>15</w:t>
            </w:r>
            <w:r>
              <w:rPr>
                <w:rFonts w:cs="Arial"/>
                <w:sz w:val="22"/>
                <w:szCs w:val="22"/>
                <w:lang w:val="en-US"/>
              </w:rPr>
              <w:t>,000,000</w:t>
            </w:r>
          </w:p>
        </w:tc>
        <w:tc>
          <w:tcPr>
            <w:tcW w:w="3118" w:type="dxa"/>
          </w:tcPr>
          <w:p w14:paraId="0CB48A57" w14:textId="25AB79B5" w:rsidR="00BA5216" w:rsidRPr="008F55EC" w:rsidRDefault="006A7F7E" w:rsidP="00B95A9B">
            <w:pPr>
              <w:jc w:val="right"/>
              <w:rPr>
                <w:rFonts w:cs="Arial"/>
                <w:sz w:val="22"/>
                <w:szCs w:val="22"/>
                <w:lang w:val="en-US"/>
              </w:rPr>
            </w:pPr>
            <w:r>
              <w:rPr>
                <w:rFonts w:cs="Arial"/>
                <w:sz w:val="22"/>
                <w:szCs w:val="22"/>
                <w:lang w:val="en-US"/>
              </w:rPr>
              <w:t>6</w:t>
            </w:r>
            <w:r w:rsidR="00B95A9B">
              <w:rPr>
                <w:rFonts w:cs="Arial"/>
                <w:sz w:val="22"/>
                <w:szCs w:val="22"/>
                <w:lang w:val="en-US"/>
              </w:rPr>
              <w:t>%</w:t>
            </w:r>
          </w:p>
        </w:tc>
      </w:tr>
      <w:tr w:rsidR="00BA5216" w:rsidRPr="008F55EC" w14:paraId="5EDC959D" w14:textId="77777777" w:rsidTr="00AA3C19">
        <w:tc>
          <w:tcPr>
            <w:tcW w:w="2972" w:type="dxa"/>
            <w:vAlign w:val="center"/>
          </w:tcPr>
          <w:p w14:paraId="7FBDD2ED" w14:textId="77777777" w:rsidR="00BA5216" w:rsidRPr="008F55EC" w:rsidRDefault="00BA5216" w:rsidP="00AA3C19">
            <w:pPr>
              <w:rPr>
                <w:rFonts w:cs="Arial"/>
                <w:sz w:val="22"/>
                <w:szCs w:val="22"/>
                <w:lang w:val="en-US"/>
              </w:rPr>
            </w:pPr>
            <w:r>
              <w:rPr>
                <w:rFonts w:cs="Arial"/>
                <w:color w:val="000000"/>
                <w:sz w:val="22"/>
                <w:szCs w:val="22"/>
              </w:rPr>
              <w:t>Visitors</w:t>
            </w:r>
          </w:p>
        </w:tc>
        <w:tc>
          <w:tcPr>
            <w:tcW w:w="1985" w:type="dxa"/>
            <w:vAlign w:val="center"/>
          </w:tcPr>
          <w:p w14:paraId="3051C922" w14:textId="358C9ECC" w:rsidR="00BA5216" w:rsidRPr="008F55EC" w:rsidRDefault="00B95A9B" w:rsidP="00B95A9B">
            <w:pPr>
              <w:jc w:val="right"/>
              <w:rPr>
                <w:rFonts w:cs="Arial"/>
                <w:sz w:val="22"/>
                <w:szCs w:val="22"/>
                <w:lang w:val="en-US"/>
              </w:rPr>
            </w:pPr>
            <w:r>
              <w:rPr>
                <w:rFonts w:cs="Arial"/>
                <w:sz w:val="22"/>
                <w:szCs w:val="22"/>
                <w:lang w:val="en-US"/>
              </w:rPr>
              <w:t>$</w:t>
            </w:r>
            <w:r w:rsidR="006A7F7E">
              <w:rPr>
                <w:rFonts w:cs="Arial"/>
                <w:sz w:val="22"/>
                <w:szCs w:val="22"/>
                <w:lang w:val="en-US"/>
              </w:rPr>
              <w:t>235</w:t>
            </w:r>
            <w:r>
              <w:rPr>
                <w:rFonts w:cs="Arial"/>
                <w:sz w:val="22"/>
                <w:szCs w:val="22"/>
                <w:lang w:val="en-US"/>
              </w:rPr>
              <w:t>,000,000</w:t>
            </w:r>
          </w:p>
        </w:tc>
        <w:tc>
          <w:tcPr>
            <w:tcW w:w="3118" w:type="dxa"/>
          </w:tcPr>
          <w:p w14:paraId="4C9DDAB8" w14:textId="6FCE8F71" w:rsidR="00BA5216" w:rsidRPr="008F55EC" w:rsidRDefault="006A7F7E" w:rsidP="00B95A9B">
            <w:pPr>
              <w:jc w:val="right"/>
              <w:rPr>
                <w:rFonts w:cs="Arial"/>
                <w:sz w:val="22"/>
                <w:szCs w:val="22"/>
                <w:lang w:val="en-US"/>
              </w:rPr>
            </w:pPr>
            <w:r>
              <w:rPr>
                <w:rFonts w:cs="Arial"/>
                <w:sz w:val="22"/>
                <w:szCs w:val="22"/>
                <w:lang w:val="en-US"/>
              </w:rPr>
              <w:t>94</w:t>
            </w:r>
            <w:r w:rsidR="00B95A9B">
              <w:rPr>
                <w:rFonts w:cs="Arial"/>
                <w:sz w:val="22"/>
                <w:szCs w:val="22"/>
                <w:lang w:val="en-US"/>
              </w:rPr>
              <w:t>%</w:t>
            </w:r>
          </w:p>
        </w:tc>
      </w:tr>
    </w:tbl>
    <w:p w14:paraId="75382AF5" w14:textId="20119FC2" w:rsidR="00F64925" w:rsidRDefault="00F64925" w:rsidP="00F64925">
      <w:pPr>
        <w:pStyle w:val="Heading3"/>
        <w:rPr>
          <w:rFonts w:hint="eastAsia"/>
        </w:rPr>
      </w:pPr>
      <w:bookmarkStart w:id="40" w:name="_Toc182490837"/>
      <w:r>
        <w:t>Table 2</w:t>
      </w:r>
      <w:r w:rsidR="009B2762">
        <w:t>2</w:t>
      </w:r>
      <w:r w:rsidR="005B476C">
        <w:t>.</w:t>
      </w:r>
      <w:r w:rsidR="002F4DE8">
        <w:t>b</w:t>
      </w:r>
      <w:r>
        <w:t xml:space="preserve"> – </w:t>
      </w:r>
      <w:r w:rsidR="005B476C" w:rsidRPr="005B476C">
        <w:t xml:space="preserve">Where spending in </w:t>
      </w:r>
      <w:r w:rsidR="009B2762">
        <w:t>Southbank</w:t>
      </w:r>
      <w:r w:rsidR="009B2762" w:rsidRPr="005B476C">
        <w:t xml:space="preserve"> </w:t>
      </w:r>
      <w:r w:rsidR="005B476C" w:rsidRPr="005B476C">
        <w:t>came from, Q</w:t>
      </w:r>
      <w:r w:rsidR="009B2762">
        <w:t>3</w:t>
      </w:r>
      <w:r w:rsidR="005B476C" w:rsidRPr="005B476C">
        <w:t xml:space="preserve"> 2024</w:t>
      </w:r>
      <w:bookmarkEnd w:id="40"/>
    </w:p>
    <w:tbl>
      <w:tblPr>
        <w:tblStyle w:val="TableGrid"/>
        <w:tblW w:w="0" w:type="auto"/>
        <w:tblLook w:val="04A0" w:firstRow="1" w:lastRow="0" w:firstColumn="1" w:lastColumn="0" w:noHBand="0" w:noVBand="1"/>
      </w:tblPr>
      <w:tblGrid>
        <w:gridCol w:w="2972"/>
        <w:gridCol w:w="1985"/>
      </w:tblGrid>
      <w:tr w:rsidR="00DA2F88" w:rsidRPr="008F55EC" w14:paraId="637B2AD6" w14:textId="77777777" w:rsidTr="00AA3C19">
        <w:tc>
          <w:tcPr>
            <w:tcW w:w="2972" w:type="dxa"/>
            <w:vAlign w:val="center"/>
          </w:tcPr>
          <w:p w14:paraId="2463D70C" w14:textId="77777777" w:rsidR="00DA2F88" w:rsidRPr="00F64925" w:rsidRDefault="00DA2F88" w:rsidP="00AA3C19">
            <w:pPr>
              <w:rPr>
                <w:rFonts w:cs="Arial"/>
                <w:b/>
                <w:bCs/>
                <w:sz w:val="22"/>
                <w:szCs w:val="22"/>
                <w:lang w:val="en-US"/>
              </w:rPr>
            </w:pPr>
            <w:r>
              <w:rPr>
                <w:rFonts w:cs="Arial"/>
                <w:b/>
                <w:bCs/>
                <w:sz w:val="22"/>
                <w:szCs w:val="22"/>
                <w:lang w:val="en-US"/>
              </w:rPr>
              <w:t>Neighborhood Origin</w:t>
            </w:r>
          </w:p>
        </w:tc>
        <w:tc>
          <w:tcPr>
            <w:tcW w:w="1985" w:type="dxa"/>
            <w:vAlign w:val="center"/>
          </w:tcPr>
          <w:p w14:paraId="253DA1BB" w14:textId="77777777" w:rsidR="00DA2F88" w:rsidRPr="008F55EC" w:rsidRDefault="00DA2F88" w:rsidP="00AA3C19">
            <w:pPr>
              <w:rPr>
                <w:rFonts w:cs="Arial"/>
                <w:sz w:val="22"/>
                <w:szCs w:val="22"/>
                <w:lang w:val="en-US"/>
              </w:rPr>
            </w:pPr>
            <w:r>
              <w:rPr>
                <w:rFonts w:cs="Arial"/>
                <w:b/>
                <w:bCs/>
                <w:color w:val="000000"/>
                <w:sz w:val="22"/>
                <w:szCs w:val="22"/>
              </w:rPr>
              <w:t>Adjusted Spend</w:t>
            </w:r>
          </w:p>
        </w:tc>
      </w:tr>
      <w:tr w:rsidR="00DA2F88" w:rsidRPr="008F55EC" w14:paraId="1148155B" w14:textId="77777777" w:rsidTr="00AA3C19">
        <w:tc>
          <w:tcPr>
            <w:tcW w:w="2972" w:type="dxa"/>
            <w:vAlign w:val="center"/>
          </w:tcPr>
          <w:p w14:paraId="07274470" w14:textId="190D1327" w:rsidR="00DA2F88" w:rsidRPr="008F55EC" w:rsidRDefault="00617655" w:rsidP="00DA2F88">
            <w:pPr>
              <w:rPr>
                <w:rFonts w:cs="Arial"/>
                <w:sz w:val="22"/>
                <w:szCs w:val="22"/>
                <w:lang w:val="en-US"/>
              </w:rPr>
            </w:pPr>
            <w:r>
              <w:rPr>
                <w:rFonts w:cs="Arial"/>
                <w:sz w:val="22"/>
                <w:szCs w:val="22"/>
                <w:lang w:val="en-US"/>
              </w:rPr>
              <w:t>Port Phillip</w:t>
            </w:r>
          </w:p>
        </w:tc>
        <w:tc>
          <w:tcPr>
            <w:tcW w:w="1985" w:type="dxa"/>
            <w:vAlign w:val="center"/>
          </w:tcPr>
          <w:p w14:paraId="0879375C" w14:textId="6A8B665D" w:rsidR="00DA2F88" w:rsidRPr="008F55EC" w:rsidRDefault="00B95A9B" w:rsidP="00B95A9B">
            <w:pPr>
              <w:jc w:val="right"/>
              <w:rPr>
                <w:rFonts w:cs="Arial"/>
                <w:sz w:val="22"/>
                <w:szCs w:val="22"/>
                <w:lang w:val="en-US"/>
              </w:rPr>
            </w:pPr>
            <w:r>
              <w:rPr>
                <w:rFonts w:cs="Arial"/>
                <w:sz w:val="22"/>
                <w:szCs w:val="22"/>
                <w:lang w:val="en-US"/>
              </w:rPr>
              <w:t>$</w:t>
            </w:r>
            <w:r w:rsidR="00905373">
              <w:rPr>
                <w:rFonts w:cs="Arial"/>
                <w:sz w:val="22"/>
                <w:szCs w:val="22"/>
                <w:lang w:val="en-US"/>
              </w:rPr>
              <w:t>8</w:t>
            </w:r>
            <w:r>
              <w:rPr>
                <w:rFonts w:cs="Arial"/>
                <w:sz w:val="22"/>
                <w:szCs w:val="22"/>
                <w:lang w:val="en-US"/>
              </w:rPr>
              <w:t>,</w:t>
            </w:r>
            <w:r w:rsidR="00905373">
              <w:rPr>
                <w:rFonts w:cs="Arial"/>
                <w:sz w:val="22"/>
                <w:szCs w:val="22"/>
                <w:lang w:val="en-US"/>
              </w:rPr>
              <w:t>995,5</w:t>
            </w:r>
            <w:r>
              <w:rPr>
                <w:rFonts w:cs="Arial"/>
                <w:sz w:val="22"/>
                <w:szCs w:val="22"/>
                <w:lang w:val="en-US"/>
              </w:rPr>
              <w:t>00</w:t>
            </w:r>
          </w:p>
        </w:tc>
      </w:tr>
      <w:tr w:rsidR="00DA2F88" w:rsidRPr="008F55EC" w14:paraId="1C64EB2D" w14:textId="77777777" w:rsidTr="00AA3C19">
        <w:tc>
          <w:tcPr>
            <w:tcW w:w="2972" w:type="dxa"/>
            <w:vAlign w:val="center"/>
          </w:tcPr>
          <w:p w14:paraId="15680FE4" w14:textId="1BD18A03" w:rsidR="00DA2F88" w:rsidRPr="008F55EC" w:rsidRDefault="00617655" w:rsidP="00DA2F88">
            <w:pPr>
              <w:rPr>
                <w:rFonts w:cs="Arial"/>
                <w:sz w:val="22"/>
                <w:szCs w:val="22"/>
                <w:lang w:val="en-US"/>
              </w:rPr>
            </w:pPr>
            <w:r>
              <w:rPr>
                <w:rFonts w:cs="Arial"/>
                <w:sz w:val="22"/>
                <w:szCs w:val="22"/>
                <w:lang w:val="en-US"/>
              </w:rPr>
              <w:t>Boroondara</w:t>
            </w:r>
          </w:p>
        </w:tc>
        <w:tc>
          <w:tcPr>
            <w:tcW w:w="1985" w:type="dxa"/>
            <w:vAlign w:val="center"/>
          </w:tcPr>
          <w:p w14:paraId="54364A69" w14:textId="6BD20C68" w:rsidR="00DA2F88" w:rsidRPr="008F55EC" w:rsidRDefault="00B95A9B" w:rsidP="00B95A9B">
            <w:pPr>
              <w:jc w:val="right"/>
              <w:rPr>
                <w:rFonts w:cs="Arial"/>
                <w:sz w:val="22"/>
                <w:szCs w:val="22"/>
                <w:lang w:val="en-US"/>
              </w:rPr>
            </w:pPr>
            <w:r>
              <w:rPr>
                <w:rFonts w:cs="Arial"/>
                <w:sz w:val="22"/>
                <w:szCs w:val="22"/>
                <w:lang w:val="en-US"/>
              </w:rPr>
              <w:t>$</w:t>
            </w:r>
            <w:r w:rsidR="00905373">
              <w:rPr>
                <w:rFonts w:cs="Arial"/>
                <w:sz w:val="22"/>
                <w:szCs w:val="22"/>
                <w:lang w:val="en-US"/>
              </w:rPr>
              <w:t>5</w:t>
            </w:r>
            <w:r>
              <w:rPr>
                <w:rFonts w:cs="Arial"/>
                <w:sz w:val="22"/>
                <w:szCs w:val="22"/>
                <w:lang w:val="en-US"/>
              </w:rPr>
              <w:t>,55</w:t>
            </w:r>
            <w:r w:rsidR="00905373">
              <w:rPr>
                <w:rFonts w:cs="Arial"/>
                <w:sz w:val="22"/>
                <w:szCs w:val="22"/>
                <w:lang w:val="en-US"/>
              </w:rPr>
              <w:t>2</w:t>
            </w:r>
            <w:r>
              <w:rPr>
                <w:rFonts w:cs="Arial"/>
                <w:sz w:val="22"/>
                <w:szCs w:val="22"/>
                <w:lang w:val="en-US"/>
              </w:rPr>
              <w:t>,</w:t>
            </w:r>
            <w:r w:rsidR="00905373">
              <w:rPr>
                <w:rFonts w:cs="Arial"/>
                <w:sz w:val="22"/>
                <w:szCs w:val="22"/>
                <w:lang w:val="en-US"/>
              </w:rPr>
              <w:t>5</w:t>
            </w:r>
            <w:r>
              <w:rPr>
                <w:rFonts w:cs="Arial"/>
                <w:sz w:val="22"/>
                <w:szCs w:val="22"/>
                <w:lang w:val="en-US"/>
              </w:rPr>
              <w:t>00</w:t>
            </w:r>
          </w:p>
        </w:tc>
      </w:tr>
      <w:tr w:rsidR="00DA2F88" w:rsidRPr="008F55EC" w14:paraId="31414ACE" w14:textId="77777777" w:rsidTr="00AA3C19">
        <w:tc>
          <w:tcPr>
            <w:tcW w:w="2972" w:type="dxa"/>
            <w:vAlign w:val="center"/>
          </w:tcPr>
          <w:p w14:paraId="669EEF78" w14:textId="783F884C" w:rsidR="00DA2F88" w:rsidRPr="008F55EC" w:rsidRDefault="00617655" w:rsidP="00DA2F88">
            <w:pPr>
              <w:rPr>
                <w:rFonts w:cs="Arial"/>
                <w:sz w:val="22"/>
                <w:szCs w:val="22"/>
                <w:lang w:val="en-US"/>
              </w:rPr>
            </w:pPr>
            <w:r>
              <w:rPr>
                <w:rFonts w:cs="Arial"/>
                <w:sz w:val="22"/>
                <w:szCs w:val="22"/>
                <w:lang w:val="en-US"/>
              </w:rPr>
              <w:t>Wyndham</w:t>
            </w:r>
          </w:p>
        </w:tc>
        <w:tc>
          <w:tcPr>
            <w:tcW w:w="1985" w:type="dxa"/>
            <w:vAlign w:val="center"/>
          </w:tcPr>
          <w:p w14:paraId="7A55AB6D" w14:textId="39E42C60" w:rsidR="00DA2F88" w:rsidRPr="008F55EC" w:rsidRDefault="00B95A9B" w:rsidP="00B95A9B">
            <w:pPr>
              <w:jc w:val="right"/>
              <w:rPr>
                <w:rFonts w:cs="Arial"/>
                <w:sz w:val="22"/>
                <w:szCs w:val="22"/>
                <w:lang w:val="en-US"/>
              </w:rPr>
            </w:pPr>
            <w:r>
              <w:rPr>
                <w:rFonts w:cs="Arial"/>
                <w:sz w:val="22"/>
                <w:szCs w:val="22"/>
                <w:lang w:val="en-US"/>
              </w:rPr>
              <w:t>$</w:t>
            </w:r>
            <w:r w:rsidR="00905373">
              <w:rPr>
                <w:rFonts w:cs="Arial"/>
                <w:sz w:val="22"/>
                <w:szCs w:val="22"/>
                <w:lang w:val="en-US"/>
              </w:rPr>
              <w:t>4</w:t>
            </w:r>
            <w:r>
              <w:rPr>
                <w:rFonts w:cs="Arial"/>
                <w:sz w:val="22"/>
                <w:szCs w:val="22"/>
                <w:lang w:val="en-US"/>
              </w:rPr>
              <w:t>,</w:t>
            </w:r>
            <w:r w:rsidR="00905373">
              <w:rPr>
                <w:rFonts w:cs="Arial"/>
                <w:sz w:val="22"/>
                <w:szCs w:val="22"/>
                <w:lang w:val="en-US"/>
              </w:rPr>
              <w:t>859</w:t>
            </w:r>
            <w:r>
              <w:rPr>
                <w:rFonts w:cs="Arial"/>
                <w:sz w:val="22"/>
                <w:szCs w:val="22"/>
                <w:lang w:val="en-US"/>
              </w:rPr>
              <w:t>,</w:t>
            </w:r>
            <w:r w:rsidR="00905373">
              <w:rPr>
                <w:rFonts w:cs="Arial"/>
                <w:sz w:val="22"/>
                <w:szCs w:val="22"/>
                <w:lang w:val="en-US"/>
              </w:rPr>
              <w:t>9</w:t>
            </w:r>
            <w:r>
              <w:rPr>
                <w:rFonts w:cs="Arial"/>
                <w:sz w:val="22"/>
                <w:szCs w:val="22"/>
                <w:lang w:val="en-US"/>
              </w:rPr>
              <w:t>00</w:t>
            </w:r>
          </w:p>
        </w:tc>
      </w:tr>
      <w:tr w:rsidR="00DA2F88" w:rsidRPr="008F55EC" w14:paraId="75356000" w14:textId="77777777" w:rsidTr="00AA3C19">
        <w:tc>
          <w:tcPr>
            <w:tcW w:w="2972" w:type="dxa"/>
            <w:vAlign w:val="center"/>
          </w:tcPr>
          <w:p w14:paraId="30DF859F" w14:textId="3DFB6E16" w:rsidR="00DA2F88" w:rsidRPr="008F55EC" w:rsidRDefault="00905373" w:rsidP="00DA2F88">
            <w:pPr>
              <w:rPr>
                <w:rFonts w:cs="Arial"/>
                <w:sz w:val="22"/>
                <w:szCs w:val="22"/>
                <w:lang w:val="en-US"/>
              </w:rPr>
            </w:pPr>
            <w:r>
              <w:rPr>
                <w:rFonts w:cs="Arial"/>
                <w:sz w:val="22"/>
                <w:szCs w:val="22"/>
                <w:lang w:val="en-US"/>
              </w:rPr>
              <w:t>Bayside</w:t>
            </w:r>
          </w:p>
        </w:tc>
        <w:tc>
          <w:tcPr>
            <w:tcW w:w="1985" w:type="dxa"/>
            <w:vAlign w:val="center"/>
          </w:tcPr>
          <w:p w14:paraId="0A15F4DD" w14:textId="4281BA41" w:rsidR="00DA2F88" w:rsidRPr="008F55EC" w:rsidRDefault="00B95A9B" w:rsidP="00B95A9B">
            <w:pPr>
              <w:jc w:val="right"/>
              <w:rPr>
                <w:rFonts w:cs="Arial"/>
                <w:sz w:val="22"/>
                <w:szCs w:val="22"/>
                <w:lang w:val="en-US"/>
              </w:rPr>
            </w:pPr>
            <w:r>
              <w:rPr>
                <w:rFonts w:cs="Arial"/>
                <w:sz w:val="22"/>
                <w:szCs w:val="22"/>
                <w:lang w:val="en-US"/>
              </w:rPr>
              <w:t>$</w:t>
            </w:r>
            <w:r w:rsidR="00905373">
              <w:rPr>
                <w:rFonts w:cs="Arial"/>
                <w:sz w:val="22"/>
                <w:szCs w:val="22"/>
                <w:lang w:val="en-US"/>
              </w:rPr>
              <w:t>3</w:t>
            </w:r>
            <w:r>
              <w:rPr>
                <w:rFonts w:cs="Arial"/>
                <w:sz w:val="22"/>
                <w:szCs w:val="22"/>
                <w:lang w:val="en-US"/>
              </w:rPr>
              <w:t>,</w:t>
            </w:r>
            <w:r w:rsidR="00905373">
              <w:rPr>
                <w:rFonts w:cs="Arial"/>
                <w:sz w:val="22"/>
                <w:szCs w:val="22"/>
                <w:lang w:val="en-US"/>
              </w:rPr>
              <w:t>930</w:t>
            </w:r>
            <w:r>
              <w:rPr>
                <w:rFonts w:cs="Arial"/>
                <w:sz w:val="22"/>
                <w:szCs w:val="22"/>
                <w:lang w:val="en-US"/>
              </w:rPr>
              <w:t>,</w:t>
            </w:r>
            <w:r w:rsidR="00905373">
              <w:rPr>
                <w:rFonts w:cs="Arial"/>
                <w:sz w:val="22"/>
                <w:szCs w:val="22"/>
                <w:lang w:val="en-US"/>
              </w:rPr>
              <w:t>1</w:t>
            </w:r>
            <w:r>
              <w:rPr>
                <w:rFonts w:cs="Arial"/>
                <w:sz w:val="22"/>
                <w:szCs w:val="22"/>
                <w:lang w:val="en-US"/>
              </w:rPr>
              <w:t>00</w:t>
            </w:r>
          </w:p>
        </w:tc>
      </w:tr>
      <w:tr w:rsidR="00DA2F88" w:rsidRPr="008F55EC" w14:paraId="60DB44FC" w14:textId="77777777" w:rsidTr="00AA3C19">
        <w:tc>
          <w:tcPr>
            <w:tcW w:w="2972" w:type="dxa"/>
            <w:vAlign w:val="center"/>
          </w:tcPr>
          <w:p w14:paraId="1BB0CA40" w14:textId="62E544BA" w:rsidR="00DA2F88" w:rsidRPr="008F55EC" w:rsidRDefault="00B95A9B" w:rsidP="00DA2F88">
            <w:pPr>
              <w:rPr>
                <w:rFonts w:cs="Arial"/>
                <w:sz w:val="22"/>
                <w:szCs w:val="22"/>
                <w:lang w:val="en-US"/>
              </w:rPr>
            </w:pPr>
            <w:r>
              <w:rPr>
                <w:rFonts w:cs="Arial"/>
                <w:sz w:val="22"/>
                <w:szCs w:val="22"/>
                <w:lang w:val="en-US"/>
              </w:rPr>
              <w:t>Hobsons Bay</w:t>
            </w:r>
          </w:p>
        </w:tc>
        <w:tc>
          <w:tcPr>
            <w:tcW w:w="1985" w:type="dxa"/>
            <w:vAlign w:val="center"/>
          </w:tcPr>
          <w:p w14:paraId="684BC29A" w14:textId="7E0E03F9" w:rsidR="00DA2F88" w:rsidRPr="008F55EC" w:rsidRDefault="00B95A9B" w:rsidP="00B95A9B">
            <w:pPr>
              <w:jc w:val="right"/>
              <w:rPr>
                <w:rFonts w:cs="Arial"/>
                <w:sz w:val="22"/>
                <w:szCs w:val="22"/>
                <w:lang w:val="en-US"/>
              </w:rPr>
            </w:pPr>
            <w:r>
              <w:rPr>
                <w:rFonts w:cs="Arial"/>
                <w:sz w:val="22"/>
                <w:szCs w:val="22"/>
                <w:lang w:val="en-US"/>
              </w:rPr>
              <w:t>$</w:t>
            </w:r>
            <w:r w:rsidR="00905373">
              <w:rPr>
                <w:rFonts w:cs="Arial"/>
                <w:sz w:val="22"/>
                <w:szCs w:val="22"/>
                <w:lang w:val="en-US"/>
              </w:rPr>
              <w:t>3,813</w:t>
            </w:r>
            <w:r>
              <w:rPr>
                <w:rFonts w:cs="Arial"/>
                <w:sz w:val="22"/>
                <w:szCs w:val="22"/>
                <w:lang w:val="en-US"/>
              </w:rPr>
              <w:t>,</w:t>
            </w:r>
            <w:r w:rsidR="00905373">
              <w:rPr>
                <w:rFonts w:cs="Arial"/>
                <w:sz w:val="22"/>
                <w:szCs w:val="22"/>
                <w:lang w:val="en-US"/>
              </w:rPr>
              <w:t>8</w:t>
            </w:r>
            <w:r>
              <w:rPr>
                <w:rFonts w:cs="Arial"/>
                <w:sz w:val="22"/>
                <w:szCs w:val="22"/>
                <w:lang w:val="en-US"/>
              </w:rPr>
              <w:t>00</w:t>
            </w:r>
          </w:p>
        </w:tc>
      </w:tr>
    </w:tbl>
    <w:p w14:paraId="4DD131CC" w14:textId="38E47E96" w:rsidR="009A4F83" w:rsidRDefault="187E780C" w:rsidP="4E54D03C">
      <w:pPr>
        <w:pStyle w:val="Heading2"/>
        <w:rPr>
          <w:rFonts w:hint="eastAsia"/>
        </w:rPr>
      </w:pPr>
      <w:bookmarkStart w:id="41" w:name="_Toc182490838"/>
      <w:r>
        <w:t>Appendix 1</w:t>
      </w:r>
      <w:r w:rsidR="1E69780F">
        <w:t>:</w:t>
      </w:r>
      <w:r>
        <w:t xml:space="preserve"> Data sources</w:t>
      </w:r>
      <w:bookmarkEnd w:id="41"/>
    </w:p>
    <w:p w14:paraId="7CA176A4" w14:textId="2593D8B1" w:rsidR="005B476C" w:rsidRPr="00454F3D" w:rsidRDefault="005B476C" w:rsidP="00E67C31">
      <w:pPr>
        <w:pStyle w:val="NormalWeb"/>
        <w:spacing w:after="0"/>
        <w:rPr>
          <w:rFonts w:ascii="Arial" w:hAnsi="Arial" w:cs="Arial"/>
          <w:color w:val="000000" w:themeColor="text1"/>
          <w:sz w:val="20"/>
          <w:szCs w:val="20"/>
          <w:shd w:val="clear" w:color="auto" w:fill="FFFFFF"/>
        </w:rPr>
      </w:pPr>
      <w:r w:rsidRPr="005B476C">
        <w:rPr>
          <w:rFonts w:ascii="Arial" w:hAnsi="Arial" w:cs="Arial"/>
          <w:color w:val="000000" w:themeColor="text1"/>
          <w:sz w:val="20"/>
          <w:szCs w:val="20"/>
          <w:shd w:val="clear" w:color="auto" w:fill="FFFFFF"/>
        </w:rPr>
        <w:t>Spendmapp by Geografia (inflation adjusted spend</w:t>
      </w:r>
      <w:proofErr w:type="gramStart"/>
      <w:r w:rsidRPr="005B476C">
        <w:rPr>
          <w:rFonts w:ascii="Arial" w:hAnsi="Arial" w:cs="Arial"/>
          <w:color w:val="000000" w:themeColor="text1"/>
          <w:sz w:val="20"/>
          <w:szCs w:val="20"/>
          <w:shd w:val="clear" w:color="auto" w:fill="FFFFFF"/>
        </w:rPr>
        <w:t>);</w:t>
      </w:r>
      <w:proofErr w:type="gramEnd"/>
      <w:r w:rsidRPr="005B476C">
        <w:rPr>
          <w:rFonts w:ascii="Arial" w:hAnsi="Arial" w:cs="Arial"/>
          <w:color w:val="000000" w:themeColor="text1"/>
          <w:sz w:val="20"/>
          <w:szCs w:val="20"/>
          <w:shd w:val="clear" w:color="auto" w:fill="FFFFFF"/>
        </w:rPr>
        <w:t xml:space="preserve"> </w:t>
      </w:r>
      <w:r w:rsidR="009B2762" w:rsidRPr="009B2762">
        <w:rPr>
          <w:rFonts w:ascii="Arial" w:hAnsi="Arial" w:cs="Arial"/>
          <w:color w:val="000000" w:themeColor="text1"/>
          <w:sz w:val="20"/>
          <w:szCs w:val="20"/>
          <w:shd w:val="clear" w:color="auto" w:fill="FFFFFF"/>
        </w:rPr>
        <w:t>Tourism Research Australia</w:t>
      </w:r>
      <w:r w:rsidR="003C49CE">
        <w:rPr>
          <w:rFonts w:ascii="Arial" w:hAnsi="Arial" w:cs="Arial"/>
          <w:color w:val="000000" w:themeColor="text1"/>
          <w:sz w:val="20"/>
          <w:szCs w:val="20"/>
          <w:shd w:val="clear" w:color="auto" w:fill="FFFFFF"/>
        </w:rPr>
        <w:t>.</w:t>
      </w:r>
    </w:p>
    <w:sectPr w:rsidR="005B476C" w:rsidRPr="00454F3D" w:rsidSect="003258DE">
      <w:endnotePr>
        <w:numFmt w:val="decimal"/>
      </w:endnotePr>
      <w:pgSz w:w="11900" w:h="16840"/>
      <w:pgMar w:top="1135" w:right="985"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7B00A" w14:textId="77777777" w:rsidR="00D70FFC" w:rsidRDefault="00D70FFC" w:rsidP="00BC719D">
      <w:pPr>
        <w:spacing w:after="0"/>
      </w:pPr>
      <w:r>
        <w:separator/>
      </w:r>
    </w:p>
  </w:endnote>
  <w:endnote w:type="continuationSeparator" w:id="0">
    <w:p w14:paraId="60061E4C" w14:textId="77777777" w:rsidR="00D70FFC" w:rsidRDefault="00D70FFC"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4D5A5" w14:textId="77777777" w:rsidR="00D70FFC" w:rsidRDefault="00D70FFC" w:rsidP="00577A39">
      <w:pPr>
        <w:spacing w:after="40" w:line="240" w:lineRule="auto"/>
      </w:pPr>
      <w:r>
        <w:separator/>
      </w:r>
    </w:p>
  </w:footnote>
  <w:footnote w:type="continuationSeparator" w:id="0">
    <w:p w14:paraId="3DEEC669" w14:textId="77777777" w:rsidR="00D70FFC" w:rsidRDefault="00D70FFC" w:rsidP="00EA2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4" w15:restartNumberingAfterBreak="0">
    <w:nsid w:val="12A57FDB"/>
    <w:multiLevelType w:val="hybridMultilevel"/>
    <w:tmpl w:val="9A7AB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6" w15:restartNumberingAfterBreak="0">
    <w:nsid w:val="28394ED0"/>
    <w:multiLevelType w:val="hybridMultilevel"/>
    <w:tmpl w:val="7A069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2B5D1C"/>
    <w:multiLevelType w:val="multilevel"/>
    <w:tmpl w:val="16506B6C"/>
    <w:numStyleLink w:val="ListNumbers"/>
  </w:abstractNum>
  <w:abstractNum w:abstractNumId="8" w15:restartNumberingAfterBreak="0">
    <w:nsid w:val="2B801772"/>
    <w:multiLevelType w:val="hybridMultilevel"/>
    <w:tmpl w:val="6FE2C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C10957"/>
    <w:multiLevelType w:val="multilevel"/>
    <w:tmpl w:val="16506B6C"/>
    <w:numStyleLink w:val="ListNumbers"/>
  </w:abstractNum>
  <w:abstractNum w:abstractNumId="11" w15:restartNumberingAfterBreak="0">
    <w:nsid w:val="3E405118"/>
    <w:multiLevelType w:val="hybridMultilevel"/>
    <w:tmpl w:val="9894F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1209CA"/>
    <w:multiLevelType w:val="multilevel"/>
    <w:tmpl w:val="16506B6C"/>
    <w:numStyleLink w:val="ListNumbers"/>
  </w:abstractNum>
  <w:abstractNum w:abstractNumId="14" w15:restartNumberingAfterBreak="0">
    <w:nsid w:val="6F7B1210"/>
    <w:multiLevelType w:val="hybridMultilevel"/>
    <w:tmpl w:val="5964A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A2C43DC"/>
    <w:multiLevelType w:val="multilevel"/>
    <w:tmpl w:val="16506B6C"/>
    <w:numStyleLink w:val="ListNumbers"/>
  </w:abstractNum>
  <w:abstractNum w:abstractNumId="16"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1275137882">
    <w:abstractNumId w:val="3"/>
  </w:num>
  <w:num w:numId="2" w16cid:durableId="405613552">
    <w:abstractNumId w:val="5"/>
  </w:num>
  <w:num w:numId="3" w16cid:durableId="233589251">
    <w:abstractNumId w:val="15"/>
  </w:num>
  <w:num w:numId="4" w16cid:durableId="1036200147">
    <w:abstractNumId w:val="0"/>
  </w:num>
  <w:num w:numId="5" w16cid:durableId="9570334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3458045">
    <w:abstractNumId w:val="7"/>
  </w:num>
  <w:num w:numId="7" w16cid:durableId="17119570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7336334">
    <w:abstractNumId w:val="13"/>
  </w:num>
  <w:num w:numId="9" w16cid:durableId="50619418">
    <w:abstractNumId w:val="10"/>
  </w:num>
  <w:num w:numId="10" w16cid:durableId="2089185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0251299">
    <w:abstractNumId w:val="1"/>
  </w:num>
  <w:num w:numId="12" w16cid:durableId="285091406">
    <w:abstractNumId w:val="9"/>
  </w:num>
  <w:num w:numId="13" w16cid:durableId="494489681">
    <w:abstractNumId w:val="12"/>
  </w:num>
  <w:num w:numId="14" w16cid:durableId="1930893562">
    <w:abstractNumId w:val="16"/>
  </w:num>
  <w:num w:numId="15" w16cid:durableId="18204894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5824233">
    <w:abstractNumId w:val="2"/>
  </w:num>
  <w:num w:numId="17" w16cid:durableId="1957834181">
    <w:abstractNumId w:val="6"/>
  </w:num>
  <w:num w:numId="18" w16cid:durableId="741022207">
    <w:abstractNumId w:val="3"/>
  </w:num>
  <w:num w:numId="19" w16cid:durableId="2146309773">
    <w:abstractNumId w:val="3"/>
  </w:num>
  <w:num w:numId="20" w16cid:durableId="1552888415">
    <w:abstractNumId w:val="4"/>
  </w:num>
  <w:num w:numId="21" w16cid:durableId="236475997">
    <w:abstractNumId w:val="14"/>
  </w:num>
  <w:num w:numId="22" w16cid:durableId="449007518">
    <w:abstractNumId w:val="8"/>
  </w:num>
  <w:num w:numId="23" w16cid:durableId="97710555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532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A91"/>
    <w:rsid w:val="00020B35"/>
    <w:rsid w:val="00032F51"/>
    <w:rsid w:val="00043793"/>
    <w:rsid w:val="000437C5"/>
    <w:rsid w:val="000474AE"/>
    <w:rsid w:val="000532DE"/>
    <w:rsid w:val="00071857"/>
    <w:rsid w:val="0008240E"/>
    <w:rsid w:val="00094246"/>
    <w:rsid w:val="0009455A"/>
    <w:rsid w:val="000A2BDA"/>
    <w:rsid w:val="000A48D5"/>
    <w:rsid w:val="000A53E6"/>
    <w:rsid w:val="000B5EAA"/>
    <w:rsid w:val="000C1D7A"/>
    <w:rsid w:val="000E616B"/>
    <w:rsid w:val="000F28AB"/>
    <w:rsid w:val="000F3535"/>
    <w:rsid w:val="000F3A62"/>
    <w:rsid w:val="00124A99"/>
    <w:rsid w:val="00126138"/>
    <w:rsid w:val="00135F5D"/>
    <w:rsid w:val="00151C6A"/>
    <w:rsid w:val="001772B1"/>
    <w:rsid w:val="00190B0E"/>
    <w:rsid w:val="001B51BF"/>
    <w:rsid w:val="001C6A3B"/>
    <w:rsid w:val="001D69B8"/>
    <w:rsid w:val="001F46B4"/>
    <w:rsid w:val="001F554D"/>
    <w:rsid w:val="002031FC"/>
    <w:rsid w:val="00210889"/>
    <w:rsid w:val="002436A6"/>
    <w:rsid w:val="002438B7"/>
    <w:rsid w:val="0024773F"/>
    <w:rsid w:val="00247B25"/>
    <w:rsid w:val="00260A86"/>
    <w:rsid w:val="00283798"/>
    <w:rsid w:val="00293B5C"/>
    <w:rsid w:val="002A0493"/>
    <w:rsid w:val="002A3841"/>
    <w:rsid w:val="002A4C65"/>
    <w:rsid w:val="002C031E"/>
    <w:rsid w:val="002D630D"/>
    <w:rsid w:val="002E01B9"/>
    <w:rsid w:val="002E4153"/>
    <w:rsid w:val="002E7B8E"/>
    <w:rsid w:val="002F47B6"/>
    <w:rsid w:val="002F4DE8"/>
    <w:rsid w:val="002F646F"/>
    <w:rsid w:val="002F6A88"/>
    <w:rsid w:val="0030394E"/>
    <w:rsid w:val="003258DE"/>
    <w:rsid w:val="003560A1"/>
    <w:rsid w:val="00380F44"/>
    <w:rsid w:val="00387840"/>
    <w:rsid w:val="00392688"/>
    <w:rsid w:val="003C1BF2"/>
    <w:rsid w:val="003C49CE"/>
    <w:rsid w:val="003D63A8"/>
    <w:rsid w:val="003E3A9F"/>
    <w:rsid w:val="003F09EC"/>
    <w:rsid w:val="003F25BE"/>
    <w:rsid w:val="003F6DFC"/>
    <w:rsid w:val="00407429"/>
    <w:rsid w:val="00411D07"/>
    <w:rsid w:val="00423541"/>
    <w:rsid w:val="00426584"/>
    <w:rsid w:val="00431D45"/>
    <w:rsid w:val="00454F3D"/>
    <w:rsid w:val="004564F4"/>
    <w:rsid w:val="00456FAB"/>
    <w:rsid w:val="00457042"/>
    <w:rsid w:val="0045832B"/>
    <w:rsid w:val="00464284"/>
    <w:rsid w:val="004878DB"/>
    <w:rsid w:val="004921FD"/>
    <w:rsid w:val="00493E0A"/>
    <w:rsid w:val="00494A2D"/>
    <w:rsid w:val="004A26E3"/>
    <w:rsid w:val="004B0A87"/>
    <w:rsid w:val="004C1AB5"/>
    <w:rsid w:val="004D00DD"/>
    <w:rsid w:val="004E1ECE"/>
    <w:rsid w:val="004F54F5"/>
    <w:rsid w:val="00505ACC"/>
    <w:rsid w:val="00535159"/>
    <w:rsid w:val="0053666A"/>
    <w:rsid w:val="00557799"/>
    <w:rsid w:val="005620A0"/>
    <w:rsid w:val="0056634E"/>
    <w:rsid w:val="0057264C"/>
    <w:rsid w:val="00577A39"/>
    <w:rsid w:val="005814F5"/>
    <w:rsid w:val="005B476C"/>
    <w:rsid w:val="005B506B"/>
    <w:rsid w:val="005C3F28"/>
    <w:rsid w:val="005C7F51"/>
    <w:rsid w:val="005D0A71"/>
    <w:rsid w:val="005D30BA"/>
    <w:rsid w:val="005F3CEB"/>
    <w:rsid w:val="005F4391"/>
    <w:rsid w:val="00600AE1"/>
    <w:rsid w:val="0061211D"/>
    <w:rsid w:val="006172D1"/>
    <w:rsid w:val="00617655"/>
    <w:rsid w:val="006443D9"/>
    <w:rsid w:val="00687D4A"/>
    <w:rsid w:val="006A2F63"/>
    <w:rsid w:val="006A3718"/>
    <w:rsid w:val="006A7F7E"/>
    <w:rsid w:val="006C0085"/>
    <w:rsid w:val="006C7F7B"/>
    <w:rsid w:val="007100E4"/>
    <w:rsid w:val="00712950"/>
    <w:rsid w:val="00715B3E"/>
    <w:rsid w:val="00723A75"/>
    <w:rsid w:val="0073401D"/>
    <w:rsid w:val="007361D8"/>
    <w:rsid w:val="00737A99"/>
    <w:rsid w:val="00756954"/>
    <w:rsid w:val="00757EEC"/>
    <w:rsid w:val="00772AEA"/>
    <w:rsid w:val="00782E37"/>
    <w:rsid w:val="007967C3"/>
    <w:rsid w:val="007A0AA6"/>
    <w:rsid w:val="007A2C76"/>
    <w:rsid w:val="007E291E"/>
    <w:rsid w:val="007E6347"/>
    <w:rsid w:val="007F0661"/>
    <w:rsid w:val="007F2FF2"/>
    <w:rsid w:val="00802A52"/>
    <w:rsid w:val="00806F0F"/>
    <w:rsid w:val="00823A07"/>
    <w:rsid w:val="00825D3D"/>
    <w:rsid w:val="00831224"/>
    <w:rsid w:val="00850060"/>
    <w:rsid w:val="0085013A"/>
    <w:rsid w:val="00850D66"/>
    <w:rsid w:val="00855F84"/>
    <w:rsid w:val="0086439A"/>
    <w:rsid w:val="00881C97"/>
    <w:rsid w:val="0088586D"/>
    <w:rsid w:val="008973E9"/>
    <w:rsid w:val="008A42B1"/>
    <w:rsid w:val="008B4414"/>
    <w:rsid w:val="008B512A"/>
    <w:rsid w:val="008C2916"/>
    <w:rsid w:val="008D1BB5"/>
    <w:rsid w:val="008D2DDA"/>
    <w:rsid w:val="008E2476"/>
    <w:rsid w:val="008F55EC"/>
    <w:rsid w:val="009043FC"/>
    <w:rsid w:val="009050C6"/>
    <w:rsid w:val="00905373"/>
    <w:rsid w:val="00906338"/>
    <w:rsid w:val="0091365A"/>
    <w:rsid w:val="0092528F"/>
    <w:rsid w:val="00955E32"/>
    <w:rsid w:val="009565CE"/>
    <w:rsid w:val="0097181E"/>
    <w:rsid w:val="00990B3C"/>
    <w:rsid w:val="009A37F3"/>
    <w:rsid w:val="009A4F83"/>
    <w:rsid w:val="009B2762"/>
    <w:rsid w:val="009B4DE8"/>
    <w:rsid w:val="009B6E1F"/>
    <w:rsid w:val="009C5A76"/>
    <w:rsid w:val="009D1FBA"/>
    <w:rsid w:val="009F4681"/>
    <w:rsid w:val="009F7577"/>
    <w:rsid w:val="00A01D13"/>
    <w:rsid w:val="00A0CCC5"/>
    <w:rsid w:val="00A121B3"/>
    <w:rsid w:val="00A175CD"/>
    <w:rsid w:val="00A20ABD"/>
    <w:rsid w:val="00A27DF9"/>
    <w:rsid w:val="00A50617"/>
    <w:rsid w:val="00A5193E"/>
    <w:rsid w:val="00A74C66"/>
    <w:rsid w:val="00A8651A"/>
    <w:rsid w:val="00AA4303"/>
    <w:rsid w:val="00AB6132"/>
    <w:rsid w:val="00AD184C"/>
    <w:rsid w:val="00AD2B6E"/>
    <w:rsid w:val="00AD7FE7"/>
    <w:rsid w:val="00AF02E0"/>
    <w:rsid w:val="00AF4B64"/>
    <w:rsid w:val="00B152AF"/>
    <w:rsid w:val="00B334DD"/>
    <w:rsid w:val="00B53D5A"/>
    <w:rsid w:val="00B61F7F"/>
    <w:rsid w:val="00B776A9"/>
    <w:rsid w:val="00B80ADB"/>
    <w:rsid w:val="00B93B1F"/>
    <w:rsid w:val="00B95A9B"/>
    <w:rsid w:val="00BA5216"/>
    <w:rsid w:val="00BC5E8E"/>
    <w:rsid w:val="00BC719D"/>
    <w:rsid w:val="00BE100F"/>
    <w:rsid w:val="00BE1269"/>
    <w:rsid w:val="00BE4B49"/>
    <w:rsid w:val="00BE6801"/>
    <w:rsid w:val="00C0291B"/>
    <w:rsid w:val="00C05740"/>
    <w:rsid w:val="00C07190"/>
    <w:rsid w:val="00C14F9F"/>
    <w:rsid w:val="00C2007C"/>
    <w:rsid w:val="00C37F6A"/>
    <w:rsid w:val="00C42412"/>
    <w:rsid w:val="00C55B65"/>
    <w:rsid w:val="00C72568"/>
    <w:rsid w:val="00C73DA2"/>
    <w:rsid w:val="00C75211"/>
    <w:rsid w:val="00CA189C"/>
    <w:rsid w:val="00CA203B"/>
    <w:rsid w:val="00CA3730"/>
    <w:rsid w:val="00CB2D6A"/>
    <w:rsid w:val="00CB5C49"/>
    <w:rsid w:val="00CB6145"/>
    <w:rsid w:val="00CD382D"/>
    <w:rsid w:val="00D00427"/>
    <w:rsid w:val="00D02C4A"/>
    <w:rsid w:val="00D1252D"/>
    <w:rsid w:val="00D23D2B"/>
    <w:rsid w:val="00D24DA3"/>
    <w:rsid w:val="00D378BC"/>
    <w:rsid w:val="00D46770"/>
    <w:rsid w:val="00D57437"/>
    <w:rsid w:val="00D70FFC"/>
    <w:rsid w:val="00D77363"/>
    <w:rsid w:val="00D77423"/>
    <w:rsid w:val="00DA2F88"/>
    <w:rsid w:val="00DB4981"/>
    <w:rsid w:val="00DE63D0"/>
    <w:rsid w:val="00E05E1C"/>
    <w:rsid w:val="00E16E93"/>
    <w:rsid w:val="00E4646D"/>
    <w:rsid w:val="00E5089C"/>
    <w:rsid w:val="00E54E84"/>
    <w:rsid w:val="00E617E0"/>
    <w:rsid w:val="00E63C2E"/>
    <w:rsid w:val="00E63D29"/>
    <w:rsid w:val="00E67C31"/>
    <w:rsid w:val="00E82344"/>
    <w:rsid w:val="00E84AAE"/>
    <w:rsid w:val="00E86DCD"/>
    <w:rsid w:val="00E94A1C"/>
    <w:rsid w:val="00EA2130"/>
    <w:rsid w:val="00EB4501"/>
    <w:rsid w:val="00EB64C9"/>
    <w:rsid w:val="00EC4AF9"/>
    <w:rsid w:val="00ED7629"/>
    <w:rsid w:val="00EF11AE"/>
    <w:rsid w:val="00F03DF7"/>
    <w:rsid w:val="00F07FBE"/>
    <w:rsid w:val="00F1256F"/>
    <w:rsid w:val="00F221E1"/>
    <w:rsid w:val="00F24B46"/>
    <w:rsid w:val="00F353EB"/>
    <w:rsid w:val="00F4048D"/>
    <w:rsid w:val="00F41FC6"/>
    <w:rsid w:val="00F44EDC"/>
    <w:rsid w:val="00F61A91"/>
    <w:rsid w:val="00F61B69"/>
    <w:rsid w:val="00F62D9C"/>
    <w:rsid w:val="00F63593"/>
    <w:rsid w:val="00F64925"/>
    <w:rsid w:val="00F7371C"/>
    <w:rsid w:val="00F83261"/>
    <w:rsid w:val="00F84BB4"/>
    <w:rsid w:val="00F91691"/>
    <w:rsid w:val="00F93CD4"/>
    <w:rsid w:val="00FA2DFF"/>
    <w:rsid w:val="00FA7EFD"/>
    <w:rsid w:val="00FC6D23"/>
    <w:rsid w:val="00FE3C74"/>
    <w:rsid w:val="00FF1497"/>
    <w:rsid w:val="0145CC04"/>
    <w:rsid w:val="014A4C4F"/>
    <w:rsid w:val="02BBB97C"/>
    <w:rsid w:val="0348DECB"/>
    <w:rsid w:val="03663EB7"/>
    <w:rsid w:val="03AD7957"/>
    <w:rsid w:val="03C134BF"/>
    <w:rsid w:val="03D36A49"/>
    <w:rsid w:val="03E78DCD"/>
    <w:rsid w:val="042BB4CD"/>
    <w:rsid w:val="04512D8C"/>
    <w:rsid w:val="045B0738"/>
    <w:rsid w:val="05428B3C"/>
    <w:rsid w:val="0610C301"/>
    <w:rsid w:val="06C4207D"/>
    <w:rsid w:val="07005A6D"/>
    <w:rsid w:val="07624D09"/>
    <w:rsid w:val="07D9B43F"/>
    <w:rsid w:val="082ED43B"/>
    <w:rsid w:val="08DD5BDE"/>
    <w:rsid w:val="09820762"/>
    <w:rsid w:val="09B6A70F"/>
    <w:rsid w:val="0A7158FB"/>
    <w:rsid w:val="0BF76274"/>
    <w:rsid w:val="0C9ADCCB"/>
    <w:rsid w:val="0CC5343C"/>
    <w:rsid w:val="0CCC6100"/>
    <w:rsid w:val="0D12CE77"/>
    <w:rsid w:val="0D316584"/>
    <w:rsid w:val="0D3BC60C"/>
    <w:rsid w:val="0D5FC073"/>
    <w:rsid w:val="0E68C946"/>
    <w:rsid w:val="0E82E29E"/>
    <w:rsid w:val="0EF83AAF"/>
    <w:rsid w:val="0F0795DC"/>
    <w:rsid w:val="0F80CD0C"/>
    <w:rsid w:val="0FF72CE0"/>
    <w:rsid w:val="1001101E"/>
    <w:rsid w:val="10DC2FFF"/>
    <w:rsid w:val="1139249F"/>
    <w:rsid w:val="11781967"/>
    <w:rsid w:val="123C9FDF"/>
    <w:rsid w:val="12B11292"/>
    <w:rsid w:val="1362A70F"/>
    <w:rsid w:val="14283F80"/>
    <w:rsid w:val="14755713"/>
    <w:rsid w:val="14F93311"/>
    <w:rsid w:val="158991A8"/>
    <w:rsid w:val="15A44170"/>
    <w:rsid w:val="15C1A20D"/>
    <w:rsid w:val="167583B8"/>
    <w:rsid w:val="170E7BD2"/>
    <w:rsid w:val="17317FE7"/>
    <w:rsid w:val="17F91915"/>
    <w:rsid w:val="183FC745"/>
    <w:rsid w:val="187E780C"/>
    <w:rsid w:val="18AE1C69"/>
    <w:rsid w:val="197AB14E"/>
    <w:rsid w:val="197B1902"/>
    <w:rsid w:val="198047DA"/>
    <w:rsid w:val="1A7CC4F3"/>
    <w:rsid w:val="1AE4DCB1"/>
    <w:rsid w:val="1B1897B9"/>
    <w:rsid w:val="1B53B10C"/>
    <w:rsid w:val="1CABCAC2"/>
    <w:rsid w:val="1D487513"/>
    <w:rsid w:val="1DD86966"/>
    <w:rsid w:val="1E035516"/>
    <w:rsid w:val="1E222B87"/>
    <w:rsid w:val="1E279452"/>
    <w:rsid w:val="1E69780F"/>
    <w:rsid w:val="1F3FD9C2"/>
    <w:rsid w:val="20B38B2F"/>
    <w:rsid w:val="20C91A7C"/>
    <w:rsid w:val="2103C8E2"/>
    <w:rsid w:val="214F514D"/>
    <w:rsid w:val="221CE01B"/>
    <w:rsid w:val="231FC18D"/>
    <w:rsid w:val="233D8265"/>
    <w:rsid w:val="236BE615"/>
    <w:rsid w:val="241A495C"/>
    <w:rsid w:val="243132B1"/>
    <w:rsid w:val="24C978B0"/>
    <w:rsid w:val="24D7A7CB"/>
    <w:rsid w:val="2560A39C"/>
    <w:rsid w:val="2574B3FB"/>
    <w:rsid w:val="258C8D59"/>
    <w:rsid w:val="26607E69"/>
    <w:rsid w:val="26FA3C68"/>
    <w:rsid w:val="27797E7F"/>
    <w:rsid w:val="27880DCC"/>
    <w:rsid w:val="28960CC9"/>
    <w:rsid w:val="28E0477A"/>
    <w:rsid w:val="28E64AA0"/>
    <w:rsid w:val="299B0A93"/>
    <w:rsid w:val="2ADA1679"/>
    <w:rsid w:val="2B1071F5"/>
    <w:rsid w:val="2B11FC09"/>
    <w:rsid w:val="2BDC474C"/>
    <w:rsid w:val="2C397881"/>
    <w:rsid w:val="2C6D538B"/>
    <w:rsid w:val="2CB86921"/>
    <w:rsid w:val="2D254E1D"/>
    <w:rsid w:val="2D891BB8"/>
    <w:rsid w:val="2DA1FE0A"/>
    <w:rsid w:val="2DFCB352"/>
    <w:rsid w:val="2E4E3B0A"/>
    <w:rsid w:val="2F1E76AA"/>
    <w:rsid w:val="2FAFC587"/>
    <w:rsid w:val="30A86A5C"/>
    <w:rsid w:val="30FBFD97"/>
    <w:rsid w:val="3123BD02"/>
    <w:rsid w:val="316D2B27"/>
    <w:rsid w:val="31893B85"/>
    <w:rsid w:val="3194E1A1"/>
    <w:rsid w:val="3256176C"/>
    <w:rsid w:val="326307A3"/>
    <w:rsid w:val="334FA992"/>
    <w:rsid w:val="33F1E7CD"/>
    <w:rsid w:val="3408D65E"/>
    <w:rsid w:val="343FB8EE"/>
    <w:rsid w:val="34404030"/>
    <w:rsid w:val="345E3437"/>
    <w:rsid w:val="35578C1C"/>
    <w:rsid w:val="357C7D57"/>
    <w:rsid w:val="357CD871"/>
    <w:rsid w:val="36517721"/>
    <w:rsid w:val="36574FC1"/>
    <w:rsid w:val="36607FFB"/>
    <w:rsid w:val="36C12A01"/>
    <w:rsid w:val="36CF0EF0"/>
    <w:rsid w:val="36E52243"/>
    <w:rsid w:val="370F00C0"/>
    <w:rsid w:val="389AF5BC"/>
    <w:rsid w:val="38CBE130"/>
    <w:rsid w:val="39634DB4"/>
    <w:rsid w:val="3A315ED5"/>
    <w:rsid w:val="3B24621D"/>
    <w:rsid w:val="3BE2EED2"/>
    <w:rsid w:val="3BFAAFAF"/>
    <w:rsid w:val="3CD79448"/>
    <w:rsid w:val="3D65DE49"/>
    <w:rsid w:val="3DACB734"/>
    <w:rsid w:val="3DE9FCCD"/>
    <w:rsid w:val="3E1ACAD5"/>
    <w:rsid w:val="3E7859D6"/>
    <w:rsid w:val="3F29E304"/>
    <w:rsid w:val="3F7E106D"/>
    <w:rsid w:val="408399E8"/>
    <w:rsid w:val="41F4DED7"/>
    <w:rsid w:val="44B33698"/>
    <w:rsid w:val="44BD4FA5"/>
    <w:rsid w:val="44C9D3BF"/>
    <w:rsid w:val="4543BE19"/>
    <w:rsid w:val="45EC3D86"/>
    <w:rsid w:val="46F98A23"/>
    <w:rsid w:val="47159F14"/>
    <w:rsid w:val="485B753B"/>
    <w:rsid w:val="48D16E43"/>
    <w:rsid w:val="49125138"/>
    <w:rsid w:val="49125F3A"/>
    <w:rsid w:val="4A4D3FD6"/>
    <w:rsid w:val="4AF64FFC"/>
    <w:rsid w:val="4B5BDEE2"/>
    <w:rsid w:val="4B845550"/>
    <w:rsid w:val="4B98CF33"/>
    <w:rsid w:val="4C67D49C"/>
    <w:rsid w:val="4CD0BF5F"/>
    <w:rsid w:val="4CD29EF8"/>
    <w:rsid w:val="4D7C8862"/>
    <w:rsid w:val="4E1B9E89"/>
    <w:rsid w:val="4E54D03C"/>
    <w:rsid w:val="4EBE4ADD"/>
    <w:rsid w:val="4FD24E3C"/>
    <w:rsid w:val="5074F170"/>
    <w:rsid w:val="5099C81D"/>
    <w:rsid w:val="51402F2F"/>
    <w:rsid w:val="5248B933"/>
    <w:rsid w:val="52FCD427"/>
    <w:rsid w:val="53216078"/>
    <w:rsid w:val="545A2F48"/>
    <w:rsid w:val="5490B6C4"/>
    <w:rsid w:val="5520FABF"/>
    <w:rsid w:val="55EF2DFC"/>
    <w:rsid w:val="56FA8925"/>
    <w:rsid w:val="580D722C"/>
    <w:rsid w:val="58ECF327"/>
    <w:rsid w:val="590B054F"/>
    <w:rsid w:val="5A12C811"/>
    <w:rsid w:val="5A17F09F"/>
    <w:rsid w:val="5A2F1EB5"/>
    <w:rsid w:val="5A4CB05E"/>
    <w:rsid w:val="5AC7F228"/>
    <w:rsid w:val="5B5E1CE4"/>
    <w:rsid w:val="5B6FF901"/>
    <w:rsid w:val="5B8C7642"/>
    <w:rsid w:val="5C1FB3B5"/>
    <w:rsid w:val="5D360104"/>
    <w:rsid w:val="5D5C36C7"/>
    <w:rsid w:val="5DDD5DE2"/>
    <w:rsid w:val="5E6BB41B"/>
    <w:rsid w:val="5E759EF8"/>
    <w:rsid w:val="5F4C9C60"/>
    <w:rsid w:val="5F645A1A"/>
    <w:rsid w:val="5FCB2623"/>
    <w:rsid w:val="6001D6D8"/>
    <w:rsid w:val="60347B3F"/>
    <w:rsid w:val="6104DC5D"/>
    <w:rsid w:val="611DCA08"/>
    <w:rsid w:val="615EA0A4"/>
    <w:rsid w:val="61B67A2E"/>
    <w:rsid w:val="620630CE"/>
    <w:rsid w:val="628F57B8"/>
    <w:rsid w:val="62A4B937"/>
    <w:rsid w:val="62CDDF22"/>
    <w:rsid w:val="62FE7EC7"/>
    <w:rsid w:val="631B860B"/>
    <w:rsid w:val="6339CEE7"/>
    <w:rsid w:val="633B5BA8"/>
    <w:rsid w:val="658F05AB"/>
    <w:rsid w:val="6652CD05"/>
    <w:rsid w:val="66B2ABA8"/>
    <w:rsid w:val="66C019B0"/>
    <w:rsid w:val="6944A808"/>
    <w:rsid w:val="6A0DB341"/>
    <w:rsid w:val="6A14EC0C"/>
    <w:rsid w:val="6A5E0301"/>
    <w:rsid w:val="6AD3462F"/>
    <w:rsid w:val="6B7ABC11"/>
    <w:rsid w:val="6BAF0BE1"/>
    <w:rsid w:val="6BB764FD"/>
    <w:rsid w:val="6BC275C3"/>
    <w:rsid w:val="6C478F04"/>
    <w:rsid w:val="6C857157"/>
    <w:rsid w:val="6CA1FDE4"/>
    <w:rsid w:val="6DD68F26"/>
    <w:rsid w:val="6DD85439"/>
    <w:rsid w:val="6E05E174"/>
    <w:rsid w:val="6E0E4118"/>
    <w:rsid w:val="6E7F3C05"/>
    <w:rsid w:val="6E831894"/>
    <w:rsid w:val="6EC05636"/>
    <w:rsid w:val="6ECB9F36"/>
    <w:rsid w:val="6F41F810"/>
    <w:rsid w:val="6F7971CE"/>
    <w:rsid w:val="6F91A30E"/>
    <w:rsid w:val="71999C99"/>
    <w:rsid w:val="71AFD59B"/>
    <w:rsid w:val="71BC0529"/>
    <w:rsid w:val="71CB510A"/>
    <w:rsid w:val="71EE8478"/>
    <w:rsid w:val="71F26184"/>
    <w:rsid w:val="72B6D088"/>
    <w:rsid w:val="731A514E"/>
    <w:rsid w:val="73ABA245"/>
    <w:rsid w:val="7413D658"/>
    <w:rsid w:val="743C5AD7"/>
    <w:rsid w:val="7445C518"/>
    <w:rsid w:val="74B3E851"/>
    <w:rsid w:val="75B99BD8"/>
    <w:rsid w:val="761044F5"/>
    <w:rsid w:val="761B0CEF"/>
    <w:rsid w:val="76287AD1"/>
    <w:rsid w:val="762D7D8A"/>
    <w:rsid w:val="769EC22D"/>
    <w:rsid w:val="76AEC020"/>
    <w:rsid w:val="7751C2CF"/>
    <w:rsid w:val="777C0DE6"/>
    <w:rsid w:val="786A1B8E"/>
    <w:rsid w:val="795B45EE"/>
    <w:rsid w:val="79EE9DE5"/>
    <w:rsid w:val="79F0DE77"/>
    <w:rsid w:val="7BABBD47"/>
    <w:rsid w:val="7BEDE1DB"/>
    <w:rsid w:val="7C76DB2B"/>
    <w:rsid w:val="7C89A8F5"/>
    <w:rsid w:val="7CBF6A36"/>
    <w:rsid w:val="7CFEA517"/>
    <w:rsid w:val="7D7C5774"/>
    <w:rsid w:val="7D8DCEE4"/>
    <w:rsid w:val="7EED4622"/>
    <w:rsid w:val="7F4FA1F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FB7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qFormat/>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paragraph" w:styleId="NormalWeb">
    <w:name w:val="Normal (Web)"/>
    <w:basedOn w:val="Normal"/>
    <w:uiPriority w:val="99"/>
    <w:semiHidden/>
    <w:unhideWhenUsed/>
    <w:rsid w:val="00B334DD"/>
    <w:pPr>
      <w:spacing w:before="100" w:beforeAutospacing="1" w:after="100" w:afterAutospacing="1" w:line="240" w:lineRule="auto"/>
    </w:pPr>
    <w:rPr>
      <w:rFonts w:ascii="Times New Roman" w:eastAsia="Times New Roman" w:hAnsi="Times New Roman"/>
      <w:sz w:val="24"/>
      <w:lang w:eastAsia="en-AU"/>
    </w:rPr>
  </w:style>
  <w:style w:type="character" w:customStyle="1" w:styleId="normaltextrun">
    <w:name w:val="normaltextrun"/>
    <w:basedOn w:val="DefaultParagraphFont"/>
    <w:rsid w:val="00C72568"/>
  </w:style>
  <w:style w:type="character" w:customStyle="1" w:styleId="eop">
    <w:name w:val="eop"/>
    <w:basedOn w:val="DefaultParagraphFont"/>
    <w:rsid w:val="00C72568"/>
  </w:style>
  <w:style w:type="character" w:styleId="UnresolvedMention">
    <w:name w:val="Unresolved Mention"/>
    <w:basedOn w:val="DefaultParagraphFont"/>
    <w:uiPriority w:val="99"/>
    <w:semiHidden/>
    <w:unhideWhenUsed/>
    <w:rsid w:val="007A2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2334">
      <w:bodyDiv w:val="1"/>
      <w:marLeft w:val="0"/>
      <w:marRight w:val="0"/>
      <w:marTop w:val="0"/>
      <w:marBottom w:val="0"/>
      <w:divBdr>
        <w:top w:val="none" w:sz="0" w:space="0" w:color="auto"/>
        <w:left w:val="none" w:sz="0" w:space="0" w:color="auto"/>
        <w:bottom w:val="none" w:sz="0" w:space="0" w:color="auto"/>
        <w:right w:val="none" w:sz="0" w:space="0" w:color="auto"/>
      </w:divBdr>
    </w:div>
    <w:div w:id="371465322">
      <w:bodyDiv w:val="1"/>
      <w:marLeft w:val="0"/>
      <w:marRight w:val="0"/>
      <w:marTop w:val="0"/>
      <w:marBottom w:val="0"/>
      <w:divBdr>
        <w:top w:val="none" w:sz="0" w:space="0" w:color="auto"/>
        <w:left w:val="none" w:sz="0" w:space="0" w:color="auto"/>
        <w:bottom w:val="none" w:sz="0" w:space="0" w:color="auto"/>
        <w:right w:val="none" w:sz="0" w:space="0" w:color="auto"/>
      </w:divBdr>
    </w:div>
    <w:div w:id="821778563">
      <w:bodyDiv w:val="1"/>
      <w:marLeft w:val="0"/>
      <w:marRight w:val="0"/>
      <w:marTop w:val="0"/>
      <w:marBottom w:val="0"/>
      <w:divBdr>
        <w:top w:val="none" w:sz="0" w:space="0" w:color="auto"/>
        <w:left w:val="none" w:sz="0" w:space="0" w:color="auto"/>
        <w:bottom w:val="none" w:sz="0" w:space="0" w:color="auto"/>
        <w:right w:val="none" w:sz="0" w:space="0" w:color="auto"/>
      </w:divBdr>
    </w:div>
    <w:div w:id="1035153221">
      <w:bodyDiv w:val="1"/>
      <w:marLeft w:val="0"/>
      <w:marRight w:val="0"/>
      <w:marTop w:val="0"/>
      <w:marBottom w:val="0"/>
      <w:divBdr>
        <w:top w:val="none" w:sz="0" w:space="0" w:color="auto"/>
        <w:left w:val="none" w:sz="0" w:space="0" w:color="auto"/>
        <w:bottom w:val="none" w:sz="0" w:space="0" w:color="auto"/>
        <w:right w:val="none" w:sz="0" w:space="0" w:color="auto"/>
      </w:divBdr>
    </w:div>
    <w:div w:id="1038971055">
      <w:bodyDiv w:val="1"/>
      <w:marLeft w:val="0"/>
      <w:marRight w:val="0"/>
      <w:marTop w:val="0"/>
      <w:marBottom w:val="0"/>
      <w:divBdr>
        <w:top w:val="none" w:sz="0" w:space="0" w:color="auto"/>
        <w:left w:val="none" w:sz="0" w:space="0" w:color="auto"/>
        <w:bottom w:val="none" w:sz="0" w:space="0" w:color="auto"/>
        <w:right w:val="none" w:sz="0" w:space="0" w:color="auto"/>
      </w:divBdr>
    </w:div>
    <w:div w:id="1391271058">
      <w:bodyDiv w:val="1"/>
      <w:marLeft w:val="0"/>
      <w:marRight w:val="0"/>
      <w:marTop w:val="0"/>
      <w:marBottom w:val="0"/>
      <w:divBdr>
        <w:top w:val="none" w:sz="0" w:space="0" w:color="auto"/>
        <w:left w:val="none" w:sz="0" w:space="0" w:color="auto"/>
        <w:bottom w:val="none" w:sz="0" w:space="0" w:color="auto"/>
        <w:right w:val="none" w:sz="0" w:space="0" w:color="auto"/>
      </w:divBdr>
    </w:div>
    <w:div w:id="1704818558">
      <w:bodyDiv w:val="1"/>
      <w:marLeft w:val="0"/>
      <w:marRight w:val="0"/>
      <w:marTop w:val="0"/>
      <w:marBottom w:val="0"/>
      <w:divBdr>
        <w:top w:val="none" w:sz="0" w:space="0" w:color="auto"/>
        <w:left w:val="none" w:sz="0" w:space="0" w:color="auto"/>
        <w:bottom w:val="none" w:sz="0" w:space="0" w:color="auto"/>
        <w:right w:val="none" w:sz="0" w:space="0" w:color="auto"/>
      </w:divBdr>
    </w:div>
    <w:div w:id="1717200012">
      <w:bodyDiv w:val="1"/>
      <w:marLeft w:val="0"/>
      <w:marRight w:val="0"/>
      <w:marTop w:val="0"/>
      <w:marBottom w:val="0"/>
      <w:divBdr>
        <w:top w:val="none" w:sz="0" w:space="0" w:color="auto"/>
        <w:left w:val="none" w:sz="0" w:space="0" w:color="auto"/>
        <w:bottom w:val="none" w:sz="0" w:space="0" w:color="auto"/>
        <w:right w:val="none" w:sz="0" w:space="0" w:color="auto"/>
      </w:divBdr>
    </w:div>
    <w:div w:id="1723869162">
      <w:bodyDiv w:val="1"/>
      <w:marLeft w:val="0"/>
      <w:marRight w:val="0"/>
      <w:marTop w:val="0"/>
      <w:marBottom w:val="0"/>
      <w:divBdr>
        <w:top w:val="none" w:sz="0" w:space="0" w:color="auto"/>
        <w:left w:val="none" w:sz="0" w:space="0" w:color="auto"/>
        <w:bottom w:val="none" w:sz="0" w:space="0" w:color="auto"/>
        <w:right w:val="none" w:sz="0" w:space="0" w:color="auto"/>
      </w:divBdr>
    </w:div>
    <w:div w:id="1806728723">
      <w:bodyDiv w:val="1"/>
      <w:marLeft w:val="0"/>
      <w:marRight w:val="0"/>
      <w:marTop w:val="0"/>
      <w:marBottom w:val="0"/>
      <w:divBdr>
        <w:top w:val="none" w:sz="0" w:space="0" w:color="auto"/>
        <w:left w:val="none" w:sz="0" w:space="0" w:color="auto"/>
        <w:bottom w:val="none" w:sz="0" w:space="0" w:color="auto"/>
        <w:right w:val="none" w:sz="0" w:space="0" w:color="auto"/>
      </w:divBdr>
    </w:div>
    <w:div w:id="2026469256">
      <w:bodyDiv w:val="1"/>
      <w:marLeft w:val="0"/>
      <w:marRight w:val="0"/>
      <w:marTop w:val="0"/>
      <w:marBottom w:val="0"/>
      <w:divBdr>
        <w:top w:val="none" w:sz="0" w:space="0" w:color="auto"/>
        <w:left w:val="none" w:sz="0" w:space="0" w:color="auto"/>
        <w:bottom w:val="none" w:sz="0" w:space="0" w:color="auto"/>
        <w:right w:val="none" w:sz="0" w:space="0" w:color="auto"/>
      </w:divBdr>
    </w:div>
    <w:div w:id="2037195683">
      <w:bodyDiv w:val="1"/>
      <w:marLeft w:val="0"/>
      <w:marRight w:val="0"/>
      <w:marTop w:val="0"/>
      <w:marBottom w:val="0"/>
      <w:divBdr>
        <w:top w:val="none" w:sz="0" w:space="0" w:color="auto"/>
        <w:left w:val="none" w:sz="0" w:space="0" w:color="auto"/>
        <w:bottom w:val="none" w:sz="0" w:space="0" w:color="auto"/>
        <w:right w:val="none" w:sz="0" w:space="0" w:color="auto"/>
      </w:divBdr>
    </w:div>
    <w:div w:id="21069211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4FF92-ED41-4762-BEEC-97BFE1200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2037</Words>
  <Characters>11615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2024-11-25T03:12:00Z</dcterms:created>
  <dcterms:modified xsi:type="dcterms:W3CDTF">2024-11-25T03:12:00Z</dcterms:modified>
  <cp:contentStatus/>
</cp:coreProperties>
</file>