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5CF38" w14:textId="4B0AE938" w:rsidR="008C3055" w:rsidRPr="00795B77" w:rsidRDefault="008C3055" w:rsidP="008C3055">
      <w:pPr>
        <w:pStyle w:val="DocumentTitle"/>
        <w:tabs>
          <w:tab w:val="left" w:pos="7938"/>
        </w:tabs>
      </w:pPr>
      <w:r w:rsidRPr="00795B77">
        <w:drawing>
          <wp:anchor distT="0" distB="0" distL="114300" distR="114300" simplePos="0" relativeHeight="251668480" behindDoc="1" locked="0" layoutInCell="1" allowOverlap="1" wp14:anchorId="5B6B87E2" wp14:editId="4748E28F">
            <wp:simplePos x="0" y="0"/>
            <wp:positionH relativeFrom="column">
              <wp:posOffset>5042535</wp:posOffset>
            </wp:positionH>
            <wp:positionV relativeFrom="margin">
              <wp:posOffset>-257175</wp:posOffset>
            </wp:positionV>
            <wp:extent cx="986790" cy="958215"/>
            <wp:effectExtent l="0" t="0" r="3810" b="0"/>
            <wp:wrapNone/>
            <wp:docPr id="141812855"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anchor>
        </w:drawing>
      </w:r>
      <w:r w:rsidR="00B16D06" w:rsidRPr="00B16D06">
        <w:t>Tourism and Events</w:t>
      </w:r>
    </w:p>
    <w:p w14:paraId="261C3D31" w14:textId="743CEEDF" w:rsidR="00BE514D" w:rsidRPr="00461810" w:rsidRDefault="00BE514D" w:rsidP="00463458">
      <w:r w:rsidRPr="00461810">
        <w:t xml:space="preserve">Melbourne is one of Australia’s most popular tourist destinations, attracting </w:t>
      </w:r>
      <w:r w:rsidR="00F44DC5">
        <w:br/>
      </w:r>
      <w:r w:rsidRPr="00461810">
        <w:t xml:space="preserve">business, leisure and event-based travellers. Recognised as the nation’s cultural, </w:t>
      </w:r>
      <w:r w:rsidR="00F44DC5">
        <w:br/>
      </w:r>
      <w:r w:rsidRPr="00461810">
        <w:t xml:space="preserve">culinary and events capital, Melbourne offers personalised experiences, world-class </w:t>
      </w:r>
      <w:r w:rsidR="00F44DC5">
        <w:br/>
      </w:r>
      <w:r w:rsidRPr="00461810">
        <w:t>dining and premium infrastructure for business events.</w:t>
      </w:r>
    </w:p>
    <w:p w14:paraId="3694B2AB" w14:textId="3C5DE71F" w:rsidR="00BE514D" w:rsidRPr="00461810" w:rsidRDefault="00BE514D" w:rsidP="00463458">
      <w:pPr>
        <w:pStyle w:val="ListBullet"/>
      </w:pPr>
      <w:r w:rsidRPr="00461810">
        <w:t>109,595 Companies in Victoria (2023)</w:t>
      </w:r>
    </w:p>
    <w:p w14:paraId="01971AD3" w14:textId="77777777" w:rsidR="00BE514D" w:rsidRPr="00461810" w:rsidRDefault="00BE514D" w:rsidP="00463458">
      <w:pPr>
        <w:pStyle w:val="ListBullet"/>
      </w:pPr>
      <w:r w:rsidRPr="00461810">
        <w:t>2.1m International visitors (VIC 2023)</w:t>
      </w:r>
    </w:p>
    <w:p w14:paraId="1CECB5D2" w14:textId="77777777" w:rsidR="00BE514D" w:rsidRPr="00461810" w:rsidRDefault="00BE514D" w:rsidP="00463458">
      <w:pPr>
        <w:pStyle w:val="ListBullet"/>
      </w:pPr>
      <w:r w:rsidRPr="00461810">
        <w:t>257,000 Jobs in Victoria (2022-23)</w:t>
      </w:r>
    </w:p>
    <w:p w14:paraId="4007F05D" w14:textId="77777777" w:rsidR="00BE514D" w:rsidRPr="00461810" w:rsidRDefault="00BE514D" w:rsidP="00463458">
      <w:pPr>
        <w:pStyle w:val="ListBullet"/>
      </w:pPr>
      <w:r w:rsidRPr="00461810">
        <w:t>$28.2b Gross State Product (2022–23)</w:t>
      </w:r>
    </w:p>
    <w:p w14:paraId="1F033DA1" w14:textId="77777777" w:rsidR="00BE514D" w:rsidRPr="00461810" w:rsidRDefault="00BE514D" w:rsidP="00BE11C7">
      <w:pPr>
        <w:pStyle w:val="Heading1"/>
        <w:rPr>
          <w:rFonts w:hint="eastAsia"/>
        </w:rPr>
      </w:pPr>
      <w:r w:rsidRPr="00461810">
        <w:t>A premier tourism and event destination</w:t>
      </w:r>
    </w:p>
    <w:p w14:paraId="680E0EDF" w14:textId="77777777" w:rsidR="00946C71" w:rsidRDefault="00BE514D" w:rsidP="00463458">
      <w:r w:rsidRPr="00461810">
        <w:t>Melbourne is an iconic Australian destination and the cultural heartbeat of Victoria. The city is renowned for its vibrant public realm, historical landmarks, architectural marvels and esteemed art galleries and museums, showcasing works by both local and international artists.</w:t>
      </w:r>
    </w:p>
    <w:p w14:paraId="5A601371" w14:textId="6D9E2C15" w:rsidR="00BE514D" w:rsidRPr="00461810" w:rsidRDefault="00BE514D" w:rsidP="00463458">
      <w:r w:rsidRPr="00461810">
        <w:t>The city’s distinct precincts and charming laneways brim with cafes while trendy bars and restaurants, bustling markets, chic boutiques and expansive parks create a distinctive cultural ambiance cherished by both residents and visitors.</w:t>
      </w:r>
    </w:p>
    <w:p w14:paraId="0E55980D" w14:textId="77777777" w:rsidR="00BE514D" w:rsidRPr="00461810" w:rsidRDefault="00BE514D" w:rsidP="00BE11C7">
      <w:pPr>
        <w:pStyle w:val="Heading2"/>
        <w:rPr>
          <w:rFonts w:hint="eastAsia"/>
        </w:rPr>
      </w:pPr>
      <w:r w:rsidRPr="00461810">
        <w:t>Major events</w:t>
      </w:r>
    </w:p>
    <w:p w14:paraId="04B6F19C" w14:textId="77777777" w:rsidR="00BE514D" w:rsidRPr="00461810" w:rsidRDefault="00BE514D" w:rsidP="00463458">
      <w:r w:rsidRPr="00461810">
        <w:t>Melbourne is the events capital of Australia – a place of endless creativity and world-class events, such as:</w:t>
      </w:r>
    </w:p>
    <w:p w14:paraId="795F9AB3" w14:textId="77777777" w:rsidR="00BE514D" w:rsidRPr="00461810" w:rsidRDefault="00BE514D" w:rsidP="00463458">
      <w:pPr>
        <w:pStyle w:val="ListBullet"/>
      </w:pPr>
      <w:r w:rsidRPr="00461810">
        <w:t>Australian Open Tennis Tournament</w:t>
      </w:r>
    </w:p>
    <w:p w14:paraId="63BECB99" w14:textId="77777777" w:rsidR="00BE514D" w:rsidRPr="00461810" w:rsidRDefault="00BE514D" w:rsidP="00463458">
      <w:pPr>
        <w:pStyle w:val="ListBullet"/>
      </w:pPr>
      <w:r w:rsidRPr="00461810">
        <w:t>Formula 1 Australian Grand Prix</w:t>
      </w:r>
    </w:p>
    <w:p w14:paraId="29958F1D" w14:textId="77777777" w:rsidR="00BE514D" w:rsidRPr="00461810" w:rsidRDefault="00BE514D" w:rsidP="00463458">
      <w:pPr>
        <w:pStyle w:val="ListBullet"/>
      </w:pPr>
      <w:r w:rsidRPr="00461810">
        <w:t>Melbourne International Comedy Festival</w:t>
      </w:r>
    </w:p>
    <w:p w14:paraId="69A01FE7" w14:textId="77777777" w:rsidR="00BE514D" w:rsidRPr="00461810" w:rsidRDefault="00BE514D" w:rsidP="00463458">
      <w:pPr>
        <w:pStyle w:val="ListBullet"/>
      </w:pPr>
      <w:r w:rsidRPr="00461810">
        <w:t>Melbourne Fashion Festival</w:t>
      </w:r>
    </w:p>
    <w:p w14:paraId="3EF4CEFD" w14:textId="77777777" w:rsidR="00BE514D" w:rsidRPr="00461810" w:rsidRDefault="00BE514D" w:rsidP="00463458">
      <w:pPr>
        <w:pStyle w:val="ListBullet"/>
      </w:pPr>
      <w:r w:rsidRPr="00461810">
        <w:t>Boxing Day Cricket Test Match</w:t>
      </w:r>
    </w:p>
    <w:p w14:paraId="50B5933B" w14:textId="77777777" w:rsidR="00BE514D" w:rsidRPr="00461810" w:rsidRDefault="00BE514D" w:rsidP="00463458">
      <w:pPr>
        <w:pStyle w:val="ListBullet"/>
      </w:pPr>
      <w:r w:rsidRPr="00461810">
        <w:t>Spring Racing Carnival.</w:t>
      </w:r>
    </w:p>
    <w:p w14:paraId="60DE17AC" w14:textId="77777777" w:rsidR="00BE514D" w:rsidRPr="00461810" w:rsidRDefault="00BE514D" w:rsidP="00463458">
      <w:r w:rsidRPr="00461810">
        <w:t>The city hosts thousands of festivals, exhibitions and events every year. Victoria’s blockbuster major events calendar delivered $3.3 billion to the Victorian economy in 2022–23.</w:t>
      </w:r>
    </w:p>
    <w:p w14:paraId="6427FAB5" w14:textId="77777777" w:rsidR="00BE514D" w:rsidRPr="00461810" w:rsidRDefault="00BE514D" w:rsidP="00BE11C7">
      <w:pPr>
        <w:pStyle w:val="Heading2"/>
        <w:rPr>
          <w:rFonts w:hint="eastAsia"/>
        </w:rPr>
      </w:pPr>
      <w:r w:rsidRPr="00461810">
        <w:t>Home to one of the largest spectator venues in the world</w:t>
      </w:r>
    </w:p>
    <w:p w14:paraId="6CC9E358" w14:textId="77777777" w:rsidR="00BE514D" w:rsidRPr="00461810" w:rsidRDefault="00BE514D" w:rsidP="00463458">
      <w:r w:rsidRPr="00461810">
        <w:t>Melbourne has some of the biggest, most accessible spectator venues in the world including AAMI Park, Flemington Racecourse, Marvel Stadium, Melbourne Cricket Ground (MCG) and Melbourne and Olympic Parks Precinct, which seats a total of 350,000 fans. Taylor Swift played to the biggest crowd of her career at the MCG in 2024.</w:t>
      </w:r>
    </w:p>
    <w:p w14:paraId="18238EE6" w14:textId="77777777" w:rsidR="00BE514D" w:rsidRPr="00461810" w:rsidRDefault="00BE514D" w:rsidP="00463458">
      <w:r w:rsidRPr="00461810">
        <w:t>Melbourne and Olympic Parks Precinct comprises several premier multi-use stadiums, including John Cain Arena, Kia Arena, Margaret Court Arena and Rod Laver Arena. Rod Laver Arena has hosted several international acts including Elton John, Beyonce, Rod Stewart, Katy Perry, Michael Bublé and Kylie Minogue.</w:t>
      </w:r>
    </w:p>
    <w:p w14:paraId="20F725B8" w14:textId="311AC95A" w:rsidR="00BE514D" w:rsidRPr="00461810" w:rsidRDefault="00BE514D" w:rsidP="00463458">
      <w:r w:rsidRPr="00461810">
        <w:lastRenderedPageBreak/>
        <w:t>The Australian Football League, the fourth highest average attendance league in the world, holds its Melbourne-based matches in Marvel Stadium and the Melbourne</w:t>
      </w:r>
      <w:r w:rsidR="00463458" w:rsidRPr="00461810">
        <w:t xml:space="preserve"> </w:t>
      </w:r>
      <w:r w:rsidRPr="00461810">
        <w:t>Cricket Ground.</w:t>
      </w:r>
    </w:p>
    <w:p w14:paraId="446EC7A7" w14:textId="6BAB60A1" w:rsidR="00BE514D" w:rsidRPr="00461810" w:rsidRDefault="00BE514D" w:rsidP="00BE11C7">
      <w:pPr>
        <w:pStyle w:val="Heading2"/>
        <w:rPr>
          <w:rFonts w:hint="eastAsia"/>
        </w:rPr>
      </w:pPr>
      <w:r w:rsidRPr="00461810">
        <w:t>An eclectic live theatre scene</w:t>
      </w:r>
    </w:p>
    <w:p w14:paraId="163E326D" w14:textId="24DEB128" w:rsidR="00BE514D" w:rsidRPr="00461810" w:rsidRDefault="00BE514D" w:rsidP="00463458">
      <w:r w:rsidRPr="00461810">
        <w:t>Melbourne has the country’s biggest live performance industry, attracting 7.5 million people to the city, generating</w:t>
      </w:r>
      <w:r w:rsidR="00463458" w:rsidRPr="00461810">
        <w:t xml:space="preserve"> </w:t>
      </w:r>
      <w:r w:rsidRPr="00461810">
        <w:t>$639 million in ticket revenue and creating 3,000 jobs per year.</w:t>
      </w:r>
    </w:p>
    <w:p w14:paraId="72B15D15" w14:textId="25F4316C" w:rsidR="00BE514D" w:rsidRPr="00461810" w:rsidRDefault="00BE514D" w:rsidP="00463458">
      <w:r w:rsidRPr="00461810">
        <w:t>The city’s East End theatres, including the Athenaeum, Comedy, Forum, Her Majesty’s, Princess and Regent theatres host 1.5 million people across 1,700 performances, generating</w:t>
      </w:r>
      <w:r w:rsidR="00463458" w:rsidRPr="00461810">
        <w:t xml:space="preserve"> </w:t>
      </w:r>
      <w:r w:rsidRPr="00461810">
        <w:t>$226 million in economic impact per year.</w:t>
      </w:r>
    </w:p>
    <w:p w14:paraId="34DE10DF" w14:textId="62E001DD" w:rsidR="00BE514D" w:rsidRDefault="00BE514D" w:rsidP="00463458">
      <w:r w:rsidRPr="00461810">
        <w:t xml:space="preserve">These theatres account for 85 per cent of Victoria’s professional musical theatre audiences. Melbourne has hosted several </w:t>
      </w:r>
      <w:proofErr w:type="gramStart"/>
      <w:r w:rsidRPr="00461810">
        <w:t>globally-renowned</w:t>
      </w:r>
      <w:proofErr w:type="gramEnd"/>
      <w:r w:rsidRPr="00461810">
        <w:t xml:space="preserve"> plays and musicals, including Chicago, Death of a Salesman, Grease,</w:t>
      </w:r>
      <w:r w:rsidR="00463458" w:rsidRPr="00461810">
        <w:t xml:space="preserve"> </w:t>
      </w:r>
      <w:r w:rsidRPr="00461810">
        <w:t>Harry Potter and the Deathly Hallows, Mama Mia, Moulin Rouge and Wicked.</w:t>
      </w:r>
    </w:p>
    <w:tbl>
      <w:tblPr>
        <w:tblStyle w:val="TableGrid"/>
        <w:tblW w:w="0" w:type="auto"/>
        <w:tblCellMar>
          <w:left w:w="170" w:type="dxa"/>
          <w:right w:w="170" w:type="dxa"/>
        </w:tblCellMar>
        <w:tblLook w:val="04A0" w:firstRow="1" w:lastRow="0" w:firstColumn="1" w:lastColumn="0" w:noHBand="0" w:noVBand="1"/>
      </w:tblPr>
      <w:tblGrid>
        <w:gridCol w:w="9622"/>
      </w:tblGrid>
      <w:tr w:rsidR="00BE11C7" w14:paraId="0DC0FA5F" w14:textId="77777777" w:rsidTr="00BE11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35A09412" w14:textId="77777777" w:rsidR="00BE11C7" w:rsidRPr="00461810" w:rsidRDefault="00BE11C7" w:rsidP="00BE11C7">
            <w:pPr>
              <w:pStyle w:val="Heading2"/>
              <w:spacing w:before="120"/>
              <w:rPr>
                <w:rFonts w:hint="eastAsia"/>
              </w:rPr>
            </w:pPr>
            <w:r w:rsidRPr="00461810">
              <w:t>Australian Open – Melbourne’s Grand Slam</w:t>
            </w:r>
          </w:p>
          <w:p w14:paraId="6C5D509A" w14:textId="77777777" w:rsidR="00BE11C7" w:rsidRPr="00BE11C7" w:rsidRDefault="00BE11C7" w:rsidP="00BE11C7">
            <w:pPr>
              <w:rPr>
                <w:b w:val="0"/>
                <w:bCs/>
              </w:rPr>
            </w:pPr>
            <w:r w:rsidRPr="00BE11C7">
              <w:rPr>
                <w:b w:val="0"/>
                <w:bCs/>
              </w:rPr>
              <w:t>The biggest names in tennis are drawn to Melbourne in January each year for the Australian Open, one of the four major championships in the global tennis calendar.</w:t>
            </w:r>
          </w:p>
          <w:p w14:paraId="52EA0A85" w14:textId="77777777" w:rsidR="00BE11C7" w:rsidRPr="00BE11C7" w:rsidRDefault="00BE11C7" w:rsidP="00BE11C7">
            <w:pPr>
              <w:rPr>
                <w:b w:val="0"/>
                <w:bCs/>
              </w:rPr>
            </w:pPr>
            <w:r w:rsidRPr="00BE11C7">
              <w:rPr>
                <w:b w:val="0"/>
                <w:bCs/>
              </w:rPr>
              <w:t>In 2024, the Australian Open broke all previous attendance records, attracting more than 1.1 million fans over three weeks who booked more than 622,000 bed nights in Melbourne hotels. The event was broadcast to 225 countries with 804 million broadcast hours viewed around the world.</w:t>
            </w:r>
          </w:p>
          <w:p w14:paraId="77A283C7" w14:textId="77777777" w:rsidR="00BE11C7" w:rsidRPr="00BE11C7" w:rsidRDefault="00BE11C7" w:rsidP="00BE11C7">
            <w:pPr>
              <w:rPr>
                <w:b w:val="0"/>
                <w:bCs/>
              </w:rPr>
            </w:pPr>
            <w:r w:rsidRPr="00BE11C7">
              <w:rPr>
                <w:b w:val="0"/>
                <w:bCs/>
              </w:rPr>
              <w:t>The Australian Open consistently supports the local economy, generating $3.14 billion in economic value over the past 10 years, with more than seven million attendees over that time.</w:t>
            </w:r>
          </w:p>
          <w:p w14:paraId="20664064" w14:textId="7AA2E4E2" w:rsidR="00BE11C7" w:rsidRDefault="00BE11C7" w:rsidP="00BE11C7">
            <w:pPr>
              <w:spacing w:after="120"/>
            </w:pPr>
            <w:r w:rsidRPr="00BE11C7">
              <w:rPr>
                <w:b w:val="0"/>
                <w:bCs/>
              </w:rPr>
              <w:t>Melbourne is central to the event’s identity which is widely recognised as a major tournament that draws global attention to the city.</w:t>
            </w:r>
          </w:p>
        </w:tc>
      </w:tr>
    </w:tbl>
    <w:p w14:paraId="4C5448C1" w14:textId="77777777" w:rsidR="00BE514D" w:rsidRPr="00461810" w:rsidRDefault="00BE514D" w:rsidP="00BE11C7">
      <w:pPr>
        <w:pStyle w:val="Heading1"/>
        <w:rPr>
          <w:rFonts w:hint="eastAsia"/>
        </w:rPr>
      </w:pPr>
      <w:r w:rsidRPr="00461810">
        <w:t>Leading business events destination</w:t>
      </w:r>
    </w:p>
    <w:p w14:paraId="5877F212" w14:textId="77777777" w:rsidR="00BE514D" w:rsidRPr="00461810" w:rsidRDefault="00BE514D" w:rsidP="00463458">
      <w:r w:rsidRPr="00461810">
        <w:t>In 2023 Melbourne secured its ninth consecutive title as ‘Oceania’s Leading Meetings and Conference Destination’. The city hosts hundreds of business events annually at world-class venues such as the Melbourne Convention and Exhibition Centre, Melbourne and Olympic Parks, Marvel Stadium and Showtime Events Group venues.</w:t>
      </w:r>
    </w:p>
    <w:p w14:paraId="54D84570" w14:textId="77777777" w:rsidR="00BE514D" w:rsidRPr="00461810" w:rsidRDefault="00BE514D" w:rsidP="00463458">
      <w:r w:rsidRPr="00461810">
        <w:t>The Melbourne Convention Bureau secures significant international events, including the Asia Pacific Incentives and Meetings Event and Rotary International Convention. They also provide free support services, and in certain instances, financial assistance to support event acquisition.</w:t>
      </w:r>
    </w:p>
    <w:p w14:paraId="07ECBC86" w14:textId="77777777" w:rsidR="00BE514D" w:rsidRPr="00461810" w:rsidRDefault="00BE514D" w:rsidP="00BE11C7">
      <w:pPr>
        <w:pStyle w:val="Heading1"/>
        <w:rPr>
          <w:rFonts w:hint="eastAsia"/>
        </w:rPr>
      </w:pPr>
      <w:r w:rsidRPr="00461810">
        <w:t xml:space="preserve">Business growth leads the </w:t>
      </w:r>
      <w:proofErr w:type="gramStart"/>
      <w:r w:rsidRPr="00461810">
        <w:t>country</w:t>
      </w:r>
      <w:proofErr w:type="gramEnd"/>
    </w:p>
    <w:p w14:paraId="20090433" w14:textId="77777777" w:rsidR="00BE514D" w:rsidRPr="00461810" w:rsidRDefault="00BE514D" w:rsidP="00463458">
      <w:r w:rsidRPr="00461810">
        <w:t>Victoria experienced the highest growth in Australia for tourism businesses from 2017 to 2022 and Melbourne experienced the strongest growth of all major cities.</w:t>
      </w:r>
    </w:p>
    <w:p w14:paraId="2DAD922F" w14:textId="77777777" w:rsidR="00BE11C7" w:rsidRDefault="00BE11C7">
      <w:pPr>
        <w:spacing w:after="0" w:line="240" w:lineRule="auto"/>
        <w:rPr>
          <w:rFonts w:ascii="Arial Bold" w:hAnsi="Arial Bold" w:hint="eastAsia"/>
          <w:b/>
          <w:bCs/>
          <w:szCs w:val="18"/>
        </w:rPr>
      </w:pPr>
      <w:r>
        <w:rPr>
          <w:rFonts w:hint="eastAsia"/>
        </w:rPr>
        <w:br w:type="page"/>
      </w:r>
    </w:p>
    <w:p w14:paraId="4218CD92" w14:textId="7A551903" w:rsidR="00BE514D" w:rsidRPr="00461810" w:rsidRDefault="00BE514D" w:rsidP="00884A2D">
      <w:pPr>
        <w:pStyle w:val="Caption"/>
        <w:rPr>
          <w:rFonts w:hint="eastAsia"/>
        </w:rPr>
      </w:pPr>
      <w:r w:rsidRPr="00461810">
        <w:lastRenderedPageBreak/>
        <w:t>Changes in total tourism related businesses (%, 2017–2022)</w:t>
      </w:r>
    </w:p>
    <w:tbl>
      <w:tblPr>
        <w:tblStyle w:val="TableGrid"/>
        <w:tblW w:w="3681" w:type="pct"/>
        <w:tblLook w:val="0420" w:firstRow="1" w:lastRow="0" w:firstColumn="0" w:lastColumn="0" w:noHBand="0" w:noVBand="1"/>
      </w:tblPr>
      <w:tblGrid>
        <w:gridCol w:w="2358"/>
        <w:gridCol w:w="4726"/>
      </w:tblGrid>
      <w:tr w:rsidR="009B215B" w:rsidRPr="009B215B" w14:paraId="71674B6A" w14:textId="77777777" w:rsidTr="00BE11C7">
        <w:trPr>
          <w:cnfStyle w:val="100000000000" w:firstRow="1" w:lastRow="0" w:firstColumn="0" w:lastColumn="0" w:oddVBand="0" w:evenVBand="0" w:oddHBand="0" w:evenHBand="0" w:firstRowFirstColumn="0" w:firstRowLastColumn="0" w:lastRowFirstColumn="0" w:lastRowLastColumn="0"/>
          <w:cantSplit w:val="0"/>
        </w:trPr>
        <w:tc>
          <w:tcPr>
            <w:tcW w:w="2358" w:type="dxa"/>
          </w:tcPr>
          <w:p w14:paraId="2CDA6002" w14:textId="77777777" w:rsidR="009B215B" w:rsidRPr="009B215B" w:rsidRDefault="009B215B" w:rsidP="00BE11C7">
            <w:pPr>
              <w:pStyle w:val="TableofFigures"/>
            </w:pPr>
            <w:r w:rsidRPr="009B215B">
              <w:t>City</w:t>
            </w:r>
          </w:p>
        </w:tc>
        <w:tc>
          <w:tcPr>
            <w:tcW w:w="4725" w:type="dxa"/>
          </w:tcPr>
          <w:p w14:paraId="50A1FCAD" w14:textId="3BF6BF23" w:rsidR="009B215B" w:rsidRPr="009B215B" w:rsidRDefault="009B215B" w:rsidP="00BE11C7">
            <w:pPr>
              <w:pStyle w:val="TableofFigures"/>
            </w:pPr>
            <w:r w:rsidRPr="009B215B">
              <w:t>Changes in total tourism related businesses %</w:t>
            </w:r>
          </w:p>
        </w:tc>
      </w:tr>
      <w:tr w:rsidR="009B215B" w:rsidRPr="009B215B" w14:paraId="6CF3D53D" w14:textId="77777777" w:rsidTr="00BE11C7">
        <w:tc>
          <w:tcPr>
            <w:tcW w:w="2358" w:type="dxa"/>
          </w:tcPr>
          <w:p w14:paraId="22C52828" w14:textId="77777777" w:rsidR="009B215B" w:rsidRPr="009B215B" w:rsidRDefault="009B215B" w:rsidP="00BE11C7">
            <w:pPr>
              <w:pStyle w:val="TableofFigures"/>
            </w:pPr>
            <w:r w:rsidRPr="009B215B">
              <w:t>Melbourne</w:t>
            </w:r>
          </w:p>
        </w:tc>
        <w:tc>
          <w:tcPr>
            <w:tcW w:w="4725" w:type="dxa"/>
          </w:tcPr>
          <w:p w14:paraId="00A249BF" w14:textId="77777777" w:rsidR="009B215B" w:rsidRPr="009B215B" w:rsidRDefault="009B215B" w:rsidP="00BE11C7">
            <w:pPr>
              <w:pStyle w:val="TableofFigures"/>
            </w:pPr>
            <w:r w:rsidRPr="009B215B">
              <w:t>42</w:t>
            </w:r>
          </w:p>
        </w:tc>
      </w:tr>
      <w:tr w:rsidR="009B215B" w:rsidRPr="009B215B" w14:paraId="4D0AAFC6" w14:textId="77777777" w:rsidTr="00BE11C7">
        <w:tc>
          <w:tcPr>
            <w:tcW w:w="2358" w:type="dxa"/>
          </w:tcPr>
          <w:p w14:paraId="61486F7C" w14:textId="77777777" w:rsidR="009B215B" w:rsidRPr="009B215B" w:rsidRDefault="009B215B" w:rsidP="00BE11C7">
            <w:pPr>
              <w:pStyle w:val="TableofFigures"/>
            </w:pPr>
            <w:r w:rsidRPr="009B215B">
              <w:t>Gold Coast</w:t>
            </w:r>
          </w:p>
        </w:tc>
        <w:tc>
          <w:tcPr>
            <w:tcW w:w="4725" w:type="dxa"/>
          </w:tcPr>
          <w:p w14:paraId="32E9C3D6" w14:textId="77777777" w:rsidR="009B215B" w:rsidRPr="009B215B" w:rsidRDefault="009B215B" w:rsidP="00BE11C7">
            <w:pPr>
              <w:pStyle w:val="TableofFigures"/>
            </w:pPr>
            <w:r w:rsidRPr="009B215B">
              <w:t>23</w:t>
            </w:r>
          </w:p>
        </w:tc>
      </w:tr>
      <w:tr w:rsidR="009B215B" w:rsidRPr="009B215B" w14:paraId="6063CD9D" w14:textId="77777777" w:rsidTr="00BE11C7">
        <w:tc>
          <w:tcPr>
            <w:tcW w:w="2358" w:type="dxa"/>
          </w:tcPr>
          <w:p w14:paraId="2E062043" w14:textId="77777777" w:rsidR="009B215B" w:rsidRPr="009B215B" w:rsidRDefault="009B215B" w:rsidP="00BE11C7">
            <w:pPr>
              <w:pStyle w:val="TableofFigures"/>
            </w:pPr>
            <w:r w:rsidRPr="009B215B">
              <w:t>Sydney</w:t>
            </w:r>
          </w:p>
        </w:tc>
        <w:tc>
          <w:tcPr>
            <w:tcW w:w="4725" w:type="dxa"/>
          </w:tcPr>
          <w:p w14:paraId="3C10824E" w14:textId="77777777" w:rsidR="009B215B" w:rsidRPr="009B215B" w:rsidRDefault="009B215B" w:rsidP="00BE11C7">
            <w:pPr>
              <w:pStyle w:val="TableofFigures"/>
            </w:pPr>
            <w:r w:rsidRPr="009B215B">
              <w:t>19</w:t>
            </w:r>
          </w:p>
        </w:tc>
      </w:tr>
      <w:tr w:rsidR="009B215B" w:rsidRPr="009B215B" w14:paraId="1609B21B" w14:textId="77777777" w:rsidTr="00BE11C7">
        <w:tc>
          <w:tcPr>
            <w:tcW w:w="2358" w:type="dxa"/>
          </w:tcPr>
          <w:p w14:paraId="6FD3F3B9" w14:textId="77777777" w:rsidR="009B215B" w:rsidRPr="009B215B" w:rsidRDefault="009B215B" w:rsidP="00BE11C7">
            <w:pPr>
              <w:pStyle w:val="TableofFigures"/>
            </w:pPr>
            <w:r w:rsidRPr="009B215B">
              <w:t>Brisbane</w:t>
            </w:r>
          </w:p>
        </w:tc>
        <w:tc>
          <w:tcPr>
            <w:tcW w:w="4725" w:type="dxa"/>
          </w:tcPr>
          <w:p w14:paraId="3139EB6E" w14:textId="77777777" w:rsidR="009B215B" w:rsidRPr="009B215B" w:rsidRDefault="009B215B" w:rsidP="00BE11C7">
            <w:pPr>
              <w:pStyle w:val="TableofFigures"/>
            </w:pPr>
            <w:r w:rsidRPr="009B215B">
              <w:t>19</w:t>
            </w:r>
          </w:p>
        </w:tc>
      </w:tr>
      <w:tr w:rsidR="009B215B" w:rsidRPr="009B215B" w14:paraId="03D9A44F" w14:textId="77777777" w:rsidTr="00BE11C7">
        <w:tc>
          <w:tcPr>
            <w:tcW w:w="2358" w:type="dxa"/>
          </w:tcPr>
          <w:p w14:paraId="0D0272CE" w14:textId="77777777" w:rsidR="009B215B" w:rsidRPr="009B215B" w:rsidRDefault="009B215B" w:rsidP="00BE11C7">
            <w:pPr>
              <w:pStyle w:val="TableofFigures"/>
            </w:pPr>
            <w:r w:rsidRPr="009B215B">
              <w:t>Adelaide</w:t>
            </w:r>
          </w:p>
        </w:tc>
        <w:tc>
          <w:tcPr>
            <w:tcW w:w="4725" w:type="dxa"/>
          </w:tcPr>
          <w:p w14:paraId="31FAF6C5" w14:textId="77777777" w:rsidR="009B215B" w:rsidRPr="009B215B" w:rsidRDefault="009B215B" w:rsidP="00BE11C7">
            <w:pPr>
              <w:pStyle w:val="TableofFigures"/>
            </w:pPr>
            <w:r w:rsidRPr="009B215B">
              <w:t>17</w:t>
            </w:r>
          </w:p>
        </w:tc>
      </w:tr>
    </w:tbl>
    <w:p w14:paraId="1D9A9F41" w14:textId="625D5078" w:rsidR="00BE514D" w:rsidRPr="00461810" w:rsidRDefault="00BE514D" w:rsidP="00BE11C7">
      <w:pPr>
        <w:pStyle w:val="Heading1"/>
        <w:rPr>
          <w:rFonts w:hint="eastAsia"/>
        </w:rPr>
      </w:pPr>
      <w:r w:rsidRPr="00461810">
        <w:t>Biggest hotel market</w:t>
      </w:r>
    </w:p>
    <w:p w14:paraId="515EFEA4" w14:textId="77777777" w:rsidR="00BE514D" w:rsidRPr="00461810" w:rsidRDefault="00BE514D" w:rsidP="00463458">
      <w:pPr>
        <w:pStyle w:val="ListBullet"/>
      </w:pPr>
      <w:r w:rsidRPr="00461810">
        <w:t>1,871 Rooms under construction (Melb)</w:t>
      </w:r>
    </w:p>
    <w:p w14:paraId="445BCAF2" w14:textId="77777777" w:rsidR="00BE514D" w:rsidRPr="00461810" w:rsidRDefault="00BE514D" w:rsidP="00463458">
      <w:pPr>
        <w:pStyle w:val="ListBullet"/>
      </w:pPr>
      <w:r w:rsidRPr="00461810">
        <w:t>26,500 Hotel rooms (Melb 2023)</w:t>
      </w:r>
    </w:p>
    <w:p w14:paraId="108578F0" w14:textId="77777777" w:rsidR="00BE514D" w:rsidRPr="00461810" w:rsidRDefault="00BE514D" w:rsidP="00463458">
      <w:pPr>
        <w:pStyle w:val="ListBullet"/>
      </w:pPr>
      <w:r w:rsidRPr="00461810">
        <w:t>14.3m Visitors (Melb 2023)</w:t>
      </w:r>
    </w:p>
    <w:p w14:paraId="6931736D" w14:textId="2D3293C2" w:rsidR="00BE514D" w:rsidRPr="00461810" w:rsidRDefault="00BE514D" w:rsidP="00463458">
      <w:r w:rsidRPr="00461810">
        <w:t>Melbourne is ideal for hotel investment due to the size of the market and breadth of the travel segment drawn to the city. It has</w:t>
      </w:r>
      <w:r w:rsidR="00463458" w:rsidRPr="00461810">
        <w:t xml:space="preserve"> </w:t>
      </w:r>
      <w:r w:rsidRPr="00461810">
        <w:t>strong population growth, an undersupply of apartments, greater availability of land and</w:t>
      </w:r>
      <w:r w:rsidR="00463458" w:rsidRPr="00461810">
        <w:t xml:space="preserve"> </w:t>
      </w:r>
      <w:r w:rsidRPr="00461810">
        <w:t>a less challenging planning system. With the largest pipeline of hotel rooms under</w:t>
      </w:r>
      <w:r w:rsidR="00463458" w:rsidRPr="00461810">
        <w:t xml:space="preserve"> </w:t>
      </w:r>
      <w:r w:rsidRPr="00461810">
        <w:t>construction in the country (representing nine per cent of national stock), strong opportunity exists for boutique and high-end accommodation.</w:t>
      </w:r>
    </w:p>
    <w:p w14:paraId="292601FA" w14:textId="085B3306" w:rsidR="00BE514D" w:rsidRPr="00461810" w:rsidRDefault="00BE514D" w:rsidP="00BE11C7">
      <w:pPr>
        <w:pStyle w:val="Heading1"/>
        <w:rPr>
          <w:rFonts w:hint="eastAsia"/>
        </w:rPr>
      </w:pPr>
      <w:r w:rsidRPr="00461810">
        <w:t>Ideal tourism investment environment</w:t>
      </w:r>
    </w:p>
    <w:p w14:paraId="3226A472" w14:textId="77777777" w:rsidR="00BE514D" w:rsidRPr="00461810" w:rsidRDefault="00BE514D" w:rsidP="00463458">
      <w:r w:rsidRPr="00461810">
        <w:rPr>
          <w:b/>
          <w:bCs/>
        </w:rPr>
        <w:t>New and unique experiences</w:t>
      </w:r>
      <w:r w:rsidRPr="00461810">
        <w:t xml:space="preserve"> – Experience Melbourne 2028 – is a destination management plan for Melbourne’s visitor economy, supporting the creation of unique Melbourne experiences, such as culinary delights, urban nature, Aboriginal culture, and knowledge and innovation.</w:t>
      </w:r>
    </w:p>
    <w:p w14:paraId="013B1EF7" w14:textId="67EE7D98" w:rsidR="00BE514D" w:rsidRPr="00461810" w:rsidRDefault="00BE514D" w:rsidP="00463458">
      <w:r w:rsidRPr="00461810">
        <w:rPr>
          <w:b/>
          <w:bCs/>
        </w:rPr>
        <w:t>Exceptionally liveable and welcoming</w:t>
      </w:r>
      <w:r w:rsidRPr="00461810">
        <w:t xml:space="preserve"> – Melbourne is the most liveable city in Australia and ranks fourth globally, having held the title of the World’s Most Liveable City for seven consecutive years. It is the world’s friendliest</w:t>
      </w:r>
      <w:r w:rsidR="00463458" w:rsidRPr="00461810">
        <w:t xml:space="preserve"> </w:t>
      </w:r>
      <w:r w:rsidRPr="00461810">
        <w:t>city, and ranks second for inclusivity, third for least overworked and fourth most vegan friendly city.</w:t>
      </w:r>
    </w:p>
    <w:p w14:paraId="40880637" w14:textId="333E52CA" w:rsidR="00BE514D" w:rsidRPr="00461810" w:rsidRDefault="00BE514D" w:rsidP="00463458">
      <w:r w:rsidRPr="00461810">
        <w:rPr>
          <w:b/>
          <w:bCs/>
        </w:rPr>
        <w:t>Cultural diversity</w:t>
      </w:r>
      <w:r w:rsidRPr="00461810">
        <w:t xml:space="preserve"> is central to the city’s identity. More than 260 languages are spoken across Melbourne, providing the ideal workforce for</w:t>
      </w:r>
      <w:r w:rsidR="00463458" w:rsidRPr="00461810">
        <w:t xml:space="preserve"> </w:t>
      </w:r>
      <w:r w:rsidRPr="00461810">
        <w:t>any tourism company.</w:t>
      </w:r>
    </w:p>
    <w:p w14:paraId="362128BE" w14:textId="4D957896" w:rsidR="00BE514D" w:rsidRPr="00461810" w:rsidRDefault="00BE514D" w:rsidP="00463458">
      <w:r w:rsidRPr="00461810">
        <w:rPr>
          <w:b/>
          <w:bCs/>
        </w:rPr>
        <w:t>Culinary excellence</w:t>
      </w:r>
      <w:r w:rsidRPr="00461810">
        <w:t xml:space="preserve"> – Melbourne is Australia’s culinary capital with more than 3,500 restaurants serving cuisines from over 70 countries.</w:t>
      </w:r>
      <w:r w:rsidR="00463458" w:rsidRPr="00461810">
        <w:t xml:space="preserve"> </w:t>
      </w:r>
      <w:r w:rsidRPr="00461810">
        <w:t>International food precincts include Little Bourke Street (Chinatown), Lonsdale Street (Greek) and Lygon Street (Italian).</w:t>
      </w:r>
    </w:p>
    <w:p w14:paraId="6F46126F" w14:textId="77777777" w:rsidR="00BE514D" w:rsidRPr="00461810" w:rsidRDefault="00BE514D" w:rsidP="00463458">
      <w:r w:rsidRPr="00461810">
        <w:rPr>
          <w:b/>
          <w:bCs/>
        </w:rPr>
        <w:t>Globally connected</w:t>
      </w:r>
      <w:r w:rsidRPr="00461810">
        <w:t xml:space="preserve"> – Melbourne boasts a 24-hour, curfew-free international airport and Australia’s largest container and shipping port.</w:t>
      </w:r>
    </w:p>
    <w:p w14:paraId="62CEC252" w14:textId="77777777" w:rsidR="00BE514D" w:rsidRPr="00461810" w:rsidRDefault="00BE514D" w:rsidP="00463458">
      <w:r w:rsidRPr="00461810">
        <w:rPr>
          <w:b/>
          <w:bCs/>
        </w:rPr>
        <w:t>Victoria’s Government Tourism Project Facilitation team</w:t>
      </w:r>
      <w:r w:rsidRPr="00461810">
        <w:t xml:space="preserve"> provides expert advice and support to develop tourism projects from concept to reality.</w:t>
      </w:r>
    </w:p>
    <w:p w14:paraId="2AA38623" w14:textId="77777777" w:rsidR="00BE514D" w:rsidRPr="00461810" w:rsidRDefault="00BE514D" w:rsidP="00463458">
      <w:r w:rsidRPr="00461810">
        <w:rPr>
          <w:b/>
          <w:bCs/>
        </w:rPr>
        <w:t>Melbourne is a gateway to iconic regional locations</w:t>
      </w:r>
      <w:r w:rsidRPr="00461810">
        <w:t xml:space="preserve"> such as the Great Ocean Road, Gippsland and the Mornington Peninsula, including stunning beaches, natural landscapes, historic towns and award-winning food and wine regions.</w:t>
      </w:r>
    </w:p>
    <w:p w14:paraId="4E468AE1" w14:textId="77777777" w:rsidR="00BE514D" w:rsidRPr="00461810" w:rsidRDefault="00BE514D" w:rsidP="00463458">
      <w:r w:rsidRPr="00461810">
        <w:rPr>
          <w:b/>
          <w:bCs/>
        </w:rPr>
        <w:lastRenderedPageBreak/>
        <w:t>Lower business costs</w:t>
      </w:r>
      <w:r w:rsidRPr="00461810">
        <w:t xml:space="preserve"> with industrial leases and office space rentals 35 per cent cheaper than Sydney. Melbourne boasts the lowest business tax rate, attractive payroll tax rates and energy costs that are 45 per cent lower than Sydney.</w:t>
      </w:r>
    </w:p>
    <w:p w14:paraId="23C87164" w14:textId="441AD1BE" w:rsidR="00BE11C7" w:rsidRPr="00461810" w:rsidRDefault="00BE514D" w:rsidP="00BE11C7">
      <w:pPr>
        <w:spacing w:after="600"/>
      </w:pPr>
      <w:r w:rsidRPr="00461810">
        <w:rPr>
          <w:b/>
          <w:bCs/>
        </w:rPr>
        <w:t>Access to a wide network of user-friendly public transport</w:t>
      </w:r>
      <w:r w:rsidRPr="00461810">
        <w:t xml:space="preserve"> with regular and reliable bus, train and tram services, with free tram transport available throughout the central city.</w:t>
      </w:r>
    </w:p>
    <w:tbl>
      <w:tblPr>
        <w:tblStyle w:val="TableGrid"/>
        <w:tblW w:w="0" w:type="auto"/>
        <w:tblCellMar>
          <w:top w:w="170" w:type="dxa"/>
          <w:left w:w="170" w:type="dxa"/>
          <w:right w:w="170" w:type="dxa"/>
        </w:tblCellMar>
        <w:tblLook w:val="04A0" w:firstRow="1" w:lastRow="0" w:firstColumn="1" w:lastColumn="0" w:noHBand="0" w:noVBand="1"/>
      </w:tblPr>
      <w:tblGrid>
        <w:gridCol w:w="9622"/>
      </w:tblGrid>
      <w:tr w:rsidR="00BE11C7" w14:paraId="473043BF" w14:textId="77777777" w:rsidTr="00551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9" w:type="dxa"/>
          </w:tcPr>
          <w:p w14:paraId="6C14BDA7" w14:textId="77777777" w:rsidR="00BE11C7" w:rsidRPr="000D6083" w:rsidRDefault="00BE11C7" w:rsidP="00551A80">
            <w:pPr>
              <w:pStyle w:val="Bold"/>
              <w:rPr>
                <w:b/>
              </w:rPr>
            </w:pPr>
            <w:r w:rsidRPr="000D6083">
              <w:rPr>
                <w:b/>
              </w:rPr>
              <w:t>Thinking about starting a business in Melbourne?</w:t>
            </w:r>
            <w:r>
              <w:rPr>
                <w:b/>
              </w:rPr>
              <w:br/>
            </w:r>
            <w:r w:rsidRPr="000D6083">
              <w:t xml:space="preserve">Visit </w:t>
            </w:r>
            <w:hyperlink r:id="rId9" w:history="1">
              <w:r w:rsidRPr="000D6083">
                <w:rPr>
                  <w:rStyle w:val="Hyperlink"/>
                </w:rPr>
                <w:t>Investing in Melbourne</w:t>
              </w:r>
            </w:hyperlink>
            <w:r w:rsidRPr="000D6083">
              <w:rPr>
                <w:rStyle w:val="FootnoteReference"/>
              </w:rPr>
              <w:footnoteReference w:id="2"/>
            </w:r>
            <w:r w:rsidRPr="000D6083">
              <w:t xml:space="preserve"> or email us at </w:t>
            </w:r>
            <w:hyperlink r:id="rId10">
              <w:r w:rsidRPr="000D6083">
                <w:rPr>
                  <w:rStyle w:val="Hyperlink"/>
                </w:rPr>
                <w:t>investmelbourne@melbourne.vic.gov.au</w:t>
              </w:r>
            </w:hyperlink>
          </w:p>
          <w:p w14:paraId="72BC91BF" w14:textId="77777777" w:rsidR="00BE11C7" w:rsidRDefault="00BE11C7" w:rsidP="00551A80">
            <w:pPr>
              <w:pStyle w:val="Bold"/>
            </w:pPr>
            <w:r w:rsidRPr="000D6083">
              <w:rPr>
                <w:b/>
              </w:rPr>
              <w:t>Want help identifying products and services produced in Melbourne?</w:t>
            </w:r>
            <w:r>
              <w:rPr>
                <w:b/>
              </w:rPr>
              <w:br/>
            </w:r>
            <w:r w:rsidRPr="000D6083">
              <w:t xml:space="preserve">Visit </w:t>
            </w:r>
            <w:hyperlink r:id="rId11" w:history="1">
              <w:r w:rsidRPr="000D6083">
                <w:rPr>
                  <w:rStyle w:val="Hyperlink"/>
                </w:rPr>
                <w:t>International collaboration</w:t>
              </w:r>
            </w:hyperlink>
            <w:r w:rsidRPr="000D6083">
              <w:rPr>
                <w:rStyle w:val="FootnoteReference"/>
              </w:rPr>
              <w:footnoteReference w:id="3"/>
            </w:r>
            <w:r w:rsidRPr="000D6083">
              <w:t xml:space="preserve"> or email us at </w:t>
            </w:r>
            <w:hyperlink r:id="rId12" w:history="1">
              <w:r w:rsidRPr="000D6083">
                <w:rPr>
                  <w:rStyle w:val="Hyperlink"/>
                </w:rPr>
                <w:t>global@melbourne.vic.gov.au</w:t>
              </w:r>
            </w:hyperlink>
          </w:p>
        </w:tc>
      </w:tr>
    </w:tbl>
    <w:p w14:paraId="21A3DDDD" w14:textId="77777777" w:rsidR="00BE11C7" w:rsidRDefault="00BE11C7" w:rsidP="00BE11C7">
      <w:pPr>
        <w:spacing w:before="240" w:after="120"/>
      </w:pPr>
      <w:r w:rsidRPr="00395191">
        <w:rPr>
          <w:b/>
          <w:bCs/>
        </w:rPr>
        <w:t>Disclaimer:</w:t>
      </w:r>
      <w:r w:rsidRPr="00461810">
        <w:t xml:space="preserve"> This document is provided for </w:t>
      </w:r>
      <w:proofErr w:type="gramStart"/>
      <w:r w:rsidRPr="00461810">
        <w:t>information</w:t>
      </w:r>
      <w:proofErr w:type="gramEnd"/>
      <w:r w:rsidRPr="00461810">
        <w:t xml:space="preserve"> and it does not purport to be complete. While care has been taken to ensure the content in the report is accurate, we cannot guarantee it is without flaw of any kind. There may be errors and </w:t>
      </w:r>
      <w:proofErr w:type="gramStart"/>
      <w:r w:rsidRPr="00461810">
        <w:t>omissions</w:t>
      </w:r>
      <w:proofErr w:type="gramEnd"/>
      <w:r w:rsidRPr="00461810">
        <w:t xml:space="preserve"> or it may not be wholly appropriate for your particular purposes. In addition, the publication is a snapshot in time based on historic information which is liable to change. The City of Melbourne accepts no responsibility and disclaims all liability for any error, loss or other consequence which may arise from you relying on any information contained in this report.</w:t>
      </w:r>
      <w:r>
        <w:t xml:space="preserve"> </w:t>
      </w:r>
    </w:p>
    <w:p w14:paraId="540B0A9C" w14:textId="2D26C9DC" w:rsidR="00463458" w:rsidRPr="00461810" w:rsidRDefault="00BE11C7" w:rsidP="00BE11C7">
      <w:pPr>
        <w:spacing w:before="120"/>
      </w:pPr>
      <w:r w:rsidRPr="00461810">
        <w:t xml:space="preserve">© Copyright City of Melbourne 2024. To receive this publication in an accessible format, email: </w:t>
      </w:r>
      <w:hyperlink r:id="rId13">
        <w:r w:rsidRPr="00461810">
          <w:rPr>
            <w:rStyle w:val="Hyperlink"/>
          </w:rPr>
          <w:t>global@melbourne.vic.gov.au</w:t>
        </w:r>
      </w:hyperlink>
    </w:p>
    <w:sectPr w:rsidR="00463458" w:rsidRPr="00461810" w:rsidSect="002607C9">
      <w:footerReference w:type="default" r:id="rId14"/>
      <w:endnotePr>
        <w:numFmt w:val="decimal"/>
      </w:endnotePr>
      <w:pgSz w:w="11900" w:h="16840" w:code="9"/>
      <w:pgMar w:top="1418" w:right="1134" w:bottom="1134"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5627C" w14:textId="77777777" w:rsidR="00135E7A" w:rsidRDefault="00135E7A" w:rsidP="00BC719D">
      <w:pPr>
        <w:spacing w:after="0"/>
      </w:pPr>
      <w:r>
        <w:separator/>
      </w:r>
    </w:p>
  </w:endnote>
  <w:endnote w:type="continuationSeparator" w:id="0">
    <w:p w14:paraId="37099D18" w14:textId="77777777" w:rsidR="00135E7A" w:rsidRDefault="00135E7A" w:rsidP="00EA2130">
      <w:r>
        <w:continuationSeparator/>
      </w:r>
    </w:p>
  </w:endnote>
  <w:endnote w:type="continuationNotice" w:id="1">
    <w:p w14:paraId="50E20CA0" w14:textId="77777777" w:rsidR="00135E7A" w:rsidRDefault="00135E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Gotham Book">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57"/>
      <w:gridCol w:w="4875"/>
    </w:tblGrid>
    <w:tr w:rsidR="00115496" w14:paraId="49A18DFC" w14:textId="77777777" w:rsidTr="008566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7" w:type="dxa"/>
        </w:tcPr>
        <w:p w14:paraId="227B3E1D" w14:textId="77777777" w:rsidR="00115496" w:rsidRPr="00A65F53" w:rsidRDefault="00115496" w:rsidP="00115496">
          <w:pPr>
            <w:pStyle w:val="Footer"/>
          </w:pPr>
        </w:p>
      </w:tc>
      <w:tc>
        <w:tcPr>
          <w:tcW w:w="4680" w:type="dxa"/>
        </w:tcPr>
        <w:p w14:paraId="6D0A9275" w14:textId="77777777" w:rsidR="00115496" w:rsidRDefault="00115496" w:rsidP="00115496">
          <w:pPr>
            <w:pStyle w:val="Footer"/>
            <w:jc w:val="right"/>
            <w:cnfStyle w:val="100000000000" w:firstRow="1" w:lastRow="0" w:firstColumn="0" w:lastColumn="0" w:oddVBand="0" w:evenVBand="0" w:oddHBand="0" w:evenHBand="0" w:firstRowFirstColumn="0" w:firstRowLastColumn="0" w:lastRowFirstColumn="0" w:lastRowLastColumn="0"/>
          </w:pPr>
          <w:r w:rsidRPr="00A65F53">
            <w:t xml:space="preserve">Page </w:t>
          </w:r>
          <w:r w:rsidRPr="00A65F53">
            <w:fldChar w:fldCharType="begin"/>
          </w:r>
          <w:r w:rsidRPr="00A65F53">
            <w:instrText xml:space="preserve"> PAGE  \* Arabic  \* MERGEFORMAT </w:instrText>
          </w:r>
          <w:r w:rsidRPr="00A65F53">
            <w:fldChar w:fldCharType="separate"/>
          </w:r>
          <w:r>
            <w:t>7</w:t>
          </w:r>
          <w:r w:rsidRPr="00A65F53">
            <w:fldChar w:fldCharType="end"/>
          </w:r>
          <w:r w:rsidRPr="00A65F53">
            <w:t xml:space="preserve"> of </w:t>
          </w:r>
          <w:r w:rsidR="00502450">
            <w:fldChar w:fldCharType="begin"/>
          </w:r>
          <w:r w:rsidR="00502450">
            <w:instrText xml:space="preserve"> NUMPAGES  \* Arabic  \* MERGEFORMAT </w:instrText>
          </w:r>
          <w:r w:rsidR="00502450">
            <w:fldChar w:fldCharType="separate"/>
          </w:r>
          <w:r>
            <w:t>14</w:t>
          </w:r>
          <w:r w:rsidR="00502450">
            <w:fldChar w:fldCharType="end"/>
          </w:r>
        </w:p>
      </w:tc>
    </w:tr>
  </w:tbl>
  <w:p w14:paraId="55D0E393" w14:textId="77777777" w:rsidR="00115496" w:rsidRDefault="00115496" w:rsidP="00115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9B81C" w14:textId="77777777" w:rsidR="00135E7A" w:rsidRDefault="00135E7A" w:rsidP="00577A39">
      <w:pPr>
        <w:spacing w:after="40"/>
      </w:pPr>
      <w:r>
        <w:separator/>
      </w:r>
    </w:p>
  </w:footnote>
  <w:footnote w:type="continuationSeparator" w:id="0">
    <w:p w14:paraId="6BC7F587" w14:textId="77777777" w:rsidR="00135E7A" w:rsidRDefault="00135E7A" w:rsidP="00EA2130">
      <w:r>
        <w:continuationSeparator/>
      </w:r>
    </w:p>
  </w:footnote>
  <w:footnote w:type="continuationNotice" w:id="1">
    <w:p w14:paraId="6BCBBCAC" w14:textId="77777777" w:rsidR="00135E7A" w:rsidRDefault="00135E7A">
      <w:pPr>
        <w:spacing w:after="0"/>
      </w:pPr>
    </w:p>
  </w:footnote>
  <w:footnote w:id="2">
    <w:p w14:paraId="13832484" w14:textId="77777777" w:rsidR="00BE11C7" w:rsidRDefault="00BE11C7" w:rsidP="00BE11C7">
      <w:pPr>
        <w:pStyle w:val="FootnoteText"/>
      </w:pPr>
      <w:r>
        <w:rPr>
          <w:rStyle w:val="FootnoteReference"/>
        </w:rPr>
        <w:footnoteRef/>
      </w:r>
      <w:r>
        <w:t xml:space="preserve"> </w:t>
      </w:r>
      <w:r w:rsidRPr="00395191">
        <w:t>melbourne.vic.gov.au/</w:t>
      </w:r>
      <w:proofErr w:type="gramStart"/>
      <w:r w:rsidRPr="00395191">
        <w:t>invest</w:t>
      </w:r>
      <w:proofErr w:type="gramEnd"/>
    </w:p>
  </w:footnote>
  <w:footnote w:id="3">
    <w:p w14:paraId="291CA1A3" w14:textId="77777777" w:rsidR="00BE11C7" w:rsidRDefault="00BE11C7" w:rsidP="00BE11C7">
      <w:pPr>
        <w:pStyle w:val="FootnoteText"/>
      </w:pPr>
      <w:r>
        <w:rPr>
          <w:rStyle w:val="FootnoteReference"/>
        </w:rPr>
        <w:footnoteRef/>
      </w:r>
      <w:r>
        <w:t xml:space="preserve"> </w:t>
      </w:r>
      <w:r w:rsidRPr="00395191">
        <w:t>melbourne.vic.gov.au/international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5" w15:restartNumberingAfterBreak="0">
    <w:nsid w:val="2A2B5D1C"/>
    <w:multiLevelType w:val="multilevel"/>
    <w:tmpl w:val="16506B6C"/>
    <w:numStyleLink w:val="ListNumbers"/>
  </w:abstractNum>
  <w:abstractNum w:abstractNumId="6"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C10957"/>
    <w:multiLevelType w:val="multilevel"/>
    <w:tmpl w:val="16506B6C"/>
    <w:numStyleLink w:val="ListNumbers"/>
  </w:abstractNum>
  <w:abstractNum w:abstractNumId="8" w15:restartNumberingAfterBreak="0">
    <w:nsid w:val="5DF7164E"/>
    <w:multiLevelType w:val="hybridMultilevel"/>
    <w:tmpl w:val="C9FAFFEA"/>
    <w:lvl w:ilvl="0" w:tplc="781071EC">
      <w:numFmt w:val="bullet"/>
      <w:lvlText w:val="•"/>
      <w:lvlJc w:val="left"/>
      <w:pPr>
        <w:ind w:left="443" w:hanging="284"/>
      </w:pPr>
      <w:rPr>
        <w:rFonts w:ascii="Century Gothic" w:eastAsia="Century Gothic" w:hAnsi="Century Gothic" w:cs="Century Gothic" w:hint="default"/>
        <w:b w:val="0"/>
        <w:bCs w:val="0"/>
        <w:i w:val="0"/>
        <w:iCs w:val="0"/>
        <w:color w:val="231F20"/>
        <w:spacing w:val="0"/>
        <w:w w:val="78"/>
        <w:sz w:val="16"/>
        <w:szCs w:val="16"/>
        <w:lang w:val="en-US" w:eastAsia="en-US" w:bidi="ar-SA"/>
      </w:rPr>
    </w:lvl>
    <w:lvl w:ilvl="1" w:tplc="C7DA79CC">
      <w:numFmt w:val="bullet"/>
      <w:lvlText w:val="•"/>
      <w:lvlJc w:val="left"/>
      <w:pPr>
        <w:ind w:left="917" w:hanging="284"/>
      </w:pPr>
      <w:rPr>
        <w:rFonts w:hint="default"/>
        <w:lang w:val="en-US" w:eastAsia="en-US" w:bidi="ar-SA"/>
      </w:rPr>
    </w:lvl>
    <w:lvl w:ilvl="2" w:tplc="269A477E">
      <w:numFmt w:val="bullet"/>
      <w:lvlText w:val="•"/>
      <w:lvlJc w:val="left"/>
      <w:pPr>
        <w:ind w:left="1395" w:hanging="284"/>
      </w:pPr>
      <w:rPr>
        <w:rFonts w:hint="default"/>
        <w:lang w:val="en-US" w:eastAsia="en-US" w:bidi="ar-SA"/>
      </w:rPr>
    </w:lvl>
    <w:lvl w:ilvl="3" w:tplc="1BEECB28">
      <w:numFmt w:val="bullet"/>
      <w:lvlText w:val="•"/>
      <w:lvlJc w:val="left"/>
      <w:pPr>
        <w:ind w:left="1873" w:hanging="284"/>
      </w:pPr>
      <w:rPr>
        <w:rFonts w:hint="default"/>
        <w:lang w:val="en-US" w:eastAsia="en-US" w:bidi="ar-SA"/>
      </w:rPr>
    </w:lvl>
    <w:lvl w:ilvl="4" w:tplc="73FE6E06">
      <w:numFmt w:val="bullet"/>
      <w:lvlText w:val="•"/>
      <w:lvlJc w:val="left"/>
      <w:pPr>
        <w:ind w:left="2350" w:hanging="284"/>
      </w:pPr>
      <w:rPr>
        <w:rFonts w:hint="default"/>
        <w:lang w:val="en-US" w:eastAsia="en-US" w:bidi="ar-SA"/>
      </w:rPr>
    </w:lvl>
    <w:lvl w:ilvl="5" w:tplc="48CC1E1E">
      <w:numFmt w:val="bullet"/>
      <w:lvlText w:val="•"/>
      <w:lvlJc w:val="left"/>
      <w:pPr>
        <w:ind w:left="2828" w:hanging="284"/>
      </w:pPr>
      <w:rPr>
        <w:rFonts w:hint="default"/>
        <w:lang w:val="en-US" w:eastAsia="en-US" w:bidi="ar-SA"/>
      </w:rPr>
    </w:lvl>
    <w:lvl w:ilvl="6" w:tplc="D172BA20">
      <w:numFmt w:val="bullet"/>
      <w:lvlText w:val="•"/>
      <w:lvlJc w:val="left"/>
      <w:pPr>
        <w:ind w:left="3306" w:hanging="284"/>
      </w:pPr>
      <w:rPr>
        <w:rFonts w:hint="default"/>
        <w:lang w:val="en-US" w:eastAsia="en-US" w:bidi="ar-SA"/>
      </w:rPr>
    </w:lvl>
    <w:lvl w:ilvl="7" w:tplc="E8F0E344">
      <w:numFmt w:val="bullet"/>
      <w:lvlText w:val="•"/>
      <w:lvlJc w:val="left"/>
      <w:pPr>
        <w:ind w:left="3784" w:hanging="284"/>
      </w:pPr>
      <w:rPr>
        <w:rFonts w:hint="default"/>
        <w:lang w:val="en-US" w:eastAsia="en-US" w:bidi="ar-SA"/>
      </w:rPr>
    </w:lvl>
    <w:lvl w:ilvl="8" w:tplc="440E614E">
      <w:numFmt w:val="bullet"/>
      <w:lvlText w:val="•"/>
      <w:lvlJc w:val="left"/>
      <w:pPr>
        <w:ind w:left="4261" w:hanging="284"/>
      </w:pPr>
      <w:rPr>
        <w:rFonts w:hint="default"/>
        <w:lang w:val="en-US" w:eastAsia="en-US" w:bidi="ar-SA"/>
      </w:rPr>
    </w:lvl>
  </w:abstractNum>
  <w:abstractNum w:abstractNumId="9"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D352CB"/>
    <w:multiLevelType w:val="multilevel"/>
    <w:tmpl w:val="0F98978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1134" w:hanging="340"/>
      </w:pPr>
      <w:rPr>
        <w:rFonts w:hint="default"/>
      </w:rPr>
    </w:lvl>
    <w:lvl w:ilvl="4">
      <w:start w:val="1"/>
      <w:numFmt w:val="lowerRoman"/>
      <w:lvlText w:val="(%5)"/>
      <w:lvlJc w:val="right"/>
      <w:pPr>
        <w:ind w:left="1418" w:hanging="11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E1209CA"/>
    <w:multiLevelType w:val="multilevel"/>
    <w:tmpl w:val="16506B6C"/>
    <w:numStyleLink w:val="ListNumbers"/>
  </w:abstractNum>
  <w:abstractNum w:abstractNumId="12" w15:restartNumberingAfterBreak="0">
    <w:nsid w:val="7A2C43DC"/>
    <w:multiLevelType w:val="multilevel"/>
    <w:tmpl w:val="16506B6C"/>
    <w:numStyleLink w:val="ListNumbers"/>
  </w:abstractNum>
  <w:abstractNum w:abstractNumId="13" w15:restartNumberingAfterBreak="0">
    <w:nsid w:val="7DD1201F"/>
    <w:multiLevelType w:val="multilevel"/>
    <w:tmpl w:val="D5B4D112"/>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2023316704">
    <w:abstractNumId w:val="3"/>
  </w:num>
  <w:num w:numId="2" w16cid:durableId="646595089">
    <w:abstractNumId w:val="4"/>
  </w:num>
  <w:num w:numId="3" w16cid:durableId="1633247767">
    <w:abstractNumId w:val="12"/>
  </w:num>
  <w:num w:numId="4" w16cid:durableId="1427454918">
    <w:abstractNumId w:val="0"/>
  </w:num>
  <w:num w:numId="5" w16cid:durableId="1898860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5807731">
    <w:abstractNumId w:val="5"/>
  </w:num>
  <w:num w:numId="7" w16cid:durableId="21005665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479596">
    <w:abstractNumId w:val="11"/>
  </w:num>
  <w:num w:numId="9" w16cid:durableId="1272862922">
    <w:abstractNumId w:val="7"/>
  </w:num>
  <w:num w:numId="10" w16cid:durableId="4719441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9170973">
    <w:abstractNumId w:val="1"/>
  </w:num>
  <w:num w:numId="12" w16cid:durableId="18432650">
    <w:abstractNumId w:val="6"/>
  </w:num>
  <w:num w:numId="13" w16cid:durableId="217591763">
    <w:abstractNumId w:val="9"/>
  </w:num>
  <w:num w:numId="14" w16cid:durableId="665789171">
    <w:abstractNumId w:val="13"/>
  </w:num>
  <w:num w:numId="15" w16cid:durableId="1312118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70796">
    <w:abstractNumId w:val="2"/>
  </w:num>
  <w:num w:numId="17" w16cid:durableId="1074350741">
    <w:abstractNumId w:val="10"/>
  </w:num>
  <w:num w:numId="18" w16cid:durableId="178467824">
    <w:abstractNumId w:val="3"/>
  </w:num>
  <w:num w:numId="19" w16cid:durableId="1170751074">
    <w:abstractNumId w:val="13"/>
  </w:num>
  <w:num w:numId="20" w16cid:durableId="163775969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4D"/>
    <w:rsid w:val="00004672"/>
    <w:rsid w:val="00004E7E"/>
    <w:rsid w:val="0000577B"/>
    <w:rsid w:val="00020B35"/>
    <w:rsid w:val="00035B7D"/>
    <w:rsid w:val="000437C5"/>
    <w:rsid w:val="000474AE"/>
    <w:rsid w:val="00071857"/>
    <w:rsid w:val="000A180F"/>
    <w:rsid w:val="000A2BDA"/>
    <w:rsid w:val="000A48D5"/>
    <w:rsid w:val="000B5EAA"/>
    <w:rsid w:val="000B6ABC"/>
    <w:rsid w:val="000C2BE7"/>
    <w:rsid w:val="000D2759"/>
    <w:rsid w:val="000F3535"/>
    <w:rsid w:val="00115496"/>
    <w:rsid w:val="00135E7A"/>
    <w:rsid w:val="00143CDF"/>
    <w:rsid w:val="00150BD3"/>
    <w:rsid w:val="00151C8B"/>
    <w:rsid w:val="0015293A"/>
    <w:rsid w:val="00155A3B"/>
    <w:rsid w:val="001561BE"/>
    <w:rsid w:val="00156C57"/>
    <w:rsid w:val="001756C0"/>
    <w:rsid w:val="001770E6"/>
    <w:rsid w:val="00190B0E"/>
    <w:rsid w:val="001A3D7B"/>
    <w:rsid w:val="001B51BF"/>
    <w:rsid w:val="001E2174"/>
    <w:rsid w:val="001F46B4"/>
    <w:rsid w:val="001F554D"/>
    <w:rsid w:val="002122DA"/>
    <w:rsid w:val="002222F2"/>
    <w:rsid w:val="0023063B"/>
    <w:rsid w:val="002436A6"/>
    <w:rsid w:val="002438B7"/>
    <w:rsid w:val="0024773F"/>
    <w:rsid w:val="002607C9"/>
    <w:rsid w:val="002730DA"/>
    <w:rsid w:val="0028125A"/>
    <w:rsid w:val="002B7DEB"/>
    <w:rsid w:val="002D57C6"/>
    <w:rsid w:val="002D630D"/>
    <w:rsid w:val="002E4153"/>
    <w:rsid w:val="002F244A"/>
    <w:rsid w:val="002F47B6"/>
    <w:rsid w:val="002F6285"/>
    <w:rsid w:val="002F6A88"/>
    <w:rsid w:val="00327185"/>
    <w:rsid w:val="003336F3"/>
    <w:rsid w:val="003348B0"/>
    <w:rsid w:val="00380F44"/>
    <w:rsid w:val="00392688"/>
    <w:rsid w:val="003A0024"/>
    <w:rsid w:val="003A6195"/>
    <w:rsid w:val="003D0324"/>
    <w:rsid w:val="003D63A8"/>
    <w:rsid w:val="003E3A9F"/>
    <w:rsid w:val="003E6F22"/>
    <w:rsid w:val="003E6FE8"/>
    <w:rsid w:val="00407429"/>
    <w:rsid w:val="00426584"/>
    <w:rsid w:val="00431D45"/>
    <w:rsid w:val="004564F4"/>
    <w:rsid w:val="00457042"/>
    <w:rsid w:val="00461810"/>
    <w:rsid w:val="00463458"/>
    <w:rsid w:val="00473A4B"/>
    <w:rsid w:val="004878DB"/>
    <w:rsid w:val="00493E0A"/>
    <w:rsid w:val="00494A2D"/>
    <w:rsid w:val="004967D0"/>
    <w:rsid w:val="004A26E3"/>
    <w:rsid w:val="004C04C8"/>
    <w:rsid w:val="004C604C"/>
    <w:rsid w:val="004D00DD"/>
    <w:rsid w:val="004E1ECE"/>
    <w:rsid w:val="004E7487"/>
    <w:rsid w:val="004F54F5"/>
    <w:rsid w:val="00502450"/>
    <w:rsid w:val="005147E0"/>
    <w:rsid w:val="00534DBE"/>
    <w:rsid w:val="00535159"/>
    <w:rsid w:val="0053666A"/>
    <w:rsid w:val="00560AEF"/>
    <w:rsid w:val="005620A0"/>
    <w:rsid w:val="0056634E"/>
    <w:rsid w:val="0057264C"/>
    <w:rsid w:val="0057273E"/>
    <w:rsid w:val="00577A39"/>
    <w:rsid w:val="005814F5"/>
    <w:rsid w:val="005A7D8E"/>
    <w:rsid w:val="005D30BA"/>
    <w:rsid w:val="005E2D63"/>
    <w:rsid w:val="005F4391"/>
    <w:rsid w:val="0061072B"/>
    <w:rsid w:val="006316F1"/>
    <w:rsid w:val="00632BF8"/>
    <w:rsid w:val="0064557B"/>
    <w:rsid w:val="00676C6B"/>
    <w:rsid w:val="00687D4A"/>
    <w:rsid w:val="006915C1"/>
    <w:rsid w:val="006A2F63"/>
    <w:rsid w:val="006A3718"/>
    <w:rsid w:val="006A66B7"/>
    <w:rsid w:val="006B0C3F"/>
    <w:rsid w:val="006B7713"/>
    <w:rsid w:val="006C7F7B"/>
    <w:rsid w:val="006D282F"/>
    <w:rsid w:val="006D790C"/>
    <w:rsid w:val="006E6A90"/>
    <w:rsid w:val="00700CF5"/>
    <w:rsid w:val="00711608"/>
    <w:rsid w:val="00712950"/>
    <w:rsid w:val="00715B3E"/>
    <w:rsid w:val="00720097"/>
    <w:rsid w:val="0073401D"/>
    <w:rsid w:val="007361D8"/>
    <w:rsid w:val="00737A99"/>
    <w:rsid w:val="007479DF"/>
    <w:rsid w:val="00764442"/>
    <w:rsid w:val="00781704"/>
    <w:rsid w:val="00782E37"/>
    <w:rsid w:val="0078505D"/>
    <w:rsid w:val="00795B77"/>
    <w:rsid w:val="007A0AA6"/>
    <w:rsid w:val="007D0983"/>
    <w:rsid w:val="007D10B5"/>
    <w:rsid w:val="007E291E"/>
    <w:rsid w:val="007F0661"/>
    <w:rsid w:val="007F6293"/>
    <w:rsid w:val="00802A52"/>
    <w:rsid w:val="00804819"/>
    <w:rsid w:val="00806F0F"/>
    <w:rsid w:val="00814D2B"/>
    <w:rsid w:val="00831224"/>
    <w:rsid w:val="00850D66"/>
    <w:rsid w:val="00855847"/>
    <w:rsid w:val="00855F84"/>
    <w:rsid w:val="00881C97"/>
    <w:rsid w:val="00884A2D"/>
    <w:rsid w:val="00887116"/>
    <w:rsid w:val="008B08B4"/>
    <w:rsid w:val="008B36F8"/>
    <w:rsid w:val="008B4389"/>
    <w:rsid w:val="008B5C8B"/>
    <w:rsid w:val="008B6460"/>
    <w:rsid w:val="008C3055"/>
    <w:rsid w:val="008C7075"/>
    <w:rsid w:val="008D2DDA"/>
    <w:rsid w:val="008E2476"/>
    <w:rsid w:val="008E333E"/>
    <w:rsid w:val="008F39FF"/>
    <w:rsid w:val="009043FC"/>
    <w:rsid w:val="009050C6"/>
    <w:rsid w:val="0091365A"/>
    <w:rsid w:val="0093479E"/>
    <w:rsid w:val="00946C71"/>
    <w:rsid w:val="00947DF3"/>
    <w:rsid w:val="00955E32"/>
    <w:rsid w:val="0097181E"/>
    <w:rsid w:val="00990B3C"/>
    <w:rsid w:val="00992A47"/>
    <w:rsid w:val="00997A06"/>
    <w:rsid w:val="009A3D7C"/>
    <w:rsid w:val="009A520F"/>
    <w:rsid w:val="009B215B"/>
    <w:rsid w:val="009B2F87"/>
    <w:rsid w:val="009D1FBA"/>
    <w:rsid w:val="009F3A54"/>
    <w:rsid w:val="009F4681"/>
    <w:rsid w:val="00A01D13"/>
    <w:rsid w:val="00A121B3"/>
    <w:rsid w:val="00A64814"/>
    <w:rsid w:val="00A80E1E"/>
    <w:rsid w:val="00A82B0F"/>
    <w:rsid w:val="00A8651A"/>
    <w:rsid w:val="00AA2223"/>
    <w:rsid w:val="00AA4303"/>
    <w:rsid w:val="00AA6E1F"/>
    <w:rsid w:val="00AB6132"/>
    <w:rsid w:val="00AD2B6E"/>
    <w:rsid w:val="00AF02E0"/>
    <w:rsid w:val="00AF1D3D"/>
    <w:rsid w:val="00AF1F32"/>
    <w:rsid w:val="00AF7367"/>
    <w:rsid w:val="00B04ED0"/>
    <w:rsid w:val="00B152AF"/>
    <w:rsid w:val="00B16D06"/>
    <w:rsid w:val="00B20411"/>
    <w:rsid w:val="00B369D6"/>
    <w:rsid w:val="00B36B59"/>
    <w:rsid w:val="00B53D5A"/>
    <w:rsid w:val="00B5451D"/>
    <w:rsid w:val="00B61F7F"/>
    <w:rsid w:val="00B717B1"/>
    <w:rsid w:val="00B93B1F"/>
    <w:rsid w:val="00BA1D4B"/>
    <w:rsid w:val="00BB2440"/>
    <w:rsid w:val="00BB3942"/>
    <w:rsid w:val="00BC07D5"/>
    <w:rsid w:val="00BC5E8E"/>
    <w:rsid w:val="00BC719D"/>
    <w:rsid w:val="00BD7739"/>
    <w:rsid w:val="00BE100F"/>
    <w:rsid w:val="00BE11C7"/>
    <w:rsid w:val="00BE1269"/>
    <w:rsid w:val="00BE4B49"/>
    <w:rsid w:val="00BE514D"/>
    <w:rsid w:val="00BE6801"/>
    <w:rsid w:val="00C0291B"/>
    <w:rsid w:val="00C038FB"/>
    <w:rsid w:val="00C05740"/>
    <w:rsid w:val="00C07190"/>
    <w:rsid w:val="00C10F1D"/>
    <w:rsid w:val="00C14F9F"/>
    <w:rsid w:val="00C16280"/>
    <w:rsid w:val="00C2005B"/>
    <w:rsid w:val="00C2007C"/>
    <w:rsid w:val="00C201DA"/>
    <w:rsid w:val="00C37F6A"/>
    <w:rsid w:val="00C42412"/>
    <w:rsid w:val="00C44263"/>
    <w:rsid w:val="00C73DA2"/>
    <w:rsid w:val="00CA3730"/>
    <w:rsid w:val="00CB6145"/>
    <w:rsid w:val="00CD382D"/>
    <w:rsid w:val="00CE6744"/>
    <w:rsid w:val="00D00427"/>
    <w:rsid w:val="00D02C4A"/>
    <w:rsid w:val="00D31981"/>
    <w:rsid w:val="00D37D9F"/>
    <w:rsid w:val="00D73EB2"/>
    <w:rsid w:val="00D77363"/>
    <w:rsid w:val="00D77E4F"/>
    <w:rsid w:val="00DB02B9"/>
    <w:rsid w:val="00DB0566"/>
    <w:rsid w:val="00E15D62"/>
    <w:rsid w:val="00E166A9"/>
    <w:rsid w:val="00E375FD"/>
    <w:rsid w:val="00E4646D"/>
    <w:rsid w:val="00E47E70"/>
    <w:rsid w:val="00E5089C"/>
    <w:rsid w:val="00E559B7"/>
    <w:rsid w:val="00E80440"/>
    <w:rsid w:val="00E86DCD"/>
    <w:rsid w:val="00E9272A"/>
    <w:rsid w:val="00E94A1C"/>
    <w:rsid w:val="00EA2130"/>
    <w:rsid w:val="00EA4465"/>
    <w:rsid w:val="00EB6F54"/>
    <w:rsid w:val="00EC4AF9"/>
    <w:rsid w:val="00ED7629"/>
    <w:rsid w:val="00EF11AE"/>
    <w:rsid w:val="00F03DF7"/>
    <w:rsid w:val="00F07FBE"/>
    <w:rsid w:val="00F16243"/>
    <w:rsid w:val="00F24B46"/>
    <w:rsid w:val="00F4048D"/>
    <w:rsid w:val="00F41FC6"/>
    <w:rsid w:val="00F44DC5"/>
    <w:rsid w:val="00F61B69"/>
    <w:rsid w:val="00F63593"/>
    <w:rsid w:val="00F83261"/>
    <w:rsid w:val="00FA2DFF"/>
    <w:rsid w:val="00FB10EA"/>
    <w:rsid w:val="00FB6C36"/>
    <w:rsid w:val="00FC34DF"/>
    <w:rsid w:val="00FC6D23"/>
    <w:rsid w:val="00FD459C"/>
    <w:rsid w:val="00FE4BC3"/>
    <w:rsid w:val="00FE5B1F"/>
    <w:rsid w:val="00FF1497"/>
    <w:rsid w:val="00FF322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1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11C7"/>
    <w:pPr>
      <w:spacing w:after="200" w:line="276" w:lineRule="auto"/>
    </w:pPr>
    <w:rPr>
      <w:rFonts w:ascii="Arial" w:hAnsi="Arial"/>
      <w:szCs w:val="24"/>
      <w:lang w:eastAsia="en-US"/>
    </w:rPr>
  </w:style>
  <w:style w:type="paragraph" w:styleId="Heading1">
    <w:name w:val="heading 1"/>
    <w:next w:val="Normal"/>
    <w:link w:val="Heading1Char"/>
    <w:uiPriority w:val="9"/>
    <w:qFormat/>
    <w:rsid w:val="007F6293"/>
    <w:pPr>
      <w:keepNext/>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uiPriority w:val="9"/>
    <w:qFormat/>
    <w:rsid w:val="007F6293"/>
    <w:pPr>
      <w:keepNext/>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uiPriority w:val="9"/>
    <w:qFormat/>
    <w:rsid w:val="007F6293"/>
    <w:pPr>
      <w:spacing w:before="280" w:after="160"/>
      <w:outlineLvl w:val="2"/>
    </w:pPr>
    <w:rPr>
      <w:bCs w:val="0"/>
      <w:sz w:val="22"/>
    </w:rPr>
  </w:style>
  <w:style w:type="paragraph" w:styleId="Heading4">
    <w:name w:val="heading 4"/>
    <w:basedOn w:val="Heading3"/>
    <w:next w:val="Normal"/>
    <w:link w:val="Heading4Char"/>
    <w:rsid w:val="007F6293"/>
    <w:pPr>
      <w:spacing w:before="200" w:after="120"/>
      <w:outlineLvl w:val="3"/>
    </w:pPr>
    <w:rPr>
      <w:rFonts w:eastAsia="MS Mincho"/>
      <w:bCs/>
      <w:sz w:val="20"/>
      <w:szCs w:val="28"/>
    </w:rPr>
  </w:style>
  <w:style w:type="paragraph" w:styleId="Heading5">
    <w:name w:val="heading 5"/>
    <w:basedOn w:val="Heading4"/>
    <w:next w:val="Normal"/>
    <w:link w:val="Heading5Char"/>
    <w:rsid w:val="007F6293"/>
    <w:pPr>
      <w:spacing w:after="80"/>
      <w:outlineLvl w:val="4"/>
    </w:pPr>
    <w:rPr>
      <w:rFonts w:ascii="Arial" w:hAnsi="Arial"/>
      <w:bCs w:val="0"/>
      <w:iCs/>
      <w:szCs w:val="26"/>
    </w:rPr>
  </w:style>
  <w:style w:type="paragraph" w:styleId="Heading6">
    <w:name w:val="heading 6"/>
    <w:basedOn w:val="Normal"/>
    <w:next w:val="Normal"/>
    <w:link w:val="Heading6Char"/>
    <w:uiPriority w:val="9"/>
    <w:qFormat/>
    <w:rsid w:val="007F6293"/>
    <w:pPr>
      <w:spacing w:before="240" w:after="60"/>
      <w:outlineLvl w:val="5"/>
    </w:pPr>
    <w:rPr>
      <w:bCs/>
      <w:szCs w:val="22"/>
    </w:rPr>
  </w:style>
  <w:style w:type="paragraph" w:styleId="Heading7">
    <w:name w:val="heading 7"/>
    <w:basedOn w:val="Normal"/>
    <w:next w:val="Normal"/>
    <w:link w:val="Heading7Char"/>
    <w:uiPriority w:val="9"/>
    <w:qFormat/>
    <w:rsid w:val="007F6293"/>
    <w:pPr>
      <w:spacing w:before="240" w:after="60"/>
      <w:outlineLvl w:val="6"/>
    </w:pPr>
  </w:style>
  <w:style w:type="paragraph" w:styleId="Heading8">
    <w:name w:val="heading 8"/>
    <w:basedOn w:val="Normal"/>
    <w:next w:val="Normal"/>
    <w:link w:val="Heading8Char"/>
    <w:uiPriority w:val="9"/>
    <w:semiHidden/>
    <w:unhideWhenUsed/>
    <w:qFormat/>
    <w:rsid w:val="007F629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629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6293"/>
    <w:rPr>
      <w:rFonts w:ascii="Arial Bold" w:eastAsia="MS Gothic" w:hAnsi="Arial Bold"/>
      <w:bCs/>
      <w:sz w:val="28"/>
      <w:szCs w:val="32"/>
      <w:lang w:val="en-US" w:eastAsia="en-US"/>
    </w:rPr>
  </w:style>
  <w:style w:type="character" w:customStyle="1" w:styleId="Heading2Char">
    <w:name w:val="Heading 2 Char"/>
    <w:link w:val="Heading2"/>
    <w:uiPriority w:val="9"/>
    <w:rsid w:val="007F6293"/>
    <w:rPr>
      <w:rFonts w:ascii="Arial Bold" w:eastAsia="MS Gothic" w:hAnsi="Arial Bold"/>
      <w:bCs/>
      <w:sz w:val="24"/>
      <w:szCs w:val="26"/>
      <w:lang w:val="en-US" w:eastAsia="en-US"/>
    </w:rPr>
  </w:style>
  <w:style w:type="character" w:customStyle="1" w:styleId="Heading3Char">
    <w:name w:val="Heading 3 Char"/>
    <w:link w:val="Heading3"/>
    <w:uiPriority w:val="9"/>
    <w:rsid w:val="007F6293"/>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7F6293"/>
    <w:rPr>
      <w:rFonts w:ascii="Lucida Grande" w:hAnsi="Lucida Grande"/>
      <w:sz w:val="18"/>
      <w:szCs w:val="18"/>
    </w:rPr>
  </w:style>
  <w:style w:type="character" w:customStyle="1" w:styleId="BalloonTextChar">
    <w:name w:val="Balloon Text Char"/>
    <w:link w:val="BalloonText"/>
    <w:uiPriority w:val="99"/>
    <w:semiHidden/>
    <w:rsid w:val="007F6293"/>
    <w:rPr>
      <w:rFonts w:ascii="Lucida Grande" w:hAnsi="Lucida Grande"/>
      <w:sz w:val="18"/>
      <w:szCs w:val="18"/>
      <w:lang w:eastAsia="en-US"/>
    </w:rPr>
  </w:style>
  <w:style w:type="paragraph" w:styleId="Footer">
    <w:name w:val="footer"/>
    <w:basedOn w:val="Normal"/>
    <w:link w:val="FooterChar"/>
    <w:uiPriority w:val="99"/>
    <w:unhideWhenUsed/>
    <w:rsid w:val="007F6293"/>
    <w:pPr>
      <w:tabs>
        <w:tab w:val="center" w:pos="4320"/>
        <w:tab w:val="right" w:pos="8640"/>
      </w:tabs>
      <w:spacing w:after="0"/>
    </w:pPr>
    <w:rPr>
      <w:sz w:val="18"/>
    </w:rPr>
  </w:style>
  <w:style w:type="character" w:customStyle="1" w:styleId="FooterChar">
    <w:name w:val="Footer Char"/>
    <w:link w:val="Footer"/>
    <w:uiPriority w:val="99"/>
    <w:rsid w:val="007F6293"/>
    <w:rPr>
      <w:rFonts w:ascii="Arial" w:hAnsi="Arial"/>
      <w:sz w:val="18"/>
      <w:szCs w:val="24"/>
      <w:lang w:eastAsia="en-US"/>
    </w:rPr>
  </w:style>
  <w:style w:type="table" w:styleId="TableGrid">
    <w:name w:val="Table Grid"/>
    <w:basedOn w:val="TableNormal"/>
    <w:uiPriority w:val="39"/>
    <w:rsid w:val="007F6293"/>
    <w:pPr>
      <w:spacing w:before="60" w:after="60"/>
    </w:pPr>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Pr/>
      <w:trPr>
        <w:cantSplit/>
        <w:tblHeader/>
      </w:trPr>
    </w:tblStylePr>
    <w:tblStylePr w:type="firstCol">
      <w:rPr>
        <w:b/>
      </w:rPr>
    </w:tblStylePr>
  </w:style>
  <w:style w:type="paragraph" w:styleId="DocumentMap">
    <w:name w:val="Document Map"/>
    <w:basedOn w:val="Normal"/>
    <w:link w:val="DocumentMapChar"/>
    <w:uiPriority w:val="99"/>
    <w:unhideWhenUsed/>
    <w:rsid w:val="007F6293"/>
    <w:rPr>
      <w:rFonts w:ascii="Lucida Grande" w:hAnsi="Lucida Grande" w:cs="Lucida Grande"/>
    </w:rPr>
  </w:style>
  <w:style w:type="character" w:customStyle="1" w:styleId="DocumentMapChar">
    <w:name w:val="Document Map Char"/>
    <w:link w:val="DocumentMap"/>
    <w:uiPriority w:val="99"/>
    <w:rsid w:val="007F6293"/>
    <w:rPr>
      <w:rFonts w:ascii="Lucida Grande" w:hAnsi="Lucida Grande" w:cs="Lucida Grande"/>
      <w:szCs w:val="24"/>
      <w:lang w:eastAsia="en-US"/>
    </w:rPr>
  </w:style>
  <w:style w:type="paragraph" w:styleId="TOCHeading">
    <w:name w:val="TOC Heading"/>
    <w:basedOn w:val="Heading1"/>
    <w:next w:val="TOC1"/>
    <w:uiPriority w:val="39"/>
    <w:qFormat/>
    <w:rsid w:val="007F6293"/>
    <w:pPr>
      <w:outlineLvl w:val="9"/>
    </w:pPr>
    <w:rPr>
      <w:bCs w:val="0"/>
    </w:rPr>
  </w:style>
  <w:style w:type="paragraph" w:styleId="TOC1">
    <w:name w:val="toc 1"/>
    <w:basedOn w:val="Normal"/>
    <w:next w:val="Normal"/>
    <w:uiPriority w:val="39"/>
    <w:rsid w:val="007F6293"/>
    <w:pPr>
      <w:spacing w:after="120"/>
    </w:pPr>
  </w:style>
  <w:style w:type="character" w:customStyle="1" w:styleId="ItalicText">
    <w:name w:val="Italic Text"/>
    <w:qFormat/>
    <w:rsid w:val="007F6293"/>
    <w:rPr>
      <w:rFonts w:ascii="Arial" w:hAnsi="Arial"/>
      <w:i/>
      <w:sz w:val="20"/>
    </w:rPr>
  </w:style>
  <w:style w:type="paragraph" w:styleId="Header">
    <w:name w:val="header"/>
    <w:basedOn w:val="Normal"/>
    <w:next w:val="Normal"/>
    <w:link w:val="HeaderChar"/>
    <w:rsid w:val="007F6293"/>
    <w:pPr>
      <w:tabs>
        <w:tab w:val="center" w:pos="4513"/>
        <w:tab w:val="right" w:pos="9026"/>
      </w:tabs>
    </w:pPr>
  </w:style>
  <w:style w:type="character" w:customStyle="1" w:styleId="HeaderChar">
    <w:name w:val="Header Char"/>
    <w:link w:val="Header"/>
    <w:rsid w:val="007F6293"/>
    <w:rPr>
      <w:rFonts w:ascii="Arial" w:hAnsi="Arial"/>
      <w:szCs w:val="24"/>
      <w:lang w:eastAsia="en-US"/>
    </w:rPr>
  </w:style>
  <w:style w:type="paragraph" w:styleId="ListBullet">
    <w:name w:val="List Bullet"/>
    <w:basedOn w:val="Normal"/>
    <w:qFormat/>
    <w:rsid w:val="007F6293"/>
    <w:pPr>
      <w:numPr>
        <w:numId w:val="18"/>
      </w:numPr>
      <w:spacing w:after="120"/>
    </w:pPr>
    <w:rPr>
      <w:lang w:val="en-US"/>
    </w:rPr>
  </w:style>
  <w:style w:type="paragraph" w:styleId="EndnoteText">
    <w:name w:val="endnote text"/>
    <w:basedOn w:val="Normal"/>
    <w:link w:val="EndnoteTextChar"/>
    <w:rsid w:val="007F6293"/>
    <w:pPr>
      <w:spacing w:after="40"/>
    </w:pPr>
    <w:rPr>
      <w:sz w:val="16"/>
      <w:szCs w:val="20"/>
    </w:rPr>
  </w:style>
  <w:style w:type="character" w:customStyle="1" w:styleId="EndnoteTextChar">
    <w:name w:val="Endnote Text Char"/>
    <w:link w:val="EndnoteText"/>
    <w:rsid w:val="007F6293"/>
    <w:rPr>
      <w:rFonts w:ascii="Arial" w:hAnsi="Arial"/>
      <w:sz w:val="16"/>
      <w:lang w:eastAsia="en-US"/>
    </w:rPr>
  </w:style>
  <w:style w:type="character" w:styleId="EndnoteReference">
    <w:name w:val="endnote reference"/>
    <w:rsid w:val="007F6293"/>
    <w:rPr>
      <w:vertAlign w:val="superscript"/>
    </w:rPr>
  </w:style>
  <w:style w:type="paragraph" w:styleId="FootnoteText">
    <w:name w:val="footnote text"/>
    <w:basedOn w:val="Normal"/>
    <w:link w:val="FootnoteTextChar"/>
    <w:rsid w:val="007F6293"/>
    <w:pPr>
      <w:spacing w:after="0"/>
    </w:pPr>
    <w:rPr>
      <w:sz w:val="16"/>
      <w:szCs w:val="20"/>
    </w:rPr>
  </w:style>
  <w:style w:type="character" w:customStyle="1" w:styleId="FootnoteTextChar">
    <w:name w:val="Footnote Text Char"/>
    <w:link w:val="FootnoteText"/>
    <w:rsid w:val="007F6293"/>
    <w:rPr>
      <w:rFonts w:ascii="Arial" w:hAnsi="Arial"/>
      <w:sz w:val="16"/>
      <w:lang w:eastAsia="en-US"/>
    </w:rPr>
  </w:style>
  <w:style w:type="character" w:styleId="FootnoteReference">
    <w:name w:val="footnote reference"/>
    <w:rsid w:val="007F6293"/>
    <w:rPr>
      <w:vertAlign w:val="superscript"/>
    </w:rPr>
  </w:style>
  <w:style w:type="paragraph" w:styleId="ListNumber">
    <w:name w:val="List Number"/>
    <w:basedOn w:val="Normal"/>
    <w:qFormat/>
    <w:rsid w:val="007F6293"/>
    <w:pPr>
      <w:numPr>
        <w:numId w:val="19"/>
      </w:numPr>
      <w:spacing w:after="120"/>
    </w:pPr>
  </w:style>
  <w:style w:type="paragraph" w:styleId="ListNumber2">
    <w:name w:val="List Number 2"/>
    <w:basedOn w:val="ListNumber"/>
    <w:rsid w:val="007F6293"/>
    <w:pPr>
      <w:numPr>
        <w:ilvl w:val="1"/>
      </w:numPr>
    </w:pPr>
  </w:style>
  <w:style w:type="paragraph" w:styleId="TableofFigures">
    <w:name w:val="table of figures"/>
    <w:basedOn w:val="Normal"/>
    <w:qFormat/>
    <w:rsid w:val="007F6293"/>
    <w:pPr>
      <w:spacing w:after="0"/>
    </w:pPr>
    <w:rPr>
      <w:lang w:val="en-US"/>
    </w:rPr>
  </w:style>
  <w:style w:type="numbering" w:customStyle="1" w:styleId="ListBullets">
    <w:name w:val="ListBullets"/>
    <w:uiPriority w:val="99"/>
    <w:rsid w:val="007F6293"/>
    <w:pPr>
      <w:numPr>
        <w:numId w:val="1"/>
      </w:numPr>
    </w:pPr>
  </w:style>
  <w:style w:type="paragraph" w:styleId="ListBullet2">
    <w:name w:val="List Bullet 2"/>
    <w:basedOn w:val="Normal"/>
    <w:rsid w:val="007F6293"/>
    <w:pPr>
      <w:numPr>
        <w:ilvl w:val="1"/>
        <w:numId w:val="18"/>
      </w:numPr>
      <w:spacing w:after="120"/>
    </w:pPr>
    <w:rPr>
      <w:lang w:val="en-US"/>
    </w:rPr>
  </w:style>
  <w:style w:type="paragraph" w:styleId="ListParagraph">
    <w:name w:val="List Paragraph"/>
    <w:basedOn w:val="Normal"/>
    <w:rsid w:val="007F6293"/>
    <w:pPr>
      <w:numPr>
        <w:numId w:val="16"/>
      </w:numPr>
      <w:spacing w:after="120"/>
    </w:pPr>
    <w:rPr>
      <w:lang w:val="en-US"/>
    </w:rPr>
  </w:style>
  <w:style w:type="paragraph" w:styleId="ListBullet3">
    <w:name w:val="List Bullet 3"/>
    <w:basedOn w:val="Normal"/>
    <w:rsid w:val="007F6293"/>
    <w:pPr>
      <w:numPr>
        <w:ilvl w:val="2"/>
        <w:numId w:val="18"/>
      </w:numPr>
      <w:spacing w:after="120"/>
    </w:pPr>
  </w:style>
  <w:style w:type="paragraph" w:styleId="ListBullet4">
    <w:name w:val="List Bullet 4"/>
    <w:basedOn w:val="Normal"/>
    <w:rsid w:val="007F6293"/>
    <w:pPr>
      <w:numPr>
        <w:ilvl w:val="3"/>
        <w:numId w:val="18"/>
      </w:numPr>
      <w:spacing w:after="120"/>
    </w:pPr>
  </w:style>
  <w:style w:type="paragraph" w:styleId="ListBullet5">
    <w:name w:val="List Bullet 5"/>
    <w:basedOn w:val="Normal"/>
    <w:rsid w:val="007F6293"/>
    <w:pPr>
      <w:numPr>
        <w:ilvl w:val="4"/>
        <w:numId w:val="18"/>
      </w:numPr>
      <w:spacing w:after="120"/>
    </w:pPr>
  </w:style>
  <w:style w:type="paragraph" w:styleId="ListNumber3">
    <w:name w:val="List Number 3"/>
    <w:basedOn w:val="Normal"/>
    <w:rsid w:val="007F6293"/>
    <w:pPr>
      <w:numPr>
        <w:ilvl w:val="2"/>
        <w:numId w:val="19"/>
      </w:numPr>
      <w:spacing w:after="120"/>
    </w:pPr>
  </w:style>
  <w:style w:type="paragraph" w:styleId="ListNumber4">
    <w:name w:val="List Number 4"/>
    <w:basedOn w:val="Normal"/>
    <w:rsid w:val="007F6293"/>
    <w:pPr>
      <w:numPr>
        <w:ilvl w:val="3"/>
        <w:numId w:val="19"/>
      </w:numPr>
      <w:spacing w:after="120"/>
    </w:pPr>
  </w:style>
  <w:style w:type="numbering" w:customStyle="1" w:styleId="ListNumbers">
    <w:name w:val="ListNumbers"/>
    <w:uiPriority w:val="99"/>
    <w:rsid w:val="007F6293"/>
    <w:pPr>
      <w:numPr>
        <w:numId w:val="2"/>
      </w:numPr>
    </w:pPr>
  </w:style>
  <w:style w:type="character" w:customStyle="1" w:styleId="Heading4Char">
    <w:name w:val="Heading 4 Char"/>
    <w:link w:val="Heading4"/>
    <w:rsid w:val="007F6293"/>
    <w:rPr>
      <w:rFonts w:ascii="Arial Bold" w:hAnsi="Arial Bold"/>
      <w:bCs/>
      <w:szCs w:val="28"/>
      <w:lang w:val="en-US" w:eastAsia="en-US"/>
    </w:rPr>
  </w:style>
  <w:style w:type="paragraph" w:customStyle="1" w:styleId="Bold">
    <w:name w:val="Bold"/>
    <w:basedOn w:val="Normal"/>
    <w:next w:val="Normal"/>
    <w:link w:val="BoldChar"/>
    <w:qFormat/>
    <w:rsid w:val="007F6293"/>
    <w:rPr>
      <w:b/>
    </w:rPr>
  </w:style>
  <w:style w:type="paragraph" w:styleId="TOC2">
    <w:name w:val="toc 2"/>
    <w:basedOn w:val="Normal"/>
    <w:next w:val="Normal"/>
    <w:autoRedefine/>
    <w:uiPriority w:val="39"/>
    <w:rsid w:val="007F6293"/>
    <w:pPr>
      <w:tabs>
        <w:tab w:val="right" w:leader="dot" w:pos="9769"/>
      </w:tabs>
      <w:spacing w:after="120"/>
      <w:ind w:left="284"/>
    </w:pPr>
  </w:style>
  <w:style w:type="paragraph" w:styleId="TOC3">
    <w:name w:val="toc 3"/>
    <w:basedOn w:val="Normal"/>
    <w:next w:val="Normal"/>
    <w:autoRedefine/>
    <w:uiPriority w:val="39"/>
    <w:rsid w:val="007F6293"/>
    <w:pPr>
      <w:tabs>
        <w:tab w:val="right" w:leader="dot" w:pos="9769"/>
      </w:tabs>
      <w:spacing w:after="120"/>
      <w:ind w:left="567"/>
    </w:pPr>
  </w:style>
  <w:style w:type="character" w:styleId="Hyperlink">
    <w:name w:val="Hyperlink"/>
    <w:uiPriority w:val="99"/>
    <w:unhideWhenUsed/>
    <w:rsid w:val="007F6293"/>
    <w:rPr>
      <w:color w:val="0000FF"/>
      <w:u w:val="single"/>
    </w:rPr>
  </w:style>
  <w:style w:type="paragraph" w:styleId="TOC4">
    <w:name w:val="toc 4"/>
    <w:basedOn w:val="Normal"/>
    <w:next w:val="Normal"/>
    <w:autoRedefine/>
    <w:uiPriority w:val="39"/>
    <w:rsid w:val="007F6293"/>
    <w:pPr>
      <w:spacing w:after="120"/>
      <w:ind w:left="851"/>
    </w:pPr>
  </w:style>
  <w:style w:type="character" w:customStyle="1" w:styleId="Heading5Char">
    <w:name w:val="Heading 5 Char"/>
    <w:link w:val="Heading5"/>
    <w:rsid w:val="007F6293"/>
    <w:rPr>
      <w:rFonts w:ascii="Arial" w:hAnsi="Arial"/>
      <w:iCs/>
      <w:szCs w:val="26"/>
      <w:lang w:val="en-US" w:eastAsia="en-US"/>
    </w:rPr>
  </w:style>
  <w:style w:type="character" w:customStyle="1" w:styleId="Heading6Char">
    <w:name w:val="Heading 6 Char"/>
    <w:link w:val="Heading6"/>
    <w:uiPriority w:val="9"/>
    <w:rsid w:val="007F6293"/>
    <w:rPr>
      <w:rFonts w:ascii="Arial" w:hAnsi="Arial"/>
      <w:bCs/>
      <w:szCs w:val="22"/>
      <w:lang w:eastAsia="en-US"/>
    </w:rPr>
  </w:style>
  <w:style w:type="character" w:customStyle="1" w:styleId="Heading7Char">
    <w:name w:val="Heading 7 Char"/>
    <w:link w:val="Heading7"/>
    <w:uiPriority w:val="9"/>
    <w:rsid w:val="007F6293"/>
    <w:rPr>
      <w:rFonts w:ascii="Arial" w:hAnsi="Arial"/>
      <w:szCs w:val="24"/>
      <w:lang w:eastAsia="en-US"/>
    </w:rPr>
  </w:style>
  <w:style w:type="paragraph" w:styleId="TOC5">
    <w:name w:val="toc 5"/>
    <w:basedOn w:val="Normal"/>
    <w:next w:val="Normal"/>
    <w:autoRedefine/>
    <w:uiPriority w:val="39"/>
    <w:rsid w:val="007F6293"/>
    <w:pPr>
      <w:spacing w:after="120"/>
      <w:ind w:left="1134"/>
    </w:pPr>
  </w:style>
  <w:style w:type="character" w:customStyle="1" w:styleId="BoldChar">
    <w:name w:val="Bold Char"/>
    <w:link w:val="Bold"/>
    <w:rsid w:val="007F6293"/>
    <w:rPr>
      <w:rFonts w:ascii="Arial" w:hAnsi="Arial"/>
      <w:b/>
      <w:szCs w:val="24"/>
      <w:lang w:eastAsia="en-US"/>
    </w:rPr>
  </w:style>
  <w:style w:type="paragraph" w:styleId="Caption">
    <w:name w:val="caption"/>
    <w:basedOn w:val="Normal"/>
    <w:next w:val="Normal"/>
    <w:rsid w:val="007F6293"/>
    <w:pPr>
      <w:spacing w:before="240"/>
    </w:pPr>
    <w:rPr>
      <w:rFonts w:ascii="Arial Bold" w:hAnsi="Arial Bold"/>
      <w:b/>
      <w:bCs/>
      <w:szCs w:val="18"/>
    </w:rPr>
  </w:style>
  <w:style w:type="paragraph" w:styleId="TOAHeading">
    <w:name w:val="toa heading"/>
    <w:basedOn w:val="Normal"/>
    <w:next w:val="Normal"/>
    <w:rsid w:val="007F6293"/>
    <w:pPr>
      <w:spacing w:before="120"/>
    </w:pPr>
    <w:rPr>
      <w:rFonts w:ascii="Calibri" w:eastAsia="MS Gothic" w:hAnsi="Calibri"/>
      <w:b/>
      <w:bCs/>
      <w:sz w:val="24"/>
    </w:rPr>
  </w:style>
  <w:style w:type="character" w:styleId="Strong">
    <w:name w:val="Strong"/>
    <w:rsid w:val="007F6293"/>
    <w:rPr>
      <w:b/>
      <w:bCs/>
    </w:rPr>
  </w:style>
  <w:style w:type="paragraph" w:customStyle="1" w:styleId="DocumentTitle">
    <w:name w:val="Document Title"/>
    <w:basedOn w:val="Normal"/>
    <w:next w:val="Subtitle"/>
    <w:qFormat/>
    <w:rsid w:val="007F6293"/>
    <w:pPr>
      <w:spacing w:after="480"/>
    </w:pPr>
    <w:rPr>
      <w:noProof/>
      <w:sz w:val="52"/>
    </w:rPr>
  </w:style>
  <w:style w:type="paragraph" w:styleId="Title">
    <w:name w:val="Title"/>
    <w:basedOn w:val="Normal"/>
    <w:next w:val="Normal"/>
    <w:link w:val="TitleChar"/>
    <w:rsid w:val="007F6293"/>
    <w:pPr>
      <w:pBdr>
        <w:bottom w:val="single" w:sz="8" w:space="4" w:color="4F81BD"/>
      </w:pBdr>
      <w:spacing w:after="300"/>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7F6293"/>
    <w:pPr>
      <w:spacing w:after="360"/>
    </w:pPr>
    <w:rPr>
      <w:rFonts w:eastAsia="MS Gothic"/>
      <w:sz w:val="44"/>
    </w:rPr>
  </w:style>
  <w:style w:type="character" w:customStyle="1" w:styleId="SubtitleChar">
    <w:name w:val="Subtitle Char"/>
    <w:link w:val="Subtitle"/>
    <w:rsid w:val="007F6293"/>
    <w:rPr>
      <w:rFonts w:ascii="Arial" w:eastAsia="MS Gothic" w:hAnsi="Arial"/>
      <w:sz w:val="44"/>
      <w:szCs w:val="24"/>
      <w:lang w:eastAsia="en-US"/>
    </w:rPr>
  </w:style>
  <w:style w:type="paragraph" w:customStyle="1" w:styleId="Subtitle2">
    <w:name w:val="Subtitle2"/>
    <w:basedOn w:val="Subtitle"/>
    <w:next w:val="Heading1"/>
    <w:qFormat/>
    <w:rsid w:val="007F6293"/>
    <w:rPr>
      <w:sz w:val="36"/>
    </w:rPr>
  </w:style>
  <w:style w:type="character" w:customStyle="1" w:styleId="TitleChar">
    <w:name w:val="Title Char"/>
    <w:link w:val="Title"/>
    <w:rsid w:val="007F6293"/>
    <w:rPr>
      <w:rFonts w:ascii="Calibri" w:eastAsia="MS Gothic" w:hAnsi="Calibri"/>
      <w:color w:val="17365D"/>
      <w:spacing w:val="5"/>
      <w:kern w:val="28"/>
      <w:sz w:val="52"/>
      <w:szCs w:val="52"/>
      <w:lang w:eastAsia="en-US"/>
    </w:rPr>
  </w:style>
  <w:style w:type="paragraph" w:customStyle="1" w:styleId="Nospace">
    <w:name w:val="No space"/>
    <w:basedOn w:val="Normal"/>
    <w:qFormat/>
    <w:rsid w:val="007F6293"/>
    <w:pPr>
      <w:spacing w:after="0"/>
    </w:pPr>
    <w:rPr>
      <w:noProof/>
      <w:lang w:eastAsia="en-AU"/>
    </w:rPr>
  </w:style>
  <w:style w:type="character" w:customStyle="1" w:styleId="Heading8Char">
    <w:name w:val="Heading 8 Char"/>
    <w:basedOn w:val="DefaultParagraphFont"/>
    <w:link w:val="Heading8"/>
    <w:uiPriority w:val="9"/>
    <w:semiHidden/>
    <w:rsid w:val="007F629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7F6293"/>
    <w:rPr>
      <w:rFonts w:asciiTheme="majorHAnsi" w:eastAsiaTheme="majorEastAsia" w:hAnsiTheme="majorHAnsi" w:cstheme="majorBidi"/>
      <w:i/>
      <w:iCs/>
      <w:color w:val="272727" w:themeColor="text1" w:themeTint="D8"/>
      <w:sz w:val="21"/>
      <w:szCs w:val="21"/>
      <w:lang w:eastAsia="en-US"/>
    </w:rPr>
  </w:style>
  <w:style w:type="paragraph" w:customStyle="1" w:styleId="nText1">
    <w:name w:val="nText1"/>
    <w:basedOn w:val="Normal"/>
    <w:qFormat/>
    <w:rsid w:val="007F6293"/>
    <w:pPr>
      <w:spacing w:before="120" w:after="120"/>
      <w:ind w:left="1134" w:hanging="340"/>
      <w:outlineLvl w:val="3"/>
    </w:pPr>
    <w:rPr>
      <w:rFonts w:asciiTheme="minorHAnsi" w:eastAsiaTheme="minorHAnsi" w:hAnsiTheme="minorHAnsi" w:cstheme="minorBidi"/>
      <w:szCs w:val="22"/>
    </w:rPr>
  </w:style>
  <w:style w:type="paragraph" w:customStyle="1" w:styleId="nText2">
    <w:name w:val="nText2"/>
    <w:basedOn w:val="nText1"/>
    <w:qFormat/>
    <w:rsid w:val="007F6293"/>
    <w:pPr>
      <w:ind w:left="1417" w:hanging="113"/>
      <w:outlineLvl w:val="4"/>
    </w:pPr>
  </w:style>
  <w:style w:type="paragraph" w:styleId="BodyText">
    <w:name w:val="Body Text"/>
    <w:basedOn w:val="Normal"/>
    <w:link w:val="BodyTextChar"/>
    <w:uiPriority w:val="1"/>
    <w:qFormat/>
    <w:rsid w:val="007F6293"/>
    <w:pPr>
      <w:widowControl w:val="0"/>
      <w:autoSpaceDE w:val="0"/>
      <w:autoSpaceDN w:val="0"/>
      <w:spacing w:after="0"/>
    </w:pPr>
    <w:rPr>
      <w:rFonts w:ascii="Gotham Book" w:eastAsia="Gotham Book" w:hAnsi="Gotham Book" w:cs="Gotham Book"/>
      <w:sz w:val="16"/>
      <w:szCs w:val="16"/>
      <w:lang w:val="en-US"/>
    </w:rPr>
  </w:style>
  <w:style w:type="character" w:customStyle="1" w:styleId="BodyTextChar">
    <w:name w:val="Body Text Char"/>
    <w:basedOn w:val="DefaultParagraphFont"/>
    <w:link w:val="BodyText"/>
    <w:uiPriority w:val="1"/>
    <w:rsid w:val="007F6293"/>
    <w:rPr>
      <w:rFonts w:ascii="Gotham Book" w:eastAsia="Gotham Book" w:hAnsi="Gotham Book" w:cs="Gotham Book"/>
      <w:sz w:val="16"/>
      <w:szCs w:val="16"/>
      <w:lang w:val="en-US" w:eastAsia="en-US"/>
    </w:rPr>
  </w:style>
  <w:style w:type="paragraph" w:customStyle="1" w:styleId="TableParagraph">
    <w:name w:val="Table Paragraph"/>
    <w:basedOn w:val="Normal"/>
    <w:uiPriority w:val="1"/>
    <w:qFormat/>
    <w:rsid w:val="00BE514D"/>
    <w:pPr>
      <w:widowControl w:val="0"/>
      <w:autoSpaceDE w:val="0"/>
      <w:autoSpaceDN w:val="0"/>
      <w:spacing w:after="0"/>
    </w:pPr>
    <w:rPr>
      <w:rFonts w:ascii="Century Gothic" w:eastAsia="Century Gothic" w:hAnsi="Century Gothic" w:cs="Century Gothic"/>
      <w:sz w:val="22"/>
      <w:szCs w:val="22"/>
      <w:lang w:val="en-US"/>
    </w:rPr>
  </w:style>
  <w:style w:type="character" w:styleId="UnresolvedMention">
    <w:name w:val="Unresolved Mention"/>
    <w:basedOn w:val="DefaultParagraphFont"/>
    <w:uiPriority w:val="99"/>
    <w:semiHidden/>
    <w:unhideWhenUsed/>
    <w:rsid w:val="007D0983"/>
    <w:rPr>
      <w:color w:val="605E5C"/>
      <w:shd w:val="clear" w:color="auto" w:fill="E1DFDD"/>
    </w:rPr>
  </w:style>
  <w:style w:type="character" w:styleId="CommentReference">
    <w:name w:val="annotation reference"/>
    <w:basedOn w:val="DefaultParagraphFont"/>
    <w:semiHidden/>
    <w:unhideWhenUsed/>
    <w:rsid w:val="009A3D7C"/>
    <w:rPr>
      <w:sz w:val="16"/>
      <w:szCs w:val="16"/>
    </w:rPr>
  </w:style>
  <w:style w:type="paragraph" w:styleId="CommentText">
    <w:name w:val="annotation text"/>
    <w:basedOn w:val="Normal"/>
    <w:link w:val="CommentTextChar"/>
    <w:unhideWhenUsed/>
    <w:rsid w:val="009A3D7C"/>
    <w:rPr>
      <w:szCs w:val="20"/>
    </w:rPr>
  </w:style>
  <w:style w:type="character" w:customStyle="1" w:styleId="CommentTextChar">
    <w:name w:val="Comment Text Char"/>
    <w:basedOn w:val="DefaultParagraphFont"/>
    <w:link w:val="CommentText"/>
    <w:rsid w:val="009A3D7C"/>
    <w:rPr>
      <w:rFonts w:ascii="Arial" w:hAnsi="Arial"/>
      <w:lang w:eastAsia="en-US"/>
    </w:rPr>
  </w:style>
  <w:style w:type="paragraph" w:styleId="CommentSubject">
    <w:name w:val="annotation subject"/>
    <w:basedOn w:val="CommentText"/>
    <w:next w:val="CommentText"/>
    <w:link w:val="CommentSubjectChar"/>
    <w:semiHidden/>
    <w:unhideWhenUsed/>
    <w:rsid w:val="009A3D7C"/>
    <w:rPr>
      <w:b/>
      <w:bCs/>
    </w:rPr>
  </w:style>
  <w:style w:type="character" w:customStyle="1" w:styleId="CommentSubjectChar">
    <w:name w:val="Comment Subject Char"/>
    <w:basedOn w:val="CommentTextChar"/>
    <w:link w:val="CommentSubject"/>
    <w:semiHidden/>
    <w:rsid w:val="009A3D7C"/>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lobal@melbourne.vic.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lobal@melbourne.vic.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lbourne.vic.gov.au/internation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vestmelbourne@melbourne.vic.gov.au" TargetMode="External"/><Relationship Id="rId4" Type="http://schemas.openxmlformats.org/officeDocument/2006/relationships/settings" Target="settings.xml"/><Relationship Id="rId9" Type="http://schemas.openxmlformats.org/officeDocument/2006/relationships/hyperlink" Target="https://www.melbourne.vic.gov.au/inves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111B9-54F1-41B9-BC40-FD762855F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snapshot: Tourism and events</dc:title>
  <dc:creator/>
  <cp:lastModifiedBy/>
  <cp:revision>1</cp:revision>
  <dcterms:created xsi:type="dcterms:W3CDTF">2024-11-14T02:35:00Z</dcterms:created>
  <dcterms:modified xsi:type="dcterms:W3CDTF">2024-11-14T02:35:00Z</dcterms:modified>
</cp:coreProperties>
</file>