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41D3" w14:textId="13436251" w:rsidR="00AA1D08" w:rsidRPr="00795B77" w:rsidRDefault="00AA1D08" w:rsidP="00AA1D08">
      <w:pPr>
        <w:pStyle w:val="DocumentTitle"/>
        <w:tabs>
          <w:tab w:val="left" w:pos="7938"/>
        </w:tabs>
      </w:pPr>
      <w:r w:rsidRPr="00795B77">
        <w:drawing>
          <wp:anchor distT="0" distB="0" distL="114300" distR="114300" simplePos="0" relativeHeight="251659264" behindDoc="1" locked="0" layoutInCell="1" allowOverlap="1" wp14:anchorId="5008089A" wp14:editId="5F3EEAB0">
            <wp:simplePos x="0" y="0"/>
            <wp:positionH relativeFrom="column">
              <wp:posOffset>5042535</wp:posOffset>
            </wp:positionH>
            <wp:positionV relativeFrom="margin">
              <wp:posOffset>-257175</wp:posOffset>
            </wp:positionV>
            <wp:extent cx="986790" cy="958215"/>
            <wp:effectExtent l="0" t="0" r="3810" b="0"/>
            <wp:wrapNone/>
            <wp:docPr id="182242859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anchor>
        </w:drawing>
      </w:r>
      <w:r w:rsidRPr="00AA1D08">
        <w:t>Technology and Innovation</w:t>
      </w:r>
    </w:p>
    <w:p w14:paraId="448725F6" w14:textId="4C128CF6" w:rsidR="00113BA0" w:rsidRDefault="00113BA0" w:rsidP="00113BA0">
      <w:r>
        <w:t xml:space="preserve">Melbourne is Australia’s leading tech city, providing the infrastructure, </w:t>
      </w:r>
      <w:r w:rsidR="00AA1D08">
        <w:br/>
      </w:r>
      <w:r>
        <w:t>business environment, talent pool, and lifestyle that top technology companies seek.</w:t>
      </w:r>
    </w:p>
    <w:p w14:paraId="4C4B6295" w14:textId="77777777" w:rsidR="00113BA0" w:rsidRDefault="00113BA0" w:rsidP="00113BA0">
      <w:pPr>
        <w:pStyle w:val="ListBullet"/>
      </w:pPr>
      <w:r>
        <w:t>8,000+ Companies in Victoria</w:t>
      </w:r>
    </w:p>
    <w:p w14:paraId="115242A1" w14:textId="77777777" w:rsidR="00113BA0" w:rsidRDefault="00113BA0" w:rsidP="00113BA0">
      <w:pPr>
        <w:pStyle w:val="ListBullet"/>
      </w:pPr>
      <w:r>
        <w:t>259,000 Technology roles in Victoria</w:t>
      </w:r>
    </w:p>
    <w:p w14:paraId="5A36FA51" w14:textId="77777777" w:rsidR="00113BA0" w:rsidRDefault="00113BA0" w:rsidP="00113BA0">
      <w:pPr>
        <w:pStyle w:val="ListBullet"/>
      </w:pPr>
      <w:r>
        <w:t>19 Melbourne home grown unicorns</w:t>
      </w:r>
    </w:p>
    <w:p w14:paraId="1A9BF7E7" w14:textId="1B698A63" w:rsidR="00113BA0" w:rsidRDefault="00113BA0" w:rsidP="00113BA0">
      <w:pPr>
        <w:pStyle w:val="ListBullet"/>
      </w:pPr>
      <w:r>
        <w:t>$50b Annual revenue in Victoria</w:t>
      </w:r>
    </w:p>
    <w:p w14:paraId="6C821F33" w14:textId="77777777" w:rsidR="00113BA0" w:rsidRDefault="00113BA0" w:rsidP="00113BA0">
      <w:pPr>
        <w:pStyle w:val="Heading2"/>
        <w:rPr>
          <w:rFonts w:hint="eastAsia"/>
        </w:rPr>
      </w:pPr>
      <w:r>
        <w:t>Home to some of the world’s most innovative businesses</w:t>
      </w:r>
    </w:p>
    <w:p w14:paraId="3DB567C2" w14:textId="77777777" w:rsidR="00113BA0" w:rsidRDefault="00113BA0" w:rsidP="00625813">
      <w:r>
        <w:t>Melbourne has a deep technology ecosystem underpinned by leading universities and research institutions, access to capital, a strong startup ecosystem and collaborative culture. In Victoria, the digital technology sector generates $3 billion in exports annually.</w:t>
      </w:r>
    </w:p>
    <w:p w14:paraId="627BABCE" w14:textId="446C0DE2" w:rsidR="00113BA0" w:rsidRDefault="00113BA0" w:rsidP="00113BA0">
      <w:r>
        <w:t xml:space="preserve">Home grown unicorns include A Cloud Guru, Aconex, </w:t>
      </w:r>
      <w:proofErr w:type="spellStart"/>
      <w:r>
        <w:t>Envato</w:t>
      </w:r>
      <w:proofErr w:type="spellEnd"/>
      <w:r>
        <w:t xml:space="preserve">, Judo Bank and Message Media, with global giants, such as Alibaba, Block, Eventbrite, Infosys, </w:t>
      </w:r>
      <w:proofErr w:type="spellStart"/>
      <w:r>
        <w:t>Revolut</w:t>
      </w:r>
      <w:proofErr w:type="spellEnd"/>
      <w:r>
        <w:t xml:space="preserve">, Stripe and Zendesk choosing Melbourne </w:t>
      </w:r>
      <w:proofErr w:type="spellStart"/>
      <w:r>
        <w:t>fortheir</w:t>
      </w:r>
      <w:proofErr w:type="spellEnd"/>
      <w:r>
        <w:t xml:space="preserve"> Australian headquarters.</w:t>
      </w:r>
    </w:p>
    <w:p w14:paraId="3D7AE457" w14:textId="77777777" w:rsidR="00113BA0" w:rsidRDefault="00113BA0" w:rsidP="00113BA0">
      <w:pPr>
        <w:pStyle w:val="Heading3"/>
        <w:rPr>
          <w:rFonts w:hint="eastAsia"/>
        </w:rPr>
      </w:pPr>
      <w:r>
        <w:t>A strong pipeline of technology talent</w:t>
      </w:r>
    </w:p>
    <w:p w14:paraId="2E96A3AA" w14:textId="77777777" w:rsidR="00113BA0" w:rsidRDefault="00113BA0" w:rsidP="00113BA0">
      <w:r>
        <w:t>Victoria produces more commercially ready graduates than any other state, with 35 per cent of technology graduates coming from Victoria.</w:t>
      </w:r>
    </w:p>
    <w:p w14:paraId="6411843A" w14:textId="77777777" w:rsidR="00113BA0" w:rsidRDefault="00113BA0" w:rsidP="003C0B04">
      <w:pPr>
        <w:pStyle w:val="Caption"/>
        <w:rPr>
          <w:rFonts w:hint="eastAsia"/>
        </w:rPr>
      </w:pPr>
      <w:r>
        <w:t>Number of IT graduates per state in Australia (thousands, 2021)</w:t>
      </w:r>
    </w:p>
    <w:tbl>
      <w:tblPr>
        <w:tblStyle w:val="TableGrid"/>
        <w:tblW w:w="5000" w:type="pct"/>
        <w:tblCellMar>
          <w:top w:w="0" w:type="dxa"/>
          <w:bottom w:w="0" w:type="dxa"/>
        </w:tblCellMar>
        <w:tblLook w:val="04A0" w:firstRow="1" w:lastRow="0" w:firstColumn="1" w:lastColumn="0" w:noHBand="0" w:noVBand="1"/>
      </w:tblPr>
      <w:tblGrid>
        <w:gridCol w:w="2830"/>
        <w:gridCol w:w="2835"/>
        <w:gridCol w:w="1606"/>
        <w:gridCol w:w="2351"/>
      </w:tblGrid>
      <w:tr w:rsidR="003C0B04" w:rsidRPr="00676C6B" w14:paraId="59BE721D" w14:textId="7308C6D6" w:rsidTr="003C0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B4B9FEC" w14:textId="77777777" w:rsidR="003C0B04" w:rsidRPr="00676C6B" w:rsidRDefault="003C0B04" w:rsidP="00625813">
            <w:pPr>
              <w:pStyle w:val="TableofFigures"/>
            </w:pPr>
            <w:r w:rsidRPr="00676C6B">
              <w:t>State</w:t>
            </w:r>
          </w:p>
        </w:tc>
        <w:tc>
          <w:tcPr>
            <w:tcW w:w="2835" w:type="dxa"/>
          </w:tcPr>
          <w:p w14:paraId="4F430909" w14:textId="55CC2D74" w:rsidR="003C0B04" w:rsidRPr="00676C6B" w:rsidRDefault="003C0B04" w:rsidP="00625813">
            <w:pPr>
              <w:pStyle w:val="TableofFigures"/>
              <w:cnfStyle w:val="100000000000" w:firstRow="1" w:lastRow="0" w:firstColumn="0" w:lastColumn="0" w:oddVBand="0" w:evenVBand="0" w:oddHBand="0" w:evenHBand="0" w:firstRowFirstColumn="0" w:firstRowLastColumn="0" w:lastRowFirstColumn="0" w:lastRowLastColumn="0"/>
            </w:pPr>
            <w:r>
              <w:t>Engineering and Related Technologies</w:t>
            </w:r>
          </w:p>
        </w:tc>
        <w:tc>
          <w:tcPr>
            <w:tcW w:w="1606" w:type="dxa"/>
          </w:tcPr>
          <w:p w14:paraId="4AED5B6C" w14:textId="233847AA" w:rsidR="003C0B04" w:rsidRDefault="003C0B04" w:rsidP="00625813">
            <w:pPr>
              <w:pStyle w:val="TableofFigures"/>
              <w:cnfStyle w:val="100000000000" w:firstRow="1" w:lastRow="0" w:firstColumn="0" w:lastColumn="0" w:oddVBand="0" w:evenVBand="0" w:oddHBand="0" w:evenHBand="0" w:firstRowFirstColumn="0" w:firstRowLastColumn="0" w:lastRowFirstColumn="0" w:lastRowLastColumn="0"/>
            </w:pPr>
            <w:r>
              <w:t>IT</w:t>
            </w:r>
          </w:p>
        </w:tc>
        <w:tc>
          <w:tcPr>
            <w:tcW w:w="2351" w:type="dxa"/>
          </w:tcPr>
          <w:p w14:paraId="32C0E499" w14:textId="6CBE1C22" w:rsidR="003C0B04" w:rsidRDefault="003C0B04" w:rsidP="00625813">
            <w:pPr>
              <w:pStyle w:val="TableofFigures"/>
              <w:cnfStyle w:val="100000000000" w:firstRow="1" w:lastRow="0" w:firstColumn="0" w:lastColumn="0" w:oddVBand="0" w:evenVBand="0" w:oddHBand="0" w:evenHBand="0" w:firstRowFirstColumn="0" w:firstRowLastColumn="0" w:lastRowFirstColumn="0" w:lastRowLastColumn="0"/>
            </w:pPr>
            <w:r>
              <w:t>Total</w:t>
            </w:r>
          </w:p>
        </w:tc>
      </w:tr>
      <w:tr w:rsidR="003C0B04" w:rsidRPr="00676C6B" w14:paraId="2BF66401" w14:textId="111BC51A" w:rsidTr="003C0B04">
        <w:tc>
          <w:tcPr>
            <w:cnfStyle w:val="001000000000" w:firstRow="0" w:lastRow="0" w:firstColumn="1" w:lastColumn="0" w:oddVBand="0" w:evenVBand="0" w:oddHBand="0" w:evenHBand="0" w:firstRowFirstColumn="0" w:firstRowLastColumn="0" w:lastRowFirstColumn="0" w:lastRowLastColumn="0"/>
            <w:tcW w:w="2830" w:type="dxa"/>
          </w:tcPr>
          <w:p w14:paraId="7A2CA630" w14:textId="77777777" w:rsidR="003C0B04" w:rsidRPr="00781704" w:rsidRDefault="003C0B04" w:rsidP="00625813">
            <w:pPr>
              <w:pStyle w:val="TableofFigures"/>
              <w:rPr>
                <w:b w:val="0"/>
                <w:bCs/>
              </w:rPr>
            </w:pPr>
            <w:r w:rsidRPr="00781704">
              <w:rPr>
                <w:b w:val="0"/>
                <w:bCs/>
              </w:rPr>
              <w:t>Victoria</w:t>
            </w:r>
          </w:p>
        </w:tc>
        <w:tc>
          <w:tcPr>
            <w:tcW w:w="2835" w:type="dxa"/>
          </w:tcPr>
          <w:p w14:paraId="1DF06F9C" w14:textId="0DEFE9DD"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14</w:t>
            </w:r>
          </w:p>
        </w:tc>
        <w:tc>
          <w:tcPr>
            <w:tcW w:w="1606" w:type="dxa"/>
          </w:tcPr>
          <w:p w14:paraId="262425F7" w14:textId="544A3A96"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8</w:t>
            </w:r>
          </w:p>
        </w:tc>
        <w:tc>
          <w:tcPr>
            <w:tcW w:w="2351" w:type="dxa"/>
          </w:tcPr>
          <w:p w14:paraId="71652FFD" w14:textId="7A23F2A5"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22</w:t>
            </w:r>
          </w:p>
        </w:tc>
      </w:tr>
      <w:tr w:rsidR="003C0B04" w:rsidRPr="00676C6B" w14:paraId="745FC6D3" w14:textId="3E93AD81" w:rsidTr="003C0B04">
        <w:tc>
          <w:tcPr>
            <w:cnfStyle w:val="001000000000" w:firstRow="0" w:lastRow="0" w:firstColumn="1" w:lastColumn="0" w:oddVBand="0" w:evenVBand="0" w:oddHBand="0" w:evenHBand="0" w:firstRowFirstColumn="0" w:firstRowLastColumn="0" w:lastRowFirstColumn="0" w:lastRowLastColumn="0"/>
            <w:tcW w:w="2830" w:type="dxa"/>
          </w:tcPr>
          <w:p w14:paraId="266733E9" w14:textId="77777777" w:rsidR="003C0B04" w:rsidRPr="00781704" w:rsidRDefault="003C0B04" w:rsidP="00625813">
            <w:pPr>
              <w:pStyle w:val="TableofFigures"/>
              <w:rPr>
                <w:b w:val="0"/>
                <w:bCs/>
              </w:rPr>
            </w:pPr>
            <w:r w:rsidRPr="00781704">
              <w:rPr>
                <w:b w:val="0"/>
                <w:bCs/>
              </w:rPr>
              <w:t>New South Wales</w:t>
            </w:r>
          </w:p>
        </w:tc>
        <w:tc>
          <w:tcPr>
            <w:tcW w:w="2835" w:type="dxa"/>
          </w:tcPr>
          <w:p w14:paraId="603F384D" w14:textId="071D8085"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10</w:t>
            </w:r>
          </w:p>
        </w:tc>
        <w:tc>
          <w:tcPr>
            <w:tcW w:w="1606" w:type="dxa"/>
          </w:tcPr>
          <w:p w14:paraId="003033FA" w14:textId="11D83547"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8</w:t>
            </w:r>
          </w:p>
        </w:tc>
        <w:tc>
          <w:tcPr>
            <w:tcW w:w="2351" w:type="dxa"/>
          </w:tcPr>
          <w:p w14:paraId="42740B26" w14:textId="16727FD6"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18</w:t>
            </w:r>
          </w:p>
        </w:tc>
      </w:tr>
      <w:tr w:rsidR="003C0B04" w:rsidRPr="00676C6B" w14:paraId="580B5457" w14:textId="29886B85" w:rsidTr="003C0B04">
        <w:tc>
          <w:tcPr>
            <w:cnfStyle w:val="001000000000" w:firstRow="0" w:lastRow="0" w:firstColumn="1" w:lastColumn="0" w:oddVBand="0" w:evenVBand="0" w:oddHBand="0" w:evenHBand="0" w:firstRowFirstColumn="0" w:firstRowLastColumn="0" w:lastRowFirstColumn="0" w:lastRowLastColumn="0"/>
            <w:tcW w:w="2830" w:type="dxa"/>
          </w:tcPr>
          <w:p w14:paraId="195B793A" w14:textId="77777777" w:rsidR="003C0B04" w:rsidRPr="00781704" w:rsidRDefault="003C0B04" w:rsidP="00625813">
            <w:pPr>
              <w:pStyle w:val="TableofFigures"/>
              <w:rPr>
                <w:b w:val="0"/>
                <w:bCs/>
              </w:rPr>
            </w:pPr>
            <w:r w:rsidRPr="00781704">
              <w:rPr>
                <w:b w:val="0"/>
                <w:bCs/>
              </w:rPr>
              <w:t>Queensland</w:t>
            </w:r>
          </w:p>
        </w:tc>
        <w:tc>
          <w:tcPr>
            <w:tcW w:w="2835" w:type="dxa"/>
          </w:tcPr>
          <w:p w14:paraId="65466130" w14:textId="099B4E5F"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4</w:t>
            </w:r>
          </w:p>
        </w:tc>
        <w:tc>
          <w:tcPr>
            <w:tcW w:w="1606" w:type="dxa"/>
          </w:tcPr>
          <w:p w14:paraId="4109C701" w14:textId="261A459D"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4</w:t>
            </w:r>
          </w:p>
        </w:tc>
        <w:tc>
          <w:tcPr>
            <w:tcW w:w="2351" w:type="dxa"/>
          </w:tcPr>
          <w:p w14:paraId="7191977E" w14:textId="58ED6D3A"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8</w:t>
            </w:r>
          </w:p>
        </w:tc>
      </w:tr>
      <w:tr w:rsidR="003C0B04" w:rsidRPr="00676C6B" w14:paraId="58608DA2" w14:textId="4D4A24F3" w:rsidTr="003C0B04">
        <w:tc>
          <w:tcPr>
            <w:cnfStyle w:val="001000000000" w:firstRow="0" w:lastRow="0" w:firstColumn="1" w:lastColumn="0" w:oddVBand="0" w:evenVBand="0" w:oddHBand="0" w:evenHBand="0" w:firstRowFirstColumn="0" w:firstRowLastColumn="0" w:lastRowFirstColumn="0" w:lastRowLastColumn="0"/>
            <w:tcW w:w="2830" w:type="dxa"/>
          </w:tcPr>
          <w:p w14:paraId="45AF68A5" w14:textId="77777777" w:rsidR="003C0B04" w:rsidRPr="00781704" w:rsidRDefault="003C0B04" w:rsidP="00625813">
            <w:pPr>
              <w:pStyle w:val="TableofFigures"/>
              <w:rPr>
                <w:b w:val="0"/>
                <w:bCs/>
              </w:rPr>
            </w:pPr>
            <w:r w:rsidRPr="00781704">
              <w:rPr>
                <w:b w:val="0"/>
                <w:bCs/>
              </w:rPr>
              <w:t>Western Australia</w:t>
            </w:r>
          </w:p>
        </w:tc>
        <w:tc>
          <w:tcPr>
            <w:tcW w:w="2835" w:type="dxa"/>
          </w:tcPr>
          <w:p w14:paraId="754E5004" w14:textId="1667B088"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2</w:t>
            </w:r>
          </w:p>
        </w:tc>
        <w:tc>
          <w:tcPr>
            <w:tcW w:w="1606" w:type="dxa"/>
          </w:tcPr>
          <w:p w14:paraId="4FA28F99" w14:textId="22EC0868"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2</w:t>
            </w:r>
          </w:p>
        </w:tc>
        <w:tc>
          <w:tcPr>
            <w:tcW w:w="2351" w:type="dxa"/>
          </w:tcPr>
          <w:p w14:paraId="307853FF" w14:textId="540B3DB2"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4</w:t>
            </w:r>
          </w:p>
        </w:tc>
      </w:tr>
      <w:tr w:rsidR="003C0B04" w:rsidRPr="00676C6B" w14:paraId="66DD09EF" w14:textId="08C8724F" w:rsidTr="003C0B04">
        <w:tc>
          <w:tcPr>
            <w:cnfStyle w:val="001000000000" w:firstRow="0" w:lastRow="0" w:firstColumn="1" w:lastColumn="0" w:oddVBand="0" w:evenVBand="0" w:oddHBand="0" w:evenHBand="0" w:firstRowFirstColumn="0" w:firstRowLastColumn="0" w:lastRowFirstColumn="0" w:lastRowLastColumn="0"/>
            <w:tcW w:w="2830" w:type="dxa"/>
          </w:tcPr>
          <w:p w14:paraId="0B265426" w14:textId="77777777" w:rsidR="003C0B04" w:rsidRPr="00781704" w:rsidRDefault="003C0B04" w:rsidP="00625813">
            <w:pPr>
              <w:pStyle w:val="TableofFigures"/>
              <w:rPr>
                <w:b w:val="0"/>
                <w:bCs/>
              </w:rPr>
            </w:pPr>
            <w:r w:rsidRPr="00781704">
              <w:rPr>
                <w:b w:val="0"/>
                <w:bCs/>
              </w:rPr>
              <w:t>South Australia</w:t>
            </w:r>
          </w:p>
        </w:tc>
        <w:tc>
          <w:tcPr>
            <w:tcW w:w="2835" w:type="dxa"/>
          </w:tcPr>
          <w:p w14:paraId="5876F68B" w14:textId="21E29D8C"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2</w:t>
            </w:r>
          </w:p>
        </w:tc>
        <w:tc>
          <w:tcPr>
            <w:tcW w:w="1606" w:type="dxa"/>
          </w:tcPr>
          <w:p w14:paraId="4F929C0F" w14:textId="0DC2C38D"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2</w:t>
            </w:r>
          </w:p>
        </w:tc>
        <w:tc>
          <w:tcPr>
            <w:tcW w:w="2351" w:type="dxa"/>
          </w:tcPr>
          <w:p w14:paraId="0CD5FAEC" w14:textId="03D4BAD7"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4</w:t>
            </w:r>
          </w:p>
        </w:tc>
      </w:tr>
      <w:tr w:rsidR="003C0B04" w:rsidRPr="00676C6B" w14:paraId="5379A2CA" w14:textId="43095ABA" w:rsidTr="003C0B04">
        <w:tc>
          <w:tcPr>
            <w:cnfStyle w:val="001000000000" w:firstRow="0" w:lastRow="0" w:firstColumn="1" w:lastColumn="0" w:oddVBand="0" w:evenVBand="0" w:oddHBand="0" w:evenHBand="0" w:firstRowFirstColumn="0" w:firstRowLastColumn="0" w:lastRowFirstColumn="0" w:lastRowLastColumn="0"/>
            <w:tcW w:w="2830" w:type="dxa"/>
          </w:tcPr>
          <w:p w14:paraId="48D3150D" w14:textId="77777777" w:rsidR="003C0B04" w:rsidRPr="00781704" w:rsidRDefault="003C0B04" w:rsidP="00625813">
            <w:pPr>
              <w:pStyle w:val="TableofFigures"/>
              <w:rPr>
                <w:b w:val="0"/>
                <w:bCs/>
              </w:rPr>
            </w:pPr>
            <w:r w:rsidRPr="00781704">
              <w:rPr>
                <w:b w:val="0"/>
                <w:bCs/>
              </w:rPr>
              <w:t>Australian Capital Territory</w:t>
            </w:r>
          </w:p>
        </w:tc>
        <w:tc>
          <w:tcPr>
            <w:tcW w:w="2835" w:type="dxa"/>
          </w:tcPr>
          <w:p w14:paraId="64DB7DE5" w14:textId="77AF1154"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w:t>
            </w:r>
          </w:p>
        </w:tc>
        <w:tc>
          <w:tcPr>
            <w:tcW w:w="1606" w:type="dxa"/>
          </w:tcPr>
          <w:p w14:paraId="3F98EFB8" w14:textId="1238B70F"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0</w:t>
            </w:r>
          </w:p>
        </w:tc>
        <w:tc>
          <w:tcPr>
            <w:tcW w:w="2351" w:type="dxa"/>
          </w:tcPr>
          <w:p w14:paraId="58EA79A5" w14:textId="24D37186"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w:t>
            </w:r>
          </w:p>
        </w:tc>
      </w:tr>
      <w:tr w:rsidR="003C0B04" w:rsidRPr="00676C6B" w14:paraId="5F8517DA" w14:textId="1CD9E32E" w:rsidTr="003C0B04">
        <w:tc>
          <w:tcPr>
            <w:cnfStyle w:val="001000000000" w:firstRow="0" w:lastRow="0" w:firstColumn="1" w:lastColumn="0" w:oddVBand="0" w:evenVBand="0" w:oddHBand="0" w:evenHBand="0" w:firstRowFirstColumn="0" w:firstRowLastColumn="0" w:lastRowFirstColumn="0" w:lastRowLastColumn="0"/>
            <w:tcW w:w="2830" w:type="dxa"/>
          </w:tcPr>
          <w:p w14:paraId="7C670F19" w14:textId="77777777" w:rsidR="003C0B04" w:rsidRPr="00781704" w:rsidRDefault="003C0B04" w:rsidP="00625813">
            <w:pPr>
              <w:pStyle w:val="TableofFigures"/>
              <w:rPr>
                <w:b w:val="0"/>
                <w:bCs/>
              </w:rPr>
            </w:pPr>
            <w:r w:rsidRPr="00781704">
              <w:rPr>
                <w:b w:val="0"/>
                <w:bCs/>
              </w:rPr>
              <w:t>Tasmania</w:t>
            </w:r>
          </w:p>
        </w:tc>
        <w:tc>
          <w:tcPr>
            <w:tcW w:w="2835" w:type="dxa"/>
          </w:tcPr>
          <w:p w14:paraId="18BB2B9E" w14:textId="2A04AFB6"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w:t>
            </w:r>
          </w:p>
        </w:tc>
        <w:tc>
          <w:tcPr>
            <w:tcW w:w="1606" w:type="dxa"/>
          </w:tcPr>
          <w:p w14:paraId="03306107" w14:textId="10D592F7"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0</w:t>
            </w:r>
          </w:p>
        </w:tc>
        <w:tc>
          <w:tcPr>
            <w:tcW w:w="2351" w:type="dxa"/>
          </w:tcPr>
          <w:p w14:paraId="6DED1687" w14:textId="52DF0F76" w:rsidR="003C0B04" w:rsidRDefault="00667771" w:rsidP="00625813">
            <w:pPr>
              <w:pStyle w:val="TableofFigures"/>
              <w:cnfStyle w:val="000000000000" w:firstRow="0" w:lastRow="0" w:firstColumn="0" w:lastColumn="0" w:oddVBand="0" w:evenVBand="0" w:oddHBand="0" w:evenHBand="0" w:firstRowFirstColumn="0" w:firstRowLastColumn="0" w:lastRowFirstColumn="0" w:lastRowLastColumn="0"/>
            </w:pPr>
            <w:r>
              <w:t>1</w:t>
            </w:r>
          </w:p>
        </w:tc>
      </w:tr>
      <w:tr w:rsidR="003C0B04" w:rsidRPr="00676C6B" w14:paraId="20B17BDD" w14:textId="3772BB69" w:rsidTr="003C0B04">
        <w:tc>
          <w:tcPr>
            <w:cnfStyle w:val="001000000000" w:firstRow="0" w:lastRow="0" w:firstColumn="1" w:lastColumn="0" w:oddVBand="0" w:evenVBand="0" w:oddHBand="0" w:evenHBand="0" w:firstRowFirstColumn="0" w:firstRowLastColumn="0" w:lastRowFirstColumn="0" w:lastRowLastColumn="0"/>
            <w:tcW w:w="2830" w:type="dxa"/>
          </w:tcPr>
          <w:p w14:paraId="0FF0DCAA" w14:textId="77777777" w:rsidR="003C0B04" w:rsidRPr="00781704" w:rsidRDefault="003C0B04" w:rsidP="00625813">
            <w:pPr>
              <w:pStyle w:val="TableofFigures"/>
              <w:rPr>
                <w:b w:val="0"/>
                <w:bCs/>
              </w:rPr>
            </w:pPr>
            <w:r w:rsidRPr="00781704">
              <w:rPr>
                <w:b w:val="0"/>
                <w:bCs/>
              </w:rPr>
              <w:t>Northern Territory</w:t>
            </w:r>
          </w:p>
        </w:tc>
        <w:tc>
          <w:tcPr>
            <w:tcW w:w="2835" w:type="dxa"/>
          </w:tcPr>
          <w:p w14:paraId="264E30C3" w14:textId="19CE5BF5"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0</w:t>
            </w:r>
          </w:p>
        </w:tc>
        <w:tc>
          <w:tcPr>
            <w:tcW w:w="1606" w:type="dxa"/>
          </w:tcPr>
          <w:p w14:paraId="421EBC3D" w14:textId="1CAA80E6"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0</w:t>
            </w:r>
          </w:p>
        </w:tc>
        <w:tc>
          <w:tcPr>
            <w:tcW w:w="2351" w:type="dxa"/>
          </w:tcPr>
          <w:p w14:paraId="478C770C" w14:textId="541FC88D"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0</w:t>
            </w:r>
          </w:p>
        </w:tc>
      </w:tr>
    </w:tbl>
    <w:p w14:paraId="25A2823F" w14:textId="6A876E71" w:rsidR="00113BA0" w:rsidRDefault="00113BA0" w:rsidP="00625813">
      <w:pPr>
        <w:spacing w:before="240"/>
      </w:pPr>
      <w:r>
        <w:t>Melbourne’s universities, including the University of Melbourne (ranked first in Australia) and RMIT, offer first class computer science and information systems courses, producing around 3,000 Victorian graduates per year. Additionally, RMIT is ranked second globally for research influencing blockchain technology.</w:t>
      </w:r>
    </w:p>
    <w:p w14:paraId="666B699A" w14:textId="77777777" w:rsidR="00113BA0" w:rsidRDefault="00113BA0" w:rsidP="00113BA0">
      <w:r>
        <w:t>Other highly renowned universities with campuses in Melbourne include Deakin University, Federation University, Monash University, La Trobe University, Australian Catholic University and Victoria University.</w:t>
      </w:r>
    </w:p>
    <w:p w14:paraId="41BF140F" w14:textId="77777777" w:rsidR="00113BA0" w:rsidRDefault="00113BA0" w:rsidP="00113BA0">
      <w:pPr>
        <w:pStyle w:val="Heading3"/>
        <w:rPr>
          <w:rFonts w:hint="eastAsia"/>
        </w:rPr>
      </w:pPr>
      <w:r>
        <w:t xml:space="preserve">Competitive </w:t>
      </w:r>
      <w:proofErr w:type="spellStart"/>
      <w:r>
        <w:t>labour</w:t>
      </w:r>
      <w:proofErr w:type="spellEnd"/>
      <w:r>
        <w:t xml:space="preserve"> costs for business</w:t>
      </w:r>
    </w:p>
    <w:p w14:paraId="5A71587E" w14:textId="77777777" w:rsidR="00113BA0" w:rsidRDefault="00113BA0" w:rsidP="00113BA0">
      <w:r>
        <w:t xml:space="preserve">Melbourne’s job ready tech </w:t>
      </w:r>
      <w:proofErr w:type="gramStart"/>
      <w:r>
        <w:t>graduates</w:t>
      </w:r>
      <w:proofErr w:type="gramEnd"/>
      <w:r>
        <w:t xml:space="preserve"> salaries are competitive compared to other global tech cities including Sydney, London, New York and San Francisco.</w:t>
      </w:r>
    </w:p>
    <w:p w14:paraId="1724557F" w14:textId="77777777" w:rsidR="00113BA0" w:rsidRDefault="00113BA0" w:rsidP="00113BA0"/>
    <w:p w14:paraId="495CB9D5" w14:textId="77777777" w:rsidR="00113BA0" w:rsidRDefault="00113BA0" w:rsidP="003C0B04">
      <w:pPr>
        <w:pStyle w:val="Caption"/>
        <w:rPr>
          <w:rFonts w:hint="eastAsia"/>
        </w:rPr>
      </w:pPr>
      <w:r>
        <w:t>Median salary of technology roles ($ thousands, 2023)</w:t>
      </w:r>
    </w:p>
    <w:tbl>
      <w:tblPr>
        <w:tblStyle w:val="TableGrid"/>
        <w:tblW w:w="5000" w:type="pct"/>
        <w:tblCellMar>
          <w:top w:w="0" w:type="dxa"/>
          <w:bottom w:w="0" w:type="dxa"/>
        </w:tblCellMar>
        <w:tblLook w:val="04A0" w:firstRow="1" w:lastRow="0" w:firstColumn="1" w:lastColumn="0" w:noHBand="0" w:noVBand="1"/>
      </w:tblPr>
      <w:tblGrid>
        <w:gridCol w:w="2830"/>
        <w:gridCol w:w="2835"/>
        <w:gridCol w:w="1606"/>
        <w:gridCol w:w="2351"/>
      </w:tblGrid>
      <w:tr w:rsidR="003C0B04" w:rsidRPr="00676C6B" w14:paraId="60C8DBC6" w14:textId="77777777" w:rsidTr="00F83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190F2B" w14:textId="775626EE" w:rsidR="003C0B04" w:rsidRPr="00676C6B" w:rsidRDefault="003C0B04" w:rsidP="00625813">
            <w:pPr>
              <w:pStyle w:val="TableofFigures"/>
            </w:pPr>
            <w:r>
              <w:t>City</w:t>
            </w:r>
          </w:p>
        </w:tc>
        <w:tc>
          <w:tcPr>
            <w:tcW w:w="2835" w:type="dxa"/>
          </w:tcPr>
          <w:p w14:paraId="4D67B58B" w14:textId="4E031423" w:rsidR="003C0B04" w:rsidRPr="00676C6B" w:rsidRDefault="003C0B04" w:rsidP="00625813">
            <w:pPr>
              <w:pStyle w:val="TableofFigures"/>
              <w:cnfStyle w:val="100000000000" w:firstRow="1" w:lastRow="0" w:firstColumn="0" w:lastColumn="0" w:oddVBand="0" w:evenVBand="0" w:oddHBand="0" w:evenHBand="0" w:firstRowFirstColumn="0" w:firstRowLastColumn="0" w:lastRowFirstColumn="0" w:lastRowLastColumn="0"/>
            </w:pPr>
            <w:r>
              <w:t>Software engineer</w:t>
            </w:r>
          </w:p>
        </w:tc>
        <w:tc>
          <w:tcPr>
            <w:tcW w:w="1606" w:type="dxa"/>
          </w:tcPr>
          <w:p w14:paraId="1EAC75EE" w14:textId="1EBE8169" w:rsidR="003C0B04" w:rsidRDefault="003C0B04" w:rsidP="00625813">
            <w:pPr>
              <w:pStyle w:val="TableofFigures"/>
              <w:cnfStyle w:val="100000000000" w:firstRow="1" w:lastRow="0" w:firstColumn="0" w:lastColumn="0" w:oddVBand="0" w:evenVBand="0" w:oddHBand="0" w:evenHBand="0" w:firstRowFirstColumn="0" w:firstRowLastColumn="0" w:lastRowFirstColumn="0" w:lastRowLastColumn="0"/>
            </w:pPr>
            <w:r>
              <w:t>Data Scientist</w:t>
            </w:r>
          </w:p>
        </w:tc>
        <w:tc>
          <w:tcPr>
            <w:tcW w:w="2351" w:type="dxa"/>
          </w:tcPr>
          <w:p w14:paraId="5934FC88" w14:textId="341A855C" w:rsidR="003C0B04" w:rsidRDefault="003C0B04" w:rsidP="00625813">
            <w:pPr>
              <w:pStyle w:val="TableofFigures"/>
              <w:cnfStyle w:val="100000000000" w:firstRow="1" w:lastRow="0" w:firstColumn="0" w:lastColumn="0" w:oddVBand="0" w:evenVBand="0" w:oddHBand="0" w:evenHBand="0" w:firstRowFirstColumn="0" w:firstRowLastColumn="0" w:lastRowFirstColumn="0" w:lastRowLastColumn="0"/>
            </w:pPr>
            <w:r>
              <w:t>Product Designer</w:t>
            </w:r>
          </w:p>
        </w:tc>
      </w:tr>
      <w:tr w:rsidR="003C0B04" w:rsidRPr="00676C6B" w14:paraId="52DA0A6F" w14:textId="77777777" w:rsidTr="00F834E3">
        <w:tc>
          <w:tcPr>
            <w:cnfStyle w:val="001000000000" w:firstRow="0" w:lastRow="0" w:firstColumn="1" w:lastColumn="0" w:oddVBand="0" w:evenVBand="0" w:oddHBand="0" w:evenHBand="0" w:firstRowFirstColumn="0" w:firstRowLastColumn="0" w:lastRowFirstColumn="0" w:lastRowLastColumn="0"/>
            <w:tcW w:w="2830" w:type="dxa"/>
          </w:tcPr>
          <w:p w14:paraId="14A42A20" w14:textId="4F826778" w:rsidR="003C0B04" w:rsidRPr="00781704" w:rsidRDefault="003C0B04" w:rsidP="00625813">
            <w:pPr>
              <w:pStyle w:val="TableofFigures"/>
              <w:rPr>
                <w:b w:val="0"/>
                <w:bCs/>
              </w:rPr>
            </w:pPr>
            <w:r>
              <w:rPr>
                <w:b w:val="0"/>
                <w:bCs/>
              </w:rPr>
              <w:t>Melbourne</w:t>
            </w:r>
          </w:p>
        </w:tc>
        <w:tc>
          <w:tcPr>
            <w:tcW w:w="2835" w:type="dxa"/>
          </w:tcPr>
          <w:p w14:paraId="78F0D661" w14:textId="3C2A95E2"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92</w:t>
            </w:r>
          </w:p>
        </w:tc>
        <w:tc>
          <w:tcPr>
            <w:tcW w:w="1606" w:type="dxa"/>
          </w:tcPr>
          <w:p w14:paraId="4A5D2F63" w14:textId="07D5B694"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125</w:t>
            </w:r>
          </w:p>
        </w:tc>
        <w:tc>
          <w:tcPr>
            <w:tcW w:w="2351" w:type="dxa"/>
          </w:tcPr>
          <w:p w14:paraId="73EFD562" w14:textId="0F97EBDF"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126</w:t>
            </w:r>
          </w:p>
        </w:tc>
      </w:tr>
      <w:tr w:rsidR="003C0B04" w:rsidRPr="00676C6B" w14:paraId="72E64367" w14:textId="77777777" w:rsidTr="00F834E3">
        <w:tc>
          <w:tcPr>
            <w:cnfStyle w:val="001000000000" w:firstRow="0" w:lastRow="0" w:firstColumn="1" w:lastColumn="0" w:oddVBand="0" w:evenVBand="0" w:oddHBand="0" w:evenHBand="0" w:firstRowFirstColumn="0" w:firstRowLastColumn="0" w:lastRowFirstColumn="0" w:lastRowLastColumn="0"/>
            <w:tcW w:w="2830" w:type="dxa"/>
          </w:tcPr>
          <w:p w14:paraId="11CF2BA7" w14:textId="7035ACEE" w:rsidR="003C0B04" w:rsidRPr="00781704" w:rsidRDefault="003C0B04" w:rsidP="00625813">
            <w:pPr>
              <w:pStyle w:val="TableofFigures"/>
              <w:rPr>
                <w:b w:val="0"/>
                <w:bCs/>
              </w:rPr>
            </w:pPr>
            <w:r>
              <w:rPr>
                <w:b w:val="0"/>
                <w:bCs/>
              </w:rPr>
              <w:t>Sydney</w:t>
            </w:r>
          </w:p>
        </w:tc>
        <w:tc>
          <w:tcPr>
            <w:tcW w:w="2835" w:type="dxa"/>
          </w:tcPr>
          <w:p w14:paraId="53CA6BA6" w14:textId="6DC202FA"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107</w:t>
            </w:r>
          </w:p>
        </w:tc>
        <w:tc>
          <w:tcPr>
            <w:tcW w:w="1606" w:type="dxa"/>
          </w:tcPr>
          <w:p w14:paraId="1790B22C" w14:textId="53CDD0FC"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148</w:t>
            </w:r>
          </w:p>
        </w:tc>
        <w:tc>
          <w:tcPr>
            <w:tcW w:w="2351" w:type="dxa"/>
          </w:tcPr>
          <w:p w14:paraId="251006EC" w14:textId="6D863D0A"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129</w:t>
            </w:r>
          </w:p>
        </w:tc>
      </w:tr>
      <w:tr w:rsidR="003C0B04" w:rsidRPr="00676C6B" w14:paraId="5C9B6529" w14:textId="77777777" w:rsidTr="00F834E3">
        <w:tc>
          <w:tcPr>
            <w:cnfStyle w:val="001000000000" w:firstRow="0" w:lastRow="0" w:firstColumn="1" w:lastColumn="0" w:oddVBand="0" w:evenVBand="0" w:oddHBand="0" w:evenHBand="0" w:firstRowFirstColumn="0" w:firstRowLastColumn="0" w:lastRowFirstColumn="0" w:lastRowLastColumn="0"/>
            <w:tcW w:w="2830" w:type="dxa"/>
          </w:tcPr>
          <w:p w14:paraId="06B4C50D" w14:textId="0DE3088E" w:rsidR="003C0B04" w:rsidRPr="00781704" w:rsidRDefault="003C0B04" w:rsidP="00625813">
            <w:pPr>
              <w:pStyle w:val="TableofFigures"/>
              <w:rPr>
                <w:b w:val="0"/>
                <w:bCs/>
              </w:rPr>
            </w:pPr>
            <w:r>
              <w:rPr>
                <w:b w:val="0"/>
                <w:bCs/>
              </w:rPr>
              <w:t>London</w:t>
            </w:r>
          </w:p>
        </w:tc>
        <w:tc>
          <w:tcPr>
            <w:tcW w:w="2835" w:type="dxa"/>
          </w:tcPr>
          <w:p w14:paraId="5FF8364C" w14:textId="457CBB2C"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163</w:t>
            </w:r>
          </w:p>
        </w:tc>
        <w:tc>
          <w:tcPr>
            <w:tcW w:w="1606" w:type="dxa"/>
          </w:tcPr>
          <w:p w14:paraId="5047F2C0" w14:textId="65E2355C"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150</w:t>
            </w:r>
          </w:p>
        </w:tc>
        <w:tc>
          <w:tcPr>
            <w:tcW w:w="2351" w:type="dxa"/>
          </w:tcPr>
          <w:p w14:paraId="7338943A" w14:textId="3D46F828"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136</w:t>
            </w:r>
          </w:p>
        </w:tc>
      </w:tr>
      <w:tr w:rsidR="003C0B04" w:rsidRPr="00676C6B" w14:paraId="7118BDEC" w14:textId="77777777" w:rsidTr="00F834E3">
        <w:tc>
          <w:tcPr>
            <w:cnfStyle w:val="001000000000" w:firstRow="0" w:lastRow="0" w:firstColumn="1" w:lastColumn="0" w:oddVBand="0" w:evenVBand="0" w:oddHBand="0" w:evenHBand="0" w:firstRowFirstColumn="0" w:firstRowLastColumn="0" w:lastRowFirstColumn="0" w:lastRowLastColumn="0"/>
            <w:tcW w:w="2830" w:type="dxa"/>
          </w:tcPr>
          <w:p w14:paraId="5084CBE8" w14:textId="6B86B95D" w:rsidR="003C0B04" w:rsidRPr="00781704" w:rsidRDefault="003C0B04" w:rsidP="00625813">
            <w:pPr>
              <w:pStyle w:val="TableofFigures"/>
              <w:rPr>
                <w:b w:val="0"/>
                <w:bCs/>
              </w:rPr>
            </w:pPr>
            <w:r>
              <w:rPr>
                <w:b w:val="0"/>
                <w:bCs/>
              </w:rPr>
              <w:t>New York</w:t>
            </w:r>
          </w:p>
        </w:tc>
        <w:tc>
          <w:tcPr>
            <w:tcW w:w="2835" w:type="dxa"/>
          </w:tcPr>
          <w:p w14:paraId="118F6058" w14:textId="1A04D510"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264</w:t>
            </w:r>
          </w:p>
        </w:tc>
        <w:tc>
          <w:tcPr>
            <w:tcW w:w="1606" w:type="dxa"/>
          </w:tcPr>
          <w:p w14:paraId="446FDA5F" w14:textId="6E655117"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238</w:t>
            </w:r>
          </w:p>
        </w:tc>
        <w:tc>
          <w:tcPr>
            <w:tcW w:w="2351" w:type="dxa"/>
          </w:tcPr>
          <w:p w14:paraId="12195684" w14:textId="503029A2"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213</w:t>
            </w:r>
          </w:p>
        </w:tc>
      </w:tr>
      <w:tr w:rsidR="003C0B04" w:rsidRPr="00676C6B" w14:paraId="2EC0B6A2" w14:textId="77777777" w:rsidTr="00F834E3">
        <w:tc>
          <w:tcPr>
            <w:cnfStyle w:val="001000000000" w:firstRow="0" w:lastRow="0" w:firstColumn="1" w:lastColumn="0" w:oddVBand="0" w:evenVBand="0" w:oddHBand="0" w:evenHBand="0" w:firstRowFirstColumn="0" w:firstRowLastColumn="0" w:lastRowFirstColumn="0" w:lastRowLastColumn="0"/>
            <w:tcW w:w="2830" w:type="dxa"/>
          </w:tcPr>
          <w:p w14:paraId="5D3AFADF" w14:textId="5D3DE03B" w:rsidR="003C0B04" w:rsidRPr="00781704" w:rsidRDefault="003C0B04" w:rsidP="00625813">
            <w:pPr>
              <w:pStyle w:val="TableofFigures"/>
              <w:rPr>
                <w:b w:val="0"/>
                <w:bCs/>
              </w:rPr>
            </w:pPr>
            <w:r>
              <w:rPr>
                <w:b w:val="0"/>
                <w:bCs/>
              </w:rPr>
              <w:t>San Francisco</w:t>
            </w:r>
          </w:p>
        </w:tc>
        <w:tc>
          <w:tcPr>
            <w:tcW w:w="2835" w:type="dxa"/>
          </w:tcPr>
          <w:p w14:paraId="3AB72BD5" w14:textId="13BB2743" w:rsidR="003C0B04" w:rsidRPr="007817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342</w:t>
            </w:r>
          </w:p>
        </w:tc>
        <w:tc>
          <w:tcPr>
            <w:tcW w:w="1606" w:type="dxa"/>
          </w:tcPr>
          <w:p w14:paraId="201956A8" w14:textId="1FC41F13"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312</w:t>
            </w:r>
          </w:p>
        </w:tc>
        <w:tc>
          <w:tcPr>
            <w:tcW w:w="2351" w:type="dxa"/>
          </w:tcPr>
          <w:p w14:paraId="071E416D" w14:textId="784DBEC7" w:rsidR="003C0B04" w:rsidRDefault="003C0B04" w:rsidP="00625813">
            <w:pPr>
              <w:pStyle w:val="TableofFigures"/>
              <w:cnfStyle w:val="000000000000" w:firstRow="0" w:lastRow="0" w:firstColumn="0" w:lastColumn="0" w:oddVBand="0" w:evenVBand="0" w:oddHBand="0" w:evenHBand="0" w:firstRowFirstColumn="0" w:firstRowLastColumn="0" w:lastRowFirstColumn="0" w:lastRowLastColumn="0"/>
            </w:pPr>
            <w:r>
              <w:t>286</w:t>
            </w:r>
          </w:p>
        </w:tc>
      </w:tr>
    </w:tbl>
    <w:p w14:paraId="46F33A96" w14:textId="290D0A11" w:rsidR="00113BA0" w:rsidRDefault="00113BA0" w:rsidP="00625813">
      <w:pPr>
        <w:pStyle w:val="Heading1"/>
        <w:rPr>
          <w:rFonts w:hint="eastAsia"/>
        </w:rPr>
      </w:pPr>
      <w:r w:rsidRPr="00113BA0">
        <w:t xml:space="preserve">Melbourne is a leader in many </w:t>
      </w:r>
      <w:proofErr w:type="gramStart"/>
      <w:r w:rsidRPr="00113BA0">
        <w:t>fields</w:t>
      </w:r>
      <w:proofErr w:type="gramEnd"/>
    </w:p>
    <w:p w14:paraId="05498E1A" w14:textId="77777777" w:rsidR="00113BA0" w:rsidRDefault="00113BA0" w:rsidP="00625813">
      <w:pPr>
        <w:pStyle w:val="Heading2"/>
        <w:rPr>
          <w:rFonts w:hint="eastAsia"/>
        </w:rPr>
      </w:pPr>
      <w:r>
        <w:t>Fintech</w:t>
      </w:r>
    </w:p>
    <w:p w14:paraId="711D8384" w14:textId="77777777" w:rsidR="00113BA0" w:rsidRDefault="00113BA0" w:rsidP="00113BA0">
      <w:r>
        <w:t xml:space="preserve">The FinTech sector is one of Melbourne’s largest and most innovative sectors, driving advancements in banking and payments, credit and lending, insurance and wealth management. Melbourne is ranked 35th globally for FinTech startups and is home to over 500 companies. These include six home-grown unicorns – </w:t>
      </w:r>
      <w:proofErr w:type="spellStart"/>
      <w:r>
        <w:t>Afterpay</w:t>
      </w:r>
      <w:proofErr w:type="spellEnd"/>
      <w:r>
        <w:t xml:space="preserve">, </w:t>
      </w:r>
      <w:proofErr w:type="spellStart"/>
      <w:r>
        <w:t>AirWallex</w:t>
      </w:r>
      <w:proofErr w:type="spellEnd"/>
      <w:r>
        <w:t xml:space="preserve">, Judo Capital, MYOB, </w:t>
      </w:r>
      <w:proofErr w:type="spellStart"/>
      <w:r>
        <w:t>Pexa</w:t>
      </w:r>
      <w:proofErr w:type="spellEnd"/>
      <w:r>
        <w:t xml:space="preserve"> and Zeller – which rank among the world’s top 100 FinTech companies.</w:t>
      </w:r>
    </w:p>
    <w:p w14:paraId="1115DC00" w14:textId="2BABB4DA" w:rsidR="00113BA0" w:rsidRDefault="00113BA0" w:rsidP="00113BA0">
      <w:r>
        <w:t>35</w:t>
      </w:r>
      <w:r w:rsidRPr="00113BA0">
        <w:rPr>
          <w:vertAlign w:val="superscript"/>
        </w:rPr>
        <w:t>th</w:t>
      </w:r>
      <w:r>
        <w:t xml:space="preserve"> Global city for FinTech</w:t>
      </w:r>
      <w:r w:rsidR="00705077">
        <w:t>.</w:t>
      </w:r>
    </w:p>
    <w:p w14:paraId="357F4FCC" w14:textId="77777777" w:rsidR="00113BA0" w:rsidRDefault="00113BA0" w:rsidP="00625813">
      <w:pPr>
        <w:pStyle w:val="Heading2"/>
        <w:rPr>
          <w:rFonts w:hint="eastAsia"/>
        </w:rPr>
      </w:pPr>
      <w:r>
        <w:t>Edtech</w:t>
      </w:r>
    </w:p>
    <w:p w14:paraId="32A3227A" w14:textId="77777777" w:rsidR="00113BA0" w:rsidRDefault="00113BA0" w:rsidP="00113BA0">
      <w:r>
        <w:t xml:space="preserve">Melbourne is home to one third of the nation’s EdTech companies. The Australian market is forecast to expand by 11 per cent by 2025, presenting strong growth opportunities for local players. A range of successful EdTech companies have been launched in Melbourne including A Cloud Guru, Compass Education, Education Horizons and Keypath. Global stars like </w:t>
      </w:r>
      <w:proofErr w:type="spellStart"/>
      <w:r>
        <w:t>FutureLearn</w:t>
      </w:r>
      <w:proofErr w:type="spellEnd"/>
      <w:r>
        <w:t xml:space="preserve"> and Pearson have established their Asia-Pacific headquarters in Melbourne.</w:t>
      </w:r>
    </w:p>
    <w:p w14:paraId="3568362E" w14:textId="15351984" w:rsidR="00113BA0" w:rsidRDefault="00113BA0" w:rsidP="00113BA0">
      <w:r>
        <w:t>33% of Australia’s industry is in Melbourne</w:t>
      </w:r>
      <w:r w:rsidR="00705077">
        <w:t>.</w:t>
      </w:r>
    </w:p>
    <w:p w14:paraId="5C672C3C" w14:textId="77777777" w:rsidR="00113BA0" w:rsidRDefault="00113BA0" w:rsidP="00625813">
      <w:pPr>
        <w:pStyle w:val="Heading2"/>
        <w:rPr>
          <w:rFonts w:hint="eastAsia"/>
        </w:rPr>
      </w:pPr>
      <w:r>
        <w:t>Digital Games</w:t>
      </w:r>
    </w:p>
    <w:p w14:paraId="44B6F153" w14:textId="77777777" w:rsidR="00113BA0" w:rsidRDefault="00113BA0" w:rsidP="00113BA0">
      <w:r>
        <w:t>Melbourne is home to 170 of Australia’s 200 digital games studios. It is the nation’s game development capital and home to most of Australia’s development studios, such as Activision and Sledgehammer Games, which are partnering with local and global developers Disney, EA and Nickelodeon to produce award-winning games. Exports account for 87 per cent of industry revenue. Melbourne hosts premier global events such as International Games Week and PAX Australia. State and Federal government incentives and tax offsets support the rapidly growing sector.</w:t>
      </w:r>
    </w:p>
    <w:p w14:paraId="1BD9F2D3" w14:textId="7A5C8BE0" w:rsidR="00113BA0" w:rsidRDefault="00113BA0" w:rsidP="00113BA0">
      <w:r>
        <w:t>&gt;</w:t>
      </w:r>
      <w:r w:rsidR="00625813">
        <w:t xml:space="preserve"> </w:t>
      </w:r>
      <w:r>
        <w:t>50% of Australia’s industry is in Melbourne</w:t>
      </w:r>
      <w:r w:rsidR="00705077">
        <w:t>.</w:t>
      </w:r>
    </w:p>
    <w:p w14:paraId="2B39EB8A" w14:textId="77777777" w:rsidR="00113BA0" w:rsidRDefault="00113BA0" w:rsidP="00625813">
      <w:pPr>
        <w:pStyle w:val="Heading2"/>
        <w:rPr>
          <w:rFonts w:hint="eastAsia"/>
        </w:rPr>
      </w:pPr>
      <w:r>
        <w:t>Sports Tech</w:t>
      </w:r>
    </w:p>
    <w:p w14:paraId="12F070F0" w14:textId="77777777" w:rsidR="00113BA0" w:rsidRDefault="00113BA0" w:rsidP="00113BA0">
      <w:r>
        <w:t xml:space="preserve">Melbourne leads Australia in the </w:t>
      </w:r>
      <w:proofErr w:type="spellStart"/>
      <w:r>
        <w:t>SportsTech</w:t>
      </w:r>
      <w:proofErr w:type="spellEnd"/>
      <w:r>
        <w:t xml:space="preserve"> sector representing 44 per cent of the country’s $3.1 billion industry. Victoria trains most of the nation’s </w:t>
      </w:r>
      <w:proofErr w:type="spellStart"/>
      <w:r>
        <w:t>SportsTech</w:t>
      </w:r>
      <w:proofErr w:type="spellEnd"/>
      <w:r>
        <w:t xml:space="preserve"> workforce who are largely employed in the growing areas of artificial intelligence, stadium design, major events, wearables and e-sports. The city’s concentration of sporting league headquarters, such as the Australian Football League, attract a vibrant network of local </w:t>
      </w:r>
      <w:r>
        <w:lastRenderedPageBreak/>
        <w:t>startups, while the Australian Sports Technologies Network assists startups to commercialise, scale and export.</w:t>
      </w:r>
    </w:p>
    <w:p w14:paraId="28280F57" w14:textId="7EB69FF1" w:rsidR="00113BA0" w:rsidRDefault="00113BA0" w:rsidP="00113BA0">
      <w:r>
        <w:t>44% of Australia’s industry is in Melbourne</w:t>
      </w:r>
      <w:r w:rsidR="00AA1D08">
        <w:t>.</w:t>
      </w:r>
    </w:p>
    <w:p w14:paraId="4FAC5D1D" w14:textId="77777777" w:rsidR="00113BA0" w:rsidRDefault="00113BA0" w:rsidP="00625813">
      <w:pPr>
        <w:pStyle w:val="Heading2"/>
        <w:rPr>
          <w:rFonts w:hint="eastAsia"/>
        </w:rPr>
      </w:pPr>
      <w:r>
        <w:t>Digital Health and Pharma</w:t>
      </w:r>
    </w:p>
    <w:p w14:paraId="4482D592" w14:textId="77777777" w:rsidR="00113BA0" w:rsidRDefault="00113BA0" w:rsidP="00113BA0">
      <w:r>
        <w:t xml:space="preserve">Melbourne has thriving digital health and nation-leading pharmaceutical production capability. This is underpinned by a large and growing </w:t>
      </w:r>
      <w:proofErr w:type="spellStart"/>
      <w:r>
        <w:t>HealthTech</w:t>
      </w:r>
      <w:proofErr w:type="spellEnd"/>
      <w:r>
        <w:t xml:space="preserve"> startup ecosystem, accounting for almost one-fifth of all new startups, which are supported by a world leading Biomedical Precinct in Parkville. Seer Medical is Australia’s leading provider of epilepsy diagnostic services, with offices in the US, UK and Europe</w:t>
      </w:r>
    </w:p>
    <w:p w14:paraId="6AA7B886" w14:textId="31208E08" w:rsidR="00113BA0" w:rsidRDefault="00113BA0" w:rsidP="00113BA0">
      <w:r>
        <w:t xml:space="preserve">14% of all startups are in </w:t>
      </w:r>
      <w:proofErr w:type="spellStart"/>
      <w:r>
        <w:t>HealthTech</w:t>
      </w:r>
      <w:proofErr w:type="spellEnd"/>
      <w:r w:rsidR="00705077">
        <w:t>.</w:t>
      </w:r>
    </w:p>
    <w:p w14:paraId="6A9EE134" w14:textId="77777777" w:rsidR="00113BA0" w:rsidRDefault="00113BA0" w:rsidP="00625813">
      <w:pPr>
        <w:pStyle w:val="Heading2"/>
        <w:rPr>
          <w:rFonts w:hint="eastAsia"/>
        </w:rPr>
      </w:pPr>
      <w:r>
        <w:t>Cyber</w:t>
      </w:r>
    </w:p>
    <w:p w14:paraId="0F5B3AAC" w14:textId="77777777" w:rsidR="00113BA0" w:rsidRDefault="00113BA0" w:rsidP="00113BA0">
      <w:r>
        <w:t>Melbourne is Australia’s leading cyber security hub, with key strengths in data encryption, online security solutions and enhanced signals intelligence systems. The industry’s growth is supported by large and digitally dependent IT and financial services industries which comprise over 20,000 businesses. Melbourne ranks second globally for cyber security policy development and second for cyber maturity in the Indo-Pacific region, which helps attract over 150 national and global players including Google, Leidos and Wipro.</w:t>
      </w:r>
    </w:p>
    <w:p w14:paraId="7CA6260F" w14:textId="124BECBE" w:rsidR="00113BA0" w:rsidRDefault="00113BA0" w:rsidP="00113BA0">
      <w:r>
        <w:t>2</w:t>
      </w:r>
      <w:r w:rsidRPr="00113BA0">
        <w:rPr>
          <w:vertAlign w:val="superscript"/>
        </w:rPr>
        <w:t>nd</w:t>
      </w:r>
      <w:r>
        <w:t xml:space="preserve"> Global city for cyber security policy development</w:t>
      </w:r>
      <w:r w:rsidR="00705077">
        <w:t>.</w:t>
      </w:r>
    </w:p>
    <w:p w14:paraId="2573B401" w14:textId="77777777" w:rsidR="00D60BFB" w:rsidRDefault="00113BA0" w:rsidP="00625813">
      <w:pPr>
        <w:pStyle w:val="Heading2"/>
        <w:rPr>
          <w:rFonts w:hint="eastAsia"/>
        </w:rPr>
      </w:pPr>
      <w:r>
        <w:t>AI/ SaaS</w:t>
      </w:r>
    </w:p>
    <w:p w14:paraId="1122DDA9" w14:textId="77777777" w:rsidR="00D60BFB" w:rsidRDefault="00113BA0" w:rsidP="00113BA0">
      <w:r>
        <w:t xml:space="preserve">Melbourne is the growth engine of Australia’s artificial intelligence (AI) and software as a </w:t>
      </w:r>
      <w:proofErr w:type="gramStart"/>
      <w:r>
        <w:t>service (SaaS) industries</w:t>
      </w:r>
      <w:proofErr w:type="gramEnd"/>
      <w:r>
        <w:t xml:space="preserve">, with 20 per cent of national industry startups. Strengths exist in business and services integration, digital customer experience, robotics and smart transport. The city has the largest cloud hub in the Asia-Pacific and is home to Aconex, </w:t>
      </w:r>
      <w:proofErr w:type="spellStart"/>
      <w:r>
        <w:t>Carsales</w:t>
      </w:r>
      <w:proofErr w:type="spellEnd"/>
      <w:r>
        <w:t xml:space="preserve">, </w:t>
      </w:r>
      <w:proofErr w:type="spellStart"/>
      <w:r>
        <w:t>Equiem</w:t>
      </w:r>
      <w:proofErr w:type="spellEnd"/>
      <w:r>
        <w:t>, REA Group, and Seek. The sector is supported by a 50 per cent cloud adoption rate among key sectors, including financial and health services.</w:t>
      </w:r>
    </w:p>
    <w:p w14:paraId="6BA6E052" w14:textId="48F5A1C5" w:rsidR="00113BA0" w:rsidRDefault="00113BA0" w:rsidP="00113BA0">
      <w:r>
        <w:t>25%</w:t>
      </w:r>
      <w:r w:rsidR="00D60BFB">
        <w:t xml:space="preserve"> </w:t>
      </w:r>
      <w:r>
        <w:t>of Australia’s software developers</w:t>
      </w:r>
      <w:r w:rsidR="00705077">
        <w:t>.</w:t>
      </w:r>
    </w:p>
    <w:p w14:paraId="30205E8F" w14:textId="77777777" w:rsidR="00D60BFB" w:rsidRDefault="00113BA0" w:rsidP="00625813">
      <w:pPr>
        <w:pStyle w:val="Heading2"/>
        <w:rPr>
          <w:rFonts w:hint="eastAsia"/>
        </w:rPr>
      </w:pPr>
      <w:proofErr w:type="spellStart"/>
      <w:r>
        <w:t>AgTech</w:t>
      </w:r>
      <w:proofErr w:type="spellEnd"/>
    </w:p>
    <w:p w14:paraId="216F8A5E" w14:textId="77777777" w:rsidR="00D60BFB" w:rsidRDefault="00113BA0" w:rsidP="00113BA0">
      <w:r>
        <w:t xml:space="preserve">Melbourne’s </w:t>
      </w:r>
      <w:proofErr w:type="spellStart"/>
      <w:r>
        <w:t>AgTech</w:t>
      </w:r>
      <w:proofErr w:type="spellEnd"/>
      <w:r>
        <w:t xml:space="preserve"> sector is a leader in farm management software, food development and processing and supply chain and logistics, with ready access to a sophisticated network of digitally enabled smart-farms ideal for product research and testing. Melbourne’s </w:t>
      </w:r>
      <w:proofErr w:type="spellStart"/>
      <w:r>
        <w:t>AgTech</w:t>
      </w:r>
      <w:proofErr w:type="spellEnd"/>
      <w:r>
        <w:t xml:space="preserve"> sector is supported by Australia’s largest </w:t>
      </w:r>
      <w:proofErr w:type="spellStart"/>
      <w:r>
        <w:t>AgTech</w:t>
      </w:r>
      <w:proofErr w:type="spellEnd"/>
      <w:r>
        <w:t xml:space="preserve"> innovation hub, </w:t>
      </w:r>
      <w:proofErr w:type="spellStart"/>
      <w:r>
        <w:t>SproutX</w:t>
      </w:r>
      <w:proofErr w:type="spellEnd"/>
      <w:r>
        <w:t>. The industry is expected to grow rapidly by 2030, which has helped attract Canopy Growth, the world’s largest medicinal cannabis company to headquarter its Asia-Pacific office in Melbourne.</w:t>
      </w:r>
    </w:p>
    <w:p w14:paraId="2F99A1C4" w14:textId="05C5F744" w:rsidR="00113BA0" w:rsidRDefault="00113BA0" w:rsidP="00113BA0">
      <w:r>
        <w:t>$100b</w:t>
      </w:r>
      <w:r w:rsidR="00D60BFB">
        <w:t xml:space="preserve"> </w:t>
      </w:r>
      <w:r>
        <w:t>Expected industry value by 2030</w:t>
      </w:r>
      <w:r w:rsidR="00705077">
        <w:t>.</w:t>
      </w:r>
    </w:p>
    <w:p w14:paraId="33DFB6CB" w14:textId="77777777" w:rsidR="00113BA0" w:rsidRPr="00625813" w:rsidRDefault="00113BA0" w:rsidP="00625813">
      <w:pPr>
        <w:pStyle w:val="Heading1"/>
        <w:rPr>
          <w:rFonts w:hint="eastAsia"/>
        </w:rPr>
      </w:pPr>
      <w:r w:rsidRPr="00625813">
        <w:t xml:space="preserve">Melbourne is Australia’s tech startup capital </w:t>
      </w:r>
      <w:proofErr w:type="gramStart"/>
      <w:r w:rsidRPr="00625813">
        <w:t>city</w:t>
      </w:r>
      <w:proofErr w:type="gramEnd"/>
    </w:p>
    <w:p w14:paraId="28745460" w14:textId="77777777" w:rsidR="00113BA0" w:rsidRDefault="00113BA0" w:rsidP="00113BA0">
      <w:r>
        <w:t xml:space="preserve">Victoria has a startup community comprising around 3,000 businesses, over 90 per cent of which are based in Melbourne. The fastest growing sectors are </w:t>
      </w:r>
      <w:proofErr w:type="spellStart"/>
      <w:r>
        <w:t>HealthTech</w:t>
      </w:r>
      <w:proofErr w:type="spellEnd"/>
      <w:r>
        <w:t>, FinTech, Media and Entertainment tech, EdTech and Enterprise and Corporate Services.</w:t>
      </w:r>
    </w:p>
    <w:p w14:paraId="11D5BD6C" w14:textId="77777777" w:rsidR="00113BA0" w:rsidRDefault="00113BA0" w:rsidP="00113BA0">
      <w:r>
        <w:t>The city ranks third in the Global Smart Cities rankings for the application of emerging technologies.</w:t>
      </w:r>
    </w:p>
    <w:p w14:paraId="4FD083D8" w14:textId="77777777" w:rsidR="00113BA0" w:rsidRDefault="00113BA0" w:rsidP="00113BA0">
      <w:r>
        <w:lastRenderedPageBreak/>
        <w:t>Noteworthy innovations include the black box, electric drill, cochlear implant, frozen embryo, bionic eye and the world’s first feature film.</w:t>
      </w:r>
    </w:p>
    <w:p w14:paraId="07A02E42" w14:textId="77777777" w:rsidR="00113BA0" w:rsidRDefault="00113BA0" w:rsidP="00625813">
      <w:pPr>
        <w:pStyle w:val="Heading2"/>
        <w:rPr>
          <w:rFonts w:hint="eastAsia"/>
        </w:rPr>
      </w:pPr>
      <w:r>
        <w:t>Victoria’s technology startup community</w:t>
      </w:r>
    </w:p>
    <w:p w14:paraId="271B40DE" w14:textId="77777777" w:rsidR="00113BA0" w:rsidRDefault="00113BA0" w:rsidP="00D57F95">
      <w:pPr>
        <w:pStyle w:val="ListBullet"/>
      </w:pPr>
      <w:r>
        <w:t xml:space="preserve">93% Startups based in </w:t>
      </w:r>
      <w:proofErr w:type="gramStart"/>
      <w:r>
        <w:t>Melbourne</w:t>
      </w:r>
      <w:proofErr w:type="gramEnd"/>
    </w:p>
    <w:p w14:paraId="5B94428A" w14:textId="77777777" w:rsidR="00113BA0" w:rsidRDefault="00113BA0" w:rsidP="00D57F95">
      <w:pPr>
        <w:pStyle w:val="ListBullet"/>
      </w:pPr>
      <w:r>
        <w:t>$103b Enterprise evaluation</w:t>
      </w:r>
    </w:p>
    <w:p w14:paraId="61C98352" w14:textId="77777777" w:rsidR="00113BA0" w:rsidRDefault="00113BA0" w:rsidP="00D57F95">
      <w:pPr>
        <w:pStyle w:val="ListBullet"/>
      </w:pPr>
      <w:r>
        <w:t>52k Startup employees</w:t>
      </w:r>
    </w:p>
    <w:p w14:paraId="0ABFBCCE" w14:textId="77777777" w:rsidR="00113BA0" w:rsidRDefault="00113BA0" w:rsidP="00D57F95">
      <w:pPr>
        <w:pStyle w:val="ListBullet"/>
      </w:pPr>
      <w:r>
        <w:t>$2m+ Early-stage capital raised</w:t>
      </w:r>
    </w:p>
    <w:p w14:paraId="78BAE068" w14:textId="77777777" w:rsidR="00113BA0" w:rsidRDefault="00113BA0" w:rsidP="00625813">
      <w:pPr>
        <w:pStyle w:val="Heading1"/>
        <w:rPr>
          <w:rFonts w:hint="eastAsia"/>
        </w:rPr>
      </w:pPr>
      <w:r>
        <w:t>Local support for startups</w:t>
      </w:r>
    </w:p>
    <w:p w14:paraId="1411BEC7" w14:textId="77777777" w:rsidR="00113BA0" w:rsidRDefault="00113BA0" w:rsidP="00113BA0">
      <w:proofErr w:type="spellStart"/>
      <w:r>
        <w:t>LaunchVic</w:t>
      </w:r>
      <w:proofErr w:type="spellEnd"/>
      <w:r>
        <w:t xml:space="preserve"> provides important support to Melbourne’s startups. </w:t>
      </w:r>
      <w:proofErr w:type="spellStart"/>
      <w:r>
        <w:t>LaunchVic’s</w:t>
      </w:r>
      <w:proofErr w:type="spellEnd"/>
      <w:r>
        <w:t xml:space="preserve"> role is to fuel the growth of Victoria’s startup ecosystem by building the confidence and capability of Victorians to create, scale and invest in startups.</w:t>
      </w:r>
    </w:p>
    <w:p w14:paraId="07D09896" w14:textId="77777777" w:rsidR="00113BA0" w:rsidRDefault="00113BA0" w:rsidP="00113BA0">
      <w:r>
        <w:t xml:space="preserve">Since 2016, </w:t>
      </w:r>
      <w:proofErr w:type="spellStart"/>
      <w:r>
        <w:t>LaunchVic</w:t>
      </w:r>
      <w:proofErr w:type="spellEnd"/>
      <w:r>
        <w:t xml:space="preserve"> has:</w:t>
      </w:r>
    </w:p>
    <w:p w14:paraId="0DCA7120" w14:textId="474D204B" w:rsidR="00113BA0" w:rsidRDefault="00113BA0" w:rsidP="00D57F95">
      <w:pPr>
        <w:pStyle w:val="ListBullet"/>
      </w:pPr>
      <w:r>
        <w:t>Unlocked</w:t>
      </w:r>
      <w:r w:rsidR="00D57F95">
        <w:t xml:space="preserve"> </w:t>
      </w:r>
      <w:r>
        <w:t>$834m</w:t>
      </w:r>
      <w:r w:rsidR="00D57F95">
        <w:t xml:space="preserve"> </w:t>
      </w:r>
      <w:r>
        <w:t>Private sector investment</w:t>
      </w:r>
    </w:p>
    <w:p w14:paraId="06AB62C0" w14:textId="5DBB9D42" w:rsidR="00113BA0" w:rsidRDefault="00113BA0" w:rsidP="00D57F95">
      <w:pPr>
        <w:pStyle w:val="ListBullet"/>
      </w:pPr>
      <w:r>
        <w:t>Launched</w:t>
      </w:r>
      <w:r w:rsidR="00D57F95">
        <w:t xml:space="preserve"> </w:t>
      </w:r>
      <w:r>
        <w:t>$10m</w:t>
      </w:r>
      <w:r w:rsidR="00D57F95">
        <w:t xml:space="preserve"> </w:t>
      </w:r>
      <w:r>
        <w:t>Alice Anderson Fund for women-led startups</w:t>
      </w:r>
    </w:p>
    <w:p w14:paraId="23C93B02" w14:textId="639D864E" w:rsidR="00113BA0" w:rsidRDefault="00113BA0" w:rsidP="00D57F95">
      <w:pPr>
        <w:pStyle w:val="ListBullet"/>
      </w:pPr>
      <w:r>
        <w:t>Supported</w:t>
      </w:r>
      <w:r w:rsidR="00D57F95">
        <w:t xml:space="preserve"> </w:t>
      </w:r>
      <w:r>
        <w:t>&gt;1,400</w:t>
      </w:r>
      <w:r w:rsidR="00D57F95">
        <w:t xml:space="preserve"> </w:t>
      </w:r>
      <w:r>
        <w:t>Startups to grow</w:t>
      </w:r>
    </w:p>
    <w:p w14:paraId="79E99197" w14:textId="77777777" w:rsidR="00113BA0" w:rsidRDefault="00113BA0" w:rsidP="00113BA0">
      <w:r>
        <w:t xml:space="preserve">Victoria is home to more than 3,400 startups of which close to a third have been supported by </w:t>
      </w:r>
      <w:proofErr w:type="spellStart"/>
      <w:r>
        <w:t>LaunchVic</w:t>
      </w:r>
      <w:proofErr w:type="spellEnd"/>
      <w:r>
        <w:t xml:space="preserve"> along their journey.</w:t>
      </w:r>
    </w:p>
    <w:p w14:paraId="10835435" w14:textId="77777777" w:rsidR="00113BA0" w:rsidRDefault="00113BA0" w:rsidP="00625813">
      <w:pPr>
        <w:pStyle w:val="Heading2"/>
        <w:rPr>
          <w:rFonts w:hint="eastAsia"/>
        </w:rPr>
      </w:pPr>
      <w:r>
        <w:t>Leading research and development institutes</w:t>
      </w:r>
    </w:p>
    <w:p w14:paraId="19421C98" w14:textId="77777777" w:rsidR="00113BA0" w:rsidRDefault="00113BA0" w:rsidP="00113BA0">
      <w:r>
        <w:t>Melbourne has the second largest technology research and development cluster in the southern hemisphere, enabling industry focused research. World-leading research and development institutions include:</w:t>
      </w:r>
    </w:p>
    <w:p w14:paraId="44CE9469" w14:textId="77777777" w:rsidR="00113BA0" w:rsidRDefault="00113BA0" w:rsidP="00113BA0">
      <w:r w:rsidRPr="00D57F95">
        <w:rPr>
          <w:b/>
          <w:bCs/>
        </w:rPr>
        <w:t>IBM’s Global R and D Laboratory</w:t>
      </w:r>
      <w:r>
        <w:t xml:space="preserve"> – Australia’s only IBM lab, and one of 12 globally, dedicated to enhancing natural resources, disease and agricultural yield management with advanced computing.</w:t>
      </w:r>
    </w:p>
    <w:p w14:paraId="2EE8A749" w14:textId="199F0844" w:rsidR="00113BA0" w:rsidRDefault="00113BA0" w:rsidP="00113BA0">
      <w:r w:rsidRPr="00D57F95">
        <w:rPr>
          <w:b/>
          <w:bCs/>
        </w:rPr>
        <w:t>Victorian Life Sciences Computation Initiative</w:t>
      </w:r>
      <w:r w:rsidR="00D57F95">
        <w:rPr>
          <w:b/>
          <w:bCs/>
        </w:rPr>
        <w:t xml:space="preserve"> </w:t>
      </w:r>
      <w:r>
        <w:t>– the largest life sciences dedicated supercomputer in the world, enabling scientists to improve diagnostics and disease treatment.</w:t>
      </w:r>
    </w:p>
    <w:p w14:paraId="2E66597D" w14:textId="77777777" w:rsidR="00113BA0" w:rsidRDefault="00113BA0" w:rsidP="00113BA0">
      <w:r w:rsidRPr="00D57F95">
        <w:rPr>
          <w:b/>
          <w:bCs/>
        </w:rPr>
        <w:t>Oceania Cyber Security Centre</w:t>
      </w:r>
      <w:r>
        <w:t xml:space="preserve"> – a collaboration between eight Victorian universities and Oxford University in the UK to advance cyber security research.</w:t>
      </w:r>
    </w:p>
    <w:p w14:paraId="09CCDAF9" w14:textId="572CF071" w:rsidR="00113BA0" w:rsidRDefault="00113BA0" w:rsidP="00113BA0">
      <w:r w:rsidRPr="00D57F95">
        <w:rPr>
          <w:b/>
          <w:bCs/>
        </w:rPr>
        <w:t>Melbourne Connect</w:t>
      </w:r>
      <w:r>
        <w:t xml:space="preserve"> – an innovation precinct that brings together researchers, industry partners, startups, and artists to collaborate on cutting-edge solutions.</w:t>
      </w:r>
      <w:r w:rsidR="00D57F95">
        <w:t xml:space="preserve"> </w:t>
      </w:r>
      <w:r>
        <w:t>Powered by The University of Melbourne, it aims to disrupt and transform society through research, technology and community engagement.</w:t>
      </w:r>
    </w:p>
    <w:p w14:paraId="12F92D8B" w14:textId="77777777" w:rsidR="00113BA0" w:rsidRDefault="00113BA0" w:rsidP="00113BA0">
      <w:r>
        <w:t xml:space="preserve">Other globally renowned tech innovation enablers based in Melbourne include the Australian Urban Research Infrastructure Network, Data 61, </w:t>
      </w:r>
      <w:proofErr w:type="spellStart"/>
      <w:r>
        <w:t>FrontierSI</w:t>
      </w:r>
      <w:proofErr w:type="spellEnd"/>
      <w:r>
        <w:t xml:space="preserve"> and Telstra Lab.</w:t>
      </w:r>
    </w:p>
    <w:p w14:paraId="1981265D" w14:textId="77777777" w:rsidR="00113BA0" w:rsidRDefault="00113BA0" w:rsidP="00625813">
      <w:pPr>
        <w:pStyle w:val="Heading1"/>
        <w:rPr>
          <w:rFonts w:hint="eastAsia"/>
        </w:rPr>
      </w:pPr>
      <w:r>
        <w:t xml:space="preserve">A </w:t>
      </w:r>
      <w:proofErr w:type="spellStart"/>
      <w:r>
        <w:t>favourable</w:t>
      </w:r>
      <w:proofErr w:type="spellEnd"/>
      <w:r>
        <w:t xml:space="preserve"> business environment</w:t>
      </w:r>
    </w:p>
    <w:p w14:paraId="255EBB7E" w14:textId="77777777" w:rsidR="00113BA0" w:rsidRDefault="00113BA0" w:rsidP="00D57F95">
      <w:pPr>
        <w:pStyle w:val="Heading2"/>
        <w:rPr>
          <w:rFonts w:hint="eastAsia"/>
        </w:rPr>
      </w:pPr>
      <w:r>
        <w:t>Generous Research and Development tax incentives for eligible companies</w:t>
      </w:r>
    </w:p>
    <w:p w14:paraId="73201148" w14:textId="1253DB8B" w:rsidR="00113BA0" w:rsidRDefault="00113BA0" w:rsidP="00113BA0">
      <w:r>
        <w:t>Eligible foreign investors benefit from strong Research and Development tax incentives in Australia, receiving up to 43.5 per cent as</w:t>
      </w:r>
      <w:r w:rsidR="00D57F95">
        <w:t xml:space="preserve"> </w:t>
      </w:r>
      <w:r>
        <w:t>a refundable tax credit.</w:t>
      </w:r>
    </w:p>
    <w:p w14:paraId="368D032D" w14:textId="77777777" w:rsidR="00113BA0" w:rsidRDefault="00113BA0" w:rsidP="00D57F95">
      <w:pPr>
        <w:pStyle w:val="Heading2"/>
        <w:rPr>
          <w:rFonts w:hint="eastAsia"/>
        </w:rPr>
      </w:pPr>
      <w:r>
        <w:t>Transparent legal system</w:t>
      </w:r>
    </w:p>
    <w:p w14:paraId="041E53BB" w14:textId="236B8F0F" w:rsidR="00113BA0" w:rsidRDefault="00113BA0" w:rsidP="00113BA0">
      <w:r>
        <w:t>Australia is ranked 13th of 139 countries on rule of law and second in the Asia-Pacific region</w:t>
      </w:r>
      <w:r w:rsidR="00D57F95">
        <w:t xml:space="preserve"> </w:t>
      </w:r>
      <w:r>
        <w:t>in the World Justice Project 2021. This creates a robust and credible legal environment for businesses operating in Melbourne.</w:t>
      </w:r>
    </w:p>
    <w:p w14:paraId="0E15691C" w14:textId="77777777" w:rsidR="00113BA0" w:rsidRDefault="00113BA0" w:rsidP="00D57F95">
      <w:pPr>
        <w:pStyle w:val="Heading2"/>
        <w:rPr>
          <w:rFonts w:hint="eastAsia"/>
        </w:rPr>
      </w:pPr>
      <w:r>
        <w:t>Intellectual property protections</w:t>
      </w:r>
    </w:p>
    <w:p w14:paraId="101AA545" w14:textId="048D8FFD" w:rsidR="00A66076" w:rsidRDefault="00113BA0" w:rsidP="00625813">
      <w:r>
        <w:t>Australia ranked 11th globally in the International Property Rights Index 2021.</w:t>
      </w:r>
      <w:r w:rsidR="00D57F95">
        <w:t xml:space="preserve"> </w:t>
      </w:r>
      <w:r>
        <w:t>This ensures protection for companies with respect to patents, trademarks, and offers protection against corruption.</w:t>
      </w:r>
    </w:p>
    <w:p w14:paraId="15B3ACF5" w14:textId="77777777" w:rsidR="00113BA0" w:rsidRDefault="00113BA0" w:rsidP="00D57F95">
      <w:pPr>
        <w:pStyle w:val="Heading2"/>
        <w:rPr>
          <w:rFonts w:hint="eastAsia"/>
        </w:rPr>
      </w:pPr>
      <w:r>
        <w:t>High digital adoption rate</w:t>
      </w:r>
    </w:p>
    <w:p w14:paraId="5530561D" w14:textId="475A952D" w:rsidR="00113BA0" w:rsidRDefault="00113BA0" w:rsidP="00113BA0">
      <w:r>
        <w:t>Australia ranked fourth in the world for digital consumption, behind South Korea, the United Kingdom and the United States, according</w:t>
      </w:r>
      <w:r w:rsidR="00D57F95">
        <w:t xml:space="preserve"> </w:t>
      </w:r>
      <w:r>
        <w:t>to Euromonitor International 2021.</w:t>
      </w:r>
    </w:p>
    <w:tbl>
      <w:tblPr>
        <w:tblStyle w:val="TableGrid"/>
        <w:tblW w:w="0" w:type="auto"/>
        <w:tblCellMar>
          <w:left w:w="170" w:type="dxa"/>
          <w:right w:w="170" w:type="dxa"/>
        </w:tblCellMar>
        <w:tblLook w:val="04A0" w:firstRow="1" w:lastRow="0" w:firstColumn="1" w:lastColumn="0" w:noHBand="0" w:noVBand="1"/>
      </w:tblPr>
      <w:tblGrid>
        <w:gridCol w:w="9622"/>
      </w:tblGrid>
      <w:tr w:rsidR="00625813" w14:paraId="41450325" w14:textId="77777777" w:rsidTr="006258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22051935" w14:textId="77777777" w:rsidR="00625813" w:rsidRDefault="00625813" w:rsidP="00625813">
            <w:pPr>
              <w:pStyle w:val="Heading3"/>
              <w:spacing w:before="120"/>
              <w:rPr>
                <w:rFonts w:hint="eastAsia"/>
              </w:rPr>
            </w:pPr>
            <w:r>
              <w:t>VISEO – Thriving in Melbourne’s Tech Hub</w:t>
            </w:r>
          </w:p>
          <w:p w14:paraId="38A4D7ED" w14:textId="77777777" w:rsidR="00625813" w:rsidRPr="00625813" w:rsidRDefault="00625813" w:rsidP="00625813">
            <w:pPr>
              <w:rPr>
                <w:b w:val="0"/>
                <w:bCs/>
              </w:rPr>
            </w:pPr>
            <w:r w:rsidRPr="00625813">
              <w:rPr>
                <w:b w:val="0"/>
                <w:bCs/>
              </w:rPr>
              <w:t>VISEO, a global tech consulting leader that employs over 2,700 professionals across five continents, established its Australian headquarters in Melbourne in 2019. The city’s strategic location, dynamic tech scene and business-friendly environment were key factors when the company was considering its regional ambitions.</w:t>
            </w:r>
          </w:p>
          <w:p w14:paraId="31FC909F" w14:textId="3EA721A3" w:rsidR="00625813" w:rsidRDefault="00625813" w:rsidP="00625813">
            <w:pPr>
              <w:spacing w:after="120"/>
            </w:pPr>
            <w:r w:rsidRPr="00625813">
              <w:rPr>
                <w:b w:val="0"/>
                <w:bCs/>
              </w:rPr>
              <w:t>Today, the French-owned business boasts a team of over 50 tech experts across Australia who drive digital solutions for government and private sector clients nationwide. VISEO’s most ambitious and impactful projects are delivered from its Melbourne base, alongside high-profile engagements with interstate clients such as the Canberra-based Commonwealth Superannuation Corporation.</w:t>
            </w:r>
          </w:p>
        </w:tc>
      </w:tr>
    </w:tbl>
    <w:p w14:paraId="18D183C9" w14:textId="77777777" w:rsidR="00113BA0" w:rsidRDefault="00113BA0" w:rsidP="00625813">
      <w:pPr>
        <w:pStyle w:val="Heading1"/>
        <w:rPr>
          <w:rFonts w:hint="eastAsia"/>
        </w:rPr>
      </w:pPr>
      <w:r>
        <w:t xml:space="preserve">Melbourne has plenty to </w:t>
      </w:r>
      <w:proofErr w:type="gramStart"/>
      <w:r>
        <w:t>offer</w:t>
      </w:r>
      <w:proofErr w:type="gramEnd"/>
    </w:p>
    <w:p w14:paraId="38B9641A" w14:textId="77777777" w:rsidR="00113BA0" w:rsidRDefault="00113BA0" w:rsidP="00625813">
      <w:pPr>
        <w:pStyle w:val="Heading2"/>
        <w:rPr>
          <w:rFonts w:hint="eastAsia"/>
        </w:rPr>
      </w:pPr>
      <w:proofErr w:type="spellStart"/>
      <w:r>
        <w:t>Favourable</w:t>
      </w:r>
      <w:proofErr w:type="spellEnd"/>
      <w:r>
        <w:t xml:space="preserve"> visa settings</w:t>
      </w:r>
    </w:p>
    <w:p w14:paraId="3B42081F" w14:textId="77777777" w:rsidR="00113BA0" w:rsidRDefault="00113BA0" w:rsidP="00113BA0">
      <w:r>
        <w:t>Australia’s only IBM lab, and one of 12 globally, dedicated to enhancing natural resources, disease and agricultural yield management with advanced computing.</w:t>
      </w:r>
    </w:p>
    <w:p w14:paraId="466DF47B" w14:textId="77777777" w:rsidR="00113BA0" w:rsidRDefault="00113BA0" w:rsidP="00625813">
      <w:pPr>
        <w:pStyle w:val="Heading2"/>
        <w:rPr>
          <w:rFonts w:hint="eastAsia"/>
        </w:rPr>
      </w:pPr>
      <w:r>
        <w:t>Gateway to the Asia-Pacific</w:t>
      </w:r>
    </w:p>
    <w:p w14:paraId="0348F5D1" w14:textId="77777777" w:rsidR="00113BA0" w:rsidRDefault="00113BA0" w:rsidP="00113BA0">
      <w:r>
        <w:t>The Asia-Pacific technology spend is forecast to reach US$732 billion by the end of 2023 and will grow by 7.3 per cent per year until 2027.</w:t>
      </w:r>
    </w:p>
    <w:p w14:paraId="40CA7A88" w14:textId="77777777" w:rsidR="00113BA0" w:rsidRDefault="00113BA0" w:rsidP="00625813">
      <w:pPr>
        <w:pStyle w:val="Heading2"/>
        <w:rPr>
          <w:rFonts w:hint="eastAsia"/>
        </w:rPr>
      </w:pPr>
      <w:r>
        <w:t>Lower business costs</w:t>
      </w:r>
    </w:p>
    <w:p w14:paraId="43221C26" w14:textId="68C010AE" w:rsidR="00113BA0" w:rsidRDefault="00113BA0" w:rsidP="00113BA0">
      <w:r>
        <w:t>Melbourne’s industrial leases and office space rentals are around 35 per cent cheaper</w:t>
      </w:r>
      <w:r w:rsidR="00D57F95">
        <w:t xml:space="preserve"> </w:t>
      </w:r>
      <w:r>
        <w:t>than Sydney.</w:t>
      </w:r>
    </w:p>
    <w:p w14:paraId="7A4E42BB" w14:textId="77777777" w:rsidR="00113BA0" w:rsidRDefault="00113BA0" w:rsidP="00113BA0">
      <w:r>
        <w:t>Victoria has the second lowest metropolitan payroll rate in the country (4.85 per cent) and the lowest regional tax rate (1.21 per cent). Melbourne’s energy costs are 45 per cent lower than in Sydney.</w:t>
      </w:r>
    </w:p>
    <w:p w14:paraId="2762F725" w14:textId="77777777" w:rsidR="00113BA0" w:rsidRDefault="00113BA0" w:rsidP="00625813">
      <w:pPr>
        <w:pStyle w:val="Heading2"/>
        <w:rPr>
          <w:rFonts w:hint="eastAsia"/>
        </w:rPr>
      </w:pPr>
      <w:r>
        <w:t xml:space="preserve">Melbourne is the </w:t>
      </w:r>
      <w:proofErr w:type="spellStart"/>
      <w:r>
        <w:t>epicentre</w:t>
      </w:r>
      <w:proofErr w:type="spellEnd"/>
      <w:r>
        <w:t xml:space="preserve"> of co-</w:t>
      </w:r>
      <w:proofErr w:type="gramStart"/>
      <w:r>
        <w:t>working</w:t>
      </w:r>
      <w:proofErr w:type="gramEnd"/>
    </w:p>
    <w:p w14:paraId="1AB01FFC" w14:textId="77777777" w:rsidR="00113BA0" w:rsidRDefault="00113BA0" w:rsidP="00113BA0">
      <w:r>
        <w:t>Melbourne dominates the co-working landscape in Australia, accounting for more than half of the total available space along the Eastern Seaboard.</w:t>
      </w:r>
    </w:p>
    <w:p w14:paraId="169165D8" w14:textId="77777777" w:rsidR="00113BA0" w:rsidRDefault="00113BA0" w:rsidP="00625813">
      <w:pPr>
        <w:pStyle w:val="Heading2"/>
        <w:rPr>
          <w:rFonts w:hint="eastAsia"/>
        </w:rPr>
      </w:pPr>
      <w:r>
        <w:t xml:space="preserve">Exceptional </w:t>
      </w:r>
      <w:proofErr w:type="spellStart"/>
      <w:r>
        <w:t>liveability</w:t>
      </w:r>
      <w:proofErr w:type="spellEnd"/>
    </w:p>
    <w:p w14:paraId="62FCDC45" w14:textId="77777777" w:rsidR="00113BA0" w:rsidRDefault="00113BA0" w:rsidP="00113BA0">
      <w:r>
        <w:t>Melbourne is currently the World’s fourth Most Liveable City, having held the title of World’s Most Liveable City for a record-breaking seven years from 2011 to 2017.</w:t>
      </w:r>
    </w:p>
    <w:p w14:paraId="199B23E0" w14:textId="77777777" w:rsidR="00113BA0" w:rsidRDefault="00113BA0" w:rsidP="00625813">
      <w:pPr>
        <w:pStyle w:val="Heading2"/>
        <w:rPr>
          <w:rFonts w:hint="eastAsia"/>
        </w:rPr>
      </w:pPr>
      <w:r>
        <w:t>Advantageous time zone</w:t>
      </w:r>
    </w:p>
    <w:p w14:paraId="6FBC15EC" w14:textId="77777777" w:rsidR="00113BA0" w:rsidRDefault="00113BA0" w:rsidP="00113BA0">
      <w:r>
        <w:t>Shared time zones with Asia enable businesses to operate an Asia-Pacific headquarters from a Melbourne base. Business hours bridge European and US business days.</w:t>
      </w:r>
    </w:p>
    <w:p w14:paraId="6ABB2F23" w14:textId="77777777" w:rsidR="00113BA0" w:rsidRDefault="00113BA0" w:rsidP="00625813">
      <w:pPr>
        <w:pStyle w:val="Heading2"/>
        <w:rPr>
          <w:rFonts w:hint="eastAsia"/>
        </w:rPr>
      </w:pPr>
      <w:r>
        <w:t>Multicultural workforce</w:t>
      </w:r>
    </w:p>
    <w:p w14:paraId="421CDC60" w14:textId="56508A04" w:rsidR="00625813" w:rsidRDefault="00113BA0" w:rsidP="00625813">
      <w:pPr>
        <w:spacing w:after="600"/>
        <w:rPr>
          <w:rFonts w:cs="Arial"/>
          <w:szCs w:val="20"/>
        </w:rPr>
      </w:pPr>
      <w:r>
        <w:t>Melbourne’s diverse workforce speaks 260 languages, helping tech companies service international markets.</w:t>
      </w:r>
    </w:p>
    <w:tbl>
      <w:tblPr>
        <w:tblStyle w:val="TableGrid"/>
        <w:tblW w:w="0" w:type="auto"/>
        <w:tblCellMar>
          <w:top w:w="170" w:type="dxa"/>
          <w:left w:w="170" w:type="dxa"/>
          <w:right w:w="170" w:type="dxa"/>
        </w:tblCellMar>
        <w:tblLook w:val="04A0" w:firstRow="1" w:lastRow="0" w:firstColumn="1" w:lastColumn="0" w:noHBand="0" w:noVBand="1"/>
      </w:tblPr>
      <w:tblGrid>
        <w:gridCol w:w="9622"/>
      </w:tblGrid>
      <w:tr w:rsidR="00625813" w14:paraId="09606B41" w14:textId="77777777" w:rsidTr="00551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9" w:type="dxa"/>
          </w:tcPr>
          <w:p w14:paraId="683F171B" w14:textId="77777777" w:rsidR="00625813" w:rsidRPr="000D6083" w:rsidRDefault="00625813" w:rsidP="00551A80">
            <w:pPr>
              <w:pStyle w:val="Bold"/>
              <w:rPr>
                <w:b/>
              </w:rPr>
            </w:pPr>
            <w:r w:rsidRPr="000D6083">
              <w:rPr>
                <w:b/>
              </w:rPr>
              <w:t>Thinking about starting a business in Melbourne?</w:t>
            </w:r>
            <w:r>
              <w:rPr>
                <w:b/>
              </w:rPr>
              <w:br/>
            </w:r>
            <w:r w:rsidRPr="000D6083">
              <w:t xml:space="preserve">Visit </w:t>
            </w:r>
            <w:hyperlink r:id="rId9" w:history="1">
              <w:r w:rsidRPr="000D6083">
                <w:rPr>
                  <w:rStyle w:val="Hyperlink"/>
                </w:rPr>
                <w:t>Investing in Melbourne</w:t>
              </w:r>
            </w:hyperlink>
            <w:r w:rsidRPr="000D6083">
              <w:rPr>
                <w:rStyle w:val="FootnoteReference"/>
              </w:rPr>
              <w:footnoteReference w:id="1"/>
            </w:r>
            <w:r w:rsidRPr="000D6083">
              <w:t xml:space="preserve"> or email us at </w:t>
            </w:r>
            <w:hyperlink r:id="rId10">
              <w:r w:rsidRPr="000D6083">
                <w:rPr>
                  <w:rStyle w:val="Hyperlink"/>
                </w:rPr>
                <w:t>investmelbourne@melbourne.vic.gov.au</w:t>
              </w:r>
            </w:hyperlink>
          </w:p>
          <w:p w14:paraId="5766448B" w14:textId="77777777" w:rsidR="00625813" w:rsidRDefault="00625813" w:rsidP="00551A80">
            <w:pPr>
              <w:pStyle w:val="Bold"/>
            </w:pPr>
            <w:r w:rsidRPr="000D6083">
              <w:rPr>
                <w:b/>
              </w:rPr>
              <w:t>Want help identifying products and services produced in Melbourne?</w:t>
            </w:r>
            <w:r>
              <w:rPr>
                <w:b/>
              </w:rPr>
              <w:br/>
            </w:r>
            <w:r w:rsidRPr="000D6083">
              <w:t xml:space="preserve">Visit </w:t>
            </w:r>
            <w:hyperlink r:id="rId11" w:history="1">
              <w:r w:rsidRPr="000D6083">
                <w:rPr>
                  <w:rStyle w:val="Hyperlink"/>
                </w:rPr>
                <w:t>International collaboration</w:t>
              </w:r>
            </w:hyperlink>
            <w:r w:rsidRPr="000D6083">
              <w:rPr>
                <w:rStyle w:val="FootnoteReference"/>
              </w:rPr>
              <w:footnoteReference w:id="2"/>
            </w:r>
            <w:r w:rsidRPr="000D6083">
              <w:t xml:space="preserve"> or email us at </w:t>
            </w:r>
            <w:hyperlink r:id="rId12" w:history="1">
              <w:r w:rsidRPr="000D6083">
                <w:rPr>
                  <w:rStyle w:val="Hyperlink"/>
                </w:rPr>
                <w:t>global@melbourne.vic.gov.au</w:t>
              </w:r>
            </w:hyperlink>
          </w:p>
        </w:tc>
      </w:tr>
    </w:tbl>
    <w:p w14:paraId="52FF5F86" w14:textId="77777777" w:rsidR="00625813" w:rsidRDefault="00625813" w:rsidP="00625813">
      <w:pPr>
        <w:spacing w:before="240" w:after="120"/>
      </w:pPr>
      <w:r w:rsidRPr="00395191">
        <w:rPr>
          <w:b/>
          <w:bCs/>
        </w:rPr>
        <w:t>Disclaimer:</w:t>
      </w:r>
      <w:r w:rsidRPr="00461810">
        <w:t xml:space="preserve"> This document is provided for </w:t>
      </w:r>
      <w:proofErr w:type="gramStart"/>
      <w:r w:rsidRPr="00461810">
        <w:t>information</w:t>
      </w:r>
      <w:proofErr w:type="gramEnd"/>
      <w:r w:rsidRPr="00461810">
        <w:t xml:space="preserve"> and it does not purport to be complete. While care has been taken to ensure the content in the report is accurate, we cannot guarantee it is without flaw of any kind. There may be errors and </w:t>
      </w:r>
      <w:proofErr w:type="gramStart"/>
      <w:r w:rsidRPr="00461810">
        <w:t>omissions</w:t>
      </w:r>
      <w:proofErr w:type="gramEnd"/>
      <w:r w:rsidRPr="00461810">
        <w:t xml:space="preserve">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r>
        <w:t xml:space="preserve"> </w:t>
      </w:r>
    </w:p>
    <w:p w14:paraId="2A007963" w14:textId="77777777" w:rsidR="00625813" w:rsidRDefault="00625813" w:rsidP="00625813">
      <w:pPr>
        <w:spacing w:before="120"/>
      </w:pPr>
      <w:r w:rsidRPr="00461810">
        <w:t xml:space="preserve">© Copyright City of Melbourne 2024. To receive this publication in an accessible format, email: </w:t>
      </w:r>
      <w:hyperlink r:id="rId13">
        <w:r w:rsidRPr="00461810">
          <w:rPr>
            <w:rStyle w:val="Hyperlink"/>
          </w:rPr>
          <w:t>global@melbourne.vic.gov.au</w:t>
        </w:r>
      </w:hyperlink>
    </w:p>
    <w:p w14:paraId="3273F024" w14:textId="0B471C7F" w:rsidR="007F0836" w:rsidRPr="00113BA0" w:rsidRDefault="007F0836" w:rsidP="00625813"/>
    <w:sectPr w:rsidR="007F0836" w:rsidRPr="00113BA0" w:rsidSect="002607C9">
      <w:footerReference w:type="default" r:id="rId14"/>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33D0" w14:textId="77777777" w:rsidR="00BB0104" w:rsidRDefault="00BB0104" w:rsidP="00BC719D">
      <w:pPr>
        <w:spacing w:after="0"/>
      </w:pPr>
      <w:r>
        <w:separator/>
      </w:r>
    </w:p>
  </w:endnote>
  <w:endnote w:type="continuationSeparator" w:id="0">
    <w:p w14:paraId="709BB787" w14:textId="77777777" w:rsidR="00BB0104" w:rsidRDefault="00BB0104"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otham Book">
    <w:panose1 w:val="00000000000000000000"/>
    <w:charset w:val="00"/>
    <w:family w:val="modern"/>
    <w:notTrueType/>
    <w:pitch w:val="variable"/>
    <w:sig w:usb0="A10000FF" w:usb1="40000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14:paraId="67115DFB"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0CF8FD67" w14:textId="77777777" w:rsidR="00115496" w:rsidRPr="00A65F53" w:rsidRDefault="00115496" w:rsidP="00115496">
          <w:pPr>
            <w:pStyle w:val="Footer"/>
          </w:pPr>
        </w:p>
      </w:tc>
      <w:tc>
        <w:tcPr>
          <w:tcW w:w="4680" w:type="dxa"/>
        </w:tcPr>
        <w:p w14:paraId="471E0E24"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fldSimple w:instr=" NUMPAGES  \* Arabic  \* MERGEFORMAT ">
            <w:r>
              <w:t>14</w:t>
            </w:r>
          </w:fldSimple>
        </w:p>
      </w:tc>
    </w:tr>
  </w:tbl>
  <w:p w14:paraId="204F5D66" w14:textId="77777777" w:rsidR="00115496" w:rsidRDefault="00115496"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79F9" w14:textId="77777777" w:rsidR="00BB0104" w:rsidRDefault="00BB0104" w:rsidP="00577A39">
      <w:pPr>
        <w:spacing w:after="40"/>
      </w:pPr>
      <w:r>
        <w:separator/>
      </w:r>
    </w:p>
  </w:footnote>
  <w:footnote w:type="continuationSeparator" w:id="0">
    <w:p w14:paraId="767A986A" w14:textId="77777777" w:rsidR="00BB0104" w:rsidRDefault="00BB0104" w:rsidP="00EA2130">
      <w:r>
        <w:continuationSeparator/>
      </w:r>
    </w:p>
  </w:footnote>
  <w:footnote w:id="1">
    <w:p w14:paraId="6F3D9F68" w14:textId="77777777" w:rsidR="00625813" w:rsidRDefault="00625813" w:rsidP="00625813">
      <w:pPr>
        <w:pStyle w:val="FootnoteText"/>
      </w:pPr>
      <w:r>
        <w:rPr>
          <w:rStyle w:val="FootnoteReference"/>
        </w:rPr>
        <w:footnoteRef/>
      </w:r>
      <w:r>
        <w:t xml:space="preserve"> </w:t>
      </w:r>
      <w:r w:rsidRPr="00395191">
        <w:t>melbourne.vic.gov.au/</w:t>
      </w:r>
      <w:proofErr w:type="gramStart"/>
      <w:r w:rsidRPr="00395191">
        <w:t>invest</w:t>
      </w:r>
      <w:proofErr w:type="gramEnd"/>
    </w:p>
  </w:footnote>
  <w:footnote w:id="2">
    <w:p w14:paraId="2A194DD2" w14:textId="77777777" w:rsidR="00625813" w:rsidRDefault="00625813" w:rsidP="00625813">
      <w:pPr>
        <w:pStyle w:val="FootnoteText"/>
      </w:pPr>
      <w:r>
        <w:rPr>
          <w:rStyle w:val="FootnoteReference"/>
        </w:rPr>
        <w:footnoteRef/>
      </w:r>
      <w:r>
        <w:t xml:space="preserve"> </w:t>
      </w:r>
      <w:r w:rsidRPr="00395191">
        <w:t>melbourne.vic.gov.au/international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E1209CA"/>
    <w:multiLevelType w:val="multilevel"/>
    <w:tmpl w:val="16506B6C"/>
    <w:numStyleLink w:val="ListNumbers"/>
  </w:abstractNum>
  <w:abstractNum w:abstractNumId="11" w15:restartNumberingAfterBreak="0">
    <w:nsid w:val="7A2C43DC"/>
    <w:multiLevelType w:val="multilevel"/>
    <w:tmpl w:val="16506B6C"/>
    <w:numStyleLink w:val="ListNumbers"/>
  </w:abstractNum>
  <w:abstractNum w:abstractNumId="12"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3"/>
  </w:num>
  <w:num w:numId="2" w16cid:durableId="646595089">
    <w:abstractNumId w:val="4"/>
  </w:num>
  <w:num w:numId="3" w16cid:durableId="1633247767">
    <w:abstractNumId w:val="11"/>
  </w:num>
  <w:num w:numId="4" w16cid:durableId="1427454918">
    <w:abstractNumId w:val="0"/>
  </w:num>
  <w:num w:numId="5" w16cid:durableId="1898860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5"/>
  </w:num>
  <w:num w:numId="7" w16cid:durableId="2100566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10"/>
  </w:num>
  <w:num w:numId="9" w16cid:durableId="1272862922">
    <w:abstractNumId w:val="7"/>
  </w:num>
  <w:num w:numId="10" w16cid:durableId="471944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6"/>
  </w:num>
  <w:num w:numId="13" w16cid:durableId="217591763">
    <w:abstractNumId w:val="8"/>
  </w:num>
  <w:num w:numId="14" w16cid:durableId="665789171">
    <w:abstractNumId w:val="12"/>
  </w:num>
  <w:num w:numId="15" w16cid:durableId="131211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2"/>
  </w:num>
  <w:num w:numId="17" w16cid:durableId="1074350741">
    <w:abstractNumId w:val="9"/>
  </w:num>
  <w:num w:numId="18" w16cid:durableId="178467824">
    <w:abstractNumId w:val="3"/>
  </w:num>
  <w:num w:numId="19" w16cid:durableId="117075107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36"/>
    <w:rsid w:val="00004E7E"/>
    <w:rsid w:val="00020B35"/>
    <w:rsid w:val="000437C5"/>
    <w:rsid w:val="000474AE"/>
    <w:rsid w:val="00071857"/>
    <w:rsid w:val="000A180F"/>
    <w:rsid w:val="000A2BDA"/>
    <w:rsid w:val="000A48D5"/>
    <w:rsid w:val="000B5EAA"/>
    <w:rsid w:val="000F3535"/>
    <w:rsid w:val="00113BA0"/>
    <w:rsid w:val="00115496"/>
    <w:rsid w:val="00155A3B"/>
    <w:rsid w:val="001756C0"/>
    <w:rsid w:val="00190B0E"/>
    <w:rsid w:val="001B51BF"/>
    <w:rsid w:val="001E2174"/>
    <w:rsid w:val="001F46B4"/>
    <w:rsid w:val="001F554D"/>
    <w:rsid w:val="002436A6"/>
    <w:rsid w:val="002438B7"/>
    <w:rsid w:val="0024773F"/>
    <w:rsid w:val="002607C9"/>
    <w:rsid w:val="002730DA"/>
    <w:rsid w:val="002D630D"/>
    <w:rsid w:val="002E4153"/>
    <w:rsid w:val="002F47B6"/>
    <w:rsid w:val="002F6285"/>
    <w:rsid w:val="002F6A88"/>
    <w:rsid w:val="003348B0"/>
    <w:rsid w:val="00380F44"/>
    <w:rsid w:val="00392688"/>
    <w:rsid w:val="003A6195"/>
    <w:rsid w:val="003C0B04"/>
    <w:rsid w:val="003D0324"/>
    <w:rsid w:val="003D63A8"/>
    <w:rsid w:val="003E3A9F"/>
    <w:rsid w:val="003E7779"/>
    <w:rsid w:val="003F23FD"/>
    <w:rsid w:val="00407429"/>
    <w:rsid w:val="004227E0"/>
    <w:rsid w:val="00426584"/>
    <w:rsid w:val="00431D45"/>
    <w:rsid w:val="004564F4"/>
    <w:rsid w:val="00457042"/>
    <w:rsid w:val="00473A4B"/>
    <w:rsid w:val="004878DB"/>
    <w:rsid w:val="00493E0A"/>
    <w:rsid w:val="00494A2D"/>
    <w:rsid w:val="004A26E3"/>
    <w:rsid w:val="004D00DD"/>
    <w:rsid w:val="004E1ECE"/>
    <w:rsid w:val="004F54F5"/>
    <w:rsid w:val="00535159"/>
    <w:rsid w:val="0053666A"/>
    <w:rsid w:val="005422C2"/>
    <w:rsid w:val="00560AEF"/>
    <w:rsid w:val="005620A0"/>
    <w:rsid w:val="0056634E"/>
    <w:rsid w:val="0057264C"/>
    <w:rsid w:val="00577A39"/>
    <w:rsid w:val="005814F5"/>
    <w:rsid w:val="005D30BA"/>
    <w:rsid w:val="005F4391"/>
    <w:rsid w:val="00625813"/>
    <w:rsid w:val="00642046"/>
    <w:rsid w:val="00667771"/>
    <w:rsid w:val="00687D4A"/>
    <w:rsid w:val="006915C1"/>
    <w:rsid w:val="006A2F63"/>
    <w:rsid w:val="006A3718"/>
    <w:rsid w:val="006B0C3F"/>
    <w:rsid w:val="006B2CE3"/>
    <w:rsid w:val="006C2C20"/>
    <w:rsid w:val="006C7F7B"/>
    <w:rsid w:val="006D282F"/>
    <w:rsid w:val="00700CF5"/>
    <w:rsid w:val="00705077"/>
    <w:rsid w:val="00712950"/>
    <w:rsid w:val="00715B3E"/>
    <w:rsid w:val="0073401D"/>
    <w:rsid w:val="007361D8"/>
    <w:rsid w:val="00737A99"/>
    <w:rsid w:val="00773A28"/>
    <w:rsid w:val="00782E37"/>
    <w:rsid w:val="00784977"/>
    <w:rsid w:val="0078505D"/>
    <w:rsid w:val="007A0AA6"/>
    <w:rsid w:val="007E291E"/>
    <w:rsid w:val="007F0661"/>
    <w:rsid w:val="007F0836"/>
    <w:rsid w:val="00802A52"/>
    <w:rsid w:val="00806F0F"/>
    <w:rsid w:val="008260E9"/>
    <w:rsid w:val="00831224"/>
    <w:rsid w:val="00850D66"/>
    <w:rsid w:val="00855F84"/>
    <w:rsid w:val="00881C97"/>
    <w:rsid w:val="00887116"/>
    <w:rsid w:val="008D2DDA"/>
    <w:rsid w:val="008D3C86"/>
    <w:rsid w:val="008E2476"/>
    <w:rsid w:val="008E333E"/>
    <w:rsid w:val="009043FC"/>
    <w:rsid w:val="009050C6"/>
    <w:rsid w:val="0091365A"/>
    <w:rsid w:val="00955E32"/>
    <w:rsid w:val="0097181E"/>
    <w:rsid w:val="00990B3C"/>
    <w:rsid w:val="009A6BD3"/>
    <w:rsid w:val="009D1FBA"/>
    <w:rsid w:val="009D61FC"/>
    <w:rsid w:val="009F4681"/>
    <w:rsid w:val="00A01D13"/>
    <w:rsid w:val="00A121B3"/>
    <w:rsid w:val="00A61086"/>
    <w:rsid w:val="00A66076"/>
    <w:rsid w:val="00A8651A"/>
    <w:rsid w:val="00AA1D08"/>
    <w:rsid w:val="00AA4303"/>
    <w:rsid w:val="00AA6E1F"/>
    <w:rsid w:val="00AB6132"/>
    <w:rsid w:val="00AD2B6E"/>
    <w:rsid w:val="00AF02E0"/>
    <w:rsid w:val="00AF1F32"/>
    <w:rsid w:val="00B04ED0"/>
    <w:rsid w:val="00B152AF"/>
    <w:rsid w:val="00B20411"/>
    <w:rsid w:val="00B36B59"/>
    <w:rsid w:val="00B53D5A"/>
    <w:rsid w:val="00B61F7F"/>
    <w:rsid w:val="00B93B1F"/>
    <w:rsid w:val="00BA1D4B"/>
    <w:rsid w:val="00BA4F5A"/>
    <w:rsid w:val="00BB0104"/>
    <w:rsid w:val="00BC07D5"/>
    <w:rsid w:val="00BC5E8E"/>
    <w:rsid w:val="00BC719D"/>
    <w:rsid w:val="00BD7739"/>
    <w:rsid w:val="00BE100F"/>
    <w:rsid w:val="00BE1269"/>
    <w:rsid w:val="00BE4B49"/>
    <w:rsid w:val="00BE6394"/>
    <w:rsid w:val="00BE6801"/>
    <w:rsid w:val="00C0291B"/>
    <w:rsid w:val="00C038FB"/>
    <w:rsid w:val="00C05740"/>
    <w:rsid w:val="00C07190"/>
    <w:rsid w:val="00C14F9F"/>
    <w:rsid w:val="00C16280"/>
    <w:rsid w:val="00C2007C"/>
    <w:rsid w:val="00C37F6A"/>
    <w:rsid w:val="00C42412"/>
    <w:rsid w:val="00C73DA2"/>
    <w:rsid w:val="00C8405A"/>
    <w:rsid w:val="00CA3730"/>
    <w:rsid w:val="00CB4FED"/>
    <w:rsid w:val="00CB6145"/>
    <w:rsid w:val="00CD382D"/>
    <w:rsid w:val="00CE6BEA"/>
    <w:rsid w:val="00D00427"/>
    <w:rsid w:val="00D02C4A"/>
    <w:rsid w:val="00D31981"/>
    <w:rsid w:val="00D3705B"/>
    <w:rsid w:val="00D57F95"/>
    <w:rsid w:val="00D60BFB"/>
    <w:rsid w:val="00D67A83"/>
    <w:rsid w:val="00D73EB2"/>
    <w:rsid w:val="00D77363"/>
    <w:rsid w:val="00DF26DA"/>
    <w:rsid w:val="00E4646D"/>
    <w:rsid w:val="00E47E70"/>
    <w:rsid w:val="00E5089C"/>
    <w:rsid w:val="00E553D5"/>
    <w:rsid w:val="00E86DCD"/>
    <w:rsid w:val="00E94A1C"/>
    <w:rsid w:val="00EA2130"/>
    <w:rsid w:val="00EC4AF9"/>
    <w:rsid w:val="00EC750C"/>
    <w:rsid w:val="00ED7629"/>
    <w:rsid w:val="00EF11AE"/>
    <w:rsid w:val="00F03DF7"/>
    <w:rsid w:val="00F07FBE"/>
    <w:rsid w:val="00F24B46"/>
    <w:rsid w:val="00F4048D"/>
    <w:rsid w:val="00F41FC6"/>
    <w:rsid w:val="00F61B69"/>
    <w:rsid w:val="00F63593"/>
    <w:rsid w:val="00F83261"/>
    <w:rsid w:val="00FA2DFF"/>
    <w:rsid w:val="00FB10EA"/>
    <w:rsid w:val="00FB6C36"/>
    <w:rsid w:val="00FC34DF"/>
    <w:rsid w:val="00FC6D23"/>
    <w:rsid w:val="00FD459C"/>
    <w:rsid w:val="00FE5B1F"/>
    <w:rsid w:val="00FF1497"/>
    <w:rsid w:val="00FF32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813"/>
    <w:pPr>
      <w:spacing w:after="200" w:line="276" w:lineRule="auto"/>
    </w:pPr>
    <w:rPr>
      <w:rFonts w:ascii="Arial" w:hAnsi="Arial"/>
      <w:szCs w:val="24"/>
      <w:lang w:eastAsia="en-US"/>
    </w:rPr>
  </w:style>
  <w:style w:type="paragraph" w:styleId="Heading1">
    <w:name w:val="heading 1"/>
    <w:next w:val="Normal"/>
    <w:link w:val="Heading1Char"/>
    <w:uiPriority w:val="9"/>
    <w:qFormat/>
    <w:rsid w:val="00EC750C"/>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EC750C"/>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EC750C"/>
    <w:pPr>
      <w:spacing w:before="280" w:after="160"/>
      <w:outlineLvl w:val="2"/>
    </w:pPr>
    <w:rPr>
      <w:bCs w:val="0"/>
      <w:sz w:val="22"/>
    </w:rPr>
  </w:style>
  <w:style w:type="paragraph" w:styleId="Heading4">
    <w:name w:val="heading 4"/>
    <w:basedOn w:val="Heading3"/>
    <w:next w:val="Normal"/>
    <w:link w:val="Heading4Char"/>
    <w:rsid w:val="00EC750C"/>
    <w:pPr>
      <w:spacing w:before="200" w:after="120"/>
      <w:outlineLvl w:val="3"/>
    </w:pPr>
    <w:rPr>
      <w:rFonts w:eastAsia="MS Mincho"/>
      <w:bCs/>
      <w:sz w:val="20"/>
      <w:szCs w:val="28"/>
    </w:rPr>
  </w:style>
  <w:style w:type="paragraph" w:styleId="Heading5">
    <w:name w:val="heading 5"/>
    <w:basedOn w:val="Heading4"/>
    <w:next w:val="Normal"/>
    <w:link w:val="Heading5Char"/>
    <w:rsid w:val="00EC750C"/>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EC750C"/>
    <w:pPr>
      <w:spacing w:before="240" w:after="60"/>
      <w:outlineLvl w:val="5"/>
    </w:pPr>
    <w:rPr>
      <w:bCs/>
      <w:szCs w:val="22"/>
    </w:rPr>
  </w:style>
  <w:style w:type="paragraph" w:styleId="Heading7">
    <w:name w:val="heading 7"/>
    <w:basedOn w:val="Normal"/>
    <w:next w:val="Normal"/>
    <w:link w:val="Heading7Char"/>
    <w:uiPriority w:val="9"/>
    <w:qFormat/>
    <w:rsid w:val="00EC750C"/>
    <w:pPr>
      <w:spacing w:before="240" w:after="60"/>
      <w:outlineLvl w:val="6"/>
    </w:pPr>
  </w:style>
  <w:style w:type="paragraph" w:styleId="Heading8">
    <w:name w:val="heading 8"/>
    <w:basedOn w:val="Normal"/>
    <w:next w:val="Normal"/>
    <w:link w:val="Heading8Char"/>
    <w:uiPriority w:val="9"/>
    <w:semiHidden/>
    <w:unhideWhenUsed/>
    <w:qFormat/>
    <w:rsid w:val="00EC750C"/>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50C"/>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750C"/>
    <w:rPr>
      <w:rFonts w:ascii="Arial Bold" w:eastAsia="MS Gothic" w:hAnsi="Arial Bold"/>
      <w:bCs/>
      <w:sz w:val="28"/>
      <w:szCs w:val="32"/>
      <w:lang w:val="en-US" w:eastAsia="en-US"/>
    </w:rPr>
  </w:style>
  <w:style w:type="character" w:customStyle="1" w:styleId="Heading2Char">
    <w:name w:val="Heading 2 Char"/>
    <w:link w:val="Heading2"/>
    <w:uiPriority w:val="9"/>
    <w:rsid w:val="00EC750C"/>
    <w:rPr>
      <w:rFonts w:ascii="Arial Bold" w:eastAsia="MS Gothic" w:hAnsi="Arial Bold"/>
      <w:bCs/>
      <w:sz w:val="24"/>
      <w:szCs w:val="26"/>
      <w:lang w:val="en-US" w:eastAsia="en-US"/>
    </w:rPr>
  </w:style>
  <w:style w:type="character" w:customStyle="1" w:styleId="Heading3Char">
    <w:name w:val="Heading 3 Char"/>
    <w:link w:val="Heading3"/>
    <w:uiPriority w:val="9"/>
    <w:rsid w:val="00EC750C"/>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C750C"/>
    <w:rPr>
      <w:rFonts w:ascii="Lucida Grande" w:hAnsi="Lucida Grande"/>
      <w:sz w:val="18"/>
      <w:szCs w:val="18"/>
    </w:rPr>
  </w:style>
  <w:style w:type="character" w:customStyle="1" w:styleId="BalloonTextChar">
    <w:name w:val="Balloon Text Char"/>
    <w:link w:val="BalloonText"/>
    <w:uiPriority w:val="99"/>
    <w:semiHidden/>
    <w:rsid w:val="00EC750C"/>
    <w:rPr>
      <w:rFonts w:ascii="Lucida Grande" w:hAnsi="Lucida Grande"/>
      <w:sz w:val="18"/>
      <w:szCs w:val="18"/>
      <w:lang w:eastAsia="en-US"/>
    </w:rPr>
  </w:style>
  <w:style w:type="paragraph" w:styleId="Footer">
    <w:name w:val="footer"/>
    <w:basedOn w:val="Normal"/>
    <w:link w:val="FooterChar"/>
    <w:uiPriority w:val="99"/>
    <w:unhideWhenUsed/>
    <w:rsid w:val="00EC750C"/>
    <w:pPr>
      <w:tabs>
        <w:tab w:val="center" w:pos="4320"/>
        <w:tab w:val="right" w:pos="8640"/>
      </w:tabs>
      <w:spacing w:after="0"/>
    </w:pPr>
    <w:rPr>
      <w:sz w:val="18"/>
    </w:rPr>
  </w:style>
  <w:style w:type="character" w:customStyle="1" w:styleId="FooterChar">
    <w:name w:val="Footer Char"/>
    <w:link w:val="Footer"/>
    <w:uiPriority w:val="99"/>
    <w:rsid w:val="00EC750C"/>
    <w:rPr>
      <w:rFonts w:ascii="Arial" w:hAnsi="Arial"/>
      <w:sz w:val="18"/>
      <w:szCs w:val="24"/>
      <w:lang w:eastAsia="en-US"/>
    </w:rPr>
  </w:style>
  <w:style w:type="table" w:styleId="TableGrid">
    <w:name w:val="Table Grid"/>
    <w:basedOn w:val="TableNormal"/>
    <w:uiPriority w:val="39"/>
    <w:rsid w:val="00EC750C"/>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EC750C"/>
    <w:rPr>
      <w:rFonts w:ascii="Lucida Grande" w:hAnsi="Lucida Grande" w:cs="Lucida Grande"/>
    </w:rPr>
  </w:style>
  <w:style w:type="character" w:customStyle="1" w:styleId="DocumentMapChar">
    <w:name w:val="Document Map Char"/>
    <w:link w:val="DocumentMap"/>
    <w:uiPriority w:val="99"/>
    <w:rsid w:val="00EC750C"/>
    <w:rPr>
      <w:rFonts w:ascii="Lucida Grande" w:hAnsi="Lucida Grande" w:cs="Lucida Grande"/>
      <w:szCs w:val="24"/>
      <w:lang w:eastAsia="en-US"/>
    </w:rPr>
  </w:style>
  <w:style w:type="paragraph" w:styleId="TOCHeading">
    <w:name w:val="TOC Heading"/>
    <w:basedOn w:val="Heading1"/>
    <w:next w:val="TOC1"/>
    <w:uiPriority w:val="39"/>
    <w:qFormat/>
    <w:rsid w:val="00EC750C"/>
    <w:pPr>
      <w:outlineLvl w:val="9"/>
    </w:pPr>
    <w:rPr>
      <w:bCs w:val="0"/>
    </w:rPr>
  </w:style>
  <w:style w:type="paragraph" w:styleId="TOC1">
    <w:name w:val="toc 1"/>
    <w:basedOn w:val="Normal"/>
    <w:next w:val="Normal"/>
    <w:uiPriority w:val="39"/>
    <w:rsid w:val="00EC750C"/>
    <w:pPr>
      <w:spacing w:after="120"/>
    </w:pPr>
  </w:style>
  <w:style w:type="character" w:customStyle="1" w:styleId="ItalicText">
    <w:name w:val="Italic Text"/>
    <w:qFormat/>
    <w:rsid w:val="00EC750C"/>
    <w:rPr>
      <w:rFonts w:ascii="Arial" w:hAnsi="Arial"/>
      <w:i/>
      <w:sz w:val="20"/>
    </w:rPr>
  </w:style>
  <w:style w:type="paragraph" w:styleId="Header">
    <w:name w:val="header"/>
    <w:basedOn w:val="Normal"/>
    <w:next w:val="Normal"/>
    <w:link w:val="HeaderChar"/>
    <w:rsid w:val="00EC750C"/>
    <w:pPr>
      <w:tabs>
        <w:tab w:val="center" w:pos="4513"/>
        <w:tab w:val="right" w:pos="9026"/>
      </w:tabs>
    </w:pPr>
  </w:style>
  <w:style w:type="character" w:customStyle="1" w:styleId="HeaderChar">
    <w:name w:val="Header Char"/>
    <w:link w:val="Header"/>
    <w:rsid w:val="00EC750C"/>
    <w:rPr>
      <w:rFonts w:ascii="Arial" w:hAnsi="Arial"/>
      <w:szCs w:val="24"/>
      <w:lang w:eastAsia="en-US"/>
    </w:rPr>
  </w:style>
  <w:style w:type="paragraph" w:styleId="ListBullet">
    <w:name w:val="List Bullet"/>
    <w:basedOn w:val="Normal"/>
    <w:qFormat/>
    <w:rsid w:val="00EC750C"/>
    <w:pPr>
      <w:numPr>
        <w:numId w:val="18"/>
      </w:numPr>
      <w:spacing w:after="120"/>
    </w:pPr>
    <w:rPr>
      <w:lang w:val="en-US"/>
    </w:rPr>
  </w:style>
  <w:style w:type="paragraph" w:styleId="EndnoteText">
    <w:name w:val="endnote text"/>
    <w:basedOn w:val="Normal"/>
    <w:link w:val="EndnoteTextChar"/>
    <w:rsid w:val="00EC750C"/>
    <w:pPr>
      <w:spacing w:after="40"/>
    </w:pPr>
    <w:rPr>
      <w:sz w:val="16"/>
      <w:szCs w:val="20"/>
    </w:rPr>
  </w:style>
  <w:style w:type="character" w:customStyle="1" w:styleId="EndnoteTextChar">
    <w:name w:val="Endnote Text Char"/>
    <w:link w:val="EndnoteText"/>
    <w:rsid w:val="00EC750C"/>
    <w:rPr>
      <w:rFonts w:ascii="Arial" w:hAnsi="Arial"/>
      <w:sz w:val="16"/>
      <w:lang w:eastAsia="en-US"/>
    </w:rPr>
  </w:style>
  <w:style w:type="character" w:styleId="EndnoteReference">
    <w:name w:val="endnote reference"/>
    <w:rsid w:val="00EC750C"/>
    <w:rPr>
      <w:vertAlign w:val="superscript"/>
    </w:rPr>
  </w:style>
  <w:style w:type="paragraph" w:styleId="FootnoteText">
    <w:name w:val="footnote text"/>
    <w:basedOn w:val="Normal"/>
    <w:link w:val="FootnoteTextChar"/>
    <w:rsid w:val="00EC750C"/>
    <w:pPr>
      <w:spacing w:after="0"/>
    </w:pPr>
    <w:rPr>
      <w:sz w:val="16"/>
      <w:szCs w:val="20"/>
    </w:rPr>
  </w:style>
  <w:style w:type="character" w:customStyle="1" w:styleId="FootnoteTextChar">
    <w:name w:val="Footnote Text Char"/>
    <w:link w:val="FootnoteText"/>
    <w:rsid w:val="00EC750C"/>
    <w:rPr>
      <w:rFonts w:ascii="Arial" w:hAnsi="Arial"/>
      <w:sz w:val="16"/>
      <w:lang w:eastAsia="en-US"/>
    </w:rPr>
  </w:style>
  <w:style w:type="character" w:styleId="FootnoteReference">
    <w:name w:val="footnote reference"/>
    <w:rsid w:val="00EC750C"/>
    <w:rPr>
      <w:vertAlign w:val="superscript"/>
    </w:rPr>
  </w:style>
  <w:style w:type="paragraph" w:styleId="ListNumber">
    <w:name w:val="List Number"/>
    <w:basedOn w:val="Normal"/>
    <w:qFormat/>
    <w:rsid w:val="00EC750C"/>
    <w:pPr>
      <w:numPr>
        <w:numId w:val="19"/>
      </w:numPr>
      <w:spacing w:after="120"/>
    </w:pPr>
  </w:style>
  <w:style w:type="paragraph" w:styleId="ListNumber2">
    <w:name w:val="List Number 2"/>
    <w:basedOn w:val="ListNumber"/>
    <w:rsid w:val="00EC750C"/>
    <w:pPr>
      <w:numPr>
        <w:ilvl w:val="1"/>
      </w:numPr>
    </w:pPr>
  </w:style>
  <w:style w:type="paragraph" w:styleId="TableofFigures">
    <w:name w:val="table of figures"/>
    <w:basedOn w:val="Normal"/>
    <w:qFormat/>
    <w:rsid w:val="00EC750C"/>
    <w:pPr>
      <w:spacing w:after="0"/>
    </w:pPr>
    <w:rPr>
      <w:lang w:val="en-US"/>
    </w:rPr>
  </w:style>
  <w:style w:type="numbering" w:customStyle="1" w:styleId="ListBullets">
    <w:name w:val="ListBullets"/>
    <w:uiPriority w:val="99"/>
    <w:rsid w:val="00EC750C"/>
    <w:pPr>
      <w:numPr>
        <w:numId w:val="1"/>
      </w:numPr>
    </w:pPr>
  </w:style>
  <w:style w:type="paragraph" w:styleId="ListBullet2">
    <w:name w:val="List Bullet 2"/>
    <w:basedOn w:val="Normal"/>
    <w:rsid w:val="00EC750C"/>
    <w:pPr>
      <w:numPr>
        <w:ilvl w:val="1"/>
        <w:numId w:val="18"/>
      </w:numPr>
      <w:spacing w:after="120"/>
    </w:pPr>
    <w:rPr>
      <w:lang w:val="en-US"/>
    </w:rPr>
  </w:style>
  <w:style w:type="paragraph" w:styleId="ListParagraph">
    <w:name w:val="List Paragraph"/>
    <w:basedOn w:val="Normal"/>
    <w:rsid w:val="00EC750C"/>
    <w:pPr>
      <w:numPr>
        <w:numId w:val="16"/>
      </w:numPr>
      <w:spacing w:after="120"/>
    </w:pPr>
    <w:rPr>
      <w:lang w:val="en-US"/>
    </w:rPr>
  </w:style>
  <w:style w:type="paragraph" w:styleId="ListBullet3">
    <w:name w:val="List Bullet 3"/>
    <w:basedOn w:val="Normal"/>
    <w:rsid w:val="00EC750C"/>
    <w:pPr>
      <w:numPr>
        <w:ilvl w:val="2"/>
        <w:numId w:val="18"/>
      </w:numPr>
      <w:spacing w:after="120"/>
    </w:pPr>
  </w:style>
  <w:style w:type="paragraph" w:styleId="ListBullet4">
    <w:name w:val="List Bullet 4"/>
    <w:basedOn w:val="Normal"/>
    <w:rsid w:val="00EC750C"/>
    <w:pPr>
      <w:numPr>
        <w:ilvl w:val="3"/>
        <w:numId w:val="18"/>
      </w:numPr>
      <w:spacing w:after="120"/>
    </w:pPr>
  </w:style>
  <w:style w:type="paragraph" w:styleId="ListBullet5">
    <w:name w:val="List Bullet 5"/>
    <w:basedOn w:val="Normal"/>
    <w:rsid w:val="00EC750C"/>
    <w:pPr>
      <w:numPr>
        <w:ilvl w:val="4"/>
        <w:numId w:val="18"/>
      </w:numPr>
      <w:spacing w:after="120"/>
    </w:pPr>
  </w:style>
  <w:style w:type="paragraph" w:styleId="ListNumber3">
    <w:name w:val="List Number 3"/>
    <w:basedOn w:val="Normal"/>
    <w:rsid w:val="00EC750C"/>
    <w:pPr>
      <w:numPr>
        <w:ilvl w:val="2"/>
        <w:numId w:val="19"/>
      </w:numPr>
      <w:spacing w:after="120"/>
    </w:pPr>
  </w:style>
  <w:style w:type="paragraph" w:styleId="ListNumber4">
    <w:name w:val="List Number 4"/>
    <w:basedOn w:val="Normal"/>
    <w:rsid w:val="00EC750C"/>
    <w:pPr>
      <w:numPr>
        <w:ilvl w:val="3"/>
        <w:numId w:val="19"/>
      </w:numPr>
      <w:spacing w:after="120"/>
    </w:pPr>
  </w:style>
  <w:style w:type="numbering" w:customStyle="1" w:styleId="ListNumbers">
    <w:name w:val="ListNumbers"/>
    <w:uiPriority w:val="99"/>
    <w:rsid w:val="00EC750C"/>
    <w:pPr>
      <w:numPr>
        <w:numId w:val="2"/>
      </w:numPr>
    </w:pPr>
  </w:style>
  <w:style w:type="character" w:customStyle="1" w:styleId="Heading4Char">
    <w:name w:val="Heading 4 Char"/>
    <w:link w:val="Heading4"/>
    <w:rsid w:val="00EC750C"/>
    <w:rPr>
      <w:rFonts w:ascii="Arial Bold" w:hAnsi="Arial Bold"/>
      <w:bCs/>
      <w:szCs w:val="28"/>
      <w:lang w:val="en-US" w:eastAsia="en-US"/>
    </w:rPr>
  </w:style>
  <w:style w:type="paragraph" w:customStyle="1" w:styleId="Bold">
    <w:name w:val="Bold"/>
    <w:basedOn w:val="Normal"/>
    <w:next w:val="Normal"/>
    <w:link w:val="BoldChar"/>
    <w:qFormat/>
    <w:rsid w:val="00EC750C"/>
    <w:rPr>
      <w:b/>
    </w:rPr>
  </w:style>
  <w:style w:type="paragraph" w:styleId="TOC2">
    <w:name w:val="toc 2"/>
    <w:basedOn w:val="Normal"/>
    <w:next w:val="Normal"/>
    <w:autoRedefine/>
    <w:uiPriority w:val="39"/>
    <w:rsid w:val="00EC750C"/>
    <w:pPr>
      <w:tabs>
        <w:tab w:val="right" w:leader="dot" w:pos="9769"/>
      </w:tabs>
      <w:spacing w:after="120"/>
      <w:ind w:left="284"/>
    </w:pPr>
  </w:style>
  <w:style w:type="paragraph" w:styleId="TOC3">
    <w:name w:val="toc 3"/>
    <w:basedOn w:val="Normal"/>
    <w:next w:val="Normal"/>
    <w:autoRedefine/>
    <w:uiPriority w:val="39"/>
    <w:rsid w:val="00EC750C"/>
    <w:pPr>
      <w:tabs>
        <w:tab w:val="right" w:leader="dot" w:pos="9769"/>
      </w:tabs>
      <w:spacing w:after="120"/>
      <w:ind w:left="567"/>
    </w:pPr>
  </w:style>
  <w:style w:type="character" w:styleId="Hyperlink">
    <w:name w:val="Hyperlink"/>
    <w:uiPriority w:val="99"/>
    <w:unhideWhenUsed/>
    <w:rsid w:val="00EC750C"/>
    <w:rPr>
      <w:color w:val="0000FF"/>
      <w:u w:val="single"/>
    </w:rPr>
  </w:style>
  <w:style w:type="paragraph" w:styleId="TOC4">
    <w:name w:val="toc 4"/>
    <w:basedOn w:val="Normal"/>
    <w:next w:val="Normal"/>
    <w:autoRedefine/>
    <w:uiPriority w:val="39"/>
    <w:rsid w:val="00EC750C"/>
    <w:pPr>
      <w:spacing w:after="120"/>
      <w:ind w:left="851"/>
    </w:pPr>
  </w:style>
  <w:style w:type="character" w:customStyle="1" w:styleId="Heading5Char">
    <w:name w:val="Heading 5 Char"/>
    <w:link w:val="Heading5"/>
    <w:rsid w:val="00EC750C"/>
    <w:rPr>
      <w:rFonts w:ascii="Arial" w:hAnsi="Arial"/>
      <w:iCs/>
      <w:szCs w:val="26"/>
      <w:lang w:val="en-US" w:eastAsia="en-US"/>
    </w:rPr>
  </w:style>
  <w:style w:type="character" w:customStyle="1" w:styleId="Heading6Char">
    <w:name w:val="Heading 6 Char"/>
    <w:link w:val="Heading6"/>
    <w:uiPriority w:val="9"/>
    <w:rsid w:val="00EC750C"/>
    <w:rPr>
      <w:rFonts w:ascii="Arial" w:hAnsi="Arial"/>
      <w:bCs/>
      <w:szCs w:val="22"/>
      <w:lang w:eastAsia="en-US"/>
    </w:rPr>
  </w:style>
  <w:style w:type="character" w:customStyle="1" w:styleId="Heading7Char">
    <w:name w:val="Heading 7 Char"/>
    <w:link w:val="Heading7"/>
    <w:uiPriority w:val="9"/>
    <w:rsid w:val="00EC750C"/>
    <w:rPr>
      <w:rFonts w:ascii="Arial" w:hAnsi="Arial"/>
      <w:szCs w:val="24"/>
      <w:lang w:eastAsia="en-US"/>
    </w:rPr>
  </w:style>
  <w:style w:type="paragraph" w:styleId="TOC5">
    <w:name w:val="toc 5"/>
    <w:basedOn w:val="Normal"/>
    <w:next w:val="Normal"/>
    <w:autoRedefine/>
    <w:uiPriority w:val="39"/>
    <w:rsid w:val="00EC750C"/>
    <w:pPr>
      <w:spacing w:after="120"/>
      <w:ind w:left="1134"/>
    </w:pPr>
  </w:style>
  <w:style w:type="character" w:customStyle="1" w:styleId="BoldChar">
    <w:name w:val="Bold Char"/>
    <w:link w:val="Bold"/>
    <w:rsid w:val="00EC750C"/>
    <w:rPr>
      <w:rFonts w:ascii="Arial" w:hAnsi="Arial"/>
      <w:b/>
      <w:szCs w:val="24"/>
      <w:lang w:eastAsia="en-US"/>
    </w:rPr>
  </w:style>
  <w:style w:type="paragraph" w:styleId="Caption">
    <w:name w:val="caption"/>
    <w:basedOn w:val="Normal"/>
    <w:next w:val="Normal"/>
    <w:rsid w:val="00EC750C"/>
    <w:pPr>
      <w:spacing w:before="240"/>
    </w:pPr>
    <w:rPr>
      <w:rFonts w:ascii="Arial Bold" w:hAnsi="Arial Bold"/>
      <w:b/>
      <w:bCs/>
      <w:szCs w:val="18"/>
    </w:rPr>
  </w:style>
  <w:style w:type="paragraph" w:styleId="TOAHeading">
    <w:name w:val="toa heading"/>
    <w:basedOn w:val="Normal"/>
    <w:next w:val="Normal"/>
    <w:rsid w:val="00EC750C"/>
    <w:pPr>
      <w:spacing w:before="120"/>
    </w:pPr>
    <w:rPr>
      <w:rFonts w:ascii="Calibri" w:eastAsia="MS Gothic" w:hAnsi="Calibri"/>
      <w:b/>
      <w:bCs/>
      <w:sz w:val="24"/>
    </w:rPr>
  </w:style>
  <w:style w:type="character" w:styleId="Strong">
    <w:name w:val="Strong"/>
    <w:rsid w:val="00EC750C"/>
    <w:rPr>
      <w:b/>
      <w:bCs/>
    </w:rPr>
  </w:style>
  <w:style w:type="paragraph" w:customStyle="1" w:styleId="DocumentTitle">
    <w:name w:val="Document Title"/>
    <w:basedOn w:val="Normal"/>
    <w:next w:val="Subtitle"/>
    <w:qFormat/>
    <w:rsid w:val="00EC750C"/>
    <w:pPr>
      <w:spacing w:after="480"/>
    </w:pPr>
    <w:rPr>
      <w:noProof/>
      <w:sz w:val="52"/>
    </w:rPr>
  </w:style>
  <w:style w:type="paragraph" w:styleId="Title">
    <w:name w:val="Title"/>
    <w:basedOn w:val="Normal"/>
    <w:next w:val="Normal"/>
    <w:link w:val="TitleChar"/>
    <w:rsid w:val="00EC750C"/>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EC750C"/>
    <w:pPr>
      <w:spacing w:after="360"/>
    </w:pPr>
    <w:rPr>
      <w:rFonts w:eastAsia="MS Gothic"/>
      <w:sz w:val="44"/>
    </w:rPr>
  </w:style>
  <w:style w:type="character" w:customStyle="1" w:styleId="SubtitleChar">
    <w:name w:val="Subtitle Char"/>
    <w:link w:val="Subtitle"/>
    <w:rsid w:val="00EC750C"/>
    <w:rPr>
      <w:rFonts w:ascii="Arial" w:eastAsia="MS Gothic" w:hAnsi="Arial"/>
      <w:sz w:val="44"/>
      <w:szCs w:val="24"/>
      <w:lang w:eastAsia="en-US"/>
    </w:rPr>
  </w:style>
  <w:style w:type="paragraph" w:customStyle="1" w:styleId="Subtitle2">
    <w:name w:val="Subtitle2"/>
    <w:basedOn w:val="Subtitle"/>
    <w:next w:val="Heading1"/>
    <w:qFormat/>
    <w:rsid w:val="00EC750C"/>
    <w:rPr>
      <w:sz w:val="36"/>
    </w:rPr>
  </w:style>
  <w:style w:type="character" w:customStyle="1" w:styleId="TitleChar">
    <w:name w:val="Title Char"/>
    <w:link w:val="Title"/>
    <w:rsid w:val="00EC750C"/>
    <w:rPr>
      <w:rFonts w:ascii="Calibri" w:eastAsia="MS Gothic" w:hAnsi="Calibri"/>
      <w:color w:val="17365D"/>
      <w:spacing w:val="5"/>
      <w:kern w:val="28"/>
      <w:sz w:val="52"/>
      <w:szCs w:val="52"/>
      <w:lang w:eastAsia="en-US"/>
    </w:rPr>
  </w:style>
  <w:style w:type="paragraph" w:customStyle="1" w:styleId="Nospace">
    <w:name w:val="No space"/>
    <w:basedOn w:val="Normal"/>
    <w:qFormat/>
    <w:rsid w:val="00EC750C"/>
    <w:pPr>
      <w:spacing w:after="0"/>
    </w:pPr>
    <w:rPr>
      <w:noProof/>
      <w:lang w:eastAsia="en-AU"/>
    </w:rPr>
  </w:style>
  <w:style w:type="character" w:customStyle="1" w:styleId="Heading8Char">
    <w:name w:val="Heading 8 Char"/>
    <w:basedOn w:val="DefaultParagraphFont"/>
    <w:link w:val="Heading8"/>
    <w:uiPriority w:val="9"/>
    <w:semiHidden/>
    <w:rsid w:val="00EC750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EC750C"/>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EC750C"/>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EC750C"/>
    <w:pPr>
      <w:ind w:left="1417" w:hanging="113"/>
      <w:outlineLvl w:val="4"/>
    </w:pPr>
  </w:style>
  <w:style w:type="paragraph" w:styleId="BodyText">
    <w:name w:val="Body Text"/>
    <w:basedOn w:val="Normal"/>
    <w:link w:val="BodyTextChar"/>
    <w:uiPriority w:val="1"/>
    <w:qFormat/>
    <w:rsid w:val="00EC750C"/>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EC750C"/>
    <w:rPr>
      <w:rFonts w:ascii="Gotham Book" w:eastAsia="Gotham Book" w:hAnsi="Gotham Book" w:cs="Gotham Book"/>
      <w:sz w:val="16"/>
      <w:szCs w:val="16"/>
      <w:lang w:val="en-US" w:eastAsia="en-US"/>
    </w:rPr>
  </w:style>
  <w:style w:type="paragraph" w:customStyle="1" w:styleId="TableParagraph">
    <w:name w:val="Table Paragraph"/>
    <w:basedOn w:val="Normal"/>
    <w:uiPriority w:val="1"/>
    <w:qFormat/>
    <w:rsid w:val="007F0836"/>
    <w:pPr>
      <w:widowControl w:val="0"/>
      <w:autoSpaceDE w:val="0"/>
      <w:autoSpaceDN w:val="0"/>
      <w:spacing w:after="0"/>
      <w:ind w:left="170"/>
    </w:pPr>
    <w:rPr>
      <w:rFonts w:ascii="Century Gothic" w:eastAsia="Century Gothic" w:hAnsi="Century Gothic" w:cs="Century Gothic"/>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obal@melbourne.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obal@melbourne.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internatio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melbourne@melbourne.vic.gov.au" TargetMode="External"/><Relationship Id="rId4" Type="http://schemas.openxmlformats.org/officeDocument/2006/relationships/settings" Target="settings.xml"/><Relationship Id="rId9" Type="http://schemas.openxmlformats.org/officeDocument/2006/relationships/hyperlink" Target="https://www.melbourne.vic.gov.au/inv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snapshot: Technology and innovation</dc:title>
  <dc:creator/>
  <cp:lastModifiedBy/>
  <cp:revision>1</cp:revision>
  <dcterms:created xsi:type="dcterms:W3CDTF">2024-11-14T02:45:00Z</dcterms:created>
  <dcterms:modified xsi:type="dcterms:W3CDTF">2024-11-14T02:45:00Z</dcterms:modified>
</cp:coreProperties>
</file>