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324D5" w14:textId="78887F6E" w:rsidR="008C3055" w:rsidRPr="00795B77" w:rsidRDefault="008C3055" w:rsidP="008C3055">
      <w:pPr>
        <w:pStyle w:val="DocumentTitle"/>
        <w:tabs>
          <w:tab w:val="left" w:pos="7938"/>
        </w:tabs>
      </w:pPr>
      <w:r w:rsidRPr="00795B77">
        <w:drawing>
          <wp:anchor distT="0" distB="0" distL="114300" distR="114300" simplePos="0" relativeHeight="251666432" behindDoc="1" locked="0" layoutInCell="1" allowOverlap="1" wp14:anchorId="6EA8AF41" wp14:editId="58585370">
            <wp:simplePos x="0" y="0"/>
            <wp:positionH relativeFrom="column">
              <wp:posOffset>5042535</wp:posOffset>
            </wp:positionH>
            <wp:positionV relativeFrom="margin">
              <wp:posOffset>-257175</wp:posOffset>
            </wp:positionV>
            <wp:extent cx="986790" cy="958215"/>
            <wp:effectExtent l="0" t="0" r="3810" b="0"/>
            <wp:wrapNone/>
            <wp:docPr id="1661840517"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anchor>
        </w:drawing>
      </w:r>
      <w:r w:rsidR="00B16D06" w:rsidRPr="00B16D06">
        <w:t>Professional Services</w:t>
      </w:r>
    </w:p>
    <w:p w14:paraId="71EF16EE" w14:textId="1E19761C" w:rsidR="00BE514D" w:rsidRPr="00461810" w:rsidRDefault="00BE514D" w:rsidP="00BB3942">
      <w:r w:rsidRPr="00461810">
        <w:t xml:space="preserve">Melbourne has a large professional services industry, underpinned by </w:t>
      </w:r>
      <w:r w:rsidR="00F44DC5">
        <w:br/>
      </w:r>
      <w:r w:rsidRPr="00461810">
        <w:t xml:space="preserve">strong capabilities in accounting, architecture, computer system design, </w:t>
      </w:r>
      <w:r w:rsidR="00F44DC5">
        <w:br/>
      </w:r>
      <w:r w:rsidRPr="00461810">
        <w:t>legal, management consulting and urban planning.</w:t>
      </w:r>
    </w:p>
    <w:p w14:paraId="17738E98" w14:textId="77777777" w:rsidR="00BE514D" w:rsidRPr="00461810" w:rsidRDefault="00BE514D" w:rsidP="00BB3942">
      <w:pPr>
        <w:pStyle w:val="ListBullet"/>
      </w:pPr>
      <w:r w:rsidRPr="00461810">
        <w:t>91,030 Companies in Victoria</w:t>
      </w:r>
    </w:p>
    <w:p w14:paraId="47321424" w14:textId="77777777" w:rsidR="00BE514D" w:rsidRPr="00461810" w:rsidRDefault="00BE514D" w:rsidP="00BB3942">
      <w:pPr>
        <w:pStyle w:val="ListBullet"/>
      </w:pPr>
      <w:r w:rsidRPr="00461810">
        <w:t>$2b+ Value of exports</w:t>
      </w:r>
    </w:p>
    <w:p w14:paraId="673B8863" w14:textId="77777777" w:rsidR="00BE514D" w:rsidRPr="00461810" w:rsidRDefault="00BE514D" w:rsidP="00BB3942">
      <w:pPr>
        <w:pStyle w:val="ListBullet"/>
      </w:pPr>
      <w:r w:rsidRPr="00461810">
        <w:t>262,175 Jobs in Victoria</w:t>
      </w:r>
    </w:p>
    <w:p w14:paraId="71EC1999" w14:textId="77777777" w:rsidR="00BE514D" w:rsidRPr="00461810" w:rsidRDefault="00BE514D" w:rsidP="00BB3942">
      <w:pPr>
        <w:pStyle w:val="ListBullet"/>
      </w:pPr>
      <w:r w:rsidRPr="00461810">
        <w:t>$42.1b Gross Value Add</w:t>
      </w:r>
    </w:p>
    <w:p w14:paraId="099F0868" w14:textId="77777777" w:rsidR="00BE514D" w:rsidRPr="00461810" w:rsidRDefault="00BE514D" w:rsidP="00D21DEA">
      <w:pPr>
        <w:pStyle w:val="Heading1"/>
        <w:rPr>
          <w:rFonts w:hint="eastAsia"/>
        </w:rPr>
      </w:pPr>
      <w:r w:rsidRPr="00461810">
        <w:t xml:space="preserve">Professional services </w:t>
      </w:r>
      <w:proofErr w:type="gramStart"/>
      <w:r w:rsidRPr="00461810">
        <w:t>is</w:t>
      </w:r>
      <w:proofErr w:type="gramEnd"/>
      <w:r w:rsidRPr="00461810">
        <w:t xml:space="preserve"> the city’s largest sector</w:t>
      </w:r>
    </w:p>
    <w:p w14:paraId="35124125" w14:textId="07686201" w:rsidR="00BE514D" w:rsidRPr="00461810" w:rsidRDefault="00BE514D" w:rsidP="00BB3942">
      <w:r w:rsidRPr="00461810">
        <w:t xml:space="preserve">The professional services sector is the largest segment of the economy in Melbourne and Victoria. </w:t>
      </w:r>
      <w:r w:rsidRPr="00BB3942">
        <w:t>It is internationall</w:t>
      </w:r>
      <w:r w:rsidR="0000577B">
        <w:t>y</w:t>
      </w:r>
      <w:r w:rsidRPr="00461810">
        <w:t xml:space="preserve"> competitive, with broad-based capability. Australia’s free trade agreements enable trade with other countries making Melbourne the ideal location for headquarters servicing the Asia-Pacific.</w:t>
      </w:r>
    </w:p>
    <w:p w14:paraId="4C08A484" w14:textId="77777777" w:rsidR="00BE514D" w:rsidRPr="00461810" w:rsidRDefault="00BE514D" w:rsidP="00D21DEA">
      <w:pPr>
        <w:pStyle w:val="Heading2"/>
        <w:rPr>
          <w:rFonts w:hint="eastAsia"/>
        </w:rPr>
      </w:pPr>
      <w:r w:rsidRPr="00461810">
        <w:t xml:space="preserve">Melbourne’s strong industry performance attracts global </w:t>
      </w:r>
      <w:proofErr w:type="gramStart"/>
      <w:r w:rsidRPr="00461810">
        <w:t>talent</w:t>
      </w:r>
      <w:proofErr w:type="gramEnd"/>
    </w:p>
    <w:p w14:paraId="029C2CE1" w14:textId="77777777" w:rsidR="00BE514D" w:rsidRPr="00461810" w:rsidRDefault="00BE514D" w:rsidP="00BB3942">
      <w:r w:rsidRPr="00461810">
        <w:rPr>
          <w:b/>
          <w:bCs/>
        </w:rPr>
        <w:t>Legal services</w:t>
      </w:r>
      <w:r w:rsidRPr="00461810">
        <w:t xml:space="preserve"> – Major global players with local operations include Allens, Ashurst, King &amp; Wood Mallesons and Herbert Smith Freehills.</w:t>
      </w:r>
    </w:p>
    <w:p w14:paraId="3C726DCF" w14:textId="77777777" w:rsidR="00BE514D" w:rsidRPr="00461810" w:rsidRDefault="00BE514D" w:rsidP="00BB3942">
      <w:r w:rsidRPr="00461810">
        <w:t>Melbourne is also home to Australian giants Clayton Utz and Minter Ellison.</w:t>
      </w:r>
    </w:p>
    <w:p w14:paraId="0CEB6F47" w14:textId="77777777" w:rsidR="00BE514D" w:rsidRPr="00461810" w:rsidRDefault="00BE514D" w:rsidP="00BB3942">
      <w:r w:rsidRPr="00461810">
        <w:rPr>
          <w:b/>
          <w:bCs/>
        </w:rPr>
        <w:t>Management consulting and accounting</w:t>
      </w:r>
      <w:r w:rsidRPr="00461810">
        <w:t xml:space="preserve"> – Premier global management consulting firms including Bain and Company, Boston Consulting Group, Kearney, L.E.K. Consulting and McKinsey and Company all have operations in Melbourne, as do the ‘big 4’ international accounting firms, Deloitte, EY, KPMG and PwC.</w:t>
      </w:r>
    </w:p>
    <w:p w14:paraId="3F18AF70" w14:textId="77777777" w:rsidR="00BE514D" w:rsidRPr="00461810" w:rsidRDefault="00BE514D" w:rsidP="00BB3942">
      <w:r w:rsidRPr="00461810">
        <w:rPr>
          <w:b/>
          <w:bCs/>
        </w:rPr>
        <w:t>Computer system design</w:t>
      </w:r>
      <w:r w:rsidRPr="00461810">
        <w:t xml:space="preserve"> – Global players such as DXC Technology, Infosys, NEC and Oracle Corporation all have Melbourne-based operations.</w:t>
      </w:r>
    </w:p>
    <w:p w14:paraId="4D1F14F0" w14:textId="7DFF9673" w:rsidR="00BE514D" w:rsidRDefault="00BE514D" w:rsidP="00BB3942">
      <w:r w:rsidRPr="00461810">
        <w:t>Other areas of capability include advertising, computer system design, market research, professional photography, scientific research and testing, and surveying and</w:t>
      </w:r>
      <w:r w:rsidR="00BB3942" w:rsidRPr="00461810">
        <w:t xml:space="preserve"> mapping services*.</w:t>
      </w:r>
    </w:p>
    <w:p w14:paraId="77B586BF" w14:textId="09FF4679" w:rsidR="0019405A" w:rsidRPr="00461810" w:rsidRDefault="0019405A" w:rsidP="00BB3942">
      <w:r w:rsidRPr="00461810">
        <w:t>*Also refer to the Financial Services Industry Snapshot</w:t>
      </w:r>
    </w:p>
    <w:p w14:paraId="3C73207E" w14:textId="77777777" w:rsidR="00BE514D" w:rsidRPr="00461810" w:rsidRDefault="00BE514D" w:rsidP="00D21DEA">
      <w:pPr>
        <w:pStyle w:val="Heading2"/>
        <w:rPr>
          <w:rFonts w:hint="eastAsia"/>
        </w:rPr>
      </w:pPr>
      <w:r w:rsidRPr="00461810">
        <w:t xml:space="preserve">Melbourne’s industry is globally </w:t>
      </w:r>
      <w:proofErr w:type="gramStart"/>
      <w:r w:rsidRPr="00461810">
        <w:t>focused</w:t>
      </w:r>
      <w:proofErr w:type="gramEnd"/>
    </w:p>
    <w:p w14:paraId="27B24B6E" w14:textId="77777777" w:rsidR="00BE514D" w:rsidRPr="00461810" w:rsidRDefault="00BE514D" w:rsidP="00BB3942">
      <w:r w:rsidRPr="00461810">
        <w:t>Many Melbourne-based professional services companies have a strong focus on overseas markets. Earth Systems advises companies across Africa, the Americas and the Asia-Pacific on energy and carbon issues, environmental management, sustainability and water projects.</w:t>
      </w:r>
    </w:p>
    <w:p w14:paraId="7E0483A3" w14:textId="77777777" w:rsidR="00BE514D" w:rsidRPr="00461810" w:rsidRDefault="00BE514D" w:rsidP="00BB3942">
      <w:r w:rsidRPr="00461810">
        <w:t>Computershare was one of Melbourne’s first professional services startups, which sought to provide computer and automation services to local businesses. It is now a global enterprise with a market cap of almost $15 billion, offering a range of financial, governance and technology services to more than 25,000 clients and their 75 million customers across more than 20 countries.</w:t>
      </w:r>
    </w:p>
    <w:p w14:paraId="0E3B0BC3" w14:textId="7E9BD1A6" w:rsidR="00BE514D" w:rsidRPr="00461810" w:rsidRDefault="00BE514D" w:rsidP="00BB3942"/>
    <w:tbl>
      <w:tblPr>
        <w:tblStyle w:val="TableGrid"/>
        <w:tblW w:w="0" w:type="auto"/>
        <w:tblCellMar>
          <w:left w:w="170" w:type="dxa"/>
          <w:right w:w="170" w:type="dxa"/>
        </w:tblCellMar>
        <w:tblLook w:val="04A0" w:firstRow="1" w:lastRow="0" w:firstColumn="1" w:lastColumn="0" w:noHBand="0" w:noVBand="1"/>
      </w:tblPr>
      <w:tblGrid>
        <w:gridCol w:w="9622"/>
      </w:tblGrid>
      <w:tr w:rsidR="00142540" w14:paraId="138FB7F2" w14:textId="77777777" w:rsidTr="001425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7CE521B1" w14:textId="77777777" w:rsidR="00142540" w:rsidRPr="00461810" w:rsidRDefault="00142540" w:rsidP="00142540">
            <w:pPr>
              <w:pStyle w:val="Heading2"/>
              <w:spacing w:before="120"/>
              <w:rPr>
                <w:rFonts w:hint="eastAsia"/>
              </w:rPr>
            </w:pPr>
            <w:r w:rsidRPr="00461810">
              <w:lastRenderedPageBreak/>
              <w:t xml:space="preserve">Nous Group – Helping </w:t>
            </w:r>
            <w:proofErr w:type="spellStart"/>
            <w:r w:rsidRPr="00461810">
              <w:t>organisations</w:t>
            </w:r>
            <w:proofErr w:type="spellEnd"/>
            <w:r w:rsidRPr="00461810">
              <w:t xml:space="preserve"> overcome key challenges and achieve greater </w:t>
            </w:r>
            <w:proofErr w:type="gramStart"/>
            <w:r w:rsidRPr="00461810">
              <w:t>success</w:t>
            </w:r>
            <w:proofErr w:type="gramEnd"/>
          </w:p>
          <w:p w14:paraId="7D4A823A" w14:textId="77777777" w:rsidR="00142540" w:rsidRPr="00142540" w:rsidRDefault="00142540" w:rsidP="00142540">
            <w:pPr>
              <w:rPr>
                <w:b w:val="0"/>
                <w:bCs/>
              </w:rPr>
            </w:pPr>
            <w:r w:rsidRPr="00142540">
              <w:rPr>
                <w:b w:val="0"/>
                <w:bCs/>
              </w:rPr>
              <w:t>Nous Group is a Melbourne-based international management consultancy that has a team of 750 people around the world. It works with executives across the public, private and community sectors on their most complex and consequential issues. Nous supports clients by assisting them with strategy creation, policy analysis, organisational performance, leadership development and data analytics. Its work in human-centred design has led to it receiving multiple accolades from the Australian Good Design Awards.</w:t>
            </w:r>
          </w:p>
          <w:p w14:paraId="2E72DFE3" w14:textId="77777777" w:rsidR="00142540" w:rsidRPr="00142540" w:rsidRDefault="00142540" w:rsidP="00142540">
            <w:pPr>
              <w:rPr>
                <w:b w:val="0"/>
                <w:bCs/>
              </w:rPr>
            </w:pPr>
            <w:r w:rsidRPr="00142540">
              <w:rPr>
                <w:b w:val="0"/>
                <w:bCs/>
              </w:rPr>
              <w:t>The consultancy’s clients include local, state and national governments, leading universities, innovative community organisations and major corporations. It has officially been recognised as a Great Place to Work.</w:t>
            </w:r>
          </w:p>
          <w:p w14:paraId="0803C1D6" w14:textId="77777777" w:rsidR="00142540" w:rsidRPr="00142540" w:rsidRDefault="00142540" w:rsidP="00142540">
            <w:pPr>
              <w:pStyle w:val="ListBullet"/>
              <w:rPr>
                <w:b w:val="0"/>
                <w:bCs/>
              </w:rPr>
            </w:pPr>
            <w:r w:rsidRPr="00142540">
              <w:rPr>
                <w:b w:val="0"/>
                <w:bCs/>
              </w:rPr>
              <w:t>5 Countries</w:t>
            </w:r>
          </w:p>
          <w:p w14:paraId="132FF554" w14:textId="77777777" w:rsidR="00142540" w:rsidRPr="00142540" w:rsidRDefault="00142540" w:rsidP="00142540">
            <w:pPr>
              <w:pStyle w:val="ListBullet"/>
              <w:rPr>
                <w:b w:val="0"/>
                <w:bCs/>
              </w:rPr>
            </w:pPr>
            <w:r w:rsidRPr="00142540">
              <w:rPr>
                <w:b w:val="0"/>
                <w:bCs/>
              </w:rPr>
              <w:t>10 Capabilities</w:t>
            </w:r>
          </w:p>
          <w:p w14:paraId="7A0E5996" w14:textId="3EC88B51" w:rsidR="00142540" w:rsidRDefault="00142540" w:rsidP="00142540">
            <w:pPr>
              <w:pStyle w:val="ListBullet"/>
            </w:pPr>
            <w:r w:rsidRPr="00142540">
              <w:rPr>
                <w:b w:val="0"/>
                <w:bCs/>
              </w:rPr>
              <w:t>12 Sectors</w:t>
            </w:r>
          </w:p>
        </w:tc>
      </w:tr>
    </w:tbl>
    <w:p w14:paraId="2AC7021E" w14:textId="29FE6068" w:rsidR="00BE514D" w:rsidRDefault="00BE514D" w:rsidP="00142540"/>
    <w:tbl>
      <w:tblPr>
        <w:tblStyle w:val="TableGrid"/>
        <w:tblW w:w="0" w:type="auto"/>
        <w:tblCellMar>
          <w:left w:w="170" w:type="dxa"/>
          <w:right w:w="170" w:type="dxa"/>
        </w:tblCellMar>
        <w:tblLook w:val="04A0" w:firstRow="1" w:lastRow="0" w:firstColumn="1" w:lastColumn="0" w:noHBand="0" w:noVBand="1"/>
      </w:tblPr>
      <w:tblGrid>
        <w:gridCol w:w="9622"/>
      </w:tblGrid>
      <w:tr w:rsidR="00142540" w14:paraId="635F8E06" w14:textId="77777777" w:rsidTr="001425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60233C62" w14:textId="77777777" w:rsidR="00142540" w:rsidRDefault="00142540" w:rsidP="00142540">
            <w:pPr>
              <w:pStyle w:val="Heading2"/>
              <w:spacing w:before="120"/>
              <w:rPr>
                <w:rFonts w:hint="eastAsia"/>
                <w:b w:val="0"/>
              </w:rPr>
            </w:pPr>
            <w:r w:rsidRPr="00461810">
              <w:t xml:space="preserve">Aurecon – Tackling the worlds’ most complex </w:t>
            </w:r>
            <w:proofErr w:type="gramStart"/>
            <w:r w:rsidRPr="00461810">
              <w:t>challenges</w:t>
            </w:r>
            <w:proofErr w:type="gramEnd"/>
          </w:p>
          <w:p w14:paraId="42D05A63" w14:textId="77777777" w:rsidR="00142540" w:rsidRPr="00142540" w:rsidRDefault="00142540" w:rsidP="00142540">
            <w:pPr>
              <w:rPr>
                <w:b w:val="0"/>
                <w:bCs/>
              </w:rPr>
            </w:pPr>
            <w:r w:rsidRPr="00142540">
              <w:rPr>
                <w:b w:val="0"/>
                <w:bCs/>
              </w:rPr>
              <w:t>Aurecon is an international design, engineering and advisory company headquartered in Melbourne with a strong presence in Asia, Australia and New Zealand. The company employs over 7,000 people across 29 areas of expertise in 11 locations, including Australia, Hong Kong, Mainland China, Indonesia, Macau, Malaysia, New Zealand, the Philippines, Singapore, Thailand and Vietnam.</w:t>
            </w:r>
          </w:p>
          <w:p w14:paraId="4E285930" w14:textId="77777777" w:rsidR="00142540" w:rsidRPr="00142540" w:rsidRDefault="00142540" w:rsidP="00142540">
            <w:pPr>
              <w:rPr>
                <w:b w:val="0"/>
                <w:bCs/>
              </w:rPr>
            </w:pPr>
            <w:r w:rsidRPr="00142540">
              <w:rPr>
                <w:b w:val="0"/>
                <w:bCs/>
              </w:rPr>
              <w:t>Aurecon has delivered landmark award-winning global projects including the design of Shanghai Tower’s façade, China’s tallest building. Aurecon also designed Landmark 81 in Vietnam, the tallest skyscraper in south-east Asia and helped transform The Reef in Singapore, a decommissioned shipping dock, into a luxury residential precinct.</w:t>
            </w:r>
          </w:p>
          <w:p w14:paraId="7CF25C60" w14:textId="77777777" w:rsidR="00142540" w:rsidRPr="00142540" w:rsidRDefault="00142540" w:rsidP="00142540">
            <w:pPr>
              <w:pStyle w:val="ListBullet"/>
              <w:rPr>
                <w:b w:val="0"/>
                <w:bCs/>
              </w:rPr>
            </w:pPr>
            <w:r w:rsidRPr="00142540">
              <w:rPr>
                <w:b w:val="0"/>
                <w:bCs/>
              </w:rPr>
              <w:t>7,000+ Employees</w:t>
            </w:r>
          </w:p>
          <w:p w14:paraId="78CEDC30" w14:textId="77777777" w:rsidR="00142540" w:rsidRPr="00142540" w:rsidRDefault="00142540" w:rsidP="00142540">
            <w:pPr>
              <w:pStyle w:val="ListBullet"/>
              <w:rPr>
                <w:b w:val="0"/>
                <w:bCs/>
              </w:rPr>
            </w:pPr>
            <w:r w:rsidRPr="00142540">
              <w:rPr>
                <w:b w:val="0"/>
                <w:bCs/>
              </w:rPr>
              <w:t>29 Areas of expertise</w:t>
            </w:r>
          </w:p>
          <w:p w14:paraId="5CCA9914" w14:textId="11329296" w:rsidR="00142540" w:rsidRDefault="00142540" w:rsidP="00142540">
            <w:pPr>
              <w:pStyle w:val="ListBullet"/>
            </w:pPr>
            <w:r w:rsidRPr="00142540">
              <w:rPr>
                <w:b w:val="0"/>
                <w:bCs/>
              </w:rPr>
              <w:t>11 Locations</w:t>
            </w:r>
          </w:p>
        </w:tc>
      </w:tr>
    </w:tbl>
    <w:p w14:paraId="7E391398" w14:textId="77777777" w:rsidR="00BE514D" w:rsidRPr="00461810" w:rsidRDefault="00BE514D" w:rsidP="00D21DEA">
      <w:pPr>
        <w:pStyle w:val="Heading1"/>
        <w:rPr>
          <w:rFonts w:hint="eastAsia"/>
        </w:rPr>
      </w:pPr>
      <w:r w:rsidRPr="00461810">
        <w:t xml:space="preserve">Melbourne is the ideal location for your </w:t>
      </w:r>
      <w:proofErr w:type="gramStart"/>
      <w:r w:rsidRPr="00461810">
        <w:t>business</w:t>
      </w:r>
      <w:proofErr w:type="gramEnd"/>
    </w:p>
    <w:p w14:paraId="6EB1A055" w14:textId="77777777" w:rsidR="00BE514D" w:rsidRPr="00461810" w:rsidRDefault="00BE514D" w:rsidP="00BB3942">
      <w:r w:rsidRPr="00461810">
        <w:t>Melbourne is the economic heart of Victoria.</w:t>
      </w:r>
    </w:p>
    <w:p w14:paraId="2FFD582C" w14:textId="2C2CA2F3" w:rsidR="00BE514D" w:rsidRPr="00461810" w:rsidRDefault="00BE514D" w:rsidP="00BB3942">
      <w:r w:rsidRPr="00461810">
        <w:t>Four of Australia’s 15 largest companies are headquartered in the centre of Melbourne, including Australia’s largest</w:t>
      </w:r>
      <w:r w:rsidR="00BB3942" w:rsidRPr="00461810">
        <w:t xml:space="preserve"> </w:t>
      </w:r>
      <w:r w:rsidRPr="00461810">
        <w:t>telecommunication provider, Telstra, Australia Post and NBN Co.</w:t>
      </w:r>
    </w:p>
    <w:p w14:paraId="252C675A" w14:textId="77777777" w:rsidR="00BE514D" w:rsidRPr="00461810" w:rsidRDefault="00BE514D" w:rsidP="00BB3942">
      <w:r w:rsidRPr="00461810">
        <w:t>Laid out in an easy-to-navigate grid, with free public transport, Melbourne has the largest central city office market in Australia, with 314,000 m2 of premium working space.</w:t>
      </w:r>
    </w:p>
    <w:p w14:paraId="72CACE07" w14:textId="52F15DA6" w:rsidR="00BE514D" w:rsidRPr="00461810" w:rsidRDefault="00BE514D" w:rsidP="00BB3942">
      <w:r w:rsidRPr="00461810">
        <w:t>Adjacent to Melbourne’s central city district, Docklands Business Precinct sits on a</w:t>
      </w:r>
      <w:r w:rsidR="00BB3942" w:rsidRPr="00461810">
        <w:t xml:space="preserve"> </w:t>
      </w:r>
      <w:r w:rsidRPr="00461810">
        <w:t>200-hectare waterfront and is home to local and international professional services</w:t>
      </w:r>
      <w:r w:rsidR="00BB3942" w:rsidRPr="00461810">
        <w:t xml:space="preserve"> </w:t>
      </w:r>
      <w:r w:rsidRPr="00461810">
        <w:t>companies including Arup, Aurecon, BDO, Link Group, Maddocks Lawyers, and Marsh and McLennan. Docklands is also home to two of Australia’s top 15 companies, ANZ and NAB.</w:t>
      </w:r>
    </w:p>
    <w:p w14:paraId="106C4196" w14:textId="77777777" w:rsidR="00BE514D" w:rsidRPr="00461810" w:rsidRDefault="00BE514D" w:rsidP="00142540">
      <w:pPr>
        <w:pStyle w:val="Heading1"/>
        <w:rPr>
          <w:rFonts w:hint="eastAsia"/>
        </w:rPr>
      </w:pPr>
      <w:r w:rsidRPr="00461810">
        <w:lastRenderedPageBreak/>
        <w:t xml:space="preserve">Melbourne universities produce job ready </w:t>
      </w:r>
      <w:proofErr w:type="gramStart"/>
      <w:r w:rsidRPr="00461810">
        <w:t>graduates</w:t>
      </w:r>
      <w:proofErr w:type="gramEnd"/>
    </w:p>
    <w:p w14:paraId="241CC87F" w14:textId="77777777" w:rsidR="00BE514D" w:rsidRPr="00461810" w:rsidRDefault="00BE514D" w:rsidP="00BB3942">
      <w:r w:rsidRPr="00461810">
        <w:t>Melbourne’s leading universities offer globally recognised courses in professional services disciplines.</w:t>
      </w:r>
    </w:p>
    <w:p w14:paraId="06E09BC2" w14:textId="4E0F97DB" w:rsidR="00BE514D" w:rsidRPr="00461810" w:rsidRDefault="00BE514D" w:rsidP="00BB3942">
      <w:r w:rsidRPr="00461810">
        <w:t>The University of Melbourne, Australia’s leading university, has highly ranked courses in Business and Management (first nationally, 37th globally), Law (first nationally,</w:t>
      </w:r>
      <w:r w:rsidR="00BB3942" w:rsidRPr="00461810">
        <w:t xml:space="preserve"> </w:t>
      </w:r>
      <w:r w:rsidRPr="00461810">
        <w:t>11th globally), Architecture (first nationally, 23rd globally) and Accounting and Finance (second nationally, 23rd globally). This quality supports Australia’s largest pipeline of</w:t>
      </w:r>
      <w:r w:rsidR="00BB3942" w:rsidRPr="00461810">
        <w:t xml:space="preserve"> </w:t>
      </w:r>
      <w:r w:rsidRPr="00461810">
        <w:t>job-ready graduates.</w:t>
      </w:r>
    </w:p>
    <w:p w14:paraId="71C407FD" w14:textId="77777777" w:rsidR="00BE514D" w:rsidRPr="00461810" w:rsidRDefault="00BE514D" w:rsidP="006316F1">
      <w:pPr>
        <w:pStyle w:val="Caption"/>
        <w:rPr>
          <w:rFonts w:hint="eastAsia"/>
        </w:rPr>
      </w:pPr>
      <w:r w:rsidRPr="00461810">
        <w:t>Number of graduates in professional services study areas by state (thousands, 2021)</w:t>
      </w:r>
    </w:p>
    <w:tbl>
      <w:tblPr>
        <w:tblStyle w:val="TableGrid"/>
        <w:tblW w:w="0" w:type="auto"/>
        <w:tblCellMar>
          <w:top w:w="0" w:type="dxa"/>
          <w:bottom w:w="0" w:type="dxa"/>
        </w:tblCellMar>
        <w:tblLook w:val="0420" w:firstRow="1" w:lastRow="0" w:firstColumn="0" w:lastColumn="0" w:noHBand="0" w:noVBand="1"/>
      </w:tblPr>
      <w:tblGrid>
        <w:gridCol w:w="2790"/>
        <w:gridCol w:w="1534"/>
        <w:gridCol w:w="1534"/>
        <w:gridCol w:w="1534"/>
        <w:gridCol w:w="1534"/>
        <w:gridCol w:w="696"/>
      </w:tblGrid>
      <w:tr w:rsidR="003A0024" w:rsidRPr="00035B7D" w14:paraId="12B4B3E8" w14:textId="3A12911E" w:rsidTr="00D21DEA">
        <w:trPr>
          <w:cnfStyle w:val="100000000000" w:firstRow="1" w:lastRow="0" w:firstColumn="0" w:lastColumn="0" w:oddVBand="0" w:evenVBand="0" w:oddHBand="0" w:evenHBand="0" w:firstRowFirstColumn="0" w:firstRowLastColumn="0" w:lastRowFirstColumn="0" w:lastRowLastColumn="0"/>
        </w:trPr>
        <w:tc>
          <w:tcPr>
            <w:tcW w:w="2790" w:type="dxa"/>
          </w:tcPr>
          <w:p w14:paraId="35215904" w14:textId="77777777" w:rsidR="003A0024" w:rsidRPr="00035B7D" w:rsidRDefault="003A0024" w:rsidP="00D21DEA">
            <w:pPr>
              <w:pStyle w:val="TableofFigures"/>
            </w:pPr>
            <w:r w:rsidRPr="00035B7D">
              <w:t>State</w:t>
            </w:r>
          </w:p>
        </w:tc>
        <w:tc>
          <w:tcPr>
            <w:tcW w:w="1534" w:type="dxa"/>
          </w:tcPr>
          <w:p w14:paraId="5B60CBBD" w14:textId="77777777" w:rsidR="003A0024" w:rsidRPr="00035B7D" w:rsidRDefault="003A0024" w:rsidP="00D21DEA">
            <w:pPr>
              <w:pStyle w:val="TableofFigures"/>
            </w:pPr>
            <w:r w:rsidRPr="00035B7D">
              <w:t>Management and Commerce</w:t>
            </w:r>
          </w:p>
        </w:tc>
        <w:tc>
          <w:tcPr>
            <w:tcW w:w="1534" w:type="dxa"/>
          </w:tcPr>
          <w:p w14:paraId="2B74F0F8" w14:textId="77777777" w:rsidR="003A0024" w:rsidRPr="00035B7D" w:rsidRDefault="003A0024" w:rsidP="00D21DEA">
            <w:pPr>
              <w:pStyle w:val="TableofFigures"/>
            </w:pPr>
            <w:r w:rsidRPr="00035B7D">
              <w:t>Information Technology</w:t>
            </w:r>
          </w:p>
        </w:tc>
        <w:tc>
          <w:tcPr>
            <w:tcW w:w="1534" w:type="dxa"/>
          </w:tcPr>
          <w:p w14:paraId="404D35BB" w14:textId="77777777" w:rsidR="003A0024" w:rsidRPr="00035B7D" w:rsidRDefault="003A0024" w:rsidP="00D21DEA">
            <w:pPr>
              <w:pStyle w:val="TableofFigures"/>
            </w:pPr>
            <w:r w:rsidRPr="00035B7D">
              <w:t>Engineering and Related Technologies</w:t>
            </w:r>
          </w:p>
        </w:tc>
        <w:tc>
          <w:tcPr>
            <w:tcW w:w="1534" w:type="dxa"/>
          </w:tcPr>
          <w:p w14:paraId="6D132664" w14:textId="77777777" w:rsidR="003A0024" w:rsidRPr="00035B7D" w:rsidRDefault="003A0024" w:rsidP="00D21DEA">
            <w:pPr>
              <w:pStyle w:val="TableofFigures"/>
            </w:pPr>
            <w:r w:rsidRPr="00035B7D">
              <w:t>Architecture and Building</w:t>
            </w:r>
          </w:p>
        </w:tc>
        <w:tc>
          <w:tcPr>
            <w:tcW w:w="696" w:type="dxa"/>
          </w:tcPr>
          <w:p w14:paraId="75560A28" w14:textId="3945901C" w:rsidR="003A0024" w:rsidRPr="00035B7D" w:rsidRDefault="003A0024" w:rsidP="00D21DEA">
            <w:pPr>
              <w:pStyle w:val="TableofFigures"/>
            </w:pPr>
            <w:r>
              <w:t>Total</w:t>
            </w:r>
          </w:p>
        </w:tc>
      </w:tr>
      <w:tr w:rsidR="003A0024" w:rsidRPr="00035B7D" w14:paraId="7E2272C1" w14:textId="2EB75C21" w:rsidTr="00D21DEA">
        <w:tc>
          <w:tcPr>
            <w:tcW w:w="2790" w:type="dxa"/>
          </w:tcPr>
          <w:p w14:paraId="438CDC97" w14:textId="74E5DE3A" w:rsidR="003A0024" w:rsidRPr="00D21DEA" w:rsidRDefault="003A0024" w:rsidP="00D21DEA">
            <w:pPr>
              <w:pStyle w:val="TableofFigures"/>
              <w:rPr>
                <w:b/>
                <w:bCs/>
              </w:rPr>
            </w:pPr>
            <w:r w:rsidRPr="00D21DEA">
              <w:rPr>
                <w:b/>
                <w:bCs/>
              </w:rPr>
              <w:t>Victoria</w:t>
            </w:r>
          </w:p>
        </w:tc>
        <w:tc>
          <w:tcPr>
            <w:tcW w:w="1534" w:type="dxa"/>
          </w:tcPr>
          <w:p w14:paraId="0DF766D9" w14:textId="2CA63F5A" w:rsidR="003A0024" w:rsidRPr="00035B7D" w:rsidRDefault="003A0024" w:rsidP="00D21DEA">
            <w:pPr>
              <w:pStyle w:val="TableofFigures"/>
            </w:pPr>
            <w:r>
              <w:t>37</w:t>
            </w:r>
          </w:p>
        </w:tc>
        <w:tc>
          <w:tcPr>
            <w:tcW w:w="1534" w:type="dxa"/>
          </w:tcPr>
          <w:p w14:paraId="67314C13" w14:textId="27FFB443" w:rsidR="003A0024" w:rsidRPr="00035B7D" w:rsidRDefault="003A0024" w:rsidP="00D21DEA">
            <w:pPr>
              <w:pStyle w:val="TableofFigures"/>
            </w:pPr>
            <w:r>
              <w:t>14</w:t>
            </w:r>
          </w:p>
        </w:tc>
        <w:tc>
          <w:tcPr>
            <w:tcW w:w="1534" w:type="dxa"/>
          </w:tcPr>
          <w:p w14:paraId="69406C69" w14:textId="17B3415D" w:rsidR="003A0024" w:rsidRPr="00035B7D" w:rsidRDefault="003A0024" w:rsidP="00D21DEA">
            <w:pPr>
              <w:pStyle w:val="TableofFigures"/>
            </w:pPr>
            <w:r>
              <w:t>8</w:t>
            </w:r>
          </w:p>
        </w:tc>
        <w:tc>
          <w:tcPr>
            <w:tcW w:w="1534" w:type="dxa"/>
          </w:tcPr>
          <w:p w14:paraId="678BED7B" w14:textId="52DF55A7" w:rsidR="003A0024" w:rsidRPr="00035B7D" w:rsidRDefault="003A0024" w:rsidP="00D21DEA">
            <w:pPr>
              <w:pStyle w:val="TableofFigures"/>
            </w:pPr>
            <w:r>
              <w:t>4</w:t>
            </w:r>
          </w:p>
        </w:tc>
        <w:tc>
          <w:tcPr>
            <w:tcW w:w="696" w:type="dxa"/>
          </w:tcPr>
          <w:p w14:paraId="4B562120" w14:textId="2C8EEEC4" w:rsidR="003A0024" w:rsidRDefault="008C7075" w:rsidP="00D21DEA">
            <w:pPr>
              <w:pStyle w:val="TableofFigures"/>
            </w:pPr>
            <w:r>
              <w:t>63</w:t>
            </w:r>
          </w:p>
        </w:tc>
      </w:tr>
      <w:tr w:rsidR="003A0024" w:rsidRPr="00035B7D" w14:paraId="42513CCD" w14:textId="36E3054E" w:rsidTr="00D21DEA">
        <w:tc>
          <w:tcPr>
            <w:tcW w:w="2790" w:type="dxa"/>
          </w:tcPr>
          <w:p w14:paraId="1D400918" w14:textId="70F0091C" w:rsidR="003A0024" w:rsidRPr="00D21DEA" w:rsidRDefault="008C7075" w:rsidP="00D21DEA">
            <w:pPr>
              <w:pStyle w:val="TableofFigures"/>
              <w:rPr>
                <w:b/>
                <w:bCs/>
              </w:rPr>
            </w:pPr>
            <w:r w:rsidRPr="00D21DEA">
              <w:rPr>
                <w:b/>
                <w:bCs/>
              </w:rPr>
              <w:t>New South Wales</w:t>
            </w:r>
          </w:p>
        </w:tc>
        <w:tc>
          <w:tcPr>
            <w:tcW w:w="1534" w:type="dxa"/>
          </w:tcPr>
          <w:p w14:paraId="3CA9A833" w14:textId="14B2145A" w:rsidR="003A0024" w:rsidRDefault="008C7075" w:rsidP="00D21DEA">
            <w:pPr>
              <w:pStyle w:val="TableofFigures"/>
            </w:pPr>
            <w:r>
              <w:t>37</w:t>
            </w:r>
          </w:p>
        </w:tc>
        <w:tc>
          <w:tcPr>
            <w:tcW w:w="1534" w:type="dxa"/>
          </w:tcPr>
          <w:p w14:paraId="53A67522" w14:textId="7F3200C7" w:rsidR="003A0024" w:rsidRDefault="008C7075" w:rsidP="00D21DEA">
            <w:pPr>
              <w:pStyle w:val="TableofFigures"/>
            </w:pPr>
            <w:r>
              <w:t>10</w:t>
            </w:r>
          </w:p>
        </w:tc>
        <w:tc>
          <w:tcPr>
            <w:tcW w:w="1534" w:type="dxa"/>
          </w:tcPr>
          <w:p w14:paraId="33E87391" w14:textId="148619BF" w:rsidR="003A0024" w:rsidRDefault="008B08B4" w:rsidP="00D21DEA">
            <w:pPr>
              <w:pStyle w:val="TableofFigures"/>
            </w:pPr>
            <w:r>
              <w:t>8</w:t>
            </w:r>
          </w:p>
        </w:tc>
        <w:tc>
          <w:tcPr>
            <w:tcW w:w="1534" w:type="dxa"/>
          </w:tcPr>
          <w:p w14:paraId="77A64FD3" w14:textId="77966DA1" w:rsidR="003A0024" w:rsidRDefault="008B08B4" w:rsidP="00D21DEA">
            <w:pPr>
              <w:pStyle w:val="TableofFigures"/>
            </w:pPr>
            <w:r>
              <w:t>3</w:t>
            </w:r>
          </w:p>
        </w:tc>
        <w:tc>
          <w:tcPr>
            <w:tcW w:w="696" w:type="dxa"/>
          </w:tcPr>
          <w:p w14:paraId="3E4F45F8" w14:textId="3FAB1C0D" w:rsidR="003A0024" w:rsidRDefault="008B08B4" w:rsidP="00D21DEA">
            <w:pPr>
              <w:pStyle w:val="TableofFigures"/>
            </w:pPr>
            <w:r>
              <w:t>58</w:t>
            </w:r>
          </w:p>
        </w:tc>
      </w:tr>
      <w:tr w:rsidR="008B08B4" w:rsidRPr="00035B7D" w14:paraId="151FABB1" w14:textId="77777777" w:rsidTr="00D21DEA">
        <w:tc>
          <w:tcPr>
            <w:tcW w:w="2790" w:type="dxa"/>
          </w:tcPr>
          <w:p w14:paraId="05A5711F" w14:textId="156BC396" w:rsidR="008B08B4" w:rsidRPr="00D21DEA" w:rsidRDefault="008B08B4" w:rsidP="00D21DEA">
            <w:pPr>
              <w:pStyle w:val="TableofFigures"/>
              <w:rPr>
                <w:b/>
                <w:bCs/>
              </w:rPr>
            </w:pPr>
            <w:r w:rsidRPr="00D21DEA">
              <w:rPr>
                <w:b/>
                <w:bCs/>
              </w:rPr>
              <w:t>Queensland</w:t>
            </w:r>
          </w:p>
        </w:tc>
        <w:tc>
          <w:tcPr>
            <w:tcW w:w="1534" w:type="dxa"/>
          </w:tcPr>
          <w:p w14:paraId="36F156C1" w14:textId="0C997703" w:rsidR="008B08B4" w:rsidRDefault="008B08B4" w:rsidP="00D21DEA">
            <w:pPr>
              <w:pStyle w:val="TableofFigures"/>
            </w:pPr>
            <w:r>
              <w:t>15</w:t>
            </w:r>
          </w:p>
        </w:tc>
        <w:tc>
          <w:tcPr>
            <w:tcW w:w="1534" w:type="dxa"/>
          </w:tcPr>
          <w:p w14:paraId="6399EF32" w14:textId="767761B6" w:rsidR="008B08B4" w:rsidRDefault="008B08B4" w:rsidP="00D21DEA">
            <w:pPr>
              <w:pStyle w:val="TableofFigures"/>
            </w:pPr>
            <w:r>
              <w:t>4</w:t>
            </w:r>
          </w:p>
        </w:tc>
        <w:tc>
          <w:tcPr>
            <w:tcW w:w="1534" w:type="dxa"/>
          </w:tcPr>
          <w:p w14:paraId="237A3D23" w14:textId="5CEC8916" w:rsidR="008B08B4" w:rsidRDefault="008B08B4" w:rsidP="00D21DEA">
            <w:pPr>
              <w:pStyle w:val="TableofFigures"/>
            </w:pPr>
            <w:r>
              <w:t>4</w:t>
            </w:r>
          </w:p>
        </w:tc>
        <w:tc>
          <w:tcPr>
            <w:tcW w:w="1534" w:type="dxa"/>
          </w:tcPr>
          <w:p w14:paraId="238837BE" w14:textId="79540880" w:rsidR="008B08B4" w:rsidRDefault="008B08B4" w:rsidP="00D21DEA">
            <w:pPr>
              <w:pStyle w:val="TableofFigures"/>
            </w:pPr>
            <w:r>
              <w:t>1</w:t>
            </w:r>
          </w:p>
        </w:tc>
        <w:tc>
          <w:tcPr>
            <w:tcW w:w="696" w:type="dxa"/>
          </w:tcPr>
          <w:p w14:paraId="3BCF2733" w14:textId="7FEDFBF6" w:rsidR="008B08B4" w:rsidRDefault="008B08B4" w:rsidP="00D21DEA">
            <w:pPr>
              <w:pStyle w:val="TableofFigures"/>
            </w:pPr>
            <w:r>
              <w:t>24</w:t>
            </w:r>
          </w:p>
        </w:tc>
      </w:tr>
      <w:tr w:rsidR="008B08B4" w:rsidRPr="00035B7D" w14:paraId="33DA9D4C" w14:textId="77777777" w:rsidTr="00D21DEA">
        <w:tc>
          <w:tcPr>
            <w:tcW w:w="2790" w:type="dxa"/>
          </w:tcPr>
          <w:p w14:paraId="0259A2AE" w14:textId="46CAD9E7" w:rsidR="008B08B4" w:rsidRPr="00D21DEA" w:rsidRDefault="008B08B4" w:rsidP="00D21DEA">
            <w:pPr>
              <w:pStyle w:val="TableofFigures"/>
              <w:rPr>
                <w:b/>
                <w:bCs/>
              </w:rPr>
            </w:pPr>
            <w:r w:rsidRPr="00D21DEA">
              <w:rPr>
                <w:b/>
                <w:bCs/>
              </w:rPr>
              <w:t>South Australia</w:t>
            </w:r>
          </w:p>
        </w:tc>
        <w:tc>
          <w:tcPr>
            <w:tcW w:w="1534" w:type="dxa"/>
          </w:tcPr>
          <w:p w14:paraId="43C2A568" w14:textId="6F16542C" w:rsidR="008B08B4" w:rsidRDefault="008B08B4" w:rsidP="00D21DEA">
            <w:pPr>
              <w:pStyle w:val="TableofFigures"/>
            </w:pPr>
            <w:r>
              <w:t>9</w:t>
            </w:r>
          </w:p>
        </w:tc>
        <w:tc>
          <w:tcPr>
            <w:tcW w:w="1534" w:type="dxa"/>
          </w:tcPr>
          <w:p w14:paraId="1D506977" w14:textId="46A81358" w:rsidR="008B08B4" w:rsidRDefault="008B08B4" w:rsidP="00D21DEA">
            <w:pPr>
              <w:pStyle w:val="TableofFigures"/>
            </w:pPr>
            <w:r>
              <w:t>2</w:t>
            </w:r>
          </w:p>
        </w:tc>
        <w:tc>
          <w:tcPr>
            <w:tcW w:w="1534" w:type="dxa"/>
          </w:tcPr>
          <w:p w14:paraId="30EACD2D" w14:textId="38FAFE72" w:rsidR="008B08B4" w:rsidRDefault="008B08B4" w:rsidP="00D21DEA">
            <w:pPr>
              <w:pStyle w:val="TableofFigures"/>
            </w:pPr>
            <w:r>
              <w:t>2</w:t>
            </w:r>
          </w:p>
        </w:tc>
        <w:tc>
          <w:tcPr>
            <w:tcW w:w="1534" w:type="dxa"/>
          </w:tcPr>
          <w:p w14:paraId="3ACE141C" w14:textId="10002F56" w:rsidR="008B08B4" w:rsidRDefault="008B08B4" w:rsidP="00D21DEA">
            <w:pPr>
              <w:pStyle w:val="TableofFigures"/>
            </w:pPr>
            <w:r>
              <w:t>1</w:t>
            </w:r>
          </w:p>
        </w:tc>
        <w:tc>
          <w:tcPr>
            <w:tcW w:w="696" w:type="dxa"/>
          </w:tcPr>
          <w:p w14:paraId="0EE64B12" w14:textId="0613AC8D" w:rsidR="008B08B4" w:rsidRDefault="008B08B4" w:rsidP="00D21DEA">
            <w:pPr>
              <w:pStyle w:val="TableofFigures"/>
            </w:pPr>
            <w:r>
              <w:t>14</w:t>
            </w:r>
          </w:p>
        </w:tc>
      </w:tr>
      <w:tr w:rsidR="008B08B4" w:rsidRPr="00035B7D" w14:paraId="342A59B8" w14:textId="77777777" w:rsidTr="00D21DEA">
        <w:tc>
          <w:tcPr>
            <w:tcW w:w="2790" w:type="dxa"/>
          </w:tcPr>
          <w:p w14:paraId="36B7542B" w14:textId="5D9099FC" w:rsidR="008B08B4" w:rsidRPr="00D21DEA" w:rsidRDefault="008B08B4" w:rsidP="00D21DEA">
            <w:pPr>
              <w:pStyle w:val="TableofFigures"/>
              <w:rPr>
                <w:b/>
                <w:bCs/>
              </w:rPr>
            </w:pPr>
            <w:r w:rsidRPr="00D21DEA">
              <w:rPr>
                <w:b/>
                <w:bCs/>
              </w:rPr>
              <w:t>Western Australia</w:t>
            </w:r>
          </w:p>
        </w:tc>
        <w:tc>
          <w:tcPr>
            <w:tcW w:w="1534" w:type="dxa"/>
          </w:tcPr>
          <w:p w14:paraId="3224B7DC" w14:textId="5B5C9E11" w:rsidR="008B08B4" w:rsidRDefault="00804819" w:rsidP="00D21DEA">
            <w:pPr>
              <w:pStyle w:val="TableofFigures"/>
            </w:pPr>
            <w:r>
              <w:t>8</w:t>
            </w:r>
          </w:p>
        </w:tc>
        <w:tc>
          <w:tcPr>
            <w:tcW w:w="1534" w:type="dxa"/>
          </w:tcPr>
          <w:p w14:paraId="45AE3C47" w14:textId="6BFC0B4F" w:rsidR="008B08B4" w:rsidRDefault="008B08B4" w:rsidP="00D21DEA">
            <w:pPr>
              <w:pStyle w:val="TableofFigures"/>
            </w:pPr>
            <w:r>
              <w:t>2</w:t>
            </w:r>
          </w:p>
        </w:tc>
        <w:tc>
          <w:tcPr>
            <w:tcW w:w="1534" w:type="dxa"/>
          </w:tcPr>
          <w:p w14:paraId="484B42F7" w14:textId="3BDED0CF" w:rsidR="008B08B4" w:rsidRDefault="00804819" w:rsidP="00D21DEA">
            <w:pPr>
              <w:pStyle w:val="TableofFigures"/>
            </w:pPr>
            <w:r>
              <w:t>3</w:t>
            </w:r>
          </w:p>
        </w:tc>
        <w:tc>
          <w:tcPr>
            <w:tcW w:w="1534" w:type="dxa"/>
          </w:tcPr>
          <w:p w14:paraId="0A54C909" w14:textId="2FFACA58" w:rsidR="008B08B4" w:rsidRDefault="008B08B4" w:rsidP="00D21DEA">
            <w:pPr>
              <w:pStyle w:val="TableofFigures"/>
            </w:pPr>
            <w:r>
              <w:t>1</w:t>
            </w:r>
          </w:p>
        </w:tc>
        <w:tc>
          <w:tcPr>
            <w:tcW w:w="696" w:type="dxa"/>
          </w:tcPr>
          <w:p w14:paraId="71B126CC" w14:textId="5A779091" w:rsidR="008B08B4" w:rsidRDefault="008B08B4" w:rsidP="00D21DEA">
            <w:pPr>
              <w:pStyle w:val="TableofFigures"/>
            </w:pPr>
            <w:r>
              <w:t>14</w:t>
            </w:r>
          </w:p>
        </w:tc>
      </w:tr>
      <w:tr w:rsidR="008B08B4" w:rsidRPr="00035B7D" w14:paraId="2276AE05" w14:textId="77777777" w:rsidTr="00D21DEA">
        <w:tc>
          <w:tcPr>
            <w:tcW w:w="2790" w:type="dxa"/>
          </w:tcPr>
          <w:p w14:paraId="55EE0751" w14:textId="25FD9273" w:rsidR="008B08B4" w:rsidRPr="00D21DEA" w:rsidRDefault="008B08B4" w:rsidP="00D21DEA">
            <w:pPr>
              <w:pStyle w:val="TableofFigures"/>
              <w:rPr>
                <w:b/>
                <w:bCs/>
              </w:rPr>
            </w:pPr>
            <w:r w:rsidRPr="00D21DEA">
              <w:rPr>
                <w:b/>
                <w:bCs/>
              </w:rPr>
              <w:t>Australian Capital Territory</w:t>
            </w:r>
          </w:p>
        </w:tc>
        <w:tc>
          <w:tcPr>
            <w:tcW w:w="1534" w:type="dxa"/>
          </w:tcPr>
          <w:p w14:paraId="279BA03E" w14:textId="1895AC69" w:rsidR="008B08B4" w:rsidRDefault="008B36F8" w:rsidP="00D21DEA">
            <w:pPr>
              <w:pStyle w:val="TableofFigures"/>
            </w:pPr>
            <w:r>
              <w:t>3</w:t>
            </w:r>
          </w:p>
        </w:tc>
        <w:tc>
          <w:tcPr>
            <w:tcW w:w="1534" w:type="dxa"/>
          </w:tcPr>
          <w:p w14:paraId="185F40FE" w14:textId="4103F5A9" w:rsidR="008B08B4" w:rsidRDefault="008B36F8" w:rsidP="00D21DEA">
            <w:pPr>
              <w:pStyle w:val="TableofFigures"/>
            </w:pPr>
            <w:r>
              <w:t>1</w:t>
            </w:r>
          </w:p>
        </w:tc>
        <w:tc>
          <w:tcPr>
            <w:tcW w:w="1534" w:type="dxa"/>
          </w:tcPr>
          <w:p w14:paraId="194D1B48" w14:textId="4FF4331A" w:rsidR="008B08B4" w:rsidRDefault="008B36F8" w:rsidP="00D21DEA">
            <w:pPr>
              <w:pStyle w:val="TableofFigures"/>
            </w:pPr>
            <w:r>
              <w:t>0</w:t>
            </w:r>
          </w:p>
        </w:tc>
        <w:tc>
          <w:tcPr>
            <w:tcW w:w="1534" w:type="dxa"/>
          </w:tcPr>
          <w:p w14:paraId="3E1C45D0" w14:textId="66595D0F" w:rsidR="008B08B4" w:rsidRDefault="008B36F8" w:rsidP="00D21DEA">
            <w:pPr>
              <w:pStyle w:val="TableofFigures"/>
            </w:pPr>
            <w:r>
              <w:t>0</w:t>
            </w:r>
          </w:p>
        </w:tc>
        <w:tc>
          <w:tcPr>
            <w:tcW w:w="696" w:type="dxa"/>
          </w:tcPr>
          <w:p w14:paraId="5DAF204A" w14:textId="0D5408E1" w:rsidR="008B08B4" w:rsidRDefault="008B36F8" w:rsidP="00D21DEA">
            <w:pPr>
              <w:pStyle w:val="TableofFigures"/>
            </w:pPr>
            <w:r>
              <w:t>4</w:t>
            </w:r>
          </w:p>
        </w:tc>
      </w:tr>
      <w:tr w:rsidR="008B36F8" w:rsidRPr="00035B7D" w14:paraId="34D132CD" w14:textId="77777777" w:rsidTr="00D21DEA">
        <w:tc>
          <w:tcPr>
            <w:tcW w:w="2790" w:type="dxa"/>
          </w:tcPr>
          <w:p w14:paraId="543252BE" w14:textId="1A3D1D8C" w:rsidR="008B36F8" w:rsidRPr="00D21DEA" w:rsidRDefault="008B36F8" w:rsidP="00D21DEA">
            <w:pPr>
              <w:pStyle w:val="TableofFigures"/>
              <w:rPr>
                <w:b/>
                <w:bCs/>
              </w:rPr>
            </w:pPr>
            <w:r w:rsidRPr="00D21DEA">
              <w:rPr>
                <w:b/>
                <w:bCs/>
              </w:rPr>
              <w:t>Tasmania</w:t>
            </w:r>
          </w:p>
        </w:tc>
        <w:tc>
          <w:tcPr>
            <w:tcW w:w="1534" w:type="dxa"/>
          </w:tcPr>
          <w:p w14:paraId="299D38BD" w14:textId="35A33277" w:rsidR="008B36F8" w:rsidRDefault="008B36F8" w:rsidP="00D21DEA">
            <w:pPr>
              <w:pStyle w:val="TableofFigures"/>
            </w:pPr>
            <w:r>
              <w:t>2</w:t>
            </w:r>
          </w:p>
        </w:tc>
        <w:tc>
          <w:tcPr>
            <w:tcW w:w="1534" w:type="dxa"/>
          </w:tcPr>
          <w:p w14:paraId="0F966BDA" w14:textId="50D3D852" w:rsidR="008B36F8" w:rsidRDefault="008B36F8" w:rsidP="00D21DEA">
            <w:pPr>
              <w:pStyle w:val="TableofFigures"/>
            </w:pPr>
            <w:r>
              <w:t>1</w:t>
            </w:r>
          </w:p>
        </w:tc>
        <w:tc>
          <w:tcPr>
            <w:tcW w:w="1534" w:type="dxa"/>
          </w:tcPr>
          <w:p w14:paraId="18B43EB9" w14:textId="6A1E9A80" w:rsidR="008B36F8" w:rsidRDefault="008B36F8" w:rsidP="00D21DEA">
            <w:pPr>
              <w:pStyle w:val="TableofFigures"/>
            </w:pPr>
            <w:r>
              <w:t>0</w:t>
            </w:r>
          </w:p>
        </w:tc>
        <w:tc>
          <w:tcPr>
            <w:tcW w:w="1534" w:type="dxa"/>
          </w:tcPr>
          <w:p w14:paraId="55D6FF58" w14:textId="331A231A" w:rsidR="008B36F8" w:rsidRDefault="008B36F8" w:rsidP="00D21DEA">
            <w:pPr>
              <w:pStyle w:val="TableofFigures"/>
            </w:pPr>
            <w:r>
              <w:t>0</w:t>
            </w:r>
          </w:p>
        </w:tc>
        <w:tc>
          <w:tcPr>
            <w:tcW w:w="696" w:type="dxa"/>
          </w:tcPr>
          <w:p w14:paraId="340EBF64" w14:textId="0CC166ED" w:rsidR="008B36F8" w:rsidRDefault="008B36F8" w:rsidP="00D21DEA">
            <w:pPr>
              <w:pStyle w:val="TableofFigures"/>
            </w:pPr>
            <w:r>
              <w:t>3</w:t>
            </w:r>
          </w:p>
        </w:tc>
      </w:tr>
      <w:tr w:rsidR="008B36F8" w:rsidRPr="00035B7D" w14:paraId="1EBFF5B4" w14:textId="77777777" w:rsidTr="00D21DEA">
        <w:tc>
          <w:tcPr>
            <w:tcW w:w="2790" w:type="dxa"/>
          </w:tcPr>
          <w:p w14:paraId="54F9BB5F" w14:textId="4DF353B4" w:rsidR="008B36F8" w:rsidRPr="00D21DEA" w:rsidRDefault="008B36F8" w:rsidP="00D21DEA">
            <w:pPr>
              <w:pStyle w:val="TableofFigures"/>
              <w:rPr>
                <w:b/>
                <w:bCs/>
              </w:rPr>
            </w:pPr>
            <w:r w:rsidRPr="00D21DEA">
              <w:rPr>
                <w:b/>
                <w:bCs/>
              </w:rPr>
              <w:t>Northern Territory</w:t>
            </w:r>
          </w:p>
        </w:tc>
        <w:tc>
          <w:tcPr>
            <w:tcW w:w="1534" w:type="dxa"/>
          </w:tcPr>
          <w:p w14:paraId="0B96050E" w14:textId="0ADEF5AA" w:rsidR="008B36F8" w:rsidRDefault="008B36F8" w:rsidP="00D21DEA">
            <w:pPr>
              <w:pStyle w:val="TableofFigures"/>
            </w:pPr>
            <w:r>
              <w:t>0</w:t>
            </w:r>
          </w:p>
        </w:tc>
        <w:tc>
          <w:tcPr>
            <w:tcW w:w="1534" w:type="dxa"/>
          </w:tcPr>
          <w:p w14:paraId="154C9FE3" w14:textId="268322FF" w:rsidR="008B36F8" w:rsidRDefault="008B36F8" w:rsidP="00D21DEA">
            <w:pPr>
              <w:pStyle w:val="TableofFigures"/>
            </w:pPr>
            <w:r>
              <w:t>0</w:t>
            </w:r>
          </w:p>
        </w:tc>
        <w:tc>
          <w:tcPr>
            <w:tcW w:w="1534" w:type="dxa"/>
          </w:tcPr>
          <w:p w14:paraId="379E8AFA" w14:textId="0FE258DF" w:rsidR="008B36F8" w:rsidRDefault="008B36F8" w:rsidP="00D21DEA">
            <w:pPr>
              <w:pStyle w:val="TableofFigures"/>
            </w:pPr>
            <w:r>
              <w:t>0</w:t>
            </w:r>
          </w:p>
        </w:tc>
        <w:tc>
          <w:tcPr>
            <w:tcW w:w="1534" w:type="dxa"/>
          </w:tcPr>
          <w:p w14:paraId="5846658C" w14:textId="79781A61" w:rsidR="008B36F8" w:rsidRDefault="008B36F8" w:rsidP="00D21DEA">
            <w:pPr>
              <w:pStyle w:val="TableofFigures"/>
            </w:pPr>
            <w:r>
              <w:t>0</w:t>
            </w:r>
          </w:p>
        </w:tc>
        <w:tc>
          <w:tcPr>
            <w:tcW w:w="696" w:type="dxa"/>
          </w:tcPr>
          <w:p w14:paraId="1FB285B3" w14:textId="0F99045C" w:rsidR="008B36F8" w:rsidRDefault="008B36F8" w:rsidP="00D21DEA">
            <w:pPr>
              <w:pStyle w:val="TableofFigures"/>
            </w:pPr>
            <w:r>
              <w:t>0</w:t>
            </w:r>
          </w:p>
        </w:tc>
      </w:tr>
    </w:tbl>
    <w:p w14:paraId="5029B1CD" w14:textId="77777777" w:rsidR="00BE514D" w:rsidRPr="00461810" w:rsidRDefault="00BE514D" w:rsidP="00D21DEA">
      <w:pPr>
        <w:pStyle w:val="Heading1"/>
        <w:rPr>
          <w:rFonts w:hint="eastAsia"/>
        </w:rPr>
      </w:pPr>
      <w:r w:rsidRPr="00461810">
        <w:t xml:space="preserve">A </w:t>
      </w:r>
      <w:proofErr w:type="spellStart"/>
      <w:r w:rsidRPr="00461810">
        <w:t>favourable</w:t>
      </w:r>
      <w:proofErr w:type="spellEnd"/>
      <w:r w:rsidRPr="00461810">
        <w:t xml:space="preserve"> business environment</w:t>
      </w:r>
    </w:p>
    <w:p w14:paraId="3AF31B5D" w14:textId="76226961" w:rsidR="00BE514D" w:rsidRPr="00461810" w:rsidRDefault="00BE514D" w:rsidP="00BB3942">
      <w:r w:rsidRPr="00461810">
        <w:rPr>
          <w:b/>
          <w:bCs/>
        </w:rPr>
        <w:t>Multicultural labour force</w:t>
      </w:r>
      <w:r w:rsidRPr="00461810">
        <w:t xml:space="preserve"> with 260 languages spoken across Melbourne and ranking second</w:t>
      </w:r>
      <w:r w:rsidR="00BB3942" w:rsidRPr="00461810">
        <w:t xml:space="preserve"> </w:t>
      </w:r>
      <w:r w:rsidRPr="00461810">
        <w:t>in the world for inclusivity and wellbeing.</w:t>
      </w:r>
    </w:p>
    <w:p w14:paraId="53184B3E" w14:textId="77777777" w:rsidR="00BE514D" w:rsidRPr="00461810" w:rsidRDefault="00BE514D" w:rsidP="00BB3942">
      <w:r w:rsidRPr="00461810">
        <w:rPr>
          <w:b/>
          <w:bCs/>
        </w:rPr>
        <w:t>Access to a reduced withholding tax</w:t>
      </w:r>
      <w:r w:rsidRPr="00461810">
        <w:t xml:space="preserve"> on specified distributions from management funds, enabling an internationally competitive taxation system for foreign investors.</w:t>
      </w:r>
    </w:p>
    <w:p w14:paraId="5C82A8E1" w14:textId="77777777" w:rsidR="00BE514D" w:rsidRPr="00461810" w:rsidRDefault="00BE514D" w:rsidP="00BB3942">
      <w:r w:rsidRPr="00461810">
        <w:rPr>
          <w:b/>
          <w:bCs/>
        </w:rPr>
        <w:t>Free Trade Agreements</w:t>
      </w:r>
      <w:r w:rsidRPr="00461810">
        <w:t xml:space="preserve"> which provide transparent and predictable operating conditions for professionals and mutual recognition of professional qualifications.</w:t>
      </w:r>
    </w:p>
    <w:p w14:paraId="58D20AAA" w14:textId="77777777" w:rsidR="00BE514D" w:rsidRPr="00461810" w:rsidRDefault="00BE514D" w:rsidP="00BB3942">
      <w:r w:rsidRPr="00461810">
        <w:rPr>
          <w:b/>
          <w:bCs/>
        </w:rPr>
        <w:t>World class international dispute resolution</w:t>
      </w:r>
      <w:r w:rsidRPr="00461810">
        <w:t xml:space="preserve"> services and expertise to promote global trade, safeguard commercial relationships and manage risk in cross-border investment.</w:t>
      </w:r>
    </w:p>
    <w:p w14:paraId="6E5A0CFB" w14:textId="77777777" w:rsidR="00BE514D" w:rsidRPr="00461810" w:rsidRDefault="00BE514D" w:rsidP="00BB3942">
      <w:r w:rsidRPr="00461810">
        <w:rPr>
          <w:b/>
          <w:bCs/>
        </w:rPr>
        <w:t>Favourable visa settings</w:t>
      </w:r>
      <w:r w:rsidRPr="00461810">
        <w:t xml:space="preserve"> attracting top-tier talent through dedicated visa programs such as the Global Talent Visa and Global Talent Employer Sponsored program.</w:t>
      </w:r>
    </w:p>
    <w:p w14:paraId="56EE747D" w14:textId="1134D784" w:rsidR="00BE514D" w:rsidRPr="00461810" w:rsidRDefault="00BE514D" w:rsidP="00BB3942">
      <w:r w:rsidRPr="00461810">
        <w:rPr>
          <w:b/>
          <w:bCs/>
        </w:rPr>
        <w:t>Melbourne is a gateway to the Asia-Pacific</w:t>
      </w:r>
      <w:r w:rsidR="00BB3942" w:rsidRPr="00461810">
        <w:rPr>
          <w:b/>
          <w:bCs/>
        </w:rPr>
        <w:t xml:space="preserve"> </w:t>
      </w:r>
      <w:r w:rsidRPr="00461810">
        <w:t>opening access to global investors looking to operate in these time zones and creating</w:t>
      </w:r>
      <w:r w:rsidR="00BB3942" w:rsidRPr="00461810">
        <w:t xml:space="preserve"> </w:t>
      </w:r>
      <w:r w:rsidRPr="00461810">
        <w:t>opportunities to capitalise on a growing market.</w:t>
      </w:r>
    </w:p>
    <w:p w14:paraId="1E83013B" w14:textId="04CD23AF" w:rsidR="00BE514D" w:rsidRPr="00461810" w:rsidRDefault="00BE514D" w:rsidP="00BB3942">
      <w:r w:rsidRPr="00461810">
        <w:rPr>
          <w:b/>
          <w:bCs/>
        </w:rPr>
        <w:t>Lower business costs</w:t>
      </w:r>
      <w:r w:rsidRPr="00461810">
        <w:t xml:space="preserve"> with industrial leases</w:t>
      </w:r>
      <w:r w:rsidR="00BB3942" w:rsidRPr="00461810">
        <w:t xml:space="preserve"> </w:t>
      </w:r>
      <w:r w:rsidRPr="00461810">
        <w:t>and office space rentals 35 per cent cheaper than Sydney. Victoria boasts the lowest business tax rate in Australia, attractive payroll tax rates and energy costs that are 45 per cent lower than Sydney.</w:t>
      </w:r>
    </w:p>
    <w:p w14:paraId="10AA4C3A" w14:textId="77777777" w:rsidR="00BE514D" w:rsidRPr="00461810" w:rsidRDefault="00BE514D" w:rsidP="00BB3942">
      <w:r w:rsidRPr="00461810">
        <w:rPr>
          <w:b/>
          <w:bCs/>
        </w:rPr>
        <w:t>Melbourne is the epicentre of co-working</w:t>
      </w:r>
      <w:r w:rsidRPr="00461810">
        <w:t xml:space="preserve">, accounting for more than half the total available co-working spaces across Melbourne, Sydney and Brisbane, with over 2,000 desks in prime </w:t>
      </w:r>
      <w:proofErr w:type="gramStart"/>
      <w:r w:rsidRPr="00461810">
        <w:t>locations</w:t>
      </w:r>
      <w:proofErr w:type="gramEnd"/>
    </w:p>
    <w:p w14:paraId="703AFC63" w14:textId="77777777" w:rsidR="00BE514D" w:rsidRPr="00461810" w:rsidRDefault="00BE514D" w:rsidP="00BB3942">
      <w:r w:rsidRPr="00461810">
        <w:rPr>
          <w:b/>
          <w:bCs/>
        </w:rPr>
        <w:t>Melbourne has exceptional liveability</w:t>
      </w:r>
      <w:r w:rsidRPr="00461810">
        <w:t>, ranked as the fourth most liveable city in the world. Melbourne is a global capital for sports, arts, culture and food, with many of the most sought-after events in Australia taking place in Melbourne – a key drawcard for attracting and retaining top talent.</w:t>
      </w:r>
    </w:p>
    <w:tbl>
      <w:tblPr>
        <w:tblStyle w:val="TableGrid"/>
        <w:tblW w:w="0" w:type="auto"/>
        <w:tblCellMar>
          <w:top w:w="170" w:type="dxa"/>
          <w:left w:w="170" w:type="dxa"/>
          <w:right w:w="170" w:type="dxa"/>
        </w:tblCellMar>
        <w:tblLook w:val="04A0" w:firstRow="1" w:lastRow="0" w:firstColumn="1" w:lastColumn="0" w:noHBand="0" w:noVBand="1"/>
      </w:tblPr>
      <w:tblGrid>
        <w:gridCol w:w="9622"/>
      </w:tblGrid>
      <w:tr w:rsidR="00F01269" w14:paraId="0882BB0E" w14:textId="77777777" w:rsidTr="00551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315A250E" w14:textId="292F972D" w:rsidR="00F01269" w:rsidRPr="000D6083" w:rsidRDefault="00F01269" w:rsidP="00C75AAF">
            <w:pPr>
              <w:pStyle w:val="Bold"/>
              <w:rPr>
                <w:b/>
              </w:rPr>
            </w:pPr>
            <w:r w:rsidRPr="000D6083">
              <w:rPr>
                <w:b/>
              </w:rPr>
              <w:lastRenderedPageBreak/>
              <w:t>Thinking about starting a business in Melbourne?</w:t>
            </w:r>
            <w:r w:rsidR="00C75AAF">
              <w:rPr>
                <w:b/>
              </w:rPr>
              <w:br/>
            </w:r>
            <w:r w:rsidRPr="000D6083">
              <w:t xml:space="preserve">Visit </w:t>
            </w:r>
            <w:hyperlink r:id="rId9" w:history="1">
              <w:r w:rsidRPr="000D6083">
                <w:rPr>
                  <w:rStyle w:val="Hyperlink"/>
                </w:rPr>
                <w:t>Investing in Melbourne</w:t>
              </w:r>
            </w:hyperlink>
            <w:r w:rsidRPr="000D6083">
              <w:rPr>
                <w:rStyle w:val="FootnoteReference"/>
              </w:rPr>
              <w:footnoteReference w:id="2"/>
            </w:r>
            <w:r w:rsidRPr="000D6083">
              <w:t xml:space="preserve"> or email us at </w:t>
            </w:r>
            <w:hyperlink r:id="rId10">
              <w:r w:rsidRPr="000D6083">
                <w:rPr>
                  <w:rStyle w:val="Hyperlink"/>
                </w:rPr>
                <w:t>investmelbourne@melbourne.vic.gov.au</w:t>
              </w:r>
            </w:hyperlink>
          </w:p>
          <w:p w14:paraId="0B4F9E90" w14:textId="31609698" w:rsidR="00F01269" w:rsidRDefault="00F01269" w:rsidP="00C75AAF">
            <w:pPr>
              <w:pStyle w:val="Bold"/>
            </w:pPr>
            <w:r w:rsidRPr="000D6083">
              <w:rPr>
                <w:b/>
              </w:rPr>
              <w:t>Want help identifying products and services produced in Melbourne?</w:t>
            </w:r>
            <w:r w:rsidR="00C75AAF">
              <w:rPr>
                <w:b/>
              </w:rPr>
              <w:br/>
            </w:r>
            <w:r w:rsidRPr="000D6083">
              <w:t xml:space="preserve">Visit </w:t>
            </w:r>
            <w:hyperlink r:id="rId11" w:history="1">
              <w:r w:rsidRPr="000D6083">
                <w:rPr>
                  <w:rStyle w:val="Hyperlink"/>
                </w:rPr>
                <w:t>International collaboration</w:t>
              </w:r>
            </w:hyperlink>
            <w:r w:rsidRPr="000D6083">
              <w:rPr>
                <w:rStyle w:val="FootnoteReference"/>
              </w:rPr>
              <w:footnoteReference w:id="3"/>
            </w:r>
            <w:r w:rsidRPr="000D6083">
              <w:t xml:space="preserve"> or email us at </w:t>
            </w:r>
            <w:hyperlink r:id="rId12" w:history="1">
              <w:r w:rsidRPr="000D6083">
                <w:rPr>
                  <w:rStyle w:val="Hyperlink"/>
                </w:rPr>
                <w:t>global@melbourne.vic.gov.au</w:t>
              </w:r>
            </w:hyperlink>
          </w:p>
        </w:tc>
      </w:tr>
    </w:tbl>
    <w:p w14:paraId="1A4EB92B" w14:textId="77777777" w:rsidR="00F01269" w:rsidRPr="00461810" w:rsidRDefault="00F01269" w:rsidP="00F01269">
      <w:pPr>
        <w:spacing w:before="360"/>
      </w:pPr>
      <w:r w:rsidRPr="00395191">
        <w:rPr>
          <w:b/>
          <w:bCs/>
        </w:rPr>
        <w:t>Disclaimer:</w:t>
      </w:r>
      <w:r w:rsidRPr="00461810">
        <w:t xml:space="preserve"> This document is provided for </w:t>
      </w:r>
      <w:proofErr w:type="gramStart"/>
      <w:r w:rsidRPr="00461810">
        <w:t>information</w:t>
      </w:r>
      <w:proofErr w:type="gramEnd"/>
      <w:r w:rsidRPr="00461810">
        <w:t xml:space="preserve"> and it does not purport to be complete. While care has been taken to ensure the content in the report is accurate, we cannot guarantee it is without flaw of any kind. There may be errors and </w:t>
      </w:r>
      <w:proofErr w:type="gramStart"/>
      <w:r w:rsidRPr="00461810">
        <w:t>omissions</w:t>
      </w:r>
      <w:proofErr w:type="gramEnd"/>
      <w:r w:rsidRPr="00461810">
        <w:t xml:space="preserve"> or it may not be wholly appropriate for your particular purposes. In addition, the publication is a snapshot in time based on historic information which is liable to change. The City of Melbourne accepts no responsibility and disclaims all liability for any error, loss or other consequence which may arise from you relying on any information contained in this report.</w:t>
      </w:r>
    </w:p>
    <w:p w14:paraId="660C2E97" w14:textId="5A579749" w:rsidR="00D77E4F" w:rsidRPr="00461810" w:rsidRDefault="00F01269" w:rsidP="00F01269">
      <w:r w:rsidRPr="00461810">
        <w:t xml:space="preserve">© Copyright City of Melbourne 2024. To receive this publication in an accessible format, email: </w:t>
      </w:r>
      <w:hyperlink r:id="rId13">
        <w:r w:rsidRPr="00461810">
          <w:rPr>
            <w:rStyle w:val="Hyperlink"/>
          </w:rPr>
          <w:t>global@melbourne.vic.gov.au</w:t>
        </w:r>
      </w:hyperlink>
    </w:p>
    <w:sectPr w:rsidR="00D77E4F" w:rsidRPr="00461810" w:rsidSect="002607C9">
      <w:footerReference w:type="default" r:id="rId14"/>
      <w:endnotePr>
        <w:numFmt w:val="decimal"/>
      </w:endnotePr>
      <w:pgSz w:w="11900" w:h="16840" w:code="9"/>
      <w:pgMar w:top="1418" w:right="1134" w:bottom="1134"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4B5C7" w14:textId="77777777" w:rsidR="00957504" w:rsidRDefault="00957504" w:rsidP="00BC719D">
      <w:pPr>
        <w:spacing w:after="0"/>
      </w:pPr>
      <w:r>
        <w:separator/>
      </w:r>
    </w:p>
  </w:endnote>
  <w:endnote w:type="continuationSeparator" w:id="0">
    <w:p w14:paraId="52C4DF29" w14:textId="77777777" w:rsidR="00957504" w:rsidRDefault="00957504" w:rsidP="00EA2130">
      <w:r>
        <w:continuationSeparator/>
      </w:r>
    </w:p>
  </w:endnote>
  <w:endnote w:type="continuationNotice" w:id="1">
    <w:p w14:paraId="78A03EFA" w14:textId="77777777" w:rsidR="00957504" w:rsidRDefault="009575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Gotham Book">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57"/>
      <w:gridCol w:w="4875"/>
    </w:tblGrid>
    <w:tr w:rsidR="00115496" w14:paraId="49A18DFC" w14:textId="77777777" w:rsidTr="008566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7" w:type="dxa"/>
        </w:tcPr>
        <w:p w14:paraId="227B3E1D" w14:textId="77777777" w:rsidR="00115496" w:rsidRPr="00A65F53" w:rsidRDefault="00115496" w:rsidP="00115496">
          <w:pPr>
            <w:pStyle w:val="Footer"/>
          </w:pPr>
        </w:p>
      </w:tc>
      <w:tc>
        <w:tcPr>
          <w:tcW w:w="4680" w:type="dxa"/>
        </w:tcPr>
        <w:p w14:paraId="6D0A9275" w14:textId="77777777" w:rsidR="00115496" w:rsidRDefault="00115496" w:rsidP="00115496">
          <w:pPr>
            <w:pStyle w:val="Footer"/>
            <w:jc w:val="right"/>
            <w:cnfStyle w:val="100000000000" w:firstRow="1" w:lastRow="0" w:firstColumn="0" w:lastColumn="0" w:oddVBand="0" w:evenVBand="0" w:oddHBand="0" w:evenHBand="0" w:firstRowFirstColumn="0" w:firstRowLastColumn="0" w:lastRowFirstColumn="0" w:lastRowLastColumn="0"/>
          </w:pPr>
          <w:r w:rsidRPr="00A65F53">
            <w:t xml:space="preserve">Page </w:t>
          </w:r>
          <w:r w:rsidRPr="00A65F53">
            <w:fldChar w:fldCharType="begin"/>
          </w:r>
          <w:r w:rsidRPr="00A65F53">
            <w:instrText xml:space="preserve"> PAGE  \* Arabic  \* MERGEFORMAT </w:instrText>
          </w:r>
          <w:r w:rsidRPr="00A65F53">
            <w:fldChar w:fldCharType="separate"/>
          </w:r>
          <w:r>
            <w:t>7</w:t>
          </w:r>
          <w:r w:rsidRPr="00A65F53">
            <w:fldChar w:fldCharType="end"/>
          </w:r>
          <w:r w:rsidRPr="00A65F53">
            <w:t xml:space="preserve"> of </w:t>
          </w:r>
          <w:fldSimple w:instr=" NUMPAGES  \* Arabic  \* MERGEFORMAT ">
            <w:r>
              <w:t>14</w:t>
            </w:r>
          </w:fldSimple>
        </w:p>
      </w:tc>
    </w:tr>
  </w:tbl>
  <w:p w14:paraId="55D0E393" w14:textId="77777777" w:rsidR="00115496" w:rsidRDefault="00115496" w:rsidP="00115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54D29" w14:textId="77777777" w:rsidR="00957504" w:rsidRDefault="00957504" w:rsidP="00577A39">
      <w:pPr>
        <w:spacing w:after="40"/>
      </w:pPr>
      <w:r>
        <w:separator/>
      </w:r>
    </w:p>
  </w:footnote>
  <w:footnote w:type="continuationSeparator" w:id="0">
    <w:p w14:paraId="019FB2C4" w14:textId="77777777" w:rsidR="00957504" w:rsidRDefault="00957504" w:rsidP="00EA2130">
      <w:r>
        <w:continuationSeparator/>
      </w:r>
    </w:p>
  </w:footnote>
  <w:footnote w:type="continuationNotice" w:id="1">
    <w:p w14:paraId="31F0FC02" w14:textId="77777777" w:rsidR="00957504" w:rsidRDefault="00957504">
      <w:pPr>
        <w:spacing w:after="0"/>
      </w:pPr>
    </w:p>
  </w:footnote>
  <w:footnote w:id="2">
    <w:p w14:paraId="15C1E470" w14:textId="77777777" w:rsidR="00F01269" w:rsidRDefault="00F01269" w:rsidP="00F01269">
      <w:pPr>
        <w:pStyle w:val="FootnoteText"/>
      </w:pPr>
      <w:r>
        <w:rPr>
          <w:rStyle w:val="FootnoteReference"/>
        </w:rPr>
        <w:footnoteRef/>
      </w:r>
      <w:r>
        <w:t xml:space="preserve"> </w:t>
      </w:r>
      <w:r w:rsidRPr="00395191">
        <w:t>melbourne.vic.gov.au/</w:t>
      </w:r>
      <w:proofErr w:type="gramStart"/>
      <w:r w:rsidRPr="00395191">
        <w:t>invest</w:t>
      </w:r>
      <w:proofErr w:type="gramEnd"/>
    </w:p>
  </w:footnote>
  <w:footnote w:id="3">
    <w:p w14:paraId="4A655EEC" w14:textId="77777777" w:rsidR="00F01269" w:rsidRDefault="00F01269" w:rsidP="00F01269">
      <w:pPr>
        <w:pStyle w:val="FootnoteText"/>
      </w:pPr>
      <w:r>
        <w:rPr>
          <w:rStyle w:val="FootnoteReference"/>
        </w:rPr>
        <w:footnoteRef/>
      </w:r>
      <w:r>
        <w:t xml:space="preserve"> </w:t>
      </w:r>
      <w:r w:rsidRPr="00395191">
        <w:t>melbourne.vic.gov.au/international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5" w15:restartNumberingAfterBreak="0">
    <w:nsid w:val="2A2B5D1C"/>
    <w:multiLevelType w:val="multilevel"/>
    <w:tmpl w:val="16506B6C"/>
    <w:numStyleLink w:val="ListNumbers"/>
  </w:abstractNum>
  <w:abstractNum w:abstractNumId="6"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C10957"/>
    <w:multiLevelType w:val="multilevel"/>
    <w:tmpl w:val="16506B6C"/>
    <w:numStyleLink w:val="ListNumbers"/>
  </w:abstractNum>
  <w:abstractNum w:abstractNumId="8" w15:restartNumberingAfterBreak="0">
    <w:nsid w:val="5DF7164E"/>
    <w:multiLevelType w:val="hybridMultilevel"/>
    <w:tmpl w:val="C9FAFFEA"/>
    <w:lvl w:ilvl="0" w:tplc="781071EC">
      <w:numFmt w:val="bullet"/>
      <w:lvlText w:val="•"/>
      <w:lvlJc w:val="left"/>
      <w:pPr>
        <w:ind w:left="443" w:hanging="284"/>
      </w:pPr>
      <w:rPr>
        <w:rFonts w:ascii="Century Gothic" w:eastAsia="Century Gothic" w:hAnsi="Century Gothic" w:cs="Century Gothic" w:hint="default"/>
        <w:b w:val="0"/>
        <w:bCs w:val="0"/>
        <w:i w:val="0"/>
        <w:iCs w:val="0"/>
        <w:color w:val="231F20"/>
        <w:spacing w:val="0"/>
        <w:w w:val="78"/>
        <w:sz w:val="16"/>
        <w:szCs w:val="16"/>
        <w:lang w:val="en-US" w:eastAsia="en-US" w:bidi="ar-SA"/>
      </w:rPr>
    </w:lvl>
    <w:lvl w:ilvl="1" w:tplc="C7DA79CC">
      <w:numFmt w:val="bullet"/>
      <w:lvlText w:val="•"/>
      <w:lvlJc w:val="left"/>
      <w:pPr>
        <w:ind w:left="917" w:hanging="284"/>
      </w:pPr>
      <w:rPr>
        <w:rFonts w:hint="default"/>
        <w:lang w:val="en-US" w:eastAsia="en-US" w:bidi="ar-SA"/>
      </w:rPr>
    </w:lvl>
    <w:lvl w:ilvl="2" w:tplc="269A477E">
      <w:numFmt w:val="bullet"/>
      <w:lvlText w:val="•"/>
      <w:lvlJc w:val="left"/>
      <w:pPr>
        <w:ind w:left="1395" w:hanging="284"/>
      </w:pPr>
      <w:rPr>
        <w:rFonts w:hint="default"/>
        <w:lang w:val="en-US" w:eastAsia="en-US" w:bidi="ar-SA"/>
      </w:rPr>
    </w:lvl>
    <w:lvl w:ilvl="3" w:tplc="1BEECB28">
      <w:numFmt w:val="bullet"/>
      <w:lvlText w:val="•"/>
      <w:lvlJc w:val="left"/>
      <w:pPr>
        <w:ind w:left="1873" w:hanging="284"/>
      </w:pPr>
      <w:rPr>
        <w:rFonts w:hint="default"/>
        <w:lang w:val="en-US" w:eastAsia="en-US" w:bidi="ar-SA"/>
      </w:rPr>
    </w:lvl>
    <w:lvl w:ilvl="4" w:tplc="73FE6E06">
      <w:numFmt w:val="bullet"/>
      <w:lvlText w:val="•"/>
      <w:lvlJc w:val="left"/>
      <w:pPr>
        <w:ind w:left="2350" w:hanging="284"/>
      </w:pPr>
      <w:rPr>
        <w:rFonts w:hint="default"/>
        <w:lang w:val="en-US" w:eastAsia="en-US" w:bidi="ar-SA"/>
      </w:rPr>
    </w:lvl>
    <w:lvl w:ilvl="5" w:tplc="48CC1E1E">
      <w:numFmt w:val="bullet"/>
      <w:lvlText w:val="•"/>
      <w:lvlJc w:val="left"/>
      <w:pPr>
        <w:ind w:left="2828" w:hanging="284"/>
      </w:pPr>
      <w:rPr>
        <w:rFonts w:hint="default"/>
        <w:lang w:val="en-US" w:eastAsia="en-US" w:bidi="ar-SA"/>
      </w:rPr>
    </w:lvl>
    <w:lvl w:ilvl="6" w:tplc="D172BA20">
      <w:numFmt w:val="bullet"/>
      <w:lvlText w:val="•"/>
      <w:lvlJc w:val="left"/>
      <w:pPr>
        <w:ind w:left="3306" w:hanging="284"/>
      </w:pPr>
      <w:rPr>
        <w:rFonts w:hint="default"/>
        <w:lang w:val="en-US" w:eastAsia="en-US" w:bidi="ar-SA"/>
      </w:rPr>
    </w:lvl>
    <w:lvl w:ilvl="7" w:tplc="E8F0E344">
      <w:numFmt w:val="bullet"/>
      <w:lvlText w:val="•"/>
      <w:lvlJc w:val="left"/>
      <w:pPr>
        <w:ind w:left="3784" w:hanging="284"/>
      </w:pPr>
      <w:rPr>
        <w:rFonts w:hint="default"/>
        <w:lang w:val="en-US" w:eastAsia="en-US" w:bidi="ar-SA"/>
      </w:rPr>
    </w:lvl>
    <w:lvl w:ilvl="8" w:tplc="440E614E">
      <w:numFmt w:val="bullet"/>
      <w:lvlText w:val="•"/>
      <w:lvlJc w:val="left"/>
      <w:pPr>
        <w:ind w:left="4261" w:hanging="284"/>
      </w:pPr>
      <w:rPr>
        <w:rFonts w:hint="default"/>
        <w:lang w:val="en-US" w:eastAsia="en-US" w:bidi="ar-SA"/>
      </w:rPr>
    </w:lvl>
  </w:abstractNum>
  <w:abstractNum w:abstractNumId="9"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D352CB"/>
    <w:multiLevelType w:val="multilevel"/>
    <w:tmpl w:val="0F98978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1134" w:hanging="340"/>
      </w:pPr>
      <w:rPr>
        <w:rFonts w:hint="default"/>
      </w:rPr>
    </w:lvl>
    <w:lvl w:ilvl="4">
      <w:start w:val="1"/>
      <w:numFmt w:val="lowerRoman"/>
      <w:lvlText w:val="(%5)"/>
      <w:lvlJc w:val="right"/>
      <w:pPr>
        <w:ind w:left="1418" w:hanging="11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E1209CA"/>
    <w:multiLevelType w:val="multilevel"/>
    <w:tmpl w:val="16506B6C"/>
    <w:numStyleLink w:val="ListNumbers"/>
  </w:abstractNum>
  <w:abstractNum w:abstractNumId="12" w15:restartNumberingAfterBreak="0">
    <w:nsid w:val="7A2C43DC"/>
    <w:multiLevelType w:val="multilevel"/>
    <w:tmpl w:val="16506B6C"/>
    <w:numStyleLink w:val="ListNumbers"/>
  </w:abstractNum>
  <w:abstractNum w:abstractNumId="13" w15:restartNumberingAfterBreak="0">
    <w:nsid w:val="7DD1201F"/>
    <w:multiLevelType w:val="multilevel"/>
    <w:tmpl w:val="D5B4D112"/>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2023316704">
    <w:abstractNumId w:val="3"/>
  </w:num>
  <w:num w:numId="2" w16cid:durableId="646595089">
    <w:abstractNumId w:val="4"/>
  </w:num>
  <w:num w:numId="3" w16cid:durableId="1633247767">
    <w:abstractNumId w:val="12"/>
  </w:num>
  <w:num w:numId="4" w16cid:durableId="1427454918">
    <w:abstractNumId w:val="0"/>
  </w:num>
  <w:num w:numId="5" w16cid:durableId="1898860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5807731">
    <w:abstractNumId w:val="5"/>
  </w:num>
  <w:num w:numId="7" w16cid:durableId="21005665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479596">
    <w:abstractNumId w:val="11"/>
  </w:num>
  <w:num w:numId="9" w16cid:durableId="1272862922">
    <w:abstractNumId w:val="7"/>
  </w:num>
  <w:num w:numId="10" w16cid:durableId="4719441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9170973">
    <w:abstractNumId w:val="1"/>
  </w:num>
  <w:num w:numId="12" w16cid:durableId="18432650">
    <w:abstractNumId w:val="6"/>
  </w:num>
  <w:num w:numId="13" w16cid:durableId="217591763">
    <w:abstractNumId w:val="9"/>
  </w:num>
  <w:num w:numId="14" w16cid:durableId="665789171">
    <w:abstractNumId w:val="13"/>
  </w:num>
  <w:num w:numId="15" w16cid:durableId="1312118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70796">
    <w:abstractNumId w:val="2"/>
  </w:num>
  <w:num w:numId="17" w16cid:durableId="1074350741">
    <w:abstractNumId w:val="10"/>
  </w:num>
  <w:num w:numId="18" w16cid:durableId="178467824">
    <w:abstractNumId w:val="3"/>
  </w:num>
  <w:num w:numId="19" w16cid:durableId="1170751074">
    <w:abstractNumId w:val="13"/>
  </w:num>
  <w:num w:numId="20" w16cid:durableId="163775969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14D"/>
    <w:rsid w:val="00004672"/>
    <w:rsid w:val="00004E7E"/>
    <w:rsid w:val="0000577B"/>
    <w:rsid w:val="00020B35"/>
    <w:rsid w:val="000350AB"/>
    <w:rsid w:val="00035B7D"/>
    <w:rsid w:val="000437C5"/>
    <w:rsid w:val="000474AE"/>
    <w:rsid w:val="00071857"/>
    <w:rsid w:val="000A180F"/>
    <w:rsid w:val="000A2BDA"/>
    <w:rsid w:val="000A48D5"/>
    <w:rsid w:val="000B5EAA"/>
    <w:rsid w:val="000B6ABC"/>
    <w:rsid w:val="000C2BE7"/>
    <w:rsid w:val="000D2759"/>
    <w:rsid w:val="000D54E3"/>
    <w:rsid w:val="000F3535"/>
    <w:rsid w:val="00115496"/>
    <w:rsid w:val="00142540"/>
    <w:rsid w:val="00143CDF"/>
    <w:rsid w:val="00150BD3"/>
    <w:rsid w:val="00151C8B"/>
    <w:rsid w:val="0015293A"/>
    <w:rsid w:val="00155A3B"/>
    <w:rsid w:val="001561BE"/>
    <w:rsid w:val="00156C57"/>
    <w:rsid w:val="001756C0"/>
    <w:rsid w:val="001770E6"/>
    <w:rsid w:val="00190B0E"/>
    <w:rsid w:val="0019405A"/>
    <w:rsid w:val="001A3D7B"/>
    <w:rsid w:val="001B51BF"/>
    <w:rsid w:val="001E2174"/>
    <w:rsid w:val="001F46B4"/>
    <w:rsid w:val="001F554D"/>
    <w:rsid w:val="002122DA"/>
    <w:rsid w:val="002222F2"/>
    <w:rsid w:val="0023063B"/>
    <w:rsid w:val="002336FF"/>
    <w:rsid w:val="002436A6"/>
    <w:rsid w:val="002438B7"/>
    <w:rsid w:val="0024773F"/>
    <w:rsid w:val="002607C9"/>
    <w:rsid w:val="002730DA"/>
    <w:rsid w:val="0028125A"/>
    <w:rsid w:val="002B7DEB"/>
    <w:rsid w:val="002D57C6"/>
    <w:rsid w:val="002D630D"/>
    <w:rsid w:val="002E4153"/>
    <w:rsid w:val="002F244A"/>
    <w:rsid w:val="002F47B6"/>
    <w:rsid w:val="002F6285"/>
    <w:rsid w:val="002F6A88"/>
    <w:rsid w:val="00323A29"/>
    <w:rsid w:val="00327185"/>
    <w:rsid w:val="003336F3"/>
    <w:rsid w:val="003348B0"/>
    <w:rsid w:val="0035668A"/>
    <w:rsid w:val="00380F44"/>
    <w:rsid w:val="00392688"/>
    <w:rsid w:val="003953F1"/>
    <w:rsid w:val="003A0024"/>
    <w:rsid w:val="003A6195"/>
    <w:rsid w:val="003D0324"/>
    <w:rsid w:val="003D63A8"/>
    <w:rsid w:val="003E3A9F"/>
    <w:rsid w:val="00407429"/>
    <w:rsid w:val="00426584"/>
    <w:rsid w:val="00431D45"/>
    <w:rsid w:val="004564F4"/>
    <w:rsid w:val="00457042"/>
    <w:rsid w:val="00461810"/>
    <w:rsid w:val="00463458"/>
    <w:rsid w:val="00473A4B"/>
    <w:rsid w:val="00481650"/>
    <w:rsid w:val="004878DB"/>
    <w:rsid w:val="00493E0A"/>
    <w:rsid w:val="00494A2D"/>
    <w:rsid w:val="004967D0"/>
    <w:rsid w:val="004A26E3"/>
    <w:rsid w:val="004C04C8"/>
    <w:rsid w:val="004C604C"/>
    <w:rsid w:val="004D00DD"/>
    <w:rsid w:val="004E1ECE"/>
    <w:rsid w:val="004E7487"/>
    <w:rsid w:val="004F54F5"/>
    <w:rsid w:val="005147E0"/>
    <w:rsid w:val="00534DBE"/>
    <w:rsid w:val="00535159"/>
    <w:rsid w:val="0053666A"/>
    <w:rsid w:val="00560AEF"/>
    <w:rsid w:val="005620A0"/>
    <w:rsid w:val="0056634E"/>
    <w:rsid w:val="0057264C"/>
    <w:rsid w:val="0057273E"/>
    <w:rsid w:val="00577A39"/>
    <w:rsid w:val="005814F5"/>
    <w:rsid w:val="005A7D8E"/>
    <w:rsid w:val="005D30BA"/>
    <w:rsid w:val="005E2D63"/>
    <w:rsid w:val="005F4391"/>
    <w:rsid w:val="0061072B"/>
    <w:rsid w:val="006316F1"/>
    <w:rsid w:val="00632BF8"/>
    <w:rsid w:val="00676C6B"/>
    <w:rsid w:val="00687D4A"/>
    <w:rsid w:val="006915C1"/>
    <w:rsid w:val="006A2F63"/>
    <w:rsid w:val="006A3718"/>
    <w:rsid w:val="006B0C3F"/>
    <w:rsid w:val="006B7713"/>
    <w:rsid w:val="006C7F7B"/>
    <w:rsid w:val="006D282F"/>
    <w:rsid w:val="006D790C"/>
    <w:rsid w:val="006E6A90"/>
    <w:rsid w:val="00700CF5"/>
    <w:rsid w:val="00711608"/>
    <w:rsid w:val="00712950"/>
    <w:rsid w:val="00715B3E"/>
    <w:rsid w:val="00720097"/>
    <w:rsid w:val="0073401D"/>
    <w:rsid w:val="007361D8"/>
    <w:rsid w:val="00737A99"/>
    <w:rsid w:val="007479DF"/>
    <w:rsid w:val="00764442"/>
    <w:rsid w:val="00781704"/>
    <w:rsid w:val="00782E37"/>
    <w:rsid w:val="0078505D"/>
    <w:rsid w:val="00795B77"/>
    <w:rsid w:val="007A0AA6"/>
    <w:rsid w:val="007D0983"/>
    <w:rsid w:val="007D10B5"/>
    <w:rsid w:val="007E1AB9"/>
    <w:rsid w:val="007E291E"/>
    <w:rsid w:val="007F0661"/>
    <w:rsid w:val="007F6293"/>
    <w:rsid w:val="00802A52"/>
    <w:rsid w:val="00804819"/>
    <w:rsid w:val="00806F0F"/>
    <w:rsid w:val="00814D2B"/>
    <w:rsid w:val="00831224"/>
    <w:rsid w:val="0084351E"/>
    <w:rsid w:val="00850D66"/>
    <w:rsid w:val="00855F84"/>
    <w:rsid w:val="00881C97"/>
    <w:rsid w:val="00884A2D"/>
    <w:rsid w:val="00887116"/>
    <w:rsid w:val="008B08B4"/>
    <w:rsid w:val="008B36F8"/>
    <w:rsid w:val="008B4389"/>
    <w:rsid w:val="008B5C8B"/>
    <w:rsid w:val="008B6460"/>
    <w:rsid w:val="008C3055"/>
    <w:rsid w:val="008C7075"/>
    <w:rsid w:val="008D2DDA"/>
    <w:rsid w:val="008E2476"/>
    <w:rsid w:val="008E333E"/>
    <w:rsid w:val="009043FC"/>
    <w:rsid w:val="009050C6"/>
    <w:rsid w:val="0091365A"/>
    <w:rsid w:val="0093479E"/>
    <w:rsid w:val="00946C71"/>
    <w:rsid w:val="00947DF3"/>
    <w:rsid w:val="00955E32"/>
    <w:rsid w:val="00957504"/>
    <w:rsid w:val="0097181E"/>
    <w:rsid w:val="00990B3C"/>
    <w:rsid w:val="00992A47"/>
    <w:rsid w:val="00997A06"/>
    <w:rsid w:val="009A3D7C"/>
    <w:rsid w:val="009B215B"/>
    <w:rsid w:val="009B2F87"/>
    <w:rsid w:val="009D1FBA"/>
    <w:rsid w:val="009F3A54"/>
    <w:rsid w:val="009F4681"/>
    <w:rsid w:val="00A01D13"/>
    <w:rsid w:val="00A121B3"/>
    <w:rsid w:val="00A55773"/>
    <w:rsid w:val="00A64814"/>
    <w:rsid w:val="00A80E1E"/>
    <w:rsid w:val="00A82B0F"/>
    <w:rsid w:val="00A8651A"/>
    <w:rsid w:val="00AA2223"/>
    <w:rsid w:val="00AA4303"/>
    <w:rsid w:val="00AA6E1F"/>
    <w:rsid w:val="00AB6132"/>
    <w:rsid w:val="00AD2B6E"/>
    <w:rsid w:val="00AF02E0"/>
    <w:rsid w:val="00AF1D3D"/>
    <w:rsid w:val="00AF1F32"/>
    <w:rsid w:val="00AF7367"/>
    <w:rsid w:val="00B04ED0"/>
    <w:rsid w:val="00B152AF"/>
    <w:rsid w:val="00B16D06"/>
    <w:rsid w:val="00B20411"/>
    <w:rsid w:val="00B369D6"/>
    <w:rsid w:val="00B36B59"/>
    <w:rsid w:val="00B53D5A"/>
    <w:rsid w:val="00B5451D"/>
    <w:rsid w:val="00B61F7F"/>
    <w:rsid w:val="00B717B1"/>
    <w:rsid w:val="00B71DFA"/>
    <w:rsid w:val="00B93B1F"/>
    <w:rsid w:val="00BA1D4B"/>
    <w:rsid w:val="00BB2440"/>
    <w:rsid w:val="00BB3942"/>
    <w:rsid w:val="00BC07D5"/>
    <w:rsid w:val="00BC5E8E"/>
    <w:rsid w:val="00BC684A"/>
    <w:rsid w:val="00BC719D"/>
    <w:rsid w:val="00BD7739"/>
    <w:rsid w:val="00BE100F"/>
    <w:rsid w:val="00BE1269"/>
    <w:rsid w:val="00BE4B49"/>
    <w:rsid w:val="00BE514D"/>
    <w:rsid w:val="00BE6801"/>
    <w:rsid w:val="00C0291B"/>
    <w:rsid w:val="00C038FB"/>
    <w:rsid w:val="00C05740"/>
    <w:rsid w:val="00C07190"/>
    <w:rsid w:val="00C10F1D"/>
    <w:rsid w:val="00C14F9F"/>
    <w:rsid w:val="00C16280"/>
    <w:rsid w:val="00C2005B"/>
    <w:rsid w:val="00C2007C"/>
    <w:rsid w:val="00C201DA"/>
    <w:rsid w:val="00C37F6A"/>
    <w:rsid w:val="00C42412"/>
    <w:rsid w:val="00C73DA2"/>
    <w:rsid w:val="00C75AAF"/>
    <w:rsid w:val="00CA3730"/>
    <w:rsid w:val="00CB6145"/>
    <w:rsid w:val="00CD0933"/>
    <w:rsid w:val="00CD382D"/>
    <w:rsid w:val="00CE6744"/>
    <w:rsid w:val="00D00427"/>
    <w:rsid w:val="00D02C4A"/>
    <w:rsid w:val="00D21DEA"/>
    <w:rsid w:val="00D31981"/>
    <w:rsid w:val="00D37D9F"/>
    <w:rsid w:val="00D73EB2"/>
    <w:rsid w:val="00D77363"/>
    <w:rsid w:val="00D77E4F"/>
    <w:rsid w:val="00DB02B9"/>
    <w:rsid w:val="00DB0566"/>
    <w:rsid w:val="00DD10CD"/>
    <w:rsid w:val="00E15D62"/>
    <w:rsid w:val="00E166A9"/>
    <w:rsid w:val="00E375FD"/>
    <w:rsid w:val="00E4646D"/>
    <w:rsid w:val="00E47E70"/>
    <w:rsid w:val="00E5089C"/>
    <w:rsid w:val="00E80440"/>
    <w:rsid w:val="00E86DCD"/>
    <w:rsid w:val="00E9272A"/>
    <w:rsid w:val="00E94A1C"/>
    <w:rsid w:val="00EA2130"/>
    <w:rsid w:val="00EA4465"/>
    <w:rsid w:val="00EB6F54"/>
    <w:rsid w:val="00EC4AF9"/>
    <w:rsid w:val="00ED7629"/>
    <w:rsid w:val="00EF11AE"/>
    <w:rsid w:val="00F01269"/>
    <w:rsid w:val="00F03DF7"/>
    <w:rsid w:val="00F07FBE"/>
    <w:rsid w:val="00F16243"/>
    <w:rsid w:val="00F24B46"/>
    <w:rsid w:val="00F4048D"/>
    <w:rsid w:val="00F41FC6"/>
    <w:rsid w:val="00F44DC5"/>
    <w:rsid w:val="00F61B69"/>
    <w:rsid w:val="00F63593"/>
    <w:rsid w:val="00F83261"/>
    <w:rsid w:val="00FA2DFF"/>
    <w:rsid w:val="00FB10EA"/>
    <w:rsid w:val="00FB6C36"/>
    <w:rsid w:val="00FC34DF"/>
    <w:rsid w:val="00FC6D23"/>
    <w:rsid w:val="00FD459C"/>
    <w:rsid w:val="00FE4BC3"/>
    <w:rsid w:val="00FE5B1F"/>
    <w:rsid w:val="00FF1497"/>
    <w:rsid w:val="00FF322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13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DEA"/>
    <w:pPr>
      <w:spacing w:after="200" w:line="276" w:lineRule="auto"/>
    </w:pPr>
    <w:rPr>
      <w:rFonts w:ascii="Arial" w:hAnsi="Arial"/>
      <w:szCs w:val="24"/>
      <w:lang w:eastAsia="en-US"/>
    </w:rPr>
  </w:style>
  <w:style w:type="paragraph" w:styleId="Heading1">
    <w:name w:val="heading 1"/>
    <w:next w:val="Normal"/>
    <w:link w:val="Heading1Char"/>
    <w:uiPriority w:val="9"/>
    <w:qFormat/>
    <w:rsid w:val="007F6293"/>
    <w:pPr>
      <w:keepNext/>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uiPriority w:val="9"/>
    <w:qFormat/>
    <w:rsid w:val="007F6293"/>
    <w:pPr>
      <w:keepNext/>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uiPriority w:val="9"/>
    <w:qFormat/>
    <w:rsid w:val="007F6293"/>
    <w:pPr>
      <w:spacing w:before="280" w:after="160"/>
      <w:outlineLvl w:val="2"/>
    </w:pPr>
    <w:rPr>
      <w:bCs w:val="0"/>
      <w:sz w:val="22"/>
    </w:rPr>
  </w:style>
  <w:style w:type="paragraph" w:styleId="Heading4">
    <w:name w:val="heading 4"/>
    <w:basedOn w:val="Heading3"/>
    <w:next w:val="Normal"/>
    <w:link w:val="Heading4Char"/>
    <w:rsid w:val="007F6293"/>
    <w:pPr>
      <w:spacing w:before="200" w:after="120"/>
      <w:outlineLvl w:val="3"/>
    </w:pPr>
    <w:rPr>
      <w:rFonts w:eastAsia="MS Mincho"/>
      <w:bCs/>
      <w:sz w:val="20"/>
      <w:szCs w:val="28"/>
    </w:rPr>
  </w:style>
  <w:style w:type="paragraph" w:styleId="Heading5">
    <w:name w:val="heading 5"/>
    <w:basedOn w:val="Heading4"/>
    <w:next w:val="Normal"/>
    <w:link w:val="Heading5Char"/>
    <w:rsid w:val="007F6293"/>
    <w:pPr>
      <w:spacing w:after="80"/>
      <w:outlineLvl w:val="4"/>
    </w:pPr>
    <w:rPr>
      <w:rFonts w:ascii="Arial" w:hAnsi="Arial"/>
      <w:bCs w:val="0"/>
      <w:iCs/>
      <w:szCs w:val="26"/>
    </w:rPr>
  </w:style>
  <w:style w:type="paragraph" w:styleId="Heading6">
    <w:name w:val="heading 6"/>
    <w:basedOn w:val="Normal"/>
    <w:next w:val="Normal"/>
    <w:link w:val="Heading6Char"/>
    <w:uiPriority w:val="9"/>
    <w:qFormat/>
    <w:rsid w:val="007F6293"/>
    <w:pPr>
      <w:spacing w:before="240" w:after="60"/>
      <w:outlineLvl w:val="5"/>
    </w:pPr>
    <w:rPr>
      <w:bCs/>
      <w:szCs w:val="22"/>
    </w:rPr>
  </w:style>
  <w:style w:type="paragraph" w:styleId="Heading7">
    <w:name w:val="heading 7"/>
    <w:basedOn w:val="Normal"/>
    <w:next w:val="Normal"/>
    <w:link w:val="Heading7Char"/>
    <w:uiPriority w:val="9"/>
    <w:qFormat/>
    <w:rsid w:val="007F6293"/>
    <w:pPr>
      <w:spacing w:before="240" w:after="60"/>
      <w:outlineLvl w:val="6"/>
    </w:pPr>
  </w:style>
  <w:style w:type="paragraph" w:styleId="Heading8">
    <w:name w:val="heading 8"/>
    <w:basedOn w:val="Normal"/>
    <w:next w:val="Normal"/>
    <w:link w:val="Heading8Char"/>
    <w:uiPriority w:val="9"/>
    <w:semiHidden/>
    <w:unhideWhenUsed/>
    <w:qFormat/>
    <w:rsid w:val="007F629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629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F6293"/>
    <w:rPr>
      <w:rFonts w:ascii="Arial Bold" w:eastAsia="MS Gothic" w:hAnsi="Arial Bold"/>
      <w:bCs/>
      <w:sz w:val="28"/>
      <w:szCs w:val="32"/>
      <w:lang w:val="en-US" w:eastAsia="en-US"/>
    </w:rPr>
  </w:style>
  <w:style w:type="character" w:customStyle="1" w:styleId="Heading2Char">
    <w:name w:val="Heading 2 Char"/>
    <w:link w:val="Heading2"/>
    <w:uiPriority w:val="9"/>
    <w:rsid w:val="007F6293"/>
    <w:rPr>
      <w:rFonts w:ascii="Arial Bold" w:eastAsia="MS Gothic" w:hAnsi="Arial Bold"/>
      <w:bCs/>
      <w:sz w:val="24"/>
      <w:szCs w:val="26"/>
      <w:lang w:val="en-US" w:eastAsia="en-US"/>
    </w:rPr>
  </w:style>
  <w:style w:type="character" w:customStyle="1" w:styleId="Heading3Char">
    <w:name w:val="Heading 3 Char"/>
    <w:link w:val="Heading3"/>
    <w:uiPriority w:val="9"/>
    <w:rsid w:val="007F6293"/>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7F6293"/>
    <w:rPr>
      <w:rFonts w:ascii="Lucida Grande" w:hAnsi="Lucida Grande"/>
      <w:sz w:val="18"/>
      <w:szCs w:val="18"/>
    </w:rPr>
  </w:style>
  <w:style w:type="character" w:customStyle="1" w:styleId="BalloonTextChar">
    <w:name w:val="Balloon Text Char"/>
    <w:link w:val="BalloonText"/>
    <w:uiPriority w:val="99"/>
    <w:semiHidden/>
    <w:rsid w:val="007F6293"/>
    <w:rPr>
      <w:rFonts w:ascii="Lucida Grande" w:hAnsi="Lucida Grande"/>
      <w:sz w:val="18"/>
      <w:szCs w:val="18"/>
      <w:lang w:eastAsia="en-US"/>
    </w:rPr>
  </w:style>
  <w:style w:type="paragraph" w:styleId="Footer">
    <w:name w:val="footer"/>
    <w:basedOn w:val="Normal"/>
    <w:link w:val="FooterChar"/>
    <w:uiPriority w:val="99"/>
    <w:unhideWhenUsed/>
    <w:rsid w:val="007F6293"/>
    <w:pPr>
      <w:tabs>
        <w:tab w:val="center" w:pos="4320"/>
        <w:tab w:val="right" w:pos="8640"/>
      </w:tabs>
      <w:spacing w:after="0"/>
    </w:pPr>
    <w:rPr>
      <w:sz w:val="18"/>
    </w:rPr>
  </w:style>
  <w:style w:type="character" w:customStyle="1" w:styleId="FooterChar">
    <w:name w:val="Footer Char"/>
    <w:link w:val="Footer"/>
    <w:uiPriority w:val="99"/>
    <w:rsid w:val="007F6293"/>
    <w:rPr>
      <w:rFonts w:ascii="Arial" w:hAnsi="Arial"/>
      <w:sz w:val="18"/>
      <w:szCs w:val="24"/>
      <w:lang w:eastAsia="en-US"/>
    </w:rPr>
  </w:style>
  <w:style w:type="table" w:styleId="TableGrid">
    <w:name w:val="Table Grid"/>
    <w:basedOn w:val="TableNormal"/>
    <w:uiPriority w:val="39"/>
    <w:rsid w:val="007F6293"/>
    <w:pPr>
      <w:spacing w:before="60" w:after="60"/>
    </w:pPr>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rPr>
      <w:tblPr/>
      <w:trPr>
        <w:cantSplit/>
        <w:tblHeader/>
      </w:trPr>
    </w:tblStylePr>
    <w:tblStylePr w:type="firstCol">
      <w:rPr>
        <w:b/>
      </w:rPr>
    </w:tblStylePr>
  </w:style>
  <w:style w:type="paragraph" w:styleId="DocumentMap">
    <w:name w:val="Document Map"/>
    <w:basedOn w:val="Normal"/>
    <w:link w:val="DocumentMapChar"/>
    <w:uiPriority w:val="99"/>
    <w:unhideWhenUsed/>
    <w:rsid w:val="007F6293"/>
    <w:rPr>
      <w:rFonts w:ascii="Lucida Grande" w:hAnsi="Lucida Grande" w:cs="Lucida Grande"/>
    </w:rPr>
  </w:style>
  <w:style w:type="character" w:customStyle="1" w:styleId="DocumentMapChar">
    <w:name w:val="Document Map Char"/>
    <w:link w:val="DocumentMap"/>
    <w:uiPriority w:val="99"/>
    <w:rsid w:val="007F6293"/>
    <w:rPr>
      <w:rFonts w:ascii="Lucida Grande" w:hAnsi="Lucida Grande" w:cs="Lucida Grande"/>
      <w:szCs w:val="24"/>
      <w:lang w:eastAsia="en-US"/>
    </w:rPr>
  </w:style>
  <w:style w:type="paragraph" w:styleId="TOCHeading">
    <w:name w:val="TOC Heading"/>
    <w:basedOn w:val="Heading1"/>
    <w:next w:val="TOC1"/>
    <w:uiPriority w:val="39"/>
    <w:qFormat/>
    <w:rsid w:val="007F6293"/>
    <w:pPr>
      <w:outlineLvl w:val="9"/>
    </w:pPr>
    <w:rPr>
      <w:bCs w:val="0"/>
    </w:rPr>
  </w:style>
  <w:style w:type="paragraph" w:styleId="TOC1">
    <w:name w:val="toc 1"/>
    <w:basedOn w:val="Normal"/>
    <w:next w:val="Normal"/>
    <w:uiPriority w:val="39"/>
    <w:rsid w:val="007F6293"/>
    <w:pPr>
      <w:spacing w:after="120"/>
    </w:pPr>
  </w:style>
  <w:style w:type="character" w:customStyle="1" w:styleId="ItalicText">
    <w:name w:val="Italic Text"/>
    <w:qFormat/>
    <w:rsid w:val="007F6293"/>
    <w:rPr>
      <w:rFonts w:ascii="Arial" w:hAnsi="Arial"/>
      <w:i/>
      <w:sz w:val="20"/>
    </w:rPr>
  </w:style>
  <w:style w:type="paragraph" w:styleId="Header">
    <w:name w:val="header"/>
    <w:basedOn w:val="Normal"/>
    <w:next w:val="Normal"/>
    <w:link w:val="HeaderChar"/>
    <w:rsid w:val="007F6293"/>
    <w:pPr>
      <w:tabs>
        <w:tab w:val="center" w:pos="4513"/>
        <w:tab w:val="right" w:pos="9026"/>
      </w:tabs>
    </w:pPr>
  </w:style>
  <w:style w:type="character" w:customStyle="1" w:styleId="HeaderChar">
    <w:name w:val="Header Char"/>
    <w:link w:val="Header"/>
    <w:rsid w:val="007F6293"/>
    <w:rPr>
      <w:rFonts w:ascii="Arial" w:hAnsi="Arial"/>
      <w:szCs w:val="24"/>
      <w:lang w:eastAsia="en-US"/>
    </w:rPr>
  </w:style>
  <w:style w:type="paragraph" w:styleId="ListBullet">
    <w:name w:val="List Bullet"/>
    <w:basedOn w:val="Normal"/>
    <w:qFormat/>
    <w:rsid w:val="007F6293"/>
    <w:pPr>
      <w:numPr>
        <w:numId w:val="18"/>
      </w:numPr>
      <w:spacing w:after="120"/>
    </w:pPr>
    <w:rPr>
      <w:lang w:val="en-US"/>
    </w:rPr>
  </w:style>
  <w:style w:type="paragraph" w:styleId="EndnoteText">
    <w:name w:val="endnote text"/>
    <w:basedOn w:val="Normal"/>
    <w:link w:val="EndnoteTextChar"/>
    <w:rsid w:val="007F6293"/>
    <w:pPr>
      <w:spacing w:after="40"/>
    </w:pPr>
    <w:rPr>
      <w:sz w:val="16"/>
      <w:szCs w:val="20"/>
    </w:rPr>
  </w:style>
  <w:style w:type="character" w:customStyle="1" w:styleId="EndnoteTextChar">
    <w:name w:val="Endnote Text Char"/>
    <w:link w:val="EndnoteText"/>
    <w:rsid w:val="007F6293"/>
    <w:rPr>
      <w:rFonts w:ascii="Arial" w:hAnsi="Arial"/>
      <w:sz w:val="16"/>
      <w:lang w:eastAsia="en-US"/>
    </w:rPr>
  </w:style>
  <w:style w:type="character" w:styleId="EndnoteReference">
    <w:name w:val="endnote reference"/>
    <w:rsid w:val="007F6293"/>
    <w:rPr>
      <w:vertAlign w:val="superscript"/>
    </w:rPr>
  </w:style>
  <w:style w:type="paragraph" w:styleId="FootnoteText">
    <w:name w:val="footnote text"/>
    <w:basedOn w:val="Normal"/>
    <w:link w:val="FootnoteTextChar"/>
    <w:rsid w:val="007F6293"/>
    <w:pPr>
      <w:spacing w:after="0"/>
    </w:pPr>
    <w:rPr>
      <w:sz w:val="16"/>
      <w:szCs w:val="20"/>
    </w:rPr>
  </w:style>
  <w:style w:type="character" w:customStyle="1" w:styleId="FootnoteTextChar">
    <w:name w:val="Footnote Text Char"/>
    <w:link w:val="FootnoteText"/>
    <w:rsid w:val="007F6293"/>
    <w:rPr>
      <w:rFonts w:ascii="Arial" w:hAnsi="Arial"/>
      <w:sz w:val="16"/>
      <w:lang w:eastAsia="en-US"/>
    </w:rPr>
  </w:style>
  <w:style w:type="character" w:styleId="FootnoteReference">
    <w:name w:val="footnote reference"/>
    <w:rsid w:val="007F6293"/>
    <w:rPr>
      <w:vertAlign w:val="superscript"/>
    </w:rPr>
  </w:style>
  <w:style w:type="paragraph" w:styleId="ListNumber">
    <w:name w:val="List Number"/>
    <w:basedOn w:val="Normal"/>
    <w:qFormat/>
    <w:rsid w:val="007F6293"/>
    <w:pPr>
      <w:numPr>
        <w:numId w:val="19"/>
      </w:numPr>
      <w:spacing w:after="120"/>
    </w:pPr>
  </w:style>
  <w:style w:type="paragraph" w:styleId="ListNumber2">
    <w:name w:val="List Number 2"/>
    <w:basedOn w:val="ListNumber"/>
    <w:rsid w:val="007F6293"/>
    <w:pPr>
      <w:numPr>
        <w:ilvl w:val="1"/>
      </w:numPr>
    </w:pPr>
  </w:style>
  <w:style w:type="paragraph" w:styleId="TableofFigures">
    <w:name w:val="table of figures"/>
    <w:basedOn w:val="Normal"/>
    <w:qFormat/>
    <w:rsid w:val="007F6293"/>
    <w:pPr>
      <w:spacing w:after="0"/>
    </w:pPr>
    <w:rPr>
      <w:lang w:val="en-US"/>
    </w:rPr>
  </w:style>
  <w:style w:type="numbering" w:customStyle="1" w:styleId="ListBullets">
    <w:name w:val="ListBullets"/>
    <w:uiPriority w:val="99"/>
    <w:rsid w:val="007F6293"/>
    <w:pPr>
      <w:numPr>
        <w:numId w:val="1"/>
      </w:numPr>
    </w:pPr>
  </w:style>
  <w:style w:type="paragraph" w:styleId="ListBullet2">
    <w:name w:val="List Bullet 2"/>
    <w:basedOn w:val="Normal"/>
    <w:rsid w:val="007F6293"/>
    <w:pPr>
      <w:numPr>
        <w:ilvl w:val="1"/>
        <w:numId w:val="18"/>
      </w:numPr>
      <w:spacing w:after="120"/>
    </w:pPr>
    <w:rPr>
      <w:lang w:val="en-US"/>
    </w:rPr>
  </w:style>
  <w:style w:type="paragraph" w:styleId="ListParagraph">
    <w:name w:val="List Paragraph"/>
    <w:basedOn w:val="Normal"/>
    <w:rsid w:val="007F6293"/>
    <w:pPr>
      <w:numPr>
        <w:numId w:val="16"/>
      </w:numPr>
      <w:spacing w:after="120"/>
    </w:pPr>
    <w:rPr>
      <w:lang w:val="en-US"/>
    </w:rPr>
  </w:style>
  <w:style w:type="paragraph" w:styleId="ListBullet3">
    <w:name w:val="List Bullet 3"/>
    <w:basedOn w:val="Normal"/>
    <w:rsid w:val="007F6293"/>
    <w:pPr>
      <w:numPr>
        <w:ilvl w:val="2"/>
        <w:numId w:val="18"/>
      </w:numPr>
      <w:spacing w:after="120"/>
    </w:pPr>
  </w:style>
  <w:style w:type="paragraph" w:styleId="ListBullet4">
    <w:name w:val="List Bullet 4"/>
    <w:basedOn w:val="Normal"/>
    <w:rsid w:val="007F6293"/>
    <w:pPr>
      <w:numPr>
        <w:ilvl w:val="3"/>
        <w:numId w:val="18"/>
      </w:numPr>
      <w:spacing w:after="120"/>
    </w:pPr>
  </w:style>
  <w:style w:type="paragraph" w:styleId="ListBullet5">
    <w:name w:val="List Bullet 5"/>
    <w:basedOn w:val="Normal"/>
    <w:rsid w:val="007F6293"/>
    <w:pPr>
      <w:numPr>
        <w:ilvl w:val="4"/>
        <w:numId w:val="18"/>
      </w:numPr>
      <w:spacing w:after="120"/>
    </w:pPr>
  </w:style>
  <w:style w:type="paragraph" w:styleId="ListNumber3">
    <w:name w:val="List Number 3"/>
    <w:basedOn w:val="Normal"/>
    <w:rsid w:val="007F6293"/>
    <w:pPr>
      <w:numPr>
        <w:ilvl w:val="2"/>
        <w:numId w:val="19"/>
      </w:numPr>
      <w:spacing w:after="120"/>
    </w:pPr>
  </w:style>
  <w:style w:type="paragraph" w:styleId="ListNumber4">
    <w:name w:val="List Number 4"/>
    <w:basedOn w:val="Normal"/>
    <w:rsid w:val="007F6293"/>
    <w:pPr>
      <w:numPr>
        <w:ilvl w:val="3"/>
        <w:numId w:val="19"/>
      </w:numPr>
      <w:spacing w:after="120"/>
    </w:pPr>
  </w:style>
  <w:style w:type="numbering" w:customStyle="1" w:styleId="ListNumbers">
    <w:name w:val="ListNumbers"/>
    <w:uiPriority w:val="99"/>
    <w:rsid w:val="007F6293"/>
    <w:pPr>
      <w:numPr>
        <w:numId w:val="2"/>
      </w:numPr>
    </w:pPr>
  </w:style>
  <w:style w:type="character" w:customStyle="1" w:styleId="Heading4Char">
    <w:name w:val="Heading 4 Char"/>
    <w:link w:val="Heading4"/>
    <w:rsid w:val="007F6293"/>
    <w:rPr>
      <w:rFonts w:ascii="Arial Bold" w:hAnsi="Arial Bold"/>
      <w:bCs/>
      <w:szCs w:val="28"/>
      <w:lang w:val="en-US" w:eastAsia="en-US"/>
    </w:rPr>
  </w:style>
  <w:style w:type="paragraph" w:customStyle="1" w:styleId="Bold">
    <w:name w:val="Bold"/>
    <w:basedOn w:val="Normal"/>
    <w:next w:val="Normal"/>
    <w:link w:val="BoldChar"/>
    <w:qFormat/>
    <w:rsid w:val="007F6293"/>
    <w:rPr>
      <w:b/>
    </w:rPr>
  </w:style>
  <w:style w:type="paragraph" w:styleId="TOC2">
    <w:name w:val="toc 2"/>
    <w:basedOn w:val="Normal"/>
    <w:next w:val="Normal"/>
    <w:autoRedefine/>
    <w:uiPriority w:val="39"/>
    <w:rsid w:val="007F6293"/>
    <w:pPr>
      <w:tabs>
        <w:tab w:val="right" w:leader="dot" w:pos="9769"/>
      </w:tabs>
      <w:spacing w:after="120"/>
      <w:ind w:left="284"/>
    </w:pPr>
  </w:style>
  <w:style w:type="paragraph" w:styleId="TOC3">
    <w:name w:val="toc 3"/>
    <w:basedOn w:val="Normal"/>
    <w:next w:val="Normal"/>
    <w:autoRedefine/>
    <w:uiPriority w:val="39"/>
    <w:rsid w:val="007F6293"/>
    <w:pPr>
      <w:tabs>
        <w:tab w:val="right" w:leader="dot" w:pos="9769"/>
      </w:tabs>
      <w:spacing w:after="120"/>
      <w:ind w:left="567"/>
    </w:pPr>
  </w:style>
  <w:style w:type="character" w:styleId="Hyperlink">
    <w:name w:val="Hyperlink"/>
    <w:uiPriority w:val="99"/>
    <w:unhideWhenUsed/>
    <w:rsid w:val="007F6293"/>
    <w:rPr>
      <w:color w:val="0000FF"/>
      <w:u w:val="single"/>
    </w:rPr>
  </w:style>
  <w:style w:type="paragraph" w:styleId="TOC4">
    <w:name w:val="toc 4"/>
    <w:basedOn w:val="Normal"/>
    <w:next w:val="Normal"/>
    <w:autoRedefine/>
    <w:uiPriority w:val="39"/>
    <w:rsid w:val="007F6293"/>
    <w:pPr>
      <w:spacing w:after="120"/>
      <w:ind w:left="851"/>
    </w:pPr>
  </w:style>
  <w:style w:type="character" w:customStyle="1" w:styleId="Heading5Char">
    <w:name w:val="Heading 5 Char"/>
    <w:link w:val="Heading5"/>
    <w:rsid w:val="007F6293"/>
    <w:rPr>
      <w:rFonts w:ascii="Arial" w:hAnsi="Arial"/>
      <w:iCs/>
      <w:szCs w:val="26"/>
      <w:lang w:val="en-US" w:eastAsia="en-US"/>
    </w:rPr>
  </w:style>
  <w:style w:type="character" w:customStyle="1" w:styleId="Heading6Char">
    <w:name w:val="Heading 6 Char"/>
    <w:link w:val="Heading6"/>
    <w:uiPriority w:val="9"/>
    <w:rsid w:val="007F6293"/>
    <w:rPr>
      <w:rFonts w:ascii="Arial" w:hAnsi="Arial"/>
      <w:bCs/>
      <w:szCs w:val="22"/>
      <w:lang w:eastAsia="en-US"/>
    </w:rPr>
  </w:style>
  <w:style w:type="character" w:customStyle="1" w:styleId="Heading7Char">
    <w:name w:val="Heading 7 Char"/>
    <w:link w:val="Heading7"/>
    <w:uiPriority w:val="9"/>
    <w:rsid w:val="007F6293"/>
    <w:rPr>
      <w:rFonts w:ascii="Arial" w:hAnsi="Arial"/>
      <w:szCs w:val="24"/>
      <w:lang w:eastAsia="en-US"/>
    </w:rPr>
  </w:style>
  <w:style w:type="paragraph" w:styleId="TOC5">
    <w:name w:val="toc 5"/>
    <w:basedOn w:val="Normal"/>
    <w:next w:val="Normal"/>
    <w:autoRedefine/>
    <w:uiPriority w:val="39"/>
    <w:rsid w:val="007F6293"/>
    <w:pPr>
      <w:spacing w:after="120"/>
      <w:ind w:left="1134"/>
    </w:pPr>
  </w:style>
  <w:style w:type="character" w:customStyle="1" w:styleId="BoldChar">
    <w:name w:val="Bold Char"/>
    <w:link w:val="Bold"/>
    <w:rsid w:val="007F6293"/>
    <w:rPr>
      <w:rFonts w:ascii="Arial" w:hAnsi="Arial"/>
      <w:b/>
      <w:szCs w:val="24"/>
      <w:lang w:eastAsia="en-US"/>
    </w:rPr>
  </w:style>
  <w:style w:type="paragraph" w:styleId="Caption">
    <w:name w:val="caption"/>
    <w:basedOn w:val="Normal"/>
    <w:next w:val="Normal"/>
    <w:rsid w:val="007F6293"/>
    <w:pPr>
      <w:spacing w:before="240"/>
    </w:pPr>
    <w:rPr>
      <w:rFonts w:ascii="Arial Bold" w:hAnsi="Arial Bold"/>
      <w:b/>
      <w:bCs/>
      <w:szCs w:val="18"/>
    </w:rPr>
  </w:style>
  <w:style w:type="paragraph" w:styleId="TOAHeading">
    <w:name w:val="toa heading"/>
    <w:basedOn w:val="Normal"/>
    <w:next w:val="Normal"/>
    <w:rsid w:val="007F6293"/>
    <w:pPr>
      <w:spacing w:before="120"/>
    </w:pPr>
    <w:rPr>
      <w:rFonts w:ascii="Calibri" w:eastAsia="MS Gothic" w:hAnsi="Calibri"/>
      <w:b/>
      <w:bCs/>
      <w:sz w:val="24"/>
    </w:rPr>
  </w:style>
  <w:style w:type="character" w:styleId="Strong">
    <w:name w:val="Strong"/>
    <w:rsid w:val="007F6293"/>
    <w:rPr>
      <w:b/>
      <w:bCs/>
    </w:rPr>
  </w:style>
  <w:style w:type="paragraph" w:customStyle="1" w:styleId="DocumentTitle">
    <w:name w:val="Document Title"/>
    <w:basedOn w:val="Normal"/>
    <w:next w:val="Subtitle"/>
    <w:qFormat/>
    <w:rsid w:val="007F6293"/>
    <w:pPr>
      <w:spacing w:after="480"/>
    </w:pPr>
    <w:rPr>
      <w:noProof/>
      <w:sz w:val="52"/>
    </w:rPr>
  </w:style>
  <w:style w:type="paragraph" w:styleId="Title">
    <w:name w:val="Title"/>
    <w:basedOn w:val="Normal"/>
    <w:next w:val="Normal"/>
    <w:link w:val="TitleChar"/>
    <w:rsid w:val="007F6293"/>
    <w:pPr>
      <w:pBdr>
        <w:bottom w:val="single" w:sz="8" w:space="4" w:color="4F81BD"/>
      </w:pBdr>
      <w:spacing w:after="300"/>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7F6293"/>
    <w:pPr>
      <w:spacing w:after="360"/>
    </w:pPr>
    <w:rPr>
      <w:rFonts w:eastAsia="MS Gothic"/>
      <w:sz w:val="44"/>
    </w:rPr>
  </w:style>
  <w:style w:type="character" w:customStyle="1" w:styleId="SubtitleChar">
    <w:name w:val="Subtitle Char"/>
    <w:link w:val="Subtitle"/>
    <w:rsid w:val="007F6293"/>
    <w:rPr>
      <w:rFonts w:ascii="Arial" w:eastAsia="MS Gothic" w:hAnsi="Arial"/>
      <w:sz w:val="44"/>
      <w:szCs w:val="24"/>
      <w:lang w:eastAsia="en-US"/>
    </w:rPr>
  </w:style>
  <w:style w:type="paragraph" w:customStyle="1" w:styleId="Subtitle2">
    <w:name w:val="Subtitle2"/>
    <w:basedOn w:val="Subtitle"/>
    <w:next w:val="Heading1"/>
    <w:qFormat/>
    <w:rsid w:val="007F6293"/>
    <w:rPr>
      <w:sz w:val="36"/>
    </w:rPr>
  </w:style>
  <w:style w:type="character" w:customStyle="1" w:styleId="TitleChar">
    <w:name w:val="Title Char"/>
    <w:link w:val="Title"/>
    <w:rsid w:val="007F6293"/>
    <w:rPr>
      <w:rFonts w:ascii="Calibri" w:eastAsia="MS Gothic" w:hAnsi="Calibri"/>
      <w:color w:val="17365D"/>
      <w:spacing w:val="5"/>
      <w:kern w:val="28"/>
      <w:sz w:val="52"/>
      <w:szCs w:val="52"/>
      <w:lang w:eastAsia="en-US"/>
    </w:rPr>
  </w:style>
  <w:style w:type="paragraph" w:customStyle="1" w:styleId="Nospace">
    <w:name w:val="No space"/>
    <w:basedOn w:val="Normal"/>
    <w:qFormat/>
    <w:rsid w:val="007F6293"/>
    <w:pPr>
      <w:spacing w:after="0"/>
    </w:pPr>
    <w:rPr>
      <w:noProof/>
      <w:lang w:eastAsia="en-AU"/>
    </w:rPr>
  </w:style>
  <w:style w:type="character" w:customStyle="1" w:styleId="Heading8Char">
    <w:name w:val="Heading 8 Char"/>
    <w:basedOn w:val="DefaultParagraphFont"/>
    <w:link w:val="Heading8"/>
    <w:uiPriority w:val="9"/>
    <w:semiHidden/>
    <w:rsid w:val="007F629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7F6293"/>
    <w:rPr>
      <w:rFonts w:asciiTheme="majorHAnsi" w:eastAsiaTheme="majorEastAsia" w:hAnsiTheme="majorHAnsi" w:cstheme="majorBidi"/>
      <w:i/>
      <w:iCs/>
      <w:color w:val="272727" w:themeColor="text1" w:themeTint="D8"/>
      <w:sz w:val="21"/>
      <w:szCs w:val="21"/>
      <w:lang w:eastAsia="en-US"/>
    </w:rPr>
  </w:style>
  <w:style w:type="paragraph" w:customStyle="1" w:styleId="nText1">
    <w:name w:val="nText1"/>
    <w:basedOn w:val="Normal"/>
    <w:qFormat/>
    <w:rsid w:val="007F6293"/>
    <w:pPr>
      <w:spacing w:before="120" w:after="120"/>
      <w:ind w:left="1134" w:hanging="340"/>
      <w:outlineLvl w:val="3"/>
    </w:pPr>
    <w:rPr>
      <w:rFonts w:asciiTheme="minorHAnsi" w:eastAsiaTheme="minorHAnsi" w:hAnsiTheme="minorHAnsi" w:cstheme="minorBidi"/>
      <w:szCs w:val="22"/>
    </w:rPr>
  </w:style>
  <w:style w:type="paragraph" w:customStyle="1" w:styleId="nText2">
    <w:name w:val="nText2"/>
    <w:basedOn w:val="nText1"/>
    <w:qFormat/>
    <w:rsid w:val="007F6293"/>
    <w:pPr>
      <w:ind w:left="1417" w:hanging="113"/>
      <w:outlineLvl w:val="4"/>
    </w:pPr>
  </w:style>
  <w:style w:type="paragraph" w:styleId="BodyText">
    <w:name w:val="Body Text"/>
    <w:basedOn w:val="Normal"/>
    <w:link w:val="BodyTextChar"/>
    <w:uiPriority w:val="1"/>
    <w:qFormat/>
    <w:rsid w:val="007F6293"/>
    <w:pPr>
      <w:widowControl w:val="0"/>
      <w:autoSpaceDE w:val="0"/>
      <w:autoSpaceDN w:val="0"/>
      <w:spacing w:after="0"/>
    </w:pPr>
    <w:rPr>
      <w:rFonts w:ascii="Gotham Book" w:eastAsia="Gotham Book" w:hAnsi="Gotham Book" w:cs="Gotham Book"/>
      <w:sz w:val="16"/>
      <w:szCs w:val="16"/>
      <w:lang w:val="en-US"/>
    </w:rPr>
  </w:style>
  <w:style w:type="character" w:customStyle="1" w:styleId="BodyTextChar">
    <w:name w:val="Body Text Char"/>
    <w:basedOn w:val="DefaultParagraphFont"/>
    <w:link w:val="BodyText"/>
    <w:uiPriority w:val="1"/>
    <w:rsid w:val="007F6293"/>
    <w:rPr>
      <w:rFonts w:ascii="Gotham Book" w:eastAsia="Gotham Book" w:hAnsi="Gotham Book" w:cs="Gotham Book"/>
      <w:sz w:val="16"/>
      <w:szCs w:val="16"/>
      <w:lang w:val="en-US" w:eastAsia="en-US"/>
    </w:rPr>
  </w:style>
  <w:style w:type="paragraph" w:customStyle="1" w:styleId="TableParagraph">
    <w:name w:val="Table Paragraph"/>
    <w:basedOn w:val="Normal"/>
    <w:uiPriority w:val="1"/>
    <w:qFormat/>
    <w:rsid w:val="00BE514D"/>
    <w:pPr>
      <w:widowControl w:val="0"/>
      <w:autoSpaceDE w:val="0"/>
      <w:autoSpaceDN w:val="0"/>
      <w:spacing w:after="0"/>
    </w:pPr>
    <w:rPr>
      <w:rFonts w:ascii="Century Gothic" w:eastAsia="Century Gothic" w:hAnsi="Century Gothic" w:cs="Century Gothic"/>
      <w:sz w:val="22"/>
      <w:szCs w:val="22"/>
      <w:lang w:val="en-US"/>
    </w:rPr>
  </w:style>
  <w:style w:type="character" w:styleId="UnresolvedMention">
    <w:name w:val="Unresolved Mention"/>
    <w:basedOn w:val="DefaultParagraphFont"/>
    <w:uiPriority w:val="99"/>
    <w:semiHidden/>
    <w:unhideWhenUsed/>
    <w:rsid w:val="007D0983"/>
    <w:rPr>
      <w:color w:val="605E5C"/>
      <w:shd w:val="clear" w:color="auto" w:fill="E1DFDD"/>
    </w:rPr>
  </w:style>
  <w:style w:type="character" w:styleId="CommentReference">
    <w:name w:val="annotation reference"/>
    <w:basedOn w:val="DefaultParagraphFont"/>
    <w:semiHidden/>
    <w:unhideWhenUsed/>
    <w:rsid w:val="009A3D7C"/>
    <w:rPr>
      <w:sz w:val="16"/>
      <w:szCs w:val="16"/>
    </w:rPr>
  </w:style>
  <w:style w:type="paragraph" w:styleId="CommentText">
    <w:name w:val="annotation text"/>
    <w:basedOn w:val="Normal"/>
    <w:link w:val="CommentTextChar"/>
    <w:unhideWhenUsed/>
    <w:rsid w:val="009A3D7C"/>
    <w:rPr>
      <w:szCs w:val="20"/>
    </w:rPr>
  </w:style>
  <w:style w:type="character" w:customStyle="1" w:styleId="CommentTextChar">
    <w:name w:val="Comment Text Char"/>
    <w:basedOn w:val="DefaultParagraphFont"/>
    <w:link w:val="CommentText"/>
    <w:rsid w:val="009A3D7C"/>
    <w:rPr>
      <w:rFonts w:ascii="Arial" w:hAnsi="Arial"/>
      <w:lang w:eastAsia="en-US"/>
    </w:rPr>
  </w:style>
  <w:style w:type="paragraph" w:styleId="CommentSubject">
    <w:name w:val="annotation subject"/>
    <w:basedOn w:val="CommentText"/>
    <w:next w:val="CommentText"/>
    <w:link w:val="CommentSubjectChar"/>
    <w:semiHidden/>
    <w:unhideWhenUsed/>
    <w:rsid w:val="009A3D7C"/>
    <w:rPr>
      <w:b/>
      <w:bCs/>
    </w:rPr>
  </w:style>
  <w:style w:type="character" w:customStyle="1" w:styleId="CommentSubjectChar">
    <w:name w:val="Comment Subject Char"/>
    <w:basedOn w:val="CommentTextChar"/>
    <w:link w:val="CommentSubject"/>
    <w:semiHidden/>
    <w:rsid w:val="009A3D7C"/>
    <w:rPr>
      <w:rFonts w:ascii="Arial" w:hAnsi="Arial"/>
      <w:b/>
      <w:bCs/>
      <w:lang w:eastAsia="en-US"/>
    </w:rPr>
  </w:style>
  <w:style w:type="character" w:styleId="FollowedHyperlink">
    <w:name w:val="FollowedHyperlink"/>
    <w:basedOn w:val="DefaultParagraphFont"/>
    <w:semiHidden/>
    <w:unhideWhenUsed/>
    <w:rsid w:val="004816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lobal@melbourne.vic.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lobal@melbourne.vic.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lbourne.vic.gov.au/internation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vestmelbourne@melbourne.vic.gov.au" TargetMode="External"/><Relationship Id="rId4" Type="http://schemas.openxmlformats.org/officeDocument/2006/relationships/settings" Target="settings.xml"/><Relationship Id="rId9" Type="http://schemas.openxmlformats.org/officeDocument/2006/relationships/hyperlink" Target="https://www.melbourne.vic.gov.au/inves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3B459-35CE-4A8F-9D83-D13334161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snapshot: Professional services</dc:title>
  <dc:creator/>
  <cp:lastModifiedBy/>
  <cp:revision>1</cp:revision>
  <dcterms:created xsi:type="dcterms:W3CDTF">2024-11-13T05:13:00Z</dcterms:created>
  <dcterms:modified xsi:type="dcterms:W3CDTF">2024-11-13T06:11:00Z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