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63652" w14:textId="4032B112" w:rsidR="008C3055" w:rsidRPr="00795B77" w:rsidRDefault="008C3055" w:rsidP="008C3055">
      <w:pPr>
        <w:pStyle w:val="DocumentTitle"/>
        <w:tabs>
          <w:tab w:val="left" w:pos="7938"/>
        </w:tabs>
      </w:pPr>
      <w:r w:rsidRPr="00795B77">
        <w:drawing>
          <wp:anchor distT="0" distB="0" distL="114300" distR="114300" simplePos="0" relativeHeight="251664384" behindDoc="1" locked="0" layoutInCell="1" allowOverlap="1" wp14:anchorId="0F7EE2C0" wp14:editId="11CD9613">
            <wp:simplePos x="0" y="0"/>
            <wp:positionH relativeFrom="column">
              <wp:posOffset>5042535</wp:posOffset>
            </wp:positionH>
            <wp:positionV relativeFrom="margin">
              <wp:posOffset>-257175</wp:posOffset>
            </wp:positionV>
            <wp:extent cx="986790" cy="958215"/>
            <wp:effectExtent l="0" t="0" r="3810" b="0"/>
            <wp:wrapNone/>
            <wp:docPr id="1099558677"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anchor>
        </w:drawing>
      </w:r>
      <w:r w:rsidR="00D37D9F" w:rsidRPr="00D37D9F">
        <w:t>Financial Services</w:t>
      </w:r>
    </w:p>
    <w:p w14:paraId="692E0BFE" w14:textId="253E4BE4" w:rsidR="00BE514D" w:rsidRPr="00461810" w:rsidRDefault="00BE514D" w:rsidP="000C2BE7">
      <w:r w:rsidRPr="00461810">
        <w:t>Melbourne boasts a world leading financial services sector,</w:t>
      </w:r>
      <w:r w:rsidR="002222F2">
        <w:t xml:space="preserve"> </w:t>
      </w:r>
      <w:r w:rsidRPr="00461810">
        <w:t xml:space="preserve">driven by </w:t>
      </w:r>
      <w:r w:rsidR="002222F2">
        <w:br/>
      </w:r>
      <w:r w:rsidRPr="00461810">
        <w:t xml:space="preserve">a high performing banking industry, a significant asset management sector </w:t>
      </w:r>
      <w:r w:rsidR="002222F2">
        <w:br/>
      </w:r>
      <w:r w:rsidRPr="00461810">
        <w:t>and a thriving startup community.</w:t>
      </w:r>
    </w:p>
    <w:p w14:paraId="4D172BC1" w14:textId="77777777" w:rsidR="000C2BE7" w:rsidRPr="00461810" w:rsidRDefault="000C2BE7" w:rsidP="000C2BE7">
      <w:pPr>
        <w:pStyle w:val="ListBullet"/>
      </w:pPr>
      <w:r w:rsidRPr="00461810">
        <w:t>34,000 Companies in Victoria</w:t>
      </w:r>
    </w:p>
    <w:p w14:paraId="3C38442F" w14:textId="77777777" w:rsidR="000C2BE7" w:rsidRPr="00461810" w:rsidRDefault="000C2BE7" w:rsidP="000C2BE7">
      <w:pPr>
        <w:pStyle w:val="ListBullet"/>
      </w:pPr>
      <w:r w:rsidRPr="00461810">
        <w:t>#1 Victoria’s largest industry</w:t>
      </w:r>
    </w:p>
    <w:p w14:paraId="0B5305FB" w14:textId="0B1936CB" w:rsidR="000C2BE7" w:rsidRPr="00461810" w:rsidRDefault="000C2BE7" w:rsidP="000C2BE7">
      <w:pPr>
        <w:pStyle w:val="ListBullet"/>
      </w:pPr>
      <w:r w:rsidRPr="00461810">
        <w:t>119,400 Jobs in Victoria</w:t>
      </w:r>
    </w:p>
    <w:p w14:paraId="249F8A9C" w14:textId="7E1164BB" w:rsidR="000C2BE7" w:rsidRPr="00461810" w:rsidRDefault="000C2BE7" w:rsidP="000C2BE7">
      <w:pPr>
        <w:pStyle w:val="ListBullet"/>
      </w:pPr>
      <w:r w:rsidRPr="00461810">
        <w:t>$44.4b Gross State Product</w:t>
      </w:r>
    </w:p>
    <w:p w14:paraId="5E6E26AF" w14:textId="77777777" w:rsidR="00BE514D" w:rsidRPr="00461810" w:rsidRDefault="00BE514D" w:rsidP="0015639E">
      <w:pPr>
        <w:pStyle w:val="Heading1"/>
        <w:rPr>
          <w:rFonts w:hint="eastAsia"/>
        </w:rPr>
      </w:pPr>
      <w:r w:rsidRPr="00461810">
        <w:t xml:space="preserve">Melbourne has a sophisticated banking </w:t>
      </w:r>
      <w:proofErr w:type="gramStart"/>
      <w:r w:rsidRPr="00461810">
        <w:t>sector</w:t>
      </w:r>
      <w:proofErr w:type="gramEnd"/>
    </w:p>
    <w:p w14:paraId="42CEE7C8" w14:textId="39D9744D" w:rsidR="00BE514D" w:rsidRPr="00461810" w:rsidRDefault="00BE514D" w:rsidP="000C2BE7">
      <w:r w:rsidRPr="00461810">
        <w:t>Melbourne is a leading national banking and investment city, and home to head offices of two of Australia’s four largest banks, ANZ and NAB. Westpac and Commonwealth Bank also have large city-based operations. Australia’s biggest regional bank, Bendigo and Adelaide Bank, is also headquartered in Victoria, along with Bank Australia and Members Equity Bank.</w:t>
      </w:r>
    </w:p>
    <w:p w14:paraId="6425F3CE" w14:textId="77777777" w:rsidR="00BE514D" w:rsidRPr="00461810" w:rsidRDefault="00BE514D" w:rsidP="0015639E">
      <w:pPr>
        <w:pStyle w:val="Heading2"/>
        <w:rPr>
          <w:rFonts w:hint="eastAsia"/>
        </w:rPr>
      </w:pPr>
      <w:r w:rsidRPr="00461810">
        <w:t xml:space="preserve">Melbourne leads Australia’s superannuation (pension) and asset management </w:t>
      </w:r>
      <w:proofErr w:type="gramStart"/>
      <w:r w:rsidRPr="00461810">
        <w:t>industry</w:t>
      </w:r>
      <w:proofErr w:type="gramEnd"/>
    </w:p>
    <w:p w14:paraId="1F0713E8" w14:textId="77777777" w:rsidR="00BE514D" w:rsidRPr="00461810" w:rsidRDefault="00BE514D" w:rsidP="000C2BE7">
      <w:r w:rsidRPr="00461810">
        <w:t>Australia is the world’s fifth largest pension market valued at $3.4 trillion, which is expected to grow by nine per cent per annum to over $9 trillion by 2041.</w:t>
      </w:r>
    </w:p>
    <w:p w14:paraId="6D937E99" w14:textId="77777777" w:rsidR="00BE514D" w:rsidRPr="00461810" w:rsidRDefault="00BE514D" w:rsidP="000C2BE7">
      <w:proofErr w:type="gramStart"/>
      <w:r w:rsidRPr="00461810">
        <w:t>Melbourne‘</w:t>
      </w:r>
      <w:proofErr w:type="gramEnd"/>
      <w:r w:rsidRPr="00461810">
        <w:t>s industry is a key pillar of national industry growth.</w:t>
      </w:r>
    </w:p>
    <w:p w14:paraId="3B22F8CD" w14:textId="22E1ADE5" w:rsidR="00BE514D" w:rsidRPr="00461810" w:rsidRDefault="00BE514D" w:rsidP="000C2BE7">
      <w:r w:rsidRPr="00461810">
        <w:t>$835b</w:t>
      </w:r>
      <w:r w:rsidR="000C2BE7" w:rsidRPr="00461810">
        <w:t xml:space="preserve"> </w:t>
      </w:r>
      <w:r w:rsidRPr="00461810">
        <w:t>Total assets managed</w:t>
      </w:r>
      <w:r w:rsidR="000C2BE7" w:rsidRPr="00461810">
        <w:t>:</w:t>
      </w:r>
    </w:p>
    <w:p w14:paraId="47AFAB6F" w14:textId="77777777" w:rsidR="00BE514D" w:rsidRPr="00461810" w:rsidRDefault="00BE514D" w:rsidP="000C2BE7">
      <w:pPr>
        <w:pStyle w:val="ListBullet"/>
      </w:pPr>
      <w:r w:rsidRPr="00461810">
        <w:t>Australian Super ($274b)</w:t>
      </w:r>
    </w:p>
    <w:p w14:paraId="3950AECC" w14:textId="77777777" w:rsidR="00BE514D" w:rsidRPr="00461810" w:rsidRDefault="00BE514D" w:rsidP="000C2BE7">
      <w:pPr>
        <w:pStyle w:val="ListBullet"/>
      </w:pPr>
      <w:r w:rsidRPr="00461810">
        <w:t>Future Fund ($251b)</w:t>
      </w:r>
    </w:p>
    <w:p w14:paraId="674E8A0B" w14:textId="77777777" w:rsidR="00BE514D" w:rsidRPr="00461810" w:rsidRDefault="00BE514D" w:rsidP="000C2BE7">
      <w:pPr>
        <w:pStyle w:val="ListBullet"/>
      </w:pPr>
      <w:r w:rsidRPr="00461810">
        <w:t>Uni Super ($115b)</w:t>
      </w:r>
    </w:p>
    <w:p w14:paraId="4B12C234" w14:textId="77777777" w:rsidR="00BE514D" w:rsidRPr="00461810" w:rsidRDefault="00BE514D" w:rsidP="000C2BE7">
      <w:pPr>
        <w:pStyle w:val="ListBullet"/>
      </w:pPr>
      <w:r w:rsidRPr="00461810">
        <w:t>IFM Investors ($110b)</w:t>
      </w:r>
    </w:p>
    <w:p w14:paraId="29B1288C" w14:textId="77777777" w:rsidR="00BE514D" w:rsidRPr="00461810" w:rsidRDefault="00BE514D" w:rsidP="000C2BE7">
      <w:pPr>
        <w:pStyle w:val="ListBullet"/>
      </w:pPr>
      <w:r w:rsidRPr="00461810">
        <w:t>Cbus ($85b)</w:t>
      </w:r>
    </w:p>
    <w:p w14:paraId="5822EC60" w14:textId="77777777" w:rsidR="00BE514D" w:rsidRPr="00461810" w:rsidRDefault="00BE514D" w:rsidP="000C2BE7">
      <w:r w:rsidRPr="00461810">
        <w:t>Melbourne is home to the Future Fund, the nation’s sovereign wealth fund and single largest financial asset with $251 billion of managed funds.</w:t>
      </w:r>
    </w:p>
    <w:p w14:paraId="4ED2F7D0" w14:textId="77777777" w:rsidR="00BE514D" w:rsidRPr="00461810" w:rsidRDefault="00BE514D" w:rsidP="000C2BE7">
      <w:r w:rsidRPr="00461810">
        <w:t>The Victorian Government owned wealth fund, Victorian Funds Management Corporation, is also based in Melbourne, managing $74.5 billion of assets.</w:t>
      </w:r>
    </w:p>
    <w:p w14:paraId="7354F8DE" w14:textId="77777777" w:rsidR="00BE514D" w:rsidRPr="00461810" w:rsidRDefault="00BE514D" w:rsidP="0015639E">
      <w:pPr>
        <w:pStyle w:val="Heading2"/>
        <w:rPr>
          <w:rFonts w:hint="eastAsia"/>
        </w:rPr>
      </w:pPr>
      <w:r w:rsidRPr="00461810">
        <w:t>Australia’s private health insurance capital</w:t>
      </w:r>
    </w:p>
    <w:p w14:paraId="1DDC4CBE" w14:textId="77777777" w:rsidR="00BE514D" w:rsidRPr="00461810" w:rsidRDefault="00BE514D" w:rsidP="000C2BE7">
      <w:r w:rsidRPr="00461810">
        <w:t>The City of Melbourne has a thriving insurance sector with nearly 100 enterprises and 12,000 employees, which generates almost $30 billion in revenue.</w:t>
      </w:r>
    </w:p>
    <w:p w14:paraId="2778E4AD" w14:textId="77777777" w:rsidR="00BE514D" w:rsidRPr="00461810" w:rsidRDefault="00BE514D" w:rsidP="000C2BE7">
      <w:r w:rsidRPr="00461810">
        <w:t>Australia’s largest private health insurance providers, Medibank and BUPA are headquartered in Melbourne, which account for more than half of the national industry. Australia’s second largest life insurance provider, AIA Australia, is also based in Melbourne.</w:t>
      </w:r>
    </w:p>
    <w:p w14:paraId="63E9778B" w14:textId="46D90109" w:rsidR="00BE514D" w:rsidRPr="00461810" w:rsidRDefault="00BE514D" w:rsidP="0015639E">
      <w:pPr>
        <w:pStyle w:val="Heading2"/>
        <w:rPr>
          <w:rFonts w:hint="eastAsia"/>
        </w:rPr>
      </w:pPr>
      <w:r w:rsidRPr="00461810">
        <w:lastRenderedPageBreak/>
        <w:t>Globally oriented financial sector</w:t>
      </w:r>
    </w:p>
    <w:p w14:paraId="0E9C0044" w14:textId="77777777" w:rsidR="00BE514D" w:rsidRPr="00461810" w:rsidRDefault="00BE514D" w:rsidP="000C2BE7">
      <w:r w:rsidRPr="00461810">
        <w:t>Australia’s ‘big four’ banks have overseas operations in Asia, Europe and North America. They provide a range of specialist investment, advisory and financial services to international clients.</w:t>
      </w:r>
    </w:p>
    <w:p w14:paraId="389DD854" w14:textId="03FE2A79" w:rsidR="00BE514D" w:rsidRPr="00461810" w:rsidRDefault="00BE514D" w:rsidP="000C2BE7">
      <w:r w:rsidRPr="00461810">
        <w:t>The sector has a long history of partnering with global leaders to bring best-in-class innovations to Australia.</w:t>
      </w:r>
      <w:r w:rsidR="000C2BE7" w:rsidRPr="00461810">
        <w:t xml:space="preserve"> </w:t>
      </w:r>
      <w:r w:rsidRPr="00461810">
        <w:t>Most recently ANZ entered a joint venture with Europe’s leading payments provider Worldline to deliver some of the world’s most advanced merchant payment solutions to</w:t>
      </w:r>
      <w:r w:rsidR="000C2BE7" w:rsidRPr="00461810">
        <w:t xml:space="preserve"> </w:t>
      </w:r>
      <w:r w:rsidRPr="00461810">
        <w:t>its clients.</w:t>
      </w:r>
    </w:p>
    <w:p w14:paraId="1A80D6F9" w14:textId="77777777" w:rsidR="00BE514D" w:rsidRDefault="00BE514D" w:rsidP="000C2BE7">
      <w:r w:rsidRPr="00461810">
        <w:t>NAB has a dedicated innovation investment arm ‘NAB Ventures’ and has branches in the US, UK and across Asia (China, Hong Kong, Japan, Singapore).</w:t>
      </w:r>
    </w:p>
    <w:tbl>
      <w:tblPr>
        <w:tblStyle w:val="TableGrid"/>
        <w:tblW w:w="0" w:type="auto"/>
        <w:tblCellMar>
          <w:left w:w="170" w:type="dxa"/>
          <w:right w:w="170" w:type="dxa"/>
        </w:tblCellMar>
        <w:tblLook w:val="04A0" w:firstRow="1" w:lastRow="0" w:firstColumn="1" w:lastColumn="0" w:noHBand="0" w:noVBand="1"/>
      </w:tblPr>
      <w:tblGrid>
        <w:gridCol w:w="9622"/>
      </w:tblGrid>
      <w:tr w:rsidR="00DF5D75" w14:paraId="0185C30D" w14:textId="77777777" w:rsidTr="00DF5D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6A8DAD15" w14:textId="77777777" w:rsidR="00DF5D75" w:rsidRPr="00461810" w:rsidRDefault="00DF5D75" w:rsidP="00DF5D75">
            <w:pPr>
              <w:pStyle w:val="Heading3"/>
              <w:spacing w:before="120" w:after="120"/>
              <w:rPr>
                <w:rFonts w:hint="eastAsia"/>
              </w:rPr>
            </w:pPr>
            <w:r w:rsidRPr="00461810">
              <w:t>ANZ – an Australian bank with a unique global footprint</w:t>
            </w:r>
          </w:p>
          <w:p w14:paraId="5835E6B4" w14:textId="77777777" w:rsidR="00DF5D75" w:rsidRPr="00DF5D75" w:rsidRDefault="00DF5D75" w:rsidP="00DF5D75">
            <w:pPr>
              <w:rPr>
                <w:b w:val="0"/>
                <w:bCs/>
              </w:rPr>
            </w:pPr>
            <w:r w:rsidRPr="00DF5D75">
              <w:rPr>
                <w:b w:val="0"/>
                <w:bCs/>
              </w:rPr>
              <w:t>ANZ is a leading Australian bank, headquartered in Melbourne. The bank operates in countries that represent 75 per cent of global trade flows, with a presence in close to 30 markets across Australia, New Zealand, Asia, Europe, North America and the Middle East.</w:t>
            </w:r>
          </w:p>
          <w:p w14:paraId="26E06CB2" w14:textId="77777777" w:rsidR="00DF5D75" w:rsidRPr="00DF5D75" w:rsidRDefault="00DF5D75" w:rsidP="00DF5D75">
            <w:pPr>
              <w:rPr>
                <w:b w:val="0"/>
                <w:bCs/>
              </w:rPr>
            </w:pPr>
            <w:r w:rsidRPr="00DF5D75">
              <w:rPr>
                <w:b w:val="0"/>
                <w:bCs/>
              </w:rPr>
              <w:t>With Asia predicted to account for 60 per cent of global Gross Domestic Product (GDP) by 2050, ANZ has an on the ground presence in the 10 leading growth markets.</w:t>
            </w:r>
          </w:p>
          <w:p w14:paraId="0AB6B252" w14:textId="77777777" w:rsidR="00DF5D75" w:rsidRPr="00DF5D75" w:rsidRDefault="00DF5D75" w:rsidP="00DF5D75">
            <w:pPr>
              <w:rPr>
                <w:b w:val="0"/>
                <w:bCs/>
              </w:rPr>
            </w:pPr>
            <w:r w:rsidRPr="00DF5D75">
              <w:rPr>
                <w:b w:val="0"/>
                <w:bCs/>
              </w:rPr>
              <w:t>These banking specialists and experts support local and global businesses to understand, access and navigate through local markets and capitalise on the movement of money and goods across the Asia- Pacific and beyond.</w:t>
            </w:r>
          </w:p>
          <w:p w14:paraId="4BF7EE82" w14:textId="2E212F63" w:rsidR="00DF5D75" w:rsidRDefault="00DF5D75" w:rsidP="00DF5D75">
            <w:r w:rsidRPr="00DF5D75">
              <w:rPr>
                <w:b w:val="0"/>
                <w:bCs/>
              </w:rPr>
              <w:t>Through its global network, ANZ offers a range of smart, borderless and innovative solutions to help businesses transact and trade, manage risk and finance plans for growth.</w:t>
            </w:r>
          </w:p>
        </w:tc>
      </w:tr>
    </w:tbl>
    <w:p w14:paraId="7B1ACED0" w14:textId="77777777" w:rsidR="00BE514D" w:rsidRPr="00461810" w:rsidRDefault="00BE514D" w:rsidP="00DF5D75">
      <w:pPr>
        <w:pStyle w:val="Heading1"/>
        <w:rPr>
          <w:rFonts w:hint="eastAsia"/>
        </w:rPr>
      </w:pPr>
      <w:r w:rsidRPr="00461810">
        <w:t xml:space="preserve">Melbourne has a robust FinTech </w:t>
      </w:r>
      <w:proofErr w:type="gramStart"/>
      <w:r w:rsidRPr="00461810">
        <w:t>ecosystem</w:t>
      </w:r>
      <w:proofErr w:type="gramEnd"/>
    </w:p>
    <w:p w14:paraId="4E7CFCF8" w14:textId="77777777" w:rsidR="00BE514D" w:rsidRPr="00461810" w:rsidRDefault="00BE514D" w:rsidP="000C2BE7">
      <w:r w:rsidRPr="00461810">
        <w:t>Melbourne’s FinTech ecosystem is ranked 25th in the world, comprising a strong network of major players and innovators in banking, payments, credit and lending, wealth management and insurance.</w:t>
      </w:r>
    </w:p>
    <w:p w14:paraId="2C01963A" w14:textId="77777777" w:rsidR="00BE514D" w:rsidRPr="00461810" w:rsidRDefault="00BE514D" w:rsidP="000C2BE7">
      <w:r w:rsidRPr="00461810">
        <w:t xml:space="preserve">The city has a growing startup community, with over 330 FinTech startups, including </w:t>
      </w:r>
      <w:proofErr w:type="spellStart"/>
      <w:r w:rsidRPr="00461810">
        <w:t>Novatti</w:t>
      </w:r>
      <w:proofErr w:type="spellEnd"/>
      <w:r w:rsidRPr="00461810">
        <w:t xml:space="preserve"> and Zeller.</w:t>
      </w:r>
    </w:p>
    <w:p w14:paraId="53ED0AA2" w14:textId="77777777" w:rsidR="00BE514D" w:rsidRPr="00461810" w:rsidRDefault="00BE514D" w:rsidP="000C2BE7">
      <w:r w:rsidRPr="00461810">
        <w:t>These startups are well supported by a strong network of industry bodies, incubators and investors including the Australian Securities and Investments Commission Innovation Hub, FinTech Australia and Stone &amp; Chalk.</w:t>
      </w:r>
    </w:p>
    <w:p w14:paraId="47BDC157" w14:textId="77777777" w:rsidR="00BE514D" w:rsidRPr="00461810" w:rsidRDefault="00BE514D" w:rsidP="000C2BE7">
      <w:r w:rsidRPr="00461810">
        <w:t xml:space="preserve">Melbourne is the headquarters of home-grown heroes </w:t>
      </w:r>
      <w:proofErr w:type="spellStart"/>
      <w:r w:rsidRPr="00461810">
        <w:t>Afterpay</w:t>
      </w:r>
      <w:proofErr w:type="spellEnd"/>
      <w:r w:rsidRPr="00461810">
        <w:t xml:space="preserve"> and </w:t>
      </w:r>
      <w:proofErr w:type="spellStart"/>
      <w:r w:rsidRPr="00461810">
        <w:t>Airwallex</w:t>
      </w:r>
      <w:proofErr w:type="spellEnd"/>
      <w:r w:rsidRPr="00461810">
        <w:t xml:space="preserve"> as well as international giants Block, GoCardless, Stripe and Worldline.</w:t>
      </w:r>
    </w:p>
    <w:p w14:paraId="55AF144D" w14:textId="77777777" w:rsidR="00BE514D" w:rsidRPr="00461810" w:rsidRDefault="00BE514D" w:rsidP="000C2BE7">
      <w:r w:rsidRPr="00461810">
        <w:t xml:space="preserve">Australia’s largest FinTech conference, the </w:t>
      </w:r>
      <w:proofErr w:type="spellStart"/>
      <w:r w:rsidRPr="00461810">
        <w:t>Intersekt</w:t>
      </w:r>
      <w:proofErr w:type="spellEnd"/>
      <w:r w:rsidRPr="00461810">
        <w:t xml:space="preserve"> Festival, is held in Melbourne annually, attracting over 1,000 industry participants.</w:t>
      </w:r>
    </w:p>
    <w:p w14:paraId="0581AD69" w14:textId="77777777" w:rsidR="00BE514D" w:rsidRPr="00461810" w:rsidRDefault="00BE514D" w:rsidP="00DF5D75">
      <w:pPr>
        <w:pStyle w:val="Heading1"/>
        <w:rPr>
          <w:rFonts w:hint="eastAsia"/>
        </w:rPr>
      </w:pPr>
      <w:r w:rsidRPr="00461810">
        <w:t xml:space="preserve">Universities producing job ready </w:t>
      </w:r>
      <w:proofErr w:type="gramStart"/>
      <w:r w:rsidRPr="00461810">
        <w:t>graduates</w:t>
      </w:r>
      <w:proofErr w:type="gramEnd"/>
    </w:p>
    <w:p w14:paraId="5AE6538F" w14:textId="77777777" w:rsidR="00BE514D" w:rsidRPr="00461810" w:rsidRDefault="00BE514D" w:rsidP="000C2BE7">
      <w:r w:rsidRPr="00461810">
        <w:t>Melbourne’s universities offer globally recognised business and commerce courses.</w:t>
      </w:r>
    </w:p>
    <w:p w14:paraId="51207A8D" w14:textId="77777777" w:rsidR="00BE514D" w:rsidRPr="00461810" w:rsidRDefault="00BE514D" w:rsidP="000C2BE7">
      <w:r w:rsidRPr="00461810">
        <w:t>The University of Melbourne, Australia’s leading university, has high ranking courses in Business and Management (first nationally), Accounting and Finance (second nationally) and Economics (third nationally).</w:t>
      </w:r>
    </w:p>
    <w:p w14:paraId="660A58C0" w14:textId="77777777" w:rsidR="00BE514D" w:rsidRPr="00461810" w:rsidRDefault="00BE514D" w:rsidP="000C2BE7">
      <w:r w:rsidRPr="00461810">
        <w:t>The university’s Melbourne Business School also offers world leading post graduate education in business administration. These courses support Australia’s largest pipeline of job-ready graduates.</w:t>
      </w:r>
    </w:p>
    <w:p w14:paraId="35FB9C4F" w14:textId="77777777" w:rsidR="00BE514D" w:rsidRPr="00461810" w:rsidRDefault="00BE514D" w:rsidP="00BB2440">
      <w:pPr>
        <w:pStyle w:val="Caption"/>
        <w:rPr>
          <w:rFonts w:hint="eastAsia"/>
        </w:rPr>
      </w:pPr>
      <w:r w:rsidRPr="00461810">
        <w:lastRenderedPageBreak/>
        <w:t>Number of management and commerce graduates by state (thousands, 2021)</w:t>
      </w:r>
    </w:p>
    <w:tbl>
      <w:tblPr>
        <w:tblStyle w:val="TableGrid"/>
        <w:tblW w:w="3460" w:type="pct"/>
        <w:tblCellMar>
          <w:top w:w="0" w:type="dxa"/>
          <w:bottom w:w="0" w:type="dxa"/>
        </w:tblCellMar>
        <w:tblLook w:val="04A0" w:firstRow="1" w:lastRow="0" w:firstColumn="1" w:lastColumn="0" w:noHBand="0" w:noVBand="1"/>
      </w:tblPr>
      <w:tblGrid>
        <w:gridCol w:w="2547"/>
        <w:gridCol w:w="4111"/>
      </w:tblGrid>
      <w:tr w:rsidR="00BB2440" w:rsidRPr="00676C6B" w14:paraId="403C11C8" w14:textId="77777777" w:rsidTr="008C7075">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547" w:type="dxa"/>
          </w:tcPr>
          <w:p w14:paraId="076648C4" w14:textId="77777777" w:rsidR="00BB2440" w:rsidRPr="00676C6B" w:rsidRDefault="00BB2440" w:rsidP="00DF5D75">
            <w:pPr>
              <w:pStyle w:val="TableofFigures"/>
            </w:pPr>
            <w:r w:rsidRPr="00676C6B">
              <w:t>State</w:t>
            </w:r>
          </w:p>
        </w:tc>
        <w:tc>
          <w:tcPr>
            <w:tcW w:w="4111" w:type="dxa"/>
          </w:tcPr>
          <w:p w14:paraId="7A022B17" w14:textId="5670A537" w:rsidR="00BB2440" w:rsidRPr="00676C6B" w:rsidRDefault="00BB2440" w:rsidP="00DF5D75">
            <w:pPr>
              <w:pStyle w:val="TableofFigures"/>
              <w:cnfStyle w:val="100000000000" w:firstRow="1" w:lastRow="0" w:firstColumn="0" w:lastColumn="0" w:oddVBand="0" w:evenVBand="0" w:oddHBand="0" w:evenHBand="0" w:firstRowFirstColumn="0" w:firstRowLastColumn="0" w:lastRowFirstColumn="0" w:lastRowLastColumn="0"/>
            </w:pPr>
            <w:r>
              <w:t>Management and commerce</w:t>
            </w:r>
            <w:r w:rsidRPr="00676C6B">
              <w:t xml:space="preserve"> graduates</w:t>
            </w:r>
          </w:p>
        </w:tc>
      </w:tr>
      <w:tr w:rsidR="00BB2440" w:rsidRPr="00676C6B" w14:paraId="18600FC9" w14:textId="77777777" w:rsidTr="008C7075">
        <w:tc>
          <w:tcPr>
            <w:cnfStyle w:val="001000000000" w:firstRow="0" w:lastRow="0" w:firstColumn="1" w:lastColumn="0" w:oddVBand="0" w:evenVBand="0" w:oddHBand="0" w:evenHBand="0" w:firstRowFirstColumn="0" w:firstRowLastColumn="0" w:lastRowFirstColumn="0" w:lastRowLastColumn="0"/>
            <w:tcW w:w="2547" w:type="dxa"/>
          </w:tcPr>
          <w:p w14:paraId="5B830C62" w14:textId="77777777" w:rsidR="00BB2440" w:rsidRPr="00781704" w:rsidRDefault="00BB2440" w:rsidP="00DF5D75">
            <w:pPr>
              <w:pStyle w:val="TableofFigures"/>
              <w:rPr>
                <w:b w:val="0"/>
                <w:bCs/>
              </w:rPr>
            </w:pPr>
            <w:r w:rsidRPr="00781704">
              <w:rPr>
                <w:b w:val="0"/>
                <w:bCs/>
              </w:rPr>
              <w:t>Victoria</w:t>
            </w:r>
          </w:p>
        </w:tc>
        <w:tc>
          <w:tcPr>
            <w:tcW w:w="4111" w:type="dxa"/>
          </w:tcPr>
          <w:p w14:paraId="4D7EE690" w14:textId="5A9A8E27" w:rsidR="00BB2440" w:rsidRPr="00781704" w:rsidRDefault="00BB2440" w:rsidP="00DF5D75">
            <w:pPr>
              <w:pStyle w:val="TableofFigures"/>
              <w:cnfStyle w:val="000000000000" w:firstRow="0" w:lastRow="0" w:firstColumn="0" w:lastColumn="0" w:oddVBand="0" w:evenVBand="0" w:oddHBand="0" w:evenHBand="0" w:firstRowFirstColumn="0" w:firstRowLastColumn="0" w:lastRowFirstColumn="0" w:lastRowLastColumn="0"/>
            </w:pPr>
            <w:r>
              <w:t>37</w:t>
            </w:r>
          </w:p>
        </w:tc>
      </w:tr>
      <w:tr w:rsidR="00BB2440" w:rsidRPr="00676C6B" w14:paraId="554AB57C" w14:textId="77777777" w:rsidTr="008C7075">
        <w:tc>
          <w:tcPr>
            <w:cnfStyle w:val="001000000000" w:firstRow="0" w:lastRow="0" w:firstColumn="1" w:lastColumn="0" w:oddVBand="0" w:evenVBand="0" w:oddHBand="0" w:evenHBand="0" w:firstRowFirstColumn="0" w:firstRowLastColumn="0" w:lastRowFirstColumn="0" w:lastRowLastColumn="0"/>
            <w:tcW w:w="2547" w:type="dxa"/>
          </w:tcPr>
          <w:p w14:paraId="384A53F5" w14:textId="77777777" w:rsidR="00BB2440" w:rsidRPr="00781704" w:rsidRDefault="00BB2440" w:rsidP="00DF5D75">
            <w:pPr>
              <w:pStyle w:val="TableofFigures"/>
              <w:rPr>
                <w:b w:val="0"/>
                <w:bCs/>
              </w:rPr>
            </w:pPr>
            <w:r w:rsidRPr="00781704">
              <w:rPr>
                <w:b w:val="0"/>
                <w:bCs/>
              </w:rPr>
              <w:t>New South Wales</w:t>
            </w:r>
          </w:p>
        </w:tc>
        <w:tc>
          <w:tcPr>
            <w:tcW w:w="4111" w:type="dxa"/>
          </w:tcPr>
          <w:p w14:paraId="1683B1DA" w14:textId="4BC4FEFC" w:rsidR="00BB2440" w:rsidRPr="00781704" w:rsidRDefault="00BB2440" w:rsidP="00DF5D75">
            <w:pPr>
              <w:pStyle w:val="TableofFigures"/>
              <w:cnfStyle w:val="000000000000" w:firstRow="0" w:lastRow="0" w:firstColumn="0" w:lastColumn="0" w:oddVBand="0" w:evenVBand="0" w:oddHBand="0" w:evenHBand="0" w:firstRowFirstColumn="0" w:firstRowLastColumn="0" w:lastRowFirstColumn="0" w:lastRowLastColumn="0"/>
            </w:pPr>
            <w:r>
              <w:t>37</w:t>
            </w:r>
          </w:p>
        </w:tc>
      </w:tr>
      <w:tr w:rsidR="00BB2440" w:rsidRPr="00676C6B" w14:paraId="15920086" w14:textId="77777777" w:rsidTr="008C7075">
        <w:tc>
          <w:tcPr>
            <w:cnfStyle w:val="001000000000" w:firstRow="0" w:lastRow="0" w:firstColumn="1" w:lastColumn="0" w:oddVBand="0" w:evenVBand="0" w:oddHBand="0" w:evenHBand="0" w:firstRowFirstColumn="0" w:firstRowLastColumn="0" w:lastRowFirstColumn="0" w:lastRowLastColumn="0"/>
            <w:tcW w:w="2547" w:type="dxa"/>
          </w:tcPr>
          <w:p w14:paraId="2E214637" w14:textId="77777777" w:rsidR="00BB2440" w:rsidRPr="00781704" w:rsidRDefault="00BB2440" w:rsidP="00DF5D75">
            <w:pPr>
              <w:pStyle w:val="TableofFigures"/>
              <w:rPr>
                <w:b w:val="0"/>
                <w:bCs/>
              </w:rPr>
            </w:pPr>
            <w:r w:rsidRPr="00781704">
              <w:rPr>
                <w:b w:val="0"/>
                <w:bCs/>
              </w:rPr>
              <w:t>Queensland</w:t>
            </w:r>
          </w:p>
        </w:tc>
        <w:tc>
          <w:tcPr>
            <w:tcW w:w="4111" w:type="dxa"/>
          </w:tcPr>
          <w:p w14:paraId="4D8F8299" w14:textId="359DC18B" w:rsidR="00BB2440" w:rsidRPr="00781704" w:rsidRDefault="00BB2440" w:rsidP="00DF5D75">
            <w:pPr>
              <w:pStyle w:val="TableofFigures"/>
              <w:cnfStyle w:val="000000000000" w:firstRow="0" w:lastRow="0" w:firstColumn="0" w:lastColumn="0" w:oddVBand="0" w:evenVBand="0" w:oddHBand="0" w:evenHBand="0" w:firstRowFirstColumn="0" w:firstRowLastColumn="0" w:lastRowFirstColumn="0" w:lastRowLastColumn="0"/>
            </w:pPr>
            <w:r>
              <w:t>15</w:t>
            </w:r>
          </w:p>
        </w:tc>
      </w:tr>
      <w:tr w:rsidR="00BB2440" w:rsidRPr="00676C6B" w14:paraId="6793E046" w14:textId="77777777" w:rsidTr="008C7075">
        <w:tc>
          <w:tcPr>
            <w:cnfStyle w:val="001000000000" w:firstRow="0" w:lastRow="0" w:firstColumn="1" w:lastColumn="0" w:oddVBand="0" w:evenVBand="0" w:oddHBand="0" w:evenHBand="0" w:firstRowFirstColumn="0" w:firstRowLastColumn="0" w:lastRowFirstColumn="0" w:lastRowLastColumn="0"/>
            <w:tcW w:w="2547" w:type="dxa"/>
          </w:tcPr>
          <w:p w14:paraId="1D2ADF76" w14:textId="77777777" w:rsidR="00BB2440" w:rsidRPr="00781704" w:rsidRDefault="00BB2440" w:rsidP="00DF5D75">
            <w:pPr>
              <w:pStyle w:val="TableofFigures"/>
              <w:rPr>
                <w:b w:val="0"/>
                <w:bCs/>
              </w:rPr>
            </w:pPr>
            <w:r w:rsidRPr="00781704">
              <w:rPr>
                <w:b w:val="0"/>
                <w:bCs/>
              </w:rPr>
              <w:t>Western Australia</w:t>
            </w:r>
          </w:p>
        </w:tc>
        <w:tc>
          <w:tcPr>
            <w:tcW w:w="4111" w:type="dxa"/>
          </w:tcPr>
          <w:p w14:paraId="10CB6FFC" w14:textId="055B35BA" w:rsidR="00BB2440" w:rsidRPr="00781704" w:rsidRDefault="00BB2440" w:rsidP="00DF5D75">
            <w:pPr>
              <w:pStyle w:val="TableofFigures"/>
              <w:cnfStyle w:val="000000000000" w:firstRow="0" w:lastRow="0" w:firstColumn="0" w:lastColumn="0" w:oddVBand="0" w:evenVBand="0" w:oddHBand="0" w:evenHBand="0" w:firstRowFirstColumn="0" w:firstRowLastColumn="0" w:lastRowFirstColumn="0" w:lastRowLastColumn="0"/>
            </w:pPr>
            <w:r>
              <w:t>9</w:t>
            </w:r>
          </w:p>
        </w:tc>
      </w:tr>
      <w:tr w:rsidR="00BB2440" w:rsidRPr="00676C6B" w14:paraId="705FE9F0" w14:textId="77777777" w:rsidTr="008C7075">
        <w:tc>
          <w:tcPr>
            <w:cnfStyle w:val="001000000000" w:firstRow="0" w:lastRow="0" w:firstColumn="1" w:lastColumn="0" w:oddVBand="0" w:evenVBand="0" w:oddHBand="0" w:evenHBand="0" w:firstRowFirstColumn="0" w:firstRowLastColumn="0" w:lastRowFirstColumn="0" w:lastRowLastColumn="0"/>
            <w:tcW w:w="2547" w:type="dxa"/>
          </w:tcPr>
          <w:p w14:paraId="2F0FD371" w14:textId="77777777" w:rsidR="00BB2440" w:rsidRPr="00781704" w:rsidRDefault="00BB2440" w:rsidP="00DF5D75">
            <w:pPr>
              <w:pStyle w:val="TableofFigures"/>
              <w:rPr>
                <w:b w:val="0"/>
                <w:bCs/>
              </w:rPr>
            </w:pPr>
            <w:r w:rsidRPr="00781704">
              <w:rPr>
                <w:b w:val="0"/>
                <w:bCs/>
              </w:rPr>
              <w:t>South Australia</w:t>
            </w:r>
          </w:p>
        </w:tc>
        <w:tc>
          <w:tcPr>
            <w:tcW w:w="4111" w:type="dxa"/>
          </w:tcPr>
          <w:p w14:paraId="0D2F731D" w14:textId="17300F19" w:rsidR="00BB2440" w:rsidRPr="00781704" w:rsidRDefault="00BB2440" w:rsidP="00DF5D75">
            <w:pPr>
              <w:pStyle w:val="TableofFigures"/>
              <w:cnfStyle w:val="000000000000" w:firstRow="0" w:lastRow="0" w:firstColumn="0" w:lastColumn="0" w:oddVBand="0" w:evenVBand="0" w:oddHBand="0" w:evenHBand="0" w:firstRowFirstColumn="0" w:firstRowLastColumn="0" w:lastRowFirstColumn="0" w:lastRowLastColumn="0"/>
            </w:pPr>
            <w:r>
              <w:t>8</w:t>
            </w:r>
          </w:p>
        </w:tc>
      </w:tr>
      <w:tr w:rsidR="00BB2440" w:rsidRPr="00676C6B" w14:paraId="659790B4" w14:textId="77777777" w:rsidTr="008C7075">
        <w:tc>
          <w:tcPr>
            <w:cnfStyle w:val="001000000000" w:firstRow="0" w:lastRow="0" w:firstColumn="1" w:lastColumn="0" w:oddVBand="0" w:evenVBand="0" w:oddHBand="0" w:evenHBand="0" w:firstRowFirstColumn="0" w:firstRowLastColumn="0" w:lastRowFirstColumn="0" w:lastRowLastColumn="0"/>
            <w:tcW w:w="2547" w:type="dxa"/>
          </w:tcPr>
          <w:p w14:paraId="2A9E8431" w14:textId="77777777" w:rsidR="00BB2440" w:rsidRPr="00781704" w:rsidRDefault="00BB2440" w:rsidP="00DF5D75">
            <w:pPr>
              <w:pStyle w:val="TableofFigures"/>
              <w:rPr>
                <w:b w:val="0"/>
                <w:bCs/>
              </w:rPr>
            </w:pPr>
            <w:r w:rsidRPr="00781704">
              <w:rPr>
                <w:b w:val="0"/>
                <w:bCs/>
              </w:rPr>
              <w:t>Australian Capital Territory</w:t>
            </w:r>
          </w:p>
        </w:tc>
        <w:tc>
          <w:tcPr>
            <w:tcW w:w="4111" w:type="dxa"/>
          </w:tcPr>
          <w:p w14:paraId="1E4203C6" w14:textId="46469581" w:rsidR="00BB2440" w:rsidRPr="00781704" w:rsidRDefault="00BB2440" w:rsidP="00DF5D75">
            <w:pPr>
              <w:pStyle w:val="TableofFigures"/>
              <w:cnfStyle w:val="000000000000" w:firstRow="0" w:lastRow="0" w:firstColumn="0" w:lastColumn="0" w:oddVBand="0" w:evenVBand="0" w:oddHBand="0" w:evenHBand="0" w:firstRowFirstColumn="0" w:firstRowLastColumn="0" w:lastRowFirstColumn="0" w:lastRowLastColumn="0"/>
            </w:pPr>
            <w:r>
              <w:t>3</w:t>
            </w:r>
          </w:p>
        </w:tc>
      </w:tr>
      <w:tr w:rsidR="00BB2440" w:rsidRPr="00676C6B" w14:paraId="23FDC2CF" w14:textId="77777777" w:rsidTr="008C7075">
        <w:tc>
          <w:tcPr>
            <w:cnfStyle w:val="001000000000" w:firstRow="0" w:lastRow="0" w:firstColumn="1" w:lastColumn="0" w:oddVBand="0" w:evenVBand="0" w:oddHBand="0" w:evenHBand="0" w:firstRowFirstColumn="0" w:firstRowLastColumn="0" w:lastRowFirstColumn="0" w:lastRowLastColumn="0"/>
            <w:tcW w:w="2547" w:type="dxa"/>
          </w:tcPr>
          <w:p w14:paraId="02973810" w14:textId="77777777" w:rsidR="00BB2440" w:rsidRPr="00781704" w:rsidRDefault="00BB2440" w:rsidP="00DF5D75">
            <w:pPr>
              <w:pStyle w:val="TableofFigures"/>
              <w:rPr>
                <w:b w:val="0"/>
                <w:bCs/>
              </w:rPr>
            </w:pPr>
            <w:r w:rsidRPr="00781704">
              <w:rPr>
                <w:b w:val="0"/>
                <w:bCs/>
              </w:rPr>
              <w:t>Tasmania</w:t>
            </w:r>
          </w:p>
        </w:tc>
        <w:tc>
          <w:tcPr>
            <w:tcW w:w="4111" w:type="dxa"/>
          </w:tcPr>
          <w:p w14:paraId="7E4E7C26" w14:textId="32B38B92" w:rsidR="00BB2440" w:rsidRPr="00781704" w:rsidRDefault="00BB2440" w:rsidP="00DF5D75">
            <w:pPr>
              <w:pStyle w:val="TableofFigures"/>
              <w:cnfStyle w:val="000000000000" w:firstRow="0" w:lastRow="0" w:firstColumn="0" w:lastColumn="0" w:oddVBand="0" w:evenVBand="0" w:oddHBand="0" w:evenHBand="0" w:firstRowFirstColumn="0" w:firstRowLastColumn="0" w:lastRowFirstColumn="0" w:lastRowLastColumn="0"/>
            </w:pPr>
            <w:r>
              <w:t>2</w:t>
            </w:r>
          </w:p>
        </w:tc>
      </w:tr>
      <w:tr w:rsidR="00BB2440" w:rsidRPr="00676C6B" w14:paraId="0BBE8B0E" w14:textId="77777777" w:rsidTr="008C7075">
        <w:tc>
          <w:tcPr>
            <w:cnfStyle w:val="001000000000" w:firstRow="0" w:lastRow="0" w:firstColumn="1" w:lastColumn="0" w:oddVBand="0" w:evenVBand="0" w:oddHBand="0" w:evenHBand="0" w:firstRowFirstColumn="0" w:firstRowLastColumn="0" w:lastRowFirstColumn="0" w:lastRowLastColumn="0"/>
            <w:tcW w:w="2547" w:type="dxa"/>
          </w:tcPr>
          <w:p w14:paraId="59273320" w14:textId="77777777" w:rsidR="00BB2440" w:rsidRPr="00781704" w:rsidRDefault="00BB2440" w:rsidP="00DF5D75">
            <w:pPr>
              <w:pStyle w:val="TableofFigures"/>
              <w:rPr>
                <w:b w:val="0"/>
                <w:bCs/>
              </w:rPr>
            </w:pPr>
            <w:r w:rsidRPr="00781704">
              <w:rPr>
                <w:b w:val="0"/>
                <w:bCs/>
              </w:rPr>
              <w:t>Northern Territory</w:t>
            </w:r>
          </w:p>
        </w:tc>
        <w:tc>
          <w:tcPr>
            <w:tcW w:w="4111" w:type="dxa"/>
          </w:tcPr>
          <w:p w14:paraId="4FE127BE" w14:textId="77777777" w:rsidR="00BB2440" w:rsidRPr="00781704" w:rsidRDefault="00BB2440" w:rsidP="00DF5D75">
            <w:pPr>
              <w:pStyle w:val="TableofFigures"/>
              <w:cnfStyle w:val="000000000000" w:firstRow="0" w:lastRow="0" w:firstColumn="0" w:lastColumn="0" w:oddVBand="0" w:evenVBand="0" w:oddHBand="0" w:evenHBand="0" w:firstRowFirstColumn="0" w:firstRowLastColumn="0" w:lastRowFirstColumn="0" w:lastRowLastColumn="0"/>
            </w:pPr>
            <w:r w:rsidRPr="00781704">
              <w:t>0</w:t>
            </w:r>
          </w:p>
        </w:tc>
      </w:tr>
    </w:tbl>
    <w:p w14:paraId="10A86562" w14:textId="175829D5" w:rsidR="00BE514D" w:rsidRPr="00461810" w:rsidRDefault="00BE514D" w:rsidP="00DF5D75">
      <w:pPr>
        <w:pStyle w:val="Heading1"/>
        <w:rPr>
          <w:rFonts w:hint="eastAsia"/>
        </w:rPr>
      </w:pPr>
      <w:proofErr w:type="spellStart"/>
      <w:r w:rsidRPr="00461810">
        <w:t>Favourable</w:t>
      </w:r>
      <w:proofErr w:type="spellEnd"/>
      <w:r w:rsidRPr="00461810">
        <w:t xml:space="preserve"> business environment</w:t>
      </w:r>
    </w:p>
    <w:p w14:paraId="47C1E653" w14:textId="3B6BB6E1" w:rsidR="00BE514D" w:rsidRPr="00461810" w:rsidRDefault="00BE514D" w:rsidP="000C2BE7">
      <w:r w:rsidRPr="00461810">
        <w:rPr>
          <w:b/>
          <w:bCs/>
        </w:rPr>
        <w:t>Generous research and development</w:t>
      </w:r>
      <w:r w:rsidR="0057273E" w:rsidRPr="00461810">
        <w:rPr>
          <w:b/>
          <w:bCs/>
        </w:rPr>
        <w:t xml:space="preserve"> </w:t>
      </w:r>
      <w:r w:rsidRPr="00461810">
        <w:t>tax incentives with eligible foreign investors receiving up to 43.5 per cent as a refundable tax credit.</w:t>
      </w:r>
    </w:p>
    <w:p w14:paraId="4B66A6E7" w14:textId="5B7812F4" w:rsidR="00BE514D" w:rsidRPr="00461810" w:rsidRDefault="00BE514D" w:rsidP="000C2BE7">
      <w:r w:rsidRPr="00461810">
        <w:rPr>
          <w:b/>
          <w:bCs/>
        </w:rPr>
        <w:t>Access to the Enhanced Regulatory Sandbox</w:t>
      </w:r>
      <w:r w:rsidRPr="00461810">
        <w:t xml:space="preserve"> which lets FinTech businesses test</w:t>
      </w:r>
      <w:r w:rsidR="0057273E" w:rsidRPr="00461810">
        <w:t xml:space="preserve"> </w:t>
      </w:r>
      <w:r w:rsidRPr="00461810">
        <w:t>a range of products and services for up to two years without an Australian financial services or credit licence.</w:t>
      </w:r>
    </w:p>
    <w:p w14:paraId="5EB9A3D1" w14:textId="38C608AE" w:rsidR="00BE514D" w:rsidRPr="00461810" w:rsidRDefault="00BE514D" w:rsidP="000C2BE7">
      <w:r w:rsidRPr="00461810">
        <w:rPr>
          <w:b/>
          <w:bCs/>
        </w:rPr>
        <w:t>Free Trade Agreements provide access to global markets</w:t>
      </w:r>
      <w:r w:rsidRPr="00461810">
        <w:t xml:space="preserve"> which ensure</w:t>
      </w:r>
      <w:r w:rsidR="0057273E" w:rsidRPr="00461810">
        <w:t xml:space="preserve"> </w:t>
      </w:r>
      <w:r w:rsidRPr="00461810">
        <w:t>predictable operating conditions and support mutual recognition of qualifications for skilled workers.</w:t>
      </w:r>
    </w:p>
    <w:p w14:paraId="12CE798C" w14:textId="77777777" w:rsidR="00BE514D" w:rsidRPr="00461810" w:rsidRDefault="00BE514D" w:rsidP="000C2BE7">
      <w:r w:rsidRPr="00461810">
        <w:rPr>
          <w:b/>
          <w:bCs/>
        </w:rPr>
        <w:t xml:space="preserve">Opportunities for global </w:t>
      </w:r>
      <w:proofErr w:type="spellStart"/>
      <w:r w:rsidRPr="00461810">
        <w:rPr>
          <w:b/>
          <w:bCs/>
        </w:rPr>
        <w:t>FinTechs</w:t>
      </w:r>
      <w:proofErr w:type="spellEnd"/>
      <w:r w:rsidRPr="00461810">
        <w:t xml:space="preserve"> through Australia’s recent Open Banking and Customer Data Right legislation that positions open banking at the forefront of the industry’s evolution.</w:t>
      </w:r>
    </w:p>
    <w:p w14:paraId="1619A390" w14:textId="77777777" w:rsidR="00BE514D" w:rsidRPr="00461810" w:rsidRDefault="00BE514D" w:rsidP="000C2BE7">
      <w:r w:rsidRPr="00461810">
        <w:rPr>
          <w:b/>
          <w:bCs/>
        </w:rPr>
        <w:t>Access to a skilled and innovative services industry</w:t>
      </w:r>
      <w:r w:rsidRPr="00461810">
        <w:t xml:space="preserve"> including asset consultants, lawyers, accountants and two of Australia’s largest trustee companies, Australian Unity and Equity Trustees.</w:t>
      </w:r>
    </w:p>
    <w:p w14:paraId="73898711" w14:textId="7EC52564" w:rsidR="00BE514D" w:rsidRPr="00461810" w:rsidRDefault="00BE514D" w:rsidP="000C2BE7">
      <w:r w:rsidRPr="00461810">
        <w:rPr>
          <w:b/>
          <w:bCs/>
        </w:rPr>
        <w:t>Multicultural labour force</w:t>
      </w:r>
      <w:r w:rsidRPr="00461810">
        <w:t xml:space="preserve"> with 260 languages spoken in Melbourne and ranking</w:t>
      </w:r>
      <w:r w:rsidR="0057273E" w:rsidRPr="00461810">
        <w:t xml:space="preserve"> </w:t>
      </w:r>
      <w:r w:rsidRPr="00461810">
        <w:t>second in the world for inclusivity and wellbeing.</w:t>
      </w:r>
    </w:p>
    <w:p w14:paraId="7E0F8CE2" w14:textId="77777777" w:rsidR="00BE514D" w:rsidRPr="00461810" w:rsidRDefault="00BE514D" w:rsidP="000C2BE7">
      <w:r w:rsidRPr="00461810">
        <w:rPr>
          <w:b/>
          <w:bCs/>
        </w:rPr>
        <w:t>Favourable visa settings</w:t>
      </w:r>
      <w:r w:rsidRPr="00461810">
        <w:t xml:space="preserve"> attracting top-tier talent through dedicated visa programs such as the Global Talent Visa and Global Talent Employer Sponsored program.</w:t>
      </w:r>
    </w:p>
    <w:p w14:paraId="6C3F65DE" w14:textId="0A7107CE" w:rsidR="00BE514D" w:rsidRPr="00461810" w:rsidRDefault="00BE514D" w:rsidP="000C2BE7">
      <w:r w:rsidRPr="00461810">
        <w:rPr>
          <w:b/>
          <w:bCs/>
        </w:rPr>
        <w:t>Melbourne is a gateway to the Asia-Pacific</w:t>
      </w:r>
      <w:r w:rsidRPr="00461810">
        <w:t xml:space="preserve"> opening access to global</w:t>
      </w:r>
      <w:r w:rsidR="0057273E" w:rsidRPr="00461810">
        <w:t xml:space="preserve"> </w:t>
      </w:r>
      <w:r w:rsidRPr="00461810">
        <w:t>investors looking to operate in these time zones and creating opportunities to capitalise on</w:t>
      </w:r>
      <w:r w:rsidR="0057273E" w:rsidRPr="00461810">
        <w:t xml:space="preserve"> </w:t>
      </w:r>
      <w:r w:rsidRPr="00461810">
        <w:t>a growing market.</w:t>
      </w:r>
    </w:p>
    <w:p w14:paraId="5733DE52" w14:textId="77777777" w:rsidR="00BE514D" w:rsidRPr="00461810" w:rsidRDefault="00BE514D" w:rsidP="000C2BE7">
      <w:r w:rsidRPr="00461810">
        <w:rPr>
          <w:b/>
          <w:bCs/>
        </w:rPr>
        <w:t>Lower business costs</w:t>
      </w:r>
      <w:r w:rsidRPr="00461810">
        <w:t xml:space="preserve"> with industrial leases and office space rentals 35 per cent cheaper than Sydney. Victoria has the lowest business tax rate in Australia, attractive payroll tax rates and energy costs that are 45 per cent lower than Sydney.</w:t>
      </w:r>
    </w:p>
    <w:p w14:paraId="6E616E92" w14:textId="4D16C5A7" w:rsidR="00BE514D" w:rsidRPr="00461810" w:rsidRDefault="00BE514D" w:rsidP="000C2BE7">
      <w:r w:rsidRPr="00461810">
        <w:rPr>
          <w:b/>
          <w:bCs/>
        </w:rPr>
        <w:t>Melbourne is the epicentre of co-working</w:t>
      </w:r>
      <w:r w:rsidR="005E2D63" w:rsidRPr="00461810">
        <w:rPr>
          <w:b/>
          <w:bCs/>
        </w:rPr>
        <w:t xml:space="preserve"> </w:t>
      </w:r>
      <w:r w:rsidRPr="00461810">
        <w:t>accounting for more than half the total co-working</w:t>
      </w:r>
      <w:r w:rsidR="005E2D63" w:rsidRPr="00461810">
        <w:t xml:space="preserve"> </w:t>
      </w:r>
      <w:r w:rsidRPr="00461810">
        <w:t>space available in Melbourne, Sydney and Brisbane, with over 2,000 desks in prime locations.</w:t>
      </w:r>
    </w:p>
    <w:p w14:paraId="64DCA4CA" w14:textId="4746983E" w:rsidR="005E2D63" w:rsidRDefault="00BE514D" w:rsidP="005E2D63">
      <w:pPr>
        <w:rPr>
          <w:rStyle w:val="Hyperlink"/>
        </w:rPr>
      </w:pPr>
      <w:r w:rsidRPr="00461810">
        <w:rPr>
          <w:b/>
          <w:bCs/>
        </w:rPr>
        <w:t>Melbourne has exceptional liveability</w:t>
      </w:r>
      <w:r w:rsidRPr="00461810">
        <w:t xml:space="preserve"> and is ranked the fourth most liveable city in the world – a key drawcard for attracting and retaining top talent.</w:t>
      </w:r>
    </w:p>
    <w:tbl>
      <w:tblPr>
        <w:tblStyle w:val="TableGrid"/>
        <w:tblW w:w="0" w:type="auto"/>
        <w:tblCellMar>
          <w:top w:w="170" w:type="dxa"/>
          <w:left w:w="170" w:type="dxa"/>
          <w:right w:w="170" w:type="dxa"/>
        </w:tblCellMar>
        <w:tblLook w:val="04A0" w:firstRow="1" w:lastRow="0" w:firstColumn="1" w:lastColumn="0" w:noHBand="0" w:noVBand="1"/>
      </w:tblPr>
      <w:tblGrid>
        <w:gridCol w:w="9622"/>
      </w:tblGrid>
      <w:tr w:rsidR="0015639E" w14:paraId="08A8A4FF" w14:textId="77777777" w:rsidTr="00551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9" w:type="dxa"/>
          </w:tcPr>
          <w:p w14:paraId="47149FCA" w14:textId="77777777" w:rsidR="0015639E" w:rsidRPr="000D6083" w:rsidRDefault="0015639E" w:rsidP="00551A80">
            <w:pPr>
              <w:pStyle w:val="Bold"/>
              <w:rPr>
                <w:b/>
              </w:rPr>
            </w:pPr>
            <w:r w:rsidRPr="000D6083">
              <w:rPr>
                <w:b/>
              </w:rPr>
              <w:lastRenderedPageBreak/>
              <w:t>Thinking about starting a business in Melbourne?</w:t>
            </w:r>
            <w:r>
              <w:rPr>
                <w:b/>
              </w:rPr>
              <w:br/>
            </w:r>
            <w:r w:rsidRPr="000D6083">
              <w:t xml:space="preserve">Visit </w:t>
            </w:r>
            <w:hyperlink r:id="rId9" w:history="1">
              <w:r w:rsidRPr="000D6083">
                <w:rPr>
                  <w:rStyle w:val="Hyperlink"/>
                </w:rPr>
                <w:t>Investing in Melbourne</w:t>
              </w:r>
            </w:hyperlink>
            <w:r w:rsidRPr="000D6083">
              <w:rPr>
                <w:rStyle w:val="FootnoteReference"/>
              </w:rPr>
              <w:footnoteReference w:id="2"/>
            </w:r>
            <w:r w:rsidRPr="000D6083">
              <w:t xml:space="preserve"> or email us at </w:t>
            </w:r>
            <w:hyperlink r:id="rId10">
              <w:r w:rsidRPr="000D6083">
                <w:rPr>
                  <w:rStyle w:val="Hyperlink"/>
                </w:rPr>
                <w:t>investmelbourne@melbourne.vic.gov.au</w:t>
              </w:r>
            </w:hyperlink>
          </w:p>
          <w:p w14:paraId="7D42D9C0" w14:textId="77777777" w:rsidR="0015639E" w:rsidRDefault="0015639E" w:rsidP="00551A80">
            <w:pPr>
              <w:pStyle w:val="Bold"/>
            </w:pPr>
            <w:r w:rsidRPr="000D6083">
              <w:rPr>
                <w:b/>
              </w:rPr>
              <w:t>Want help identifying products and services produced in Melbourne?</w:t>
            </w:r>
            <w:r>
              <w:rPr>
                <w:b/>
              </w:rPr>
              <w:br/>
            </w:r>
            <w:r w:rsidRPr="000D6083">
              <w:t xml:space="preserve">Visit </w:t>
            </w:r>
            <w:hyperlink r:id="rId11" w:history="1">
              <w:r w:rsidRPr="000D6083">
                <w:rPr>
                  <w:rStyle w:val="Hyperlink"/>
                </w:rPr>
                <w:t>International collaboration</w:t>
              </w:r>
            </w:hyperlink>
            <w:r w:rsidRPr="000D6083">
              <w:rPr>
                <w:rStyle w:val="FootnoteReference"/>
              </w:rPr>
              <w:footnoteReference w:id="3"/>
            </w:r>
            <w:r w:rsidRPr="000D6083">
              <w:t xml:space="preserve"> or email us at </w:t>
            </w:r>
            <w:hyperlink r:id="rId12" w:history="1">
              <w:r w:rsidRPr="000D6083">
                <w:rPr>
                  <w:rStyle w:val="Hyperlink"/>
                </w:rPr>
                <w:t>global@melbourne.vic.gov.au</w:t>
              </w:r>
            </w:hyperlink>
          </w:p>
        </w:tc>
      </w:tr>
    </w:tbl>
    <w:p w14:paraId="48CE830F" w14:textId="77777777" w:rsidR="0015639E" w:rsidRDefault="0015639E" w:rsidP="0015639E">
      <w:pPr>
        <w:spacing w:before="240" w:after="120"/>
      </w:pPr>
      <w:r w:rsidRPr="00395191">
        <w:rPr>
          <w:b/>
          <w:bCs/>
        </w:rPr>
        <w:t>Disclaimer:</w:t>
      </w:r>
      <w:r w:rsidRPr="00461810">
        <w:t xml:space="preserve"> This document is provided for </w:t>
      </w:r>
      <w:proofErr w:type="gramStart"/>
      <w:r w:rsidRPr="00461810">
        <w:t>information</w:t>
      </w:r>
      <w:proofErr w:type="gramEnd"/>
      <w:r w:rsidRPr="00461810">
        <w:t xml:space="preserve"> and it does not purport to be complete. While care has been taken to ensure the content in the report is accurate, we cannot guarantee it is without flaw of any kind. There may be errors and </w:t>
      </w:r>
      <w:proofErr w:type="gramStart"/>
      <w:r w:rsidRPr="00461810">
        <w:t>omissions</w:t>
      </w:r>
      <w:proofErr w:type="gramEnd"/>
      <w:r w:rsidRPr="00461810">
        <w:t xml:space="preserve"> or it may not be wholly appropriate for your particular purposes. In addition, the publication is a snapshot in time based on historic information which is liable to change. The City of Melbourne accepts no responsibility and disclaims all liability for any error, loss or other consequence which may arise from you relying on any information contained in this report.</w:t>
      </w:r>
      <w:r>
        <w:t xml:space="preserve"> </w:t>
      </w:r>
    </w:p>
    <w:p w14:paraId="3586A7AC" w14:textId="77777777" w:rsidR="0015639E" w:rsidRDefault="0015639E" w:rsidP="0015639E">
      <w:pPr>
        <w:spacing w:before="120"/>
      </w:pPr>
      <w:r w:rsidRPr="00461810">
        <w:t xml:space="preserve">© Copyright City of Melbourne 2024. To receive this publication in an accessible format, email: </w:t>
      </w:r>
      <w:hyperlink r:id="rId13">
        <w:r w:rsidRPr="00461810">
          <w:rPr>
            <w:rStyle w:val="Hyperlink"/>
          </w:rPr>
          <w:t>global@melbourne.vic.gov.au</w:t>
        </w:r>
      </w:hyperlink>
    </w:p>
    <w:p w14:paraId="4D3F31FE" w14:textId="77777777" w:rsidR="0015639E" w:rsidRPr="00461810" w:rsidRDefault="0015639E" w:rsidP="005E2D63"/>
    <w:sectPr w:rsidR="0015639E" w:rsidRPr="00461810" w:rsidSect="002607C9">
      <w:footerReference w:type="default" r:id="rId14"/>
      <w:endnotePr>
        <w:numFmt w:val="decimal"/>
      </w:endnotePr>
      <w:pgSz w:w="11900" w:h="16840" w:code="9"/>
      <w:pgMar w:top="1418" w:right="1134" w:bottom="1134"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CA894" w14:textId="77777777" w:rsidR="00571CF9" w:rsidRDefault="00571CF9" w:rsidP="00BC719D">
      <w:pPr>
        <w:spacing w:after="0"/>
      </w:pPr>
      <w:r>
        <w:separator/>
      </w:r>
    </w:p>
  </w:endnote>
  <w:endnote w:type="continuationSeparator" w:id="0">
    <w:p w14:paraId="7C1B29F8" w14:textId="77777777" w:rsidR="00571CF9" w:rsidRDefault="00571CF9" w:rsidP="00EA2130">
      <w:r>
        <w:continuationSeparator/>
      </w:r>
    </w:p>
  </w:endnote>
  <w:endnote w:type="continuationNotice" w:id="1">
    <w:p w14:paraId="04D50065" w14:textId="77777777" w:rsidR="00571CF9" w:rsidRDefault="00571C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Gotham Book">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57"/>
      <w:gridCol w:w="4875"/>
    </w:tblGrid>
    <w:tr w:rsidR="00115496" w14:paraId="49A18DFC" w14:textId="77777777" w:rsidTr="008566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7" w:type="dxa"/>
        </w:tcPr>
        <w:p w14:paraId="227B3E1D" w14:textId="77777777" w:rsidR="00115496" w:rsidRPr="00A65F53" w:rsidRDefault="00115496" w:rsidP="00115496">
          <w:pPr>
            <w:pStyle w:val="Footer"/>
          </w:pPr>
        </w:p>
      </w:tc>
      <w:tc>
        <w:tcPr>
          <w:tcW w:w="4680" w:type="dxa"/>
        </w:tcPr>
        <w:p w14:paraId="6D0A9275" w14:textId="77777777" w:rsidR="00115496" w:rsidRDefault="00115496" w:rsidP="00115496">
          <w:pPr>
            <w:pStyle w:val="Footer"/>
            <w:jc w:val="right"/>
            <w:cnfStyle w:val="100000000000" w:firstRow="1" w:lastRow="0" w:firstColumn="0" w:lastColumn="0" w:oddVBand="0" w:evenVBand="0" w:oddHBand="0" w:evenHBand="0" w:firstRowFirstColumn="0" w:firstRowLastColumn="0" w:lastRowFirstColumn="0" w:lastRowLastColumn="0"/>
          </w:pPr>
          <w:r w:rsidRPr="00A65F53">
            <w:t xml:space="preserve">Page </w:t>
          </w:r>
          <w:r w:rsidRPr="00A65F53">
            <w:fldChar w:fldCharType="begin"/>
          </w:r>
          <w:r w:rsidRPr="00A65F53">
            <w:instrText xml:space="preserve"> PAGE  \* Arabic  \* MERGEFORMAT </w:instrText>
          </w:r>
          <w:r w:rsidRPr="00A65F53">
            <w:fldChar w:fldCharType="separate"/>
          </w:r>
          <w:r>
            <w:t>7</w:t>
          </w:r>
          <w:r w:rsidRPr="00A65F53">
            <w:fldChar w:fldCharType="end"/>
          </w:r>
          <w:r w:rsidRPr="00A65F53">
            <w:t xml:space="preserve"> of </w:t>
          </w:r>
          <w:fldSimple w:instr=" NUMPAGES  \* Arabic  \* MERGEFORMAT ">
            <w:r>
              <w:t>14</w:t>
            </w:r>
          </w:fldSimple>
        </w:p>
      </w:tc>
    </w:tr>
  </w:tbl>
  <w:p w14:paraId="55D0E393" w14:textId="77777777" w:rsidR="00115496" w:rsidRDefault="00115496" w:rsidP="00115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73F47" w14:textId="77777777" w:rsidR="00571CF9" w:rsidRDefault="00571CF9" w:rsidP="00577A39">
      <w:pPr>
        <w:spacing w:after="40"/>
      </w:pPr>
      <w:r>
        <w:separator/>
      </w:r>
    </w:p>
  </w:footnote>
  <w:footnote w:type="continuationSeparator" w:id="0">
    <w:p w14:paraId="4250EA0A" w14:textId="77777777" w:rsidR="00571CF9" w:rsidRDefault="00571CF9" w:rsidP="00EA2130">
      <w:r>
        <w:continuationSeparator/>
      </w:r>
    </w:p>
  </w:footnote>
  <w:footnote w:type="continuationNotice" w:id="1">
    <w:p w14:paraId="7495C579" w14:textId="77777777" w:rsidR="00571CF9" w:rsidRDefault="00571CF9">
      <w:pPr>
        <w:spacing w:after="0"/>
      </w:pPr>
    </w:p>
  </w:footnote>
  <w:footnote w:id="2">
    <w:p w14:paraId="09DB476E" w14:textId="77777777" w:rsidR="0015639E" w:rsidRDefault="0015639E" w:rsidP="0015639E">
      <w:pPr>
        <w:pStyle w:val="FootnoteText"/>
      </w:pPr>
      <w:r>
        <w:rPr>
          <w:rStyle w:val="FootnoteReference"/>
        </w:rPr>
        <w:footnoteRef/>
      </w:r>
      <w:r>
        <w:t xml:space="preserve"> </w:t>
      </w:r>
      <w:r w:rsidRPr="00395191">
        <w:t>melbourne.vic.gov.au/</w:t>
      </w:r>
      <w:proofErr w:type="gramStart"/>
      <w:r w:rsidRPr="00395191">
        <w:t>invest</w:t>
      </w:r>
      <w:proofErr w:type="gramEnd"/>
    </w:p>
  </w:footnote>
  <w:footnote w:id="3">
    <w:p w14:paraId="3C50078D" w14:textId="77777777" w:rsidR="0015639E" w:rsidRDefault="0015639E" w:rsidP="0015639E">
      <w:pPr>
        <w:pStyle w:val="FootnoteText"/>
      </w:pPr>
      <w:r>
        <w:rPr>
          <w:rStyle w:val="FootnoteReference"/>
        </w:rPr>
        <w:footnoteRef/>
      </w:r>
      <w:r>
        <w:t xml:space="preserve"> </w:t>
      </w:r>
      <w:r w:rsidRPr="00395191">
        <w:t>melbourne.vic.gov.au/international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5" w15:restartNumberingAfterBreak="0">
    <w:nsid w:val="2A2B5D1C"/>
    <w:multiLevelType w:val="multilevel"/>
    <w:tmpl w:val="16506B6C"/>
    <w:numStyleLink w:val="ListNumbers"/>
  </w:abstractNum>
  <w:abstractNum w:abstractNumId="6"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C10957"/>
    <w:multiLevelType w:val="multilevel"/>
    <w:tmpl w:val="16506B6C"/>
    <w:numStyleLink w:val="ListNumbers"/>
  </w:abstractNum>
  <w:abstractNum w:abstractNumId="8" w15:restartNumberingAfterBreak="0">
    <w:nsid w:val="5DF7164E"/>
    <w:multiLevelType w:val="hybridMultilevel"/>
    <w:tmpl w:val="C9FAFFEA"/>
    <w:lvl w:ilvl="0" w:tplc="781071EC">
      <w:numFmt w:val="bullet"/>
      <w:lvlText w:val="•"/>
      <w:lvlJc w:val="left"/>
      <w:pPr>
        <w:ind w:left="443" w:hanging="284"/>
      </w:pPr>
      <w:rPr>
        <w:rFonts w:ascii="Century Gothic" w:eastAsia="Century Gothic" w:hAnsi="Century Gothic" w:cs="Century Gothic" w:hint="default"/>
        <w:b w:val="0"/>
        <w:bCs w:val="0"/>
        <w:i w:val="0"/>
        <w:iCs w:val="0"/>
        <w:color w:val="231F20"/>
        <w:spacing w:val="0"/>
        <w:w w:val="78"/>
        <w:sz w:val="16"/>
        <w:szCs w:val="16"/>
        <w:lang w:val="en-US" w:eastAsia="en-US" w:bidi="ar-SA"/>
      </w:rPr>
    </w:lvl>
    <w:lvl w:ilvl="1" w:tplc="C7DA79CC">
      <w:numFmt w:val="bullet"/>
      <w:lvlText w:val="•"/>
      <w:lvlJc w:val="left"/>
      <w:pPr>
        <w:ind w:left="917" w:hanging="284"/>
      </w:pPr>
      <w:rPr>
        <w:rFonts w:hint="default"/>
        <w:lang w:val="en-US" w:eastAsia="en-US" w:bidi="ar-SA"/>
      </w:rPr>
    </w:lvl>
    <w:lvl w:ilvl="2" w:tplc="269A477E">
      <w:numFmt w:val="bullet"/>
      <w:lvlText w:val="•"/>
      <w:lvlJc w:val="left"/>
      <w:pPr>
        <w:ind w:left="1395" w:hanging="284"/>
      </w:pPr>
      <w:rPr>
        <w:rFonts w:hint="default"/>
        <w:lang w:val="en-US" w:eastAsia="en-US" w:bidi="ar-SA"/>
      </w:rPr>
    </w:lvl>
    <w:lvl w:ilvl="3" w:tplc="1BEECB28">
      <w:numFmt w:val="bullet"/>
      <w:lvlText w:val="•"/>
      <w:lvlJc w:val="left"/>
      <w:pPr>
        <w:ind w:left="1873" w:hanging="284"/>
      </w:pPr>
      <w:rPr>
        <w:rFonts w:hint="default"/>
        <w:lang w:val="en-US" w:eastAsia="en-US" w:bidi="ar-SA"/>
      </w:rPr>
    </w:lvl>
    <w:lvl w:ilvl="4" w:tplc="73FE6E06">
      <w:numFmt w:val="bullet"/>
      <w:lvlText w:val="•"/>
      <w:lvlJc w:val="left"/>
      <w:pPr>
        <w:ind w:left="2350" w:hanging="284"/>
      </w:pPr>
      <w:rPr>
        <w:rFonts w:hint="default"/>
        <w:lang w:val="en-US" w:eastAsia="en-US" w:bidi="ar-SA"/>
      </w:rPr>
    </w:lvl>
    <w:lvl w:ilvl="5" w:tplc="48CC1E1E">
      <w:numFmt w:val="bullet"/>
      <w:lvlText w:val="•"/>
      <w:lvlJc w:val="left"/>
      <w:pPr>
        <w:ind w:left="2828" w:hanging="284"/>
      </w:pPr>
      <w:rPr>
        <w:rFonts w:hint="default"/>
        <w:lang w:val="en-US" w:eastAsia="en-US" w:bidi="ar-SA"/>
      </w:rPr>
    </w:lvl>
    <w:lvl w:ilvl="6" w:tplc="D172BA20">
      <w:numFmt w:val="bullet"/>
      <w:lvlText w:val="•"/>
      <w:lvlJc w:val="left"/>
      <w:pPr>
        <w:ind w:left="3306" w:hanging="284"/>
      </w:pPr>
      <w:rPr>
        <w:rFonts w:hint="default"/>
        <w:lang w:val="en-US" w:eastAsia="en-US" w:bidi="ar-SA"/>
      </w:rPr>
    </w:lvl>
    <w:lvl w:ilvl="7" w:tplc="E8F0E344">
      <w:numFmt w:val="bullet"/>
      <w:lvlText w:val="•"/>
      <w:lvlJc w:val="left"/>
      <w:pPr>
        <w:ind w:left="3784" w:hanging="284"/>
      </w:pPr>
      <w:rPr>
        <w:rFonts w:hint="default"/>
        <w:lang w:val="en-US" w:eastAsia="en-US" w:bidi="ar-SA"/>
      </w:rPr>
    </w:lvl>
    <w:lvl w:ilvl="8" w:tplc="440E614E">
      <w:numFmt w:val="bullet"/>
      <w:lvlText w:val="•"/>
      <w:lvlJc w:val="left"/>
      <w:pPr>
        <w:ind w:left="4261" w:hanging="284"/>
      </w:pPr>
      <w:rPr>
        <w:rFonts w:hint="default"/>
        <w:lang w:val="en-US" w:eastAsia="en-US" w:bidi="ar-SA"/>
      </w:rPr>
    </w:lvl>
  </w:abstractNum>
  <w:abstractNum w:abstractNumId="9"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D352CB"/>
    <w:multiLevelType w:val="multilevel"/>
    <w:tmpl w:val="0F98978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134" w:hanging="340"/>
      </w:pPr>
      <w:rPr>
        <w:rFonts w:hint="default"/>
      </w:rPr>
    </w:lvl>
    <w:lvl w:ilvl="4">
      <w:start w:val="1"/>
      <w:numFmt w:val="lowerRoman"/>
      <w:lvlText w:val="(%5)"/>
      <w:lvlJc w:val="right"/>
      <w:pPr>
        <w:ind w:left="1418" w:hanging="11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E1209CA"/>
    <w:multiLevelType w:val="multilevel"/>
    <w:tmpl w:val="16506B6C"/>
    <w:numStyleLink w:val="ListNumbers"/>
  </w:abstractNum>
  <w:abstractNum w:abstractNumId="12" w15:restartNumberingAfterBreak="0">
    <w:nsid w:val="7A2C43DC"/>
    <w:multiLevelType w:val="multilevel"/>
    <w:tmpl w:val="16506B6C"/>
    <w:numStyleLink w:val="ListNumbers"/>
  </w:abstractNum>
  <w:abstractNum w:abstractNumId="13" w15:restartNumberingAfterBreak="0">
    <w:nsid w:val="7DD1201F"/>
    <w:multiLevelType w:val="multilevel"/>
    <w:tmpl w:val="D5B4D112"/>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2023316704">
    <w:abstractNumId w:val="3"/>
  </w:num>
  <w:num w:numId="2" w16cid:durableId="646595089">
    <w:abstractNumId w:val="4"/>
  </w:num>
  <w:num w:numId="3" w16cid:durableId="1633247767">
    <w:abstractNumId w:val="12"/>
  </w:num>
  <w:num w:numId="4" w16cid:durableId="1427454918">
    <w:abstractNumId w:val="0"/>
  </w:num>
  <w:num w:numId="5" w16cid:durableId="1898860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5807731">
    <w:abstractNumId w:val="5"/>
  </w:num>
  <w:num w:numId="7" w16cid:durableId="21005665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479596">
    <w:abstractNumId w:val="11"/>
  </w:num>
  <w:num w:numId="9" w16cid:durableId="1272862922">
    <w:abstractNumId w:val="7"/>
  </w:num>
  <w:num w:numId="10" w16cid:durableId="4719441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9170973">
    <w:abstractNumId w:val="1"/>
  </w:num>
  <w:num w:numId="12" w16cid:durableId="18432650">
    <w:abstractNumId w:val="6"/>
  </w:num>
  <w:num w:numId="13" w16cid:durableId="217591763">
    <w:abstractNumId w:val="9"/>
  </w:num>
  <w:num w:numId="14" w16cid:durableId="665789171">
    <w:abstractNumId w:val="13"/>
  </w:num>
  <w:num w:numId="15" w16cid:durableId="1312118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70796">
    <w:abstractNumId w:val="2"/>
  </w:num>
  <w:num w:numId="17" w16cid:durableId="1074350741">
    <w:abstractNumId w:val="10"/>
  </w:num>
  <w:num w:numId="18" w16cid:durableId="178467824">
    <w:abstractNumId w:val="3"/>
  </w:num>
  <w:num w:numId="19" w16cid:durableId="1170751074">
    <w:abstractNumId w:val="13"/>
  </w:num>
  <w:num w:numId="20" w16cid:durableId="163775969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4D"/>
    <w:rsid w:val="00004672"/>
    <w:rsid w:val="00004E7E"/>
    <w:rsid w:val="0000577B"/>
    <w:rsid w:val="00020B35"/>
    <w:rsid w:val="00035B7D"/>
    <w:rsid w:val="000437C5"/>
    <w:rsid w:val="000474AE"/>
    <w:rsid w:val="00071857"/>
    <w:rsid w:val="000A180F"/>
    <w:rsid w:val="000A2BDA"/>
    <w:rsid w:val="000A48D5"/>
    <w:rsid w:val="000B5EAA"/>
    <w:rsid w:val="000B6ABC"/>
    <w:rsid w:val="000C2BE7"/>
    <w:rsid w:val="000D2759"/>
    <w:rsid w:val="000F3535"/>
    <w:rsid w:val="00115496"/>
    <w:rsid w:val="00143CDF"/>
    <w:rsid w:val="00150BD3"/>
    <w:rsid w:val="00151C8B"/>
    <w:rsid w:val="0015293A"/>
    <w:rsid w:val="00152CDD"/>
    <w:rsid w:val="00155A3B"/>
    <w:rsid w:val="001561BE"/>
    <w:rsid w:val="0015639E"/>
    <w:rsid w:val="00156C57"/>
    <w:rsid w:val="001756C0"/>
    <w:rsid w:val="001770E6"/>
    <w:rsid w:val="00190B0E"/>
    <w:rsid w:val="0019167D"/>
    <w:rsid w:val="001A3D7B"/>
    <w:rsid w:val="001B51BF"/>
    <w:rsid w:val="001E2174"/>
    <w:rsid w:val="001F46B4"/>
    <w:rsid w:val="001F554D"/>
    <w:rsid w:val="002122DA"/>
    <w:rsid w:val="002222F2"/>
    <w:rsid w:val="0023063B"/>
    <w:rsid w:val="002436A6"/>
    <w:rsid w:val="002438B7"/>
    <w:rsid w:val="0024773F"/>
    <w:rsid w:val="002607C9"/>
    <w:rsid w:val="002730DA"/>
    <w:rsid w:val="0028125A"/>
    <w:rsid w:val="002B7DEB"/>
    <w:rsid w:val="002D57C6"/>
    <w:rsid w:val="002D630D"/>
    <w:rsid w:val="002E4153"/>
    <w:rsid w:val="002F244A"/>
    <w:rsid w:val="002F47B6"/>
    <w:rsid w:val="002F6285"/>
    <w:rsid w:val="002F6A88"/>
    <w:rsid w:val="003216F2"/>
    <w:rsid w:val="00327185"/>
    <w:rsid w:val="003336F3"/>
    <w:rsid w:val="003348B0"/>
    <w:rsid w:val="00380F44"/>
    <w:rsid w:val="00392688"/>
    <w:rsid w:val="003A0024"/>
    <w:rsid w:val="003A6195"/>
    <w:rsid w:val="003D0324"/>
    <w:rsid w:val="003D63A8"/>
    <w:rsid w:val="003E3A9F"/>
    <w:rsid w:val="00407429"/>
    <w:rsid w:val="00426584"/>
    <w:rsid w:val="00431D45"/>
    <w:rsid w:val="004564F4"/>
    <w:rsid w:val="00457042"/>
    <w:rsid w:val="00461810"/>
    <w:rsid w:val="00463458"/>
    <w:rsid w:val="00473A4B"/>
    <w:rsid w:val="004878DB"/>
    <w:rsid w:val="00493E0A"/>
    <w:rsid w:val="00494A2D"/>
    <w:rsid w:val="004967D0"/>
    <w:rsid w:val="004A26E3"/>
    <w:rsid w:val="004C04C8"/>
    <w:rsid w:val="004C604C"/>
    <w:rsid w:val="004D00DD"/>
    <w:rsid w:val="004E1ECE"/>
    <w:rsid w:val="004E7487"/>
    <w:rsid w:val="004F54F5"/>
    <w:rsid w:val="005147E0"/>
    <w:rsid w:val="00534DBE"/>
    <w:rsid w:val="00535159"/>
    <w:rsid w:val="0053666A"/>
    <w:rsid w:val="00557341"/>
    <w:rsid w:val="00560AEF"/>
    <w:rsid w:val="005620A0"/>
    <w:rsid w:val="0056634E"/>
    <w:rsid w:val="00571CF9"/>
    <w:rsid w:val="0057264C"/>
    <w:rsid w:val="0057273E"/>
    <w:rsid w:val="00577A39"/>
    <w:rsid w:val="005814F5"/>
    <w:rsid w:val="00584D26"/>
    <w:rsid w:val="005A7D8E"/>
    <w:rsid w:val="005D30BA"/>
    <w:rsid w:val="005E2D63"/>
    <w:rsid w:val="005F4391"/>
    <w:rsid w:val="0061072B"/>
    <w:rsid w:val="006316F1"/>
    <w:rsid w:val="00632BF8"/>
    <w:rsid w:val="00651884"/>
    <w:rsid w:val="00676C6B"/>
    <w:rsid w:val="00687D4A"/>
    <w:rsid w:val="006915C1"/>
    <w:rsid w:val="006A2F63"/>
    <w:rsid w:val="006A3718"/>
    <w:rsid w:val="006B0C3F"/>
    <w:rsid w:val="006B7713"/>
    <w:rsid w:val="006C7F7B"/>
    <w:rsid w:val="006D282F"/>
    <w:rsid w:val="006D790C"/>
    <w:rsid w:val="006E6A90"/>
    <w:rsid w:val="00700CF5"/>
    <w:rsid w:val="00711608"/>
    <w:rsid w:val="00712950"/>
    <w:rsid w:val="00715B3E"/>
    <w:rsid w:val="00720097"/>
    <w:rsid w:val="0073401D"/>
    <w:rsid w:val="007361D8"/>
    <w:rsid w:val="00737A99"/>
    <w:rsid w:val="007479DF"/>
    <w:rsid w:val="00753631"/>
    <w:rsid w:val="00764442"/>
    <w:rsid w:val="00781704"/>
    <w:rsid w:val="00782E37"/>
    <w:rsid w:val="0078505D"/>
    <w:rsid w:val="00795B77"/>
    <w:rsid w:val="007A0AA6"/>
    <w:rsid w:val="007D0983"/>
    <w:rsid w:val="007D10B5"/>
    <w:rsid w:val="007E291E"/>
    <w:rsid w:val="007F0661"/>
    <w:rsid w:val="007F6293"/>
    <w:rsid w:val="00802A52"/>
    <w:rsid w:val="00804819"/>
    <w:rsid w:val="00806F0F"/>
    <w:rsid w:val="00814D2B"/>
    <w:rsid w:val="00831224"/>
    <w:rsid w:val="00850D66"/>
    <w:rsid w:val="00855F84"/>
    <w:rsid w:val="00881C97"/>
    <w:rsid w:val="00884A2D"/>
    <w:rsid w:val="00887116"/>
    <w:rsid w:val="008B08B4"/>
    <w:rsid w:val="008B36F8"/>
    <w:rsid w:val="008B4389"/>
    <w:rsid w:val="008B5C8B"/>
    <w:rsid w:val="008B6460"/>
    <w:rsid w:val="008C3055"/>
    <w:rsid w:val="008C7075"/>
    <w:rsid w:val="008D2DDA"/>
    <w:rsid w:val="008E2476"/>
    <w:rsid w:val="008E333E"/>
    <w:rsid w:val="009043FC"/>
    <w:rsid w:val="009050C6"/>
    <w:rsid w:val="0091365A"/>
    <w:rsid w:val="0093479E"/>
    <w:rsid w:val="00946C71"/>
    <w:rsid w:val="00947DF3"/>
    <w:rsid w:val="00955E32"/>
    <w:rsid w:val="0097181E"/>
    <w:rsid w:val="00990B3C"/>
    <w:rsid w:val="00992A47"/>
    <w:rsid w:val="00997A06"/>
    <w:rsid w:val="009A3D7C"/>
    <w:rsid w:val="009B215B"/>
    <w:rsid w:val="009B2F87"/>
    <w:rsid w:val="009D1FBA"/>
    <w:rsid w:val="009F3A54"/>
    <w:rsid w:val="009F4681"/>
    <w:rsid w:val="00A01D13"/>
    <w:rsid w:val="00A121B3"/>
    <w:rsid w:val="00A64814"/>
    <w:rsid w:val="00A80E1E"/>
    <w:rsid w:val="00A82B0F"/>
    <w:rsid w:val="00A8651A"/>
    <w:rsid w:val="00AA095D"/>
    <w:rsid w:val="00AA2223"/>
    <w:rsid w:val="00AA4303"/>
    <w:rsid w:val="00AA6E1F"/>
    <w:rsid w:val="00AB6132"/>
    <w:rsid w:val="00AD2B6E"/>
    <w:rsid w:val="00AF02E0"/>
    <w:rsid w:val="00AF1D3D"/>
    <w:rsid w:val="00AF1F32"/>
    <w:rsid w:val="00AF7367"/>
    <w:rsid w:val="00B04ED0"/>
    <w:rsid w:val="00B152AF"/>
    <w:rsid w:val="00B16D06"/>
    <w:rsid w:val="00B20411"/>
    <w:rsid w:val="00B369D6"/>
    <w:rsid w:val="00B36B59"/>
    <w:rsid w:val="00B53D5A"/>
    <w:rsid w:val="00B5451D"/>
    <w:rsid w:val="00B61F7F"/>
    <w:rsid w:val="00B717B1"/>
    <w:rsid w:val="00B93B1F"/>
    <w:rsid w:val="00BA1562"/>
    <w:rsid w:val="00BA1D4B"/>
    <w:rsid w:val="00BB2440"/>
    <w:rsid w:val="00BB3942"/>
    <w:rsid w:val="00BC07D5"/>
    <w:rsid w:val="00BC5E8E"/>
    <w:rsid w:val="00BC719D"/>
    <w:rsid w:val="00BD7739"/>
    <w:rsid w:val="00BE100F"/>
    <w:rsid w:val="00BE1269"/>
    <w:rsid w:val="00BE4B49"/>
    <w:rsid w:val="00BE514D"/>
    <w:rsid w:val="00BE6801"/>
    <w:rsid w:val="00C0291B"/>
    <w:rsid w:val="00C038FB"/>
    <w:rsid w:val="00C05740"/>
    <w:rsid w:val="00C07190"/>
    <w:rsid w:val="00C10F1D"/>
    <w:rsid w:val="00C14F9F"/>
    <w:rsid w:val="00C16280"/>
    <w:rsid w:val="00C2005B"/>
    <w:rsid w:val="00C2007C"/>
    <w:rsid w:val="00C201DA"/>
    <w:rsid w:val="00C37F6A"/>
    <w:rsid w:val="00C42412"/>
    <w:rsid w:val="00C579E9"/>
    <w:rsid w:val="00C701EF"/>
    <w:rsid w:val="00C73DA2"/>
    <w:rsid w:val="00CA3730"/>
    <w:rsid w:val="00CB6145"/>
    <w:rsid w:val="00CD382D"/>
    <w:rsid w:val="00CE6744"/>
    <w:rsid w:val="00D00427"/>
    <w:rsid w:val="00D02C4A"/>
    <w:rsid w:val="00D31981"/>
    <w:rsid w:val="00D37D9F"/>
    <w:rsid w:val="00D73EB2"/>
    <w:rsid w:val="00D77363"/>
    <w:rsid w:val="00D77E4F"/>
    <w:rsid w:val="00DB02B9"/>
    <w:rsid w:val="00DB0566"/>
    <w:rsid w:val="00DD5A34"/>
    <w:rsid w:val="00DF5D75"/>
    <w:rsid w:val="00E15D62"/>
    <w:rsid w:val="00E166A9"/>
    <w:rsid w:val="00E375FD"/>
    <w:rsid w:val="00E4646D"/>
    <w:rsid w:val="00E47E70"/>
    <w:rsid w:val="00E5089C"/>
    <w:rsid w:val="00E80440"/>
    <w:rsid w:val="00E86DCD"/>
    <w:rsid w:val="00E94A1C"/>
    <w:rsid w:val="00EA2130"/>
    <w:rsid w:val="00EA4465"/>
    <w:rsid w:val="00EB6F54"/>
    <w:rsid w:val="00EC4AF9"/>
    <w:rsid w:val="00ED7629"/>
    <w:rsid w:val="00EF11AE"/>
    <w:rsid w:val="00F03DF7"/>
    <w:rsid w:val="00F07FBE"/>
    <w:rsid w:val="00F16243"/>
    <w:rsid w:val="00F24B46"/>
    <w:rsid w:val="00F4048D"/>
    <w:rsid w:val="00F41FC6"/>
    <w:rsid w:val="00F44DC5"/>
    <w:rsid w:val="00F61B69"/>
    <w:rsid w:val="00F63593"/>
    <w:rsid w:val="00F83261"/>
    <w:rsid w:val="00FA2DFF"/>
    <w:rsid w:val="00FB10EA"/>
    <w:rsid w:val="00FB6C36"/>
    <w:rsid w:val="00FC34DF"/>
    <w:rsid w:val="00FC6D23"/>
    <w:rsid w:val="00FD459C"/>
    <w:rsid w:val="00FE4BC3"/>
    <w:rsid w:val="00FE5B1F"/>
    <w:rsid w:val="00FF1497"/>
    <w:rsid w:val="00FF322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1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39E"/>
    <w:pPr>
      <w:spacing w:after="200" w:line="276" w:lineRule="auto"/>
    </w:pPr>
    <w:rPr>
      <w:rFonts w:ascii="Arial" w:hAnsi="Arial"/>
      <w:szCs w:val="24"/>
      <w:lang w:eastAsia="en-US"/>
    </w:rPr>
  </w:style>
  <w:style w:type="paragraph" w:styleId="Heading1">
    <w:name w:val="heading 1"/>
    <w:next w:val="Normal"/>
    <w:link w:val="Heading1Char"/>
    <w:uiPriority w:val="9"/>
    <w:qFormat/>
    <w:rsid w:val="007F6293"/>
    <w:pPr>
      <w:keepNext/>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uiPriority w:val="9"/>
    <w:qFormat/>
    <w:rsid w:val="007F6293"/>
    <w:pPr>
      <w:keepNext/>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uiPriority w:val="9"/>
    <w:qFormat/>
    <w:rsid w:val="007F6293"/>
    <w:pPr>
      <w:spacing w:before="280" w:after="160"/>
      <w:outlineLvl w:val="2"/>
    </w:pPr>
    <w:rPr>
      <w:bCs w:val="0"/>
      <w:sz w:val="22"/>
    </w:rPr>
  </w:style>
  <w:style w:type="paragraph" w:styleId="Heading4">
    <w:name w:val="heading 4"/>
    <w:basedOn w:val="Heading3"/>
    <w:next w:val="Normal"/>
    <w:link w:val="Heading4Char"/>
    <w:rsid w:val="007F6293"/>
    <w:pPr>
      <w:spacing w:before="200" w:after="120"/>
      <w:outlineLvl w:val="3"/>
    </w:pPr>
    <w:rPr>
      <w:rFonts w:eastAsia="MS Mincho"/>
      <w:bCs/>
      <w:sz w:val="20"/>
      <w:szCs w:val="28"/>
    </w:rPr>
  </w:style>
  <w:style w:type="paragraph" w:styleId="Heading5">
    <w:name w:val="heading 5"/>
    <w:basedOn w:val="Heading4"/>
    <w:next w:val="Normal"/>
    <w:link w:val="Heading5Char"/>
    <w:rsid w:val="007F6293"/>
    <w:pPr>
      <w:spacing w:after="80"/>
      <w:outlineLvl w:val="4"/>
    </w:pPr>
    <w:rPr>
      <w:rFonts w:ascii="Arial" w:hAnsi="Arial"/>
      <w:bCs w:val="0"/>
      <w:iCs/>
      <w:szCs w:val="26"/>
    </w:rPr>
  </w:style>
  <w:style w:type="paragraph" w:styleId="Heading6">
    <w:name w:val="heading 6"/>
    <w:basedOn w:val="Normal"/>
    <w:next w:val="Normal"/>
    <w:link w:val="Heading6Char"/>
    <w:uiPriority w:val="9"/>
    <w:qFormat/>
    <w:rsid w:val="007F6293"/>
    <w:pPr>
      <w:spacing w:before="240" w:after="60"/>
      <w:outlineLvl w:val="5"/>
    </w:pPr>
    <w:rPr>
      <w:bCs/>
      <w:szCs w:val="22"/>
    </w:rPr>
  </w:style>
  <w:style w:type="paragraph" w:styleId="Heading7">
    <w:name w:val="heading 7"/>
    <w:basedOn w:val="Normal"/>
    <w:next w:val="Normal"/>
    <w:link w:val="Heading7Char"/>
    <w:uiPriority w:val="9"/>
    <w:qFormat/>
    <w:rsid w:val="007F6293"/>
    <w:pPr>
      <w:spacing w:before="240" w:after="60"/>
      <w:outlineLvl w:val="6"/>
    </w:pPr>
  </w:style>
  <w:style w:type="paragraph" w:styleId="Heading8">
    <w:name w:val="heading 8"/>
    <w:basedOn w:val="Normal"/>
    <w:next w:val="Normal"/>
    <w:link w:val="Heading8Char"/>
    <w:uiPriority w:val="9"/>
    <w:semiHidden/>
    <w:unhideWhenUsed/>
    <w:qFormat/>
    <w:rsid w:val="007F629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629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6293"/>
    <w:rPr>
      <w:rFonts w:ascii="Arial Bold" w:eastAsia="MS Gothic" w:hAnsi="Arial Bold"/>
      <w:bCs/>
      <w:sz w:val="28"/>
      <w:szCs w:val="32"/>
      <w:lang w:val="en-US" w:eastAsia="en-US"/>
    </w:rPr>
  </w:style>
  <w:style w:type="character" w:customStyle="1" w:styleId="Heading2Char">
    <w:name w:val="Heading 2 Char"/>
    <w:link w:val="Heading2"/>
    <w:uiPriority w:val="9"/>
    <w:rsid w:val="007F6293"/>
    <w:rPr>
      <w:rFonts w:ascii="Arial Bold" w:eastAsia="MS Gothic" w:hAnsi="Arial Bold"/>
      <w:bCs/>
      <w:sz w:val="24"/>
      <w:szCs w:val="26"/>
      <w:lang w:val="en-US" w:eastAsia="en-US"/>
    </w:rPr>
  </w:style>
  <w:style w:type="character" w:customStyle="1" w:styleId="Heading3Char">
    <w:name w:val="Heading 3 Char"/>
    <w:link w:val="Heading3"/>
    <w:uiPriority w:val="9"/>
    <w:rsid w:val="007F6293"/>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7F6293"/>
    <w:rPr>
      <w:rFonts w:ascii="Lucida Grande" w:hAnsi="Lucida Grande"/>
      <w:sz w:val="18"/>
      <w:szCs w:val="18"/>
    </w:rPr>
  </w:style>
  <w:style w:type="character" w:customStyle="1" w:styleId="BalloonTextChar">
    <w:name w:val="Balloon Text Char"/>
    <w:link w:val="BalloonText"/>
    <w:uiPriority w:val="99"/>
    <w:semiHidden/>
    <w:rsid w:val="007F6293"/>
    <w:rPr>
      <w:rFonts w:ascii="Lucida Grande" w:hAnsi="Lucida Grande"/>
      <w:sz w:val="18"/>
      <w:szCs w:val="18"/>
      <w:lang w:eastAsia="en-US"/>
    </w:rPr>
  </w:style>
  <w:style w:type="paragraph" w:styleId="Footer">
    <w:name w:val="footer"/>
    <w:basedOn w:val="Normal"/>
    <w:link w:val="FooterChar"/>
    <w:uiPriority w:val="99"/>
    <w:unhideWhenUsed/>
    <w:rsid w:val="007F6293"/>
    <w:pPr>
      <w:tabs>
        <w:tab w:val="center" w:pos="4320"/>
        <w:tab w:val="right" w:pos="8640"/>
      </w:tabs>
      <w:spacing w:after="0"/>
    </w:pPr>
    <w:rPr>
      <w:sz w:val="18"/>
    </w:rPr>
  </w:style>
  <w:style w:type="character" w:customStyle="1" w:styleId="FooterChar">
    <w:name w:val="Footer Char"/>
    <w:link w:val="Footer"/>
    <w:uiPriority w:val="99"/>
    <w:rsid w:val="007F6293"/>
    <w:rPr>
      <w:rFonts w:ascii="Arial" w:hAnsi="Arial"/>
      <w:sz w:val="18"/>
      <w:szCs w:val="24"/>
      <w:lang w:eastAsia="en-US"/>
    </w:rPr>
  </w:style>
  <w:style w:type="table" w:styleId="TableGrid">
    <w:name w:val="Table Grid"/>
    <w:basedOn w:val="TableNormal"/>
    <w:uiPriority w:val="39"/>
    <w:rsid w:val="007F6293"/>
    <w:pPr>
      <w:spacing w:before="60" w:after="60"/>
    </w:pPr>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rPr>
        <w:cantSplit/>
        <w:tblHeader/>
      </w:trPr>
    </w:tblStylePr>
    <w:tblStylePr w:type="firstCol">
      <w:rPr>
        <w:b/>
      </w:rPr>
    </w:tblStylePr>
  </w:style>
  <w:style w:type="paragraph" w:styleId="DocumentMap">
    <w:name w:val="Document Map"/>
    <w:basedOn w:val="Normal"/>
    <w:link w:val="DocumentMapChar"/>
    <w:uiPriority w:val="99"/>
    <w:unhideWhenUsed/>
    <w:rsid w:val="007F6293"/>
    <w:rPr>
      <w:rFonts w:ascii="Lucida Grande" w:hAnsi="Lucida Grande" w:cs="Lucida Grande"/>
    </w:rPr>
  </w:style>
  <w:style w:type="character" w:customStyle="1" w:styleId="DocumentMapChar">
    <w:name w:val="Document Map Char"/>
    <w:link w:val="DocumentMap"/>
    <w:uiPriority w:val="99"/>
    <w:rsid w:val="007F6293"/>
    <w:rPr>
      <w:rFonts w:ascii="Lucida Grande" w:hAnsi="Lucida Grande" w:cs="Lucida Grande"/>
      <w:szCs w:val="24"/>
      <w:lang w:eastAsia="en-US"/>
    </w:rPr>
  </w:style>
  <w:style w:type="paragraph" w:styleId="TOCHeading">
    <w:name w:val="TOC Heading"/>
    <w:basedOn w:val="Heading1"/>
    <w:next w:val="TOC1"/>
    <w:uiPriority w:val="39"/>
    <w:qFormat/>
    <w:rsid w:val="007F6293"/>
    <w:pPr>
      <w:outlineLvl w:val="9"/>
    </w:pPr>
    <w:rPr>
      <w:bCs w:val="0"/>
    </w:rPr>
  </w:style>
  <w:style w:type="paragraph" w:styleId="TOC1">
    <w:name w:val="toc 1"/>
    <w:basedOn w:val="Normal"/>
    <w:next w:val="Normal"/>
    <w:uiPriority w:val="39"/>
    <w:rsid w:val="007F6293"/>
    <w:pPr>
      <w:spacing w:after="120"/>
    </w:pPr>
  </w:style>
  <w:style w:type="character" w:customStyle="1" w:styleId="ItalicText">
    <w:name w:val="Italic Text"/>
    <w:qFormat/>
    <w:rsid w:val="007F6293"/>
    <w:rPr>
      <w:rFonts w:ascii="Arial" w:hAnsi="Arial"/>
      <w:i/>
      <w:sz w:val="20"/>
    </w:rPr>
  </w:style>
  <w:style w:type="paragraph" w:styleId="Header">
    <w:name w:val="header"/>
    <w:basedOn w:val="Normal"/>
    <w:next w:val="Normal"/>
    <w:link w:val="HeaderChar"/>
    <w:rsid w:val="007F6293"/>
    <w:pPr>
      <w:tabs>
        <w:tab w:val="center" w:pos="4513"/>
        <w:tab w:val="right" w:pos="9026"/>
      </w:tabs>
    </w:pPr>
  </w:style>
  <w:style w:type="character" w:customStyle="1" w:styleId="HeaderChar">
    <w:name w:val="Header Char"/>
    <w:link w:val="Header"/>
    <w:rsid w:val="007F6293"/>
    <w:rPr>
      <w:rFonts w:ascii="Arial" w:hAnsi="Arial"/>
      <w:szCs w:val="24"/>
      <w:lang w:eastAsia="en-US"/>
    </w:rPr>
  </w:style>
  <w:style w:type="paragraph" w:styleId="ListBullet">
    <w:name w:val="List Bullet"/>
    <w:basedOn w:val="Normal"/>
    <w:qFormat/>
    <w:rsid w:val="007F6293"/>
    <w:pPr>
      <w:numPr>
        <w:numId w:val="18"/>
      </w:numPr>
      <w:spacing w:after="120"/>
    </w:pPr>
    <w:rPr>
      <w:lang w:val="en-US"/>
    </w:rPr>
  </w:style>
  <w:style w:type="paragraph" w:styleId="EndnoteText">
    <w:name w:val="endnote text"/>
    <w:basedOn w:val="Normal"/>
    <w:link w:val="EndnoteTextChar"/>
    <w:rsid w:val="007F6293"/>
    <w:pPr>
      <w:spacing w:after="40"/>
    </w:pPr>
    <w:rPr>
      <w:sz w:val="16"/>
      <w:szCs w:val="20"/>
    </w:rPr>
  </w:style>
  <w:style w:type="character" w:customStyle="1" w:styleId="EndnoteTextChar">
    <w:name w:val="Endnote Text Char"/>
    <w:link w:val="EndnoteText"/>
    <w:rsid w:val="007F6293"/>
    <w:rPr>
      <w:rFonts w:ascii="Arial" w:hAnsi="Arial"/>
      <w:sz w:val="16"/>
      <w:lang w:eastAsia="en-US"/>
    </w:rPr>
  </w:style>
  <w:style w:type="character" w:styleId="EndnoteReference">
    <w:name w:val="endnote reference"/>
    <w:rsid w:val="007F6293"/>
    <w:rPr>
      <w:vertAlign w:val="superscript"/>
    </w:rPr>
  </w:style>
  <w:style w:type="paragraph" w:styleId="FootnoteText">
    <w:name w:val="footnote text"/>
    <w:basedOn w:val="Normal"/>
    <w:link w:val="FootnoteTextChar"/>
    <w:rsid w:val="007F6293"/>
    <w:pPr>
      <w:spacing w:after="0"/>
    </w:pPr>
    <w:rPr>
      <w:sz w:val="16"/>
      <w:szCs w:val="20"/>
    </w:rPr>
  </w:style>
  <w:style w:type="character" w:customStyle="1" w:styleId="FootnoteTextChar">
    <w:name w:val="Footnote Text Char"/>
    <w:link w:val="FootnoteText"/>
    <w:rsid w:val="007F6293"/>
    <w:rPr>
      <w:rFonts w:ascii="Arial" w:hAnsi="Arial"/>
      <w:sz w:val="16"/>
      <w:lang w:eastAsia="en-US"/>
    </w:rPr>
  </w:style>
  <w:style w:type="character" w:styleId="FootnoteReference">
    <w:name w:val="footnote reference"/>
    <w:rsid w:val="007F6293"/>
    <w:rPr>
      <w:vertAlign w:val="superscript"/>
    </w:rPr>
  </w:style>
  <w:style w:type="paragraph" w:styleId="ListNumber">
    <w:name w:val="List Number"/>
    <w:basedOn w:val="Normal"/>
    <w:qFormat/>
    <w:rsid w:val="007F6293"/>
    <w:pPr>
      <w:numPr>
        <w:numId w:val="19"/>
      </w:numPr>
      <w:spacing w:after="120"/>
    </w:pPr>
  </w:style>
  <w:style w:type="paragraph" w:styleId="ListNumber2">
    <w:name w:val="List Number 2"/>
    <w:basedOn w:val="ListNumber"/>
    <w:rsid w:val="007F6293"/>
    <w:pPr>
      <w:numPr>
        <w:ilvl w:val="1"/>
      </w:numPr>
    </w:pPr>
  </w:style>
  <w:style w:type="paragraph" w:styleId="TableofFigures">
    <w:name w:val="table of figures"/>
    <w:basedOn w:val="Normal"/>
    <w:qFormat/>
    <w:rsid w:val="007F6293"/>
    <w:pPr>
      <w:spacing w:after="0"/>
    </w:pPr>
    <w:rPr>
      <w:lang w:val="en-US"/>
    </w:rPr>
  </w:style>
  <w:style w:type="numbering" w:customStyle="1" w:styleId="ListBullets">
    <w:name w:val="ListBullets"/>
    <w:uiPriority w:val="99"/>
    <w:rsid w:val="007F6293"/>
    <w:pPr>
      <w:numPr>
        <w:numId w:val="1"/>
      </w:numPr>
    </w:pPr>
  </w:style>
  <w:style w:type="paragraph" w:styleId="ListBullet2">
    <w:name w:val="List Bullet 2"/>
    <w:basedOn w:val="Normal"/>
    <w:rsid w:val="007F6293"/>
    <w:pPr>
      <w:numPr>
        <w:ilvl w:val="1"/>
        <w:numId w:val="18"/>
      </w:numPr>
      <w:spacing w:after="120"/>
    </w:pPr>
    <w:rPr>
      <w:lang w:val="en-US"/>
    </w:rPr>
  </w:style>
  <w:style w:type="paragraph" w:styleId="ListParagraph">
    <w:name w:val="List Paragraph"/>
    <w:basedOn w:val="Normal"/>
    <w:rsid w:val="007F6293"/>
    <w:pPr>
      <w:numPr>
        <w:numId w:val="16"/>
      </w:numPr>
      <w:spacing w:after="120"/>
    </w:pPr>
    <w:rPr>
      <w:lang w:val="en-US"/>
    </w:rPr>
  </w:style>
  <w:style w:type="paragraph" w:styleId="ListBullet3">
    <w:name w:val="List Bullet 3"/>
    <w:basedOn w:val="Normal"/>
    <w:rsid w:val="007F6293"/>
    <w:pPr>
      <w:numPr>
        <w:ilvl w:val="2"/>
        <w:numId w:val="18"/>
      </w:numPr>
      <w:spacing w:after="120"/>
    </w:pPr>
  </w:style>
  <w:style w:type="paragraph" w:styleId="ListBullet4">
    <w:name w:val="List Bullet 4"/>
    <w:basedOn w:val="Normal"/>
    <w:rsid w:val="007F6293"/>
    <w:pPr>
      <w:numPr>
        <w:ilvl w:val="3"/>
        <w:numId w:val="18"/>
      </w:numPr>
      <w:spacing w:after="120"/>
    </w:pPr>
  </w:style>
  <w:style w:type="paragraph" w:styleId="ListBullet5">
    <w:name w:val="List Bullet 5"/>
    <w:basedOn w:val="Normal"/>
    <w:rsid w:val="007F6293"/>
    <w:pPr>
      <w:numPr>
        <w:ilvl w:val="4"/>
        <w:numId w:val="18"/>
      </w:numPr>
      <w:spacing w:after="120"/>
    </w:pPr>
  </w:style>
  <w:style w:type="paragraph" w:styleId="ListNumber3">
    <w:name w:val="List Number 3"/>
    <w:basedOn w:val="Normal"/>
    <w:rsid w:val="007F6293"/>
    <w:pPr>
      <w:numPr>
        <w:ilvl w:val="2"/>
        <w:numId w:val="19"/>
      </w:numPr>
      <w:spacing w:after="120"/>
    </w:pPr>
  </w:style>
  <w:style w:type="paragraph" w:styleId="ListNumber4">
    <w:name w:val="List Number 4"/>
    <w:basedOn w:val="Normal"/>
    <w:rsid w:val="007F6293"/>
    <w:pPr>
      <w:numPr>
        <w:ilvl w:val="3"/>
        <w:numId w:val="19"/>
      </w:numPr>
      <w:spacing w:after="120"/>
    </w:pPr>
  </w:style>
  <w:style w:type="numbering" w:customStyle="1" w:styleId="ListNumbers">
    <w:name w:val="ListNumbers"/>
    <w:uiPriority w:val="99"/>
    <w:rsid w:val="007F6293"/>
    <w:pPr>
      <w:numPr>
        <w:numId w:val="2"/>
      </w:numPr>
    </w:pPr>
  </w:style>
  <w:style w:type="character" w:customStyle="1" w:styleId="Heading4Char">
    <w:name w:val="Heading 4 Char"/>
    <w:link w:val="Heading4"/>
    <w:rsid w:val="007F6293"/>
    <w:rPr>
      <w:rFonts w:ascii="Arial Bold" w:hAnsi="Arial Bold"/>
      <w:bCs/>
      <w:szCs w:val="28"/>
      <w:lang w:val="en-US" w:eastAsia="en-US"/>
    </w:rPr>
  </w:style>
  <w:style w:type="paragraph" w:customStyle="1" w:styleId="Bold">
    <w:name w:val="Bold"/>
    <w:basedOn w:val="Normal"/>
    <w:next w:val="Normal"/>
    <w:link w:val="BoldChar"/>
    <w:qFormat/>
    <w:rsid w:val="007F6293"/>
    <w:rPr>
      <w:b/>
    </w:rPr>
  </w:style>
  <w:style w:type="paragraph" w:styleId="TOC2">
    <w:name w:val="toc 2"/>
    <w:basedOn w:val="Normal"/>
    <w:next w:val="Normal"/>
    <w:autoRedefine/>
    <w:uiPriority w:val="39"/>
    <w:rsid w:val="007F6293"/>
    <w:pPr>
      <w:tabs>
        <w:tab w:val="right" w:leader="dot" w:pos="9769"/>
      </w:tabs>
      <w:spacing w:after="120"/>
      <w:ind w:left="284"/>
    </w:pPr>
  </w:style>
  <w:style w:type="paragraph" w:styleId="TOC3">
    <w:name w:val="toc 3"/>
    <w:basedOn w:val="Normal"/>
    <w:next w:val="Normal"/>
    <w:autoRedefine/>
    <w:uiPriority w:val="39"/>
    <w:rsid w:val="007F6293"/>
    <w:pPr>
      <w:tabs>
        <w:tab w:val="right" w:leader="dot" w:pos="9769"/>
      </w:tabs>
      <w:spacing w:after="120"/>
      <w:ind w:left="567"/>
    </w:pPr>
  </w:style>
  <w:style w:type="character" w:styleId="Hyperlink">
    <w:name w:val="Hyperlink"/>
    <w:uiPriority w:val="99"/>
    <w:unhideWhenUsed/>
    <w:rsid w:val="007F6293"/>
    <w:rPr>
      <w:color w:val="0000FF"/>
      <w:u w:val="single"/>
    </w:rPr>
  </w:style>
  <w:style w:type="paragraph" w:styleId="TOC4">
    <w:name w:val="toc 4"/>
    <w:basedOn w:val="Normal"/>
    <w:next w:val="Normal"/>
    <w:autoRedefine/>
    <w:uiPriority w:val="39"/>
    <w:rsid w:val="007F6293"/>
    <w:pPr>
      <w:spacing w:after="120"/>
      <w:ind w:left="851"/>
    </w:pPr>
  </w:style>
  <w:style w:type="character" w:customStyle="1" w:styleId="Heading5Char">
    <w:name w:val="Heading 5 Char"/>
    <w:link w:val="Heading5"/>
    <w:rsid w:val="007F6293"/>
    <w:rPr>
      <w:rFonts w:ascii="Arial" w:hAnsi="Arial"/>
      <w:iCs/>
      <w:szCs w:val="26"/>
      <w:lang w:val="en-US" w:eastAsia="en-US"/>
    </w:rPr>
  </w:style>
  <w:style w:type="character" w:customStyle="1" w:styleId="Heading6Char">
    <w:name w:val="Heading 6 Char"/>
    <w:link w:val="Heading6"/>
    <w:uiPriority w:val="9"/>
    <w:rsid w:val="007F6293"/>
    <w:rPr>
      <w:rFonts w:ascii="Arial" w:hAnsi="Arial"/>
      <w:bCs/>
      <w:szCs w:val="22"/>
      <w:lang w:eastAsia="en-US"/>
    </w:rPr>
  </w:style>
  <w:style w:type="character" w:customStyle="1" w:styleId="Heading7Char">
    <w:name w:val="Heading 7 Char"/>
    <w:link w:val="Heading7"/>
    <w:uiPriority w:val="9"/>
    <w:rsid w:val="007F6293"/>
    <w:rPr>
      <w:rFonts w:ascii="Arial" w:hAnsi="Arial"/>
      <w:szCs w:val="24"/>
      <w:lang w:eastAsia="en-US"/>
    </w:rPr>
  </w:style>
  <w:style w:type="paragraph" w:styleId="TOC5">
    <w:name w:val="toc 5"/>
    <w:basedOn w:val="Normal"/>
    <w:next w:val="Normal"/>
    <w:autoRedefine/>
    <w:uiPriority w:val="39"/>
    <w:rsid w:val="007F6293"/>
    <w:pPr>
      <w:spacing w:after="120"/>
      <w:ind w:left="1134"/>
    </w:pPr>
  </w:style>
  <w:style w:type="character" w:customStyle="1" w:styleId="BoldChar">
    <w:name w:val="Bold Char"/>
    <w:link w:val="Bold"/>
    <w:rsid w:val="007F6293"/>
    <w:rPr>
      <w:rFonts w:ascii="Arial" w:hAnsi="Arial"/>
      <w:b/>
      <w:szCs w:val="24"/>
      <w:lang w:eastAsia="en-US"/>
    </w:rPr>
  </w:style>
  <w:style w:type="paragraph" w:styleId="Caption">
    <w:name w:val="caption"/>
    <w:basedOn w:val="Normal"/>
    <w:next w:val="Normal"/>
    <w:rsid w:val="007F6293"/>
    <w:pPr>
      <w:spacing w:before="240"/>
    </w:pPr>
    <w:rPr>
      <w:rFonts w:ascii="Arial Bold" w:hAnsi="Arial Bold"/>
      <w:b/>
      <w:bCs/>
      <w:szCs w:val="18"/>
    </w:rPr>
  </w:style>
  <w:style w:type="paragraph" w:styleId="TOAHeading">
    <w:name w:val="toa heading"/>
    <w:basedOn w:val="Normal"/>
    <w:next w:val="Normal"/>
    <w:rsid w:val="007F6293"/>
    <w:pPr>
      <w:spacing w:before="120"/>
    </w:pPr>
    <w:rPr>
      <w:rFonts w:ascii="Calibri" w:eastAsia="MS Gothic" w:hAnsi="Calibri"/>
      <w:b/>
      <w:bCs/>
      <w:sz w:val="24"/>
    </w:rPr>
  </w:style>
  <w:style w:type="character" w:styleId="Strong">
    <w:name w:val="Strong"/>
    <w:rsid w:val="007F6293"/>
    <w:rPr>
      <w:b/>
      <w:bCs/>
    </w:rPr>
  </w:style>
  <w:style w:type="paragraph" w:customStyle="1" w:styleId="DocumentTitle">
    <w:name w:val="Document Title"/>
    <w:basedOn w:val="Normal"/>
    <w:next w:val="Subtitle"/>
    <w:qFormat/>
    <w:rsid w:val="007F6293"/>
    <w:pPr>
      <w:spacing w:after="480"/>
    </w:pPr>
    <w:rPr>
      <w:noProof/>
      <w:sz w:val="52"/>
    </w:rPr>
  </w:style>
  <w:style w:type="paragraph" w:styleId="Title">
    <w:name w:val="Title"/>
    <w:basedOn w:val="Normal"/>
    <w:next w:val="Normal"/>
    <w:link w:val="TitleChar"/>
    <w:rsid w:val="007F6293"/>
    <w:pPr>
      <w:pBdr>
        <w:bottom w:val="single" w:sz="8" w:space="4" w:color="4F81BD"/>
      </w:pBdr>
      <w:spacing w:after="300"/>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7F6293"/>
    <w:pPr>
      <w:spacing w:after="360"/>
    </w:pPr>
    <w:rPr>
      <w:rFonts w:eastAsia="MS Gothic"/>
      <w:sz w:val="44"/>
    </w:rPr>
  </w:style>
  <w:style w:type="character" w:customStyle="1" w:styleId="SubtitleChar">
    <w:name w:val="Subtitle Char"/>
    <w:link w:val="Subtitle"/>
    <w:rsid w:val="007F6293"/>
    <w:rPr>
      <w:rFonts w:ascii="Arial" w:eastAsia="MS Gothic" w:hAnsi="Arial"/>
      <w:sz w:val="44"/>
      <w:szCs w:val="24"/>
      <w:lang w:eastAsia="en-US"/>
    </w:rPr>
  </w:style>
  <w:style w:type="paragraph" w:customStyle="1" w:styleId="Subtitle2">
    <w:name w:val="Subtitle2"/>
    <w:basedOn w:val="Subtitle"/>
    <w:next w:val="Heading1"/>
    <w:qFormat/>
    <w:rsid w:val="007F6293"/>
    <w:rPr>
      <w:sz w:val="36"/>
    </w:rPr>
  </w:style>
  <w:style w:type="character" w:customStyle="1" w:styleId="TitleChar">
    <w:name w:val="Title Char"/>
    <w:link w:val="Title"/>
    <w:rsid w:val="007F6293"/>
    <w:rPr>
      <w:rFonts w:ascii="Calibri" w:eastAsia="MS Gothic" w:hAnsi="Calibri"/>
      <w:color w:val="17365D"/>
      <w:spacing w:val="5"/>
      <w:kern w:val="28"/>
      <w:sz w:val="52"/>
      <w:szCs w:val="52"/>
      <w:lang w:eastAsia="en-US"/>
    </w:rPr>
  </w:style>
  <w:style w:type="paragraph" w:customStyle="1" w:styleId="Nospace">
    <w:name w:val="No space"/>
    <w:basedOn w:val="Normal"/>
    <w:qFormat/>
    <w:rsid w:val="007F6293"/>
    <w:pPr>
      <w:spacing w:after="0"/>
    </w:pPr>
    <w:rPr>
      <w:noProof/>
      <w:lang w:eastAsia="en-AU"/>
    </w:rPr>
  </w:style>
  <w:style w:type="character" w:customStyle="1" w:styleId="Heading8Char">
    <w:name w:val="Heading 8 Char"/>
    <w:basedOn w:val="DefaultParagraphFont"/>
    <w:link w:val="Heading8"/>
    <w:uiPriority w:val="9"/>
    <w:semiHidden/>
    <w:rsid w:val="007F629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7F6293"/>
    <w:rPr>
      <w:rFonts w:asciiTheme="majorHAnsi" w:eastAsiaTheme="majorEastAsia" w:hAnsiTheme="majorHAnsi" w:cstheme="majorBidi"/>
      <w:i/>
      <w:iCs/>
      <w:color w:val="272727" w:themeColor="text1" w:themeTint="D8"/>
      <w:sz w:val="21"/>
      <w:szCs w:val="21"/>
      <w:lang w:eastAsia="en-US"/>
    </w:rPr>
  </w:style>
  <w:style w:type="paragraph" w:customStyle="1" w:styleId="nText1">
    <w:name w:val="nText1"/>
    <w:basedOn w:val="Normal"/>
    <w:qFormat/>
    <w:rsid w:val="007F6293"/>
    <w:pPr>
      <w:spacing w:before="120" w:after="120"/>
      <w:ind w:left="1134" w:hanging="340"/>
      <w:outlineLvl w:val="3"/>
    </w:pPr>
    <w:rPr>
      <w:rFonts w:asciiTheme="minorHAnsi" w:eastAsiaTheme="minorHAnsi" w:hAnsiTheme="minorHAnsi" w:cstheme="minorBidi"/>
      <w:szCs w:val="22"/>
    </w:rPr>
  </w:style>
  <w:style w:type="paragraph" w:customStyle="1" w:styleId="nText2">
    <w:name w:val="nText2"/>
    <w:basedOn w:val="nText1"/>
    <w:qFormat/>
    <w:rsid w:val="007F6293"/>
    <w:pPr>
      <w:ind w:left="1417" w:hanging="113"/>
      <w:outlineLvl w:val="4"/>
    </w:pPr>
  </w:style>
  <w:style w:type="paragraph" w:styleId="BodyText">
    <w:name w:val="Body Text"/>
    <w:basedOn w:val="Normal"/>
    <w:link w:val="BodyTextChar"/>
    <w:uiPriority w:val="1"/>
    <w:qFormat/>
    <w:rsid w:val="007F6293"/>
    <w:pPr>
      <w:widowControl w:val="0"/>
      <w:autoSpaceDE w:val="0"/>
      <w:autoSpaceDN w:val="0"/>
      <w:spacing w:after="0"/>
    </w:pPr>
    <w:rPr>
      <w:rFonts w:ascii="Gotham Book" w:eastAsia="Gotham Book" w:hAnsi="Gotham Book" w:cs="Gotham Book"/>
      <w:sz w:val="16"/>
      <w:szCs w:val="16"/>
      <w:lang w:val="en-US"/>
    </w:rPr>
  </w:style>
  <w:style w:type="character" w:customStyle="1" w:styleId="BodyTextChar">
    <w:name w:val="Body Text Char"/>
    <w:basedOn w:val="DefaultParagraphFont"/>
    <w:link w:val="BodyText"/>
    <w:uiPriority w:val="1"/>
    <w:rsid w:val="007F6293"/>
    <w:rPr>
      <w:rFonts w:ascii="Gotham Book" w:eastAsia="Gotham Book" w:hAnsi="Gotham Book" w:cs="Gotham Book"/>
      <w:sz w:val="16"/>
      <w:szCs w:val="16"/>
      <w:lang w:val="en-US" w:eastAsia="en-US"/>
    </w:rPr>
  </w:style>
  <w:style w:type="paragraph" w:customStyle="1" w:styleId="TableParagraph">
    <w:name w:val="Table Paragraph"/>
    <w:basedOn w:val="Normal"/>
    <w:uiPriority w:val="1"/>
    <w:qFormat/>
    <w:rsid w:val="00BE514D"/>
    <w:pPr>
      <w:widowControl w:val="0"/>
      <w:autoSpaceDE w:val="0"/>
      <w:autoSpaceDN w:val="0"/>
      <w:spacing w:after="0"/>
    </w:pPr>
    <w:rPr>
      <w:rFonts w:ascii="Century Gothic" w:eastAsia="Century Gothic" w:hAnsi="Century Gothic" w:cs="Century Gothic"/>
      <w:sz w:val="22"/>
      <w:szCs w:val="22"/>
      <w:lang w:val="en-US"/>
    </w:rPr>
  </w:style>
  <w:style w:type="character" w:styleId="UnresolvedMention">
    <w:name w:val="Unresolved Mention"/>
    <w:basedOn w:val="DefaultParagraphFont"/>
    <w:uiPriority w:val="99"/>
    <w:semiHidden/>
    <w:unhideWhenUsed/>
    <w:rsid w:val="007D0983"/>
    <w:rPr>
      <w:color w:val="605E5C"/>
      <w:shd w:val="clear" w:color="auto" w:fill="E1DFDD"/>
    </w:rPr>
  </w:style>
  <w:style w:type="character" w:styleId="CommentReference">
    <w:name w:val="annotation reference"/>
    <w:basedOn w:val="DefaultParagraphFont"/>
    <w:semiHidden/>
    <w:unhideWhenUsed/>
    <w:rsid w:val="009A3D7C"/>
    <w:rPr>
      <w:sz w:val="16"/>
      <w:szCs w:val="16"/>
    </w:rPr>
  </w:style>
  <w:style w:type="paragraph" w:styleId="CommentText">
    <w:name w:val="annotation text"/>
    <w:basedOn w:val="Normal"/>
    <w:link w:val="CommentTextChar"/>
    <w:unhideWhenUsed/>
    <w:rsid w:val="009A3D7C"/>
    <w:rPr>
      <w:szCs w:val="20"/>
    </w:rPr>
  </w:style>
  <w:style w:type="character" w:customStyle="1" w:styleId="CommentTextChar">
    <w:name w:val="Comment Text Char"/>
    <w:basedOn w:val="DefaultParagraphFont"/>
    <w:link w:val="CommentText"/>
    <w:rsid w:val="009A3D7C"/>
    <w:rPr>
      <w:rFonts w:ascii="Arial" w:hAnsi="Arial"/>
      <w:lang w:eastAsia="en-US"/>
    </w:rPr>
  </w:style>
  <w:style w:type="paragraph" w:styleId="CommentSubject">
    <w:name w:val="annotation subject"/>
    <w:basedOn w:val="CommentText"/>
    <w:next w:val="CommentText"/>
    <w:link w:val="CommentSubjectChar"/>
    <w:semiHidden/>
    <w:unhideWhenUsed/>
    <w:rsid w:val="009A3D7C"/>
    <w:rPr>
      <w:b/>
      <w:bCs/>
    </w:rPr>
  </w:style>
  <w:style w:type="character" w:customStyle="1" w:styleId="CommentSubjectChar">
    <w:name w:val="Comment Subject Char"/>
    <w:basedOn w:val="CommentTextChar"/>
    <w:link w:val="CommentSubject"/>
    <w:semiHidden/>
    <w:rsid w:val="009A3D7C"/>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lobal@melbourne.vi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lobal@melbourne.vic.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lbourne.vic.gov.au/internation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vestmelbourne@melbourne.vic.gov.au" TargetMode="External"/><Relationship Id="rId4" Type="http://schemas.openxmlformats.org/officeDocument/2006/relationships/settings" Target="settings.xml"/><Relationship Id="rId9" Type="http://schemas.openxmlformats.org/officeDocument/2006/relationships/hyperlink" Target="https://www.melbourne.vic.gov.au/inves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111B9-54F1-41B9-BC40-FD762855F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snapshot: Financial services</dc:title>
  <dc:creator/>
  <cp:lastModifiedBy/>
  <cp:revision>1</cp:revision>
  <dcterms:created xsi:type="dcterms:W3CDTF">2024-11-13T06:10:00Z</dcterms:created>
  <dcterms:modified xsi:type="dcterms:W3CDTF">2024-11-13T06:10:00Z</dcterms:modified>
</cp:coreProperties>
</file>