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20.xml" ContentType="application/vnd.openxmlformats-officedocument.drawingml.chart+xml"/>
  <Override PartName="/word/charts/style20.xml" ContentType="application/vnd.ms-office.chartstyle+xml"/>
  <Override PartName="/word/charts/colors20.xml" ContentType="application/vnd.ms-office.chartcolorstyle+xml"/>
  <Override PartName="/word/charts/chart21.xml" ContentType="application/vnd.openxmlformats-officedocument.drawingml.chart+xml"/>
  <Override PartName="/word/charts/style21.xml" ContentType="application/vnd.ms-office.chartstyle+xml"/>
  <Override PartName="/word/charts/colors21.xml" ContentType="application/vnd.ms-office.chartcolorstyle+xml"/>
  <Override PartName="/word/charts/chart22.xml" ContentType="application/vnd.openxmlformats-officedocument.drawingml.chart+xml"/>
  <Override PartName="/word/charts/style22.xml" ContentType="application/vnd.ms-office.chartstyle+xml"/>
  <Override PartName="/word/charts/colors22.xml" ContentType="application/vnd.ms-office.chartcolorstyle+xml"/>
  <Override PartName="/word/charts/chart23.xml" ContentType="application/vnd.openxmlformats-officedocument.drawingml.chart+xml"/>
  <Override PartName="/word/charts/style23.xml" ContentType="application/vnd.ms-office.chartstyle+xml"/>
  <Override PartName="/word/charts/colors23.xml" ContentType="application/vnd.ms-office.chartcolorstyle+xml"/>
  <Override PartName="/word/charts/chart24.xml" ContentType="application/vnd.openxmlformats-officedocument.drawingml.chart+xml"/>
  <Override PartName="/word/charts/style24.xml" ContentType="application/vnd.ms-office.chartstyle+xml"/>
  <Override PartName="/word/charts/colors24.xml" ContentType="application/vnd.ms-office.chartcolorstyle+xml"/>
  <Override PartName="/word/charts/chart25.xml" ContentType="application/vnd.openxmlformats-officedocument.drawingml.chart+xml"/>
  <Override PartName="/word/charts/style25.xml" ContentType="application/vnd.ms-office.chartstyle+xml"/>
  <Override PartName="/word/charts/colors25.xml" ContentType="application/vnd.ms-office.chartcolorstyle+xml"/>
  <Override PartName="/word/charts/chart26.xml" ContentType="application/vnd.openxmlformats-officedocument.drawingml.chart+xml"/>
  <Override PartName="/word/charts/style26.xml" ContentType="application/vnd.ms-office.chartstyle+xml"/>
  <Override PartName="/word/charts/colors26.xml" ContentType="application/vnd.ms-office.chartcolorstyle+xml"/>
  <Override PartName="/word/charts/chart27.xml" ContentType="application/vnd.openxmlformats-officedocument.drawingml.chart+xml"/>
  <Override PartName="/word/charts/style27.xml" ContentType="application/vnd.ms-office.chartstyle+xml"/>
  <Override PartName="/word/charts/colors27.xml" ContentType="application/vnd.ms-office.chartcolorstyle+xml"/>
  <Override PartName="/word/charts/chart28.xml" ContentType="application/vnd.openxmlformats-officedocument.drawingml.chart+xml"/>
  <Override PartName="/word/charts/style28.xml" ContentType="application/vnd.ms-office.chartstyle+xml"/>
  <Override PartName="/word/charts/colors28.xml" ContentType="application/vnd.ms-office.chartcolorstyle+xml"/>
  <Override PartName="/word/charts/chart29.xml" ContentType="application/vnd.openxmlformats-officedocument.drawingml.chart+xml"/>
  <Override PartName="/word/charts/style29.xml" ContentType="application/vnd.ms-office.chartstyle+xml"/>
  <Override PartName="/word/charts/colors29.xml" ContentType="application/vnd.ms-office.chartcolorstyle+xml"/>
  <Override PartName="/word/charts/chart30.xml" ContentType="application/vnd.openxmlformats-officedocument.drawingml.chart+xml"/>
  <Override PartName="/word/charts/style30.xml" ContentType="application/vnd.ms-office.chartstyle+xml"/>
  <Override PartName="/word/charts/colors30.xml" ContentType="application/vnd.ms-office.chartcolorstyle+xml"/>
  <Override PartName="/word/charts/chart31.xml" ContentType="application/vnd.openxmlformats-officedocument.drawingml.chart+xml"/>
  <Override PartName="/word/charts/style31.xml" ContentType="application/vnd.ms-office.chartstyle+xml"/>
  <Override PartName="/word/charts/colors31.xml" ContentType="application/vnd.ms-office.chartcolorstyle+xml"/>
  <Override PartName="/word/charts/chart32.xml" ContentType="application/vnd.openxmlformats-officedocument.drawingml.chart+xml"/>
  <Override PartName="/word/charts/style32.xml" ContentType="application/vnd.ms-office.chartstyle+xml"/>
  <Override PartName="/word/charts/colors32.xml" ContentType="application/vnd.ms-office.chartcolorstyle+xml"/>
  <Override PartName="/word/charts/chart33.xml" ContentType="application/vnd.openxmlformats-officedocument.drawingml.chart+xml"/>
  <Override PartName="/word/charts/style33.xml" ContentType="application/vnd.ms-office.chartstyle+xml"/>
  <Override PartName="/word/charts/colors33.xml" ContentType="application/vnd.ms-office.chartcolorstyle+xml"/>
  <Override PartName="/word/charts/chart34.xml" ContentType="application/vnd.openxmlformats-officedocument.drawingml.chart+xml"/>
  <Override PartName="/word/charts/style34.xml" ContentType="application/vnd.ms-office.chartstyle+xml"/>
  <Override PartName="/word/charts/colors34.xml" ContentType="application/vnd.ms-office.chartcolorstyle+xml"/>
  <Override PartName="/word/charts/chart35.xml" ContentType="application/vnd.openxmlformats-officedocument.drawingml.chart+xml"/>
  <Override PartName="/word/charts/style35.xml" ContentType="application/vnd.ms-office.chartstyle+xml"/>
  <Override PartName="/word/charts/colors35.xml" ContentType="application/vnd.ms-office.chartcolorstyle+xml"/>
  <Override PartName="/word/charts/chart36.xml" ContentType="application/vnd.openxmlformats-officedocument.drawingml.chart+xml"/>
  <Override PartName="/word/charts/style36.xml" ContentType="application/vnd.ms-office.chartstyle+xml"/>
  <Override PartName="/word/charts/colors36.xml" ContentType="application/vnd.ms-office.chartcolorstyle+xml"/>
  <Override PartName="/word/charts/chart37.xml" ContentType="application/vnd.openxmlformats-officedocument.drawingml.chart+xml"/>
  <Override PartName="/word/charts/style37.xml" ContentType="application/vnd.ms-office.chartstyle+xml"/>
  <Override PartName="/word/charts/colors37.xml" ContentType="application/vnd.ms-office.chartcolorstyle+xml"/>
  <Override PartName="/word/charts/chart38.xml" ContentType="application/vnd.openxmlformats-officedocument.drawingml.chart+xml"/>
  <Override PartName="/word/charts/style38.xml" ContentType="application/vnd.ms-office.chartstyle+xml"/>
  <Override PartName="/word/charts/colors38.xml" ContentType="application/vnd.ms-office.chartcolorstyle+xml"/>
  <Override PartName="/word/charts/chart39.xml" ContentType="application/vnd.openxmlformats-officedocument.drawingml.chart+xml"/>
  <Override PartName="/word/charts/style39.xml" ContentType="application/vnd.ms-office.chartstyle+xml"/>
  <Override PartName="/word/charts/colors39.xml" ContentType="application/vnd.ms-office.chartcolorstyle+xml"/>
  <Override PartName="/word/charts/chart40.xml" ContentType="application/vnd.openxmlformats-officedocument.drawingml.chart+xml"/>
  <Override PartName="/word/charts/style40.xml" ContentType="application/vnd.ms-office.chartstyle+xml"/>
  <Override PartName="/word/charts/colors40.xml" ContentType="application/vnd.ms-office.chartcolorstyle+xml"/>
  <Override PartName="/word/charts/chart41.xml" ContentType="application/vnd.openxmlformats-officedocument.drawingml.chart+xml"/>
  <Override PartName="/word/charts/style41.xml" ContentType="application/vnd.ms-office.chartstyle+xml"/>
  <Override PartName="/word/charts/colors41.xml" ContentType="application/vnd.ms-office.chartcolorstyle+xml"/>
  <Override PartName="/word/charts/chart42.xml" ContentType="application/vnd.openxmlformats-officedocument.drawingml.chart+xml"/>
  <Override PartName="/word/charts/style42.xml" ContentType="application/vnd.ms-office.chartstyle+xml"/>
  <Override PartName="/word/charts/colors42.xml" ContentType="application/vnd.ms-office.chartcolorstyle+xml"/>
  <Override PartName="/word/charts/chart43.xml" ContentType="application/vnd.openxmlformats-officedocument.drawingml.chart+xml"/>
  <Override PartName="/word/charts/style43.xml" ContentType="application/vnd.ms-office.chartstyle+xml"/>
  <Override PartName="/word/charts/colors43.xml" ContentType="application/vnd.ms-office.chartcolorstyle+xml"/>
  <Override PartName="/word/charts/chart44.xml" ContentType="application/vnd.openxmlformats-officedocument.drawingml.chart+xml"/>
  <Override PartName="/word/charts/style44.xml" ContentType="application/vnd.ms-office.chartstyle+xml"/>
  <Override PartName="/word/charts/colors44.xml" ContentType="application/vnd.ms-office.chartcolorstyle+xml"/>
  <Override PartName="/word/charts/chart45.xml" ContentType="application/vnd.openxmlformats-officedocument.drawingml.chart+xml"/>
  <Override PartName="/word/charts/style45.xml" ContentType="application/vnd.ms-office.chartstyle+xml"/>
  <Override PartName="/word/charts/colors45.xml" ContentType="application/vnd.ms-office.chartcolorstyle+xml"/>
  <Override PartName="/word/charts/chart46.xml" ContentType="application/vnd.openxmlformats-officedocument.drawingml.chart+xml"/>
  <Override PartName="/word/charts/style46.xml" ContentType="application/vnd.ms-office.chartstyle+xml"/>
  <Override PartName="/word/charts/colors46.xml" ContentType="application/vnd.ms-office.chartcolorstyle+xml"/>
  <Override PartName="/word/charts/chart47.xml" ContentType="application/vnd.openxmlformats-officedocument.drawingml.chart+xml"/>
  <Override PartName="/word/charts/style47.xml" ContentType="application/vnd.ms-office.chartstyle+xml"/>
  <Override PartName="/word/charts/colors47.xml" ContentType="application/vnd.ms-office.chartcolorstyle+xml"/>
  <Override PartName="/word/charts/chart48.xml" ContentType="application/vnd.openxmlformats-officedocument.drawingml.chart+xml"/>
  <Override PartName="/word/charts/style48.xml" ContentType="application/vnd.ms-office.chartstyle+xml"/>
  <Override PartName="/word/charts/colors48.xml" ContentType="application/vnd.ms-office.chartcolorstyle+xml"/>
  <Override PartName="/word/charts/chart49.xml" ContentType="application/vnd.openxmlformats-officedocument.drawingml.chart+xml"/>
  <Override PartName="/word/charts/style49.xml" ContentType="application/vnd.ms-office.chartstyle+xml"/>
  <Override PartName="/word/charts/colors49.xml" ContentType="application/vnd.ms-office.chartcolorstyle+xml"/>
  <Override PartName="/word/charts/chart50.xml" ContentType="application/vnd.openxmlformats-officedocument.drawingml.chart+xml"/>
  <Override PartName="/word/charts/style50.xml" ContentType="application/vnd.ms-office.chartstyle+xml"/>
  <Override PartName="/word/charts/colors50.xml" ContentType="application/vnd.ms-office.chartcolorstyle+xml"/>
  <Override PartName="/word/charts/chart51.xml" ContentType="application/vnd.openxmlformats-officedocument.drawingml.chart+xml"/>
  <Override PartName="/word/charts/style51.xml" ContentType="application/vnd.ms-office.chartstyle+xml"/>
  <Override PartName="/word/charts/colors51.xml" ContentType="application/vnd.ms-office.chartcolorstyle+xml"/>
  <Override PartName="/word/charts/chart52.xml" ContentType="application/vnd.openxmlformats-officedocument.drawingml.chart+xml"/>
  <Override PartName="/word/charts/style52.xml" ContentType="application/vnd.ms-office.chartstyle+xml"/>
  <Override PartName="/word/charts/colors52.xml" ContentType="application/vnd.ms-office.chartcolorstyle+xml"/>
  <Override PartName="/word/charts/chart53.xml" ContentType="application/vnd.openxmlformats-officedocument.drawingml.chart+xml"/>
  <Override PartName="/word/charts/style53.xml" ContentType="application/vnd.ms-office.chartstyle+xml"/>
  <Override PartName="/word/charts/colors53.xml" ContentType="application/vnd.ms-office.chartcolorstyle+xml"/>
  <Override PartName="/word/charts/chart54.xml" ContentType="application/vnd.openxmlformats-officedocument.drawingml.chart+xml"/>
  <Override PartName="/word/charts/style54.xml" ContentType="application/vnd.ms-office.chartstyle+xml"/>
  <Override PartName="/word/charts/colors54.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29C60D" w14:textId="77777777" w:rsidR="00737A99" w:rsidRPr="005814F5" w:rsidRDefault="0091365A" w:rsidP="00020B35">
      <w:pPr>
        <w:spacing w:after="0"/>
        <w:jc w:val="right"/>
      </w:pPr>
      <w:r>
        <w:rPr>
          <w:noProof/>
          <w:lang w:eastAsia="en-AU"/>
        </w:rPr>
        <w:drawing>
          <wp:inline distT="0" distB="0" distL="0" distR="0" wp14:anchorId="39DAF3A4" wp14:editId="1FC1B219">
            <wp:extent cx="986790" cy="958215"/>
            <wp:effectExtent l="0" t="0" r="3810" b="0"/>
            <wp:docPr id="2" name="Picture 1" descr="City of Melbour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 of Melbour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6790" cy="958215"/>
                    </a:xfrm>
                    <a:prstGeom prst="rect">
                      <a:avLst/>
                    </a:prstGeom>
                    <a:noFill/>
                    <a:ln>
                      <a:noFill/>
                    </a:ln>
                  </pic:spPr>
                </pic:pic>
              </a:graphicData>
            </a:graphic>
          </wp:inline>
        </w:drawing>
      </w:r>
    </w:p>
    <w:p w14:paraId="199FD491" w14:textId="7660F8EE" w:rsidR="00E5089C" w:rsidRPr="001B51BF" w:rsidRDefault="005A2447" w:rsidP="00020B35">
      <w:pPr>
        <w:pStyle w:val="DocumentTitle"/>
        <w:spacing w:before="3360"/>
      </w:pPr>
      <w:r w:rsidRPr="005A2447">
        <w:rPr>
          <w:rFonts w:cs="Arial"/>
        </w:rPr>
        <w:t>City of Melbourne:</w:t>
      </w:r>
      <w:r>
        <w:rPr>
          <w:rFonts w:cs="Arial"/>
        </w:rPr>
        <w:t xml:space="preserve"> </w:t>
      </w:r>
      <w:r w:rsidR="00546FCA" w:rsidRPr="006A0EC1">
        <w:rPr>
          <w:rFonts w:cs="Arial"/>
        </w:rPr>
        <w:t>Buildings Energy Use and Emissions Study</w:t>
      </w:r>
    </w:p>
    <w:p w14:paraId="0B25A4B2" w14:textId="02E8FF80" w:rsidR="00546FCA" w:rsidRPr="005A2447" w:rsidRDefault="00546FCA" w:rsidP="005A2447">
      <w:pPr>
        <w:pStyle w:val="Subtitle2"/>
        <w:spacing w:line="240" w:lineRule="auto"/>
        <w:rPr>
          <w:sz w:val="28"/>
          <w:szCs w:val="20"/>
        </w:rPr>
      </w:pPr>
      <w:r w:rsidRPr="005A2447">
        <w:rPr>
          <w:sz w:val="28"/>
          <w:szCs w:val="20"/>
        </w:rPr>
        <w:t>Prepared for:</w:t>
      </w:r>
      <w:r w:rsidRPr="005A2447">
        <w:rPr>
          <w:sz w:val="28"/>
          <w:szCs w:val="20"/>
        </w:rPr>
        <w:tab/>
        <w:t>City of Melbourne</w:t>
      </w:r>
    </w:p>
    <w:p w14:paraId="3E2BE634" w14:textId="3F9E802E" w:rsidR="00546FCA" w:rsidRPr="005A2447" w:rsidRDefault="00546FCA" w:rsidP="005A2447">
      <w:pPr>
        <w:pStyle w:val="Subtitle2"/>
        <w:spacing w:line="240" w:lineRule="auto"/>
        <w:rPr>
          <w:sz w:val="28"/>
          <w:szCs w:val="20"/>
        </w:rPr>
      </w:pPr>
      <w:r w:rsidRPr="005A2447">
        <w:rPr>
          <w:sz w:val="28"/>
          <w:szCs w:val="20"/>
        </w:rPr>
        <w:t>Prepared by:</w:t>
      </w:r>
      <w:r w:rsidRPr="005A2447">
        <w:rPr>
          <w:sz w:val="28"/>
          <w:szCs w:val="20"/>
        </w:rPr>
        <w:tab/>
        <w:t>Strategy. Policy. Research.</w:t>
      </w:r>
    </w:p>
    <w:p w14:paraId="352B32CE" w14:textId="3EA844C6" w:rsidR="00546FCA" w:rsidRPr="005A2447" w:rsidRDefault="00546FCA" w:rsidP="005A2447">
      <w:pPr>
        <w:pStyle w:val="Subtitle2"/>
        <w:spacing w:line="240" w:lineRule="auto"/>
        <w:rPr>
          <w:sz w:val="28"/>
          <w:szCs w:val="20"/>
        </w:rPr>
      </w:pPr>
      <w:r w:rsidRPr="005A2447">
        <w:rPr>
          <w:sz w:val="28"/>
          <w:szCs w:val="20"/>
        </w:rPr>
        <w:t>Issue:</w:t>
      </w:r>
      <w:r w:rsidRPr="005A2447">
        <w:rPr>
          <w:sz w:val="28"/>
          <w:szCs w:val="20"/>
        </w:rPr>
        <w:tab/>
      </w:r>
      <w:r w:rsidRPr="005A2447">
        <w:rPr>
          <w:sz w:val="28"/>
          <w:szCs w:val="20"/>
        </w:rPr>
        <w:tab/>
        <w:t>July 2024</w:t>
      </w:r>
    </w:p>
    <w:p w14:paraId="5548E17A" w14:textId="5863252A" w:rsidR="00546FCA" w:rsidRPr="005A2447" w:rsidRDefault="00546FCA" w:rsidP="005A2447">
      <w:pPr>
        <w:pStyle w:val="Subtitle2"/>
        <w:spacing w:line="240" w:lineRule="auto"/>
        <w:rPr>
          <w:sz w:val="28"/>
          <w:szCs w:val="20"/>
        </w:rPr>
      </w:pPr>
      <w:r w:rsidRPr="005A2447">
        <w:rPr>
          <w:sz w:val="28"/>
          <w:szCs w:val="20"/>
        </w:rPr>
        <w:t>Endorsement:</w:t>
      </w:r>
      <w:r w:rsidRPr="005A2447">
        <w:rPr>
          <w:sz w:val="28"/>
          <w:szCs w:val="20"/>
        </w:rPr>
        <w:tab/>
        <w:t>September 2024</w:t>
      </w:r>
    </w:p>
    <w:p w14:paraId="12D4DCC1" w14:textId="77777777" w:rsidR="00546FCA" w:rsidRPr="00546FCA" w:rsidRDefault="00546FCA" w:rsidP="00546FCA">
      <w:pPr>
        <w:pStyle w:val="Heading1"/>
        <w:rPr>
          <w:rFonts w:hint="eastAsia"/>
          <w:lang w:val="en-AU"/>
        </w:rPr>
      </w:pPr>
    </w:p>
    <w:p w14:paraId="65CF7B4D" w14:textId="77777777" w:rsidR="00B152AF" w:rsidRPr="00E5089C" w:rsidRDefault="00020B35" w:rsidP="00020B35">
      <w:pPr>
        <w:pStyle w:val="TOCHeading"/>
        <w:rPr>
          <w:rFonts w:hint="eastAsia"/>
        </w:rPr>
      </w:pPr>
      <w:r>
        <w:br w:type="page"/>
      </w:r>
      <w:bookmarkStart w:id="0" w:name="_Toc403992663"/>
      <w:bookmarkStart w:id="1" w:name="_Toc403992345"/>
      <w:bookmarkStart w:id="2" w:name="_Toc403992580"/>
      <w:r w:rsidR="00B152AF" w:rsidRPr="00E5089C">
        <w:lastRenderedPageBreak/>
        <w:t>Contents</w:t>
      </w:r>
      <w:bookmarkEnd w:id="0"/>
    </w:p>
    <w:p w14:paraId="26FB7C90" w14:textId="354DAD4E" w:rsidR="005552C5" w:rsidRDefault="005A2447">
      <w:pPr>
        <w:pStyle w:val="TOC1"/>
        <w:tabs>
          <w:tab w:val="right" w:leader="dot" w:pos="9769"/>
        </w:tabs>
        <w:rPr>
          <w:rFonts w:asciiTheme="minorHAnsi" w:eastAsiaTheme="minorEastAsia" w:hAnsiTheme="minorHAnsi" w:cstheme="minorBidi"/>
          <w:noProof/>
          <w:kern w:val="2"/>
          <w:sz w:val="22"/>
          <w:szCs w:val="22"/>
          <w:lang w:eastAsia="en-AU"/>
          <w14:ligatures w14:val="standardContextual"/>
        </w:rPr>
      </w:pPr>
      <w:r>
        <w:rPr>
          <w:bCs/>
        </w:rPr>
        <w:fldChar w:fldCharType="begin"/>
      </w:r>
      <w:r>
        <w:rPr>
          <w:bCs/>
        </w:rPr>
        <w:instrText xml:space="preserve"> TOC \o "1-2" \h \z \u </w:instrText>
      </w:r>
      <w:r>
        <w:rPr>
          <w:bCs/>
        </w:rPr>
        <w:fldChar w:fldCharType="separate"/>
      </w:r>
      <w:hyperlink w:anchor="_Toc181219274" w:history="1">
        <w:r w:rsidR="005552C5" w:rsidRPr="00142AD2">
          <w:rPr>
            <w:rStyle w:val="Hyperlink"/>
            <w:noProof/>
          </w:rPr>
          <w:t>Executive Summary</w:t>
        </w:r>
        <w:r w:rsidR="005552C5">
          <w:rPr>
            <w:noProof/>
            <w:webHidden/>
          </w:rPr>
          <w:tab/>
        </w:r>
        <w:r w:rsidR="005552C5">
          <w:rPr>
            <w:noProof/>
            <w:webHidden/>
          </w:rPr>
          <w:fldChar w:fldCharType="begin"/>
        </w:r>
        <w:r w:rsidR="005552C5">
          <w:rPr>
            <w:noProof/>
            <w:webHidden/>
          </w:rPr>
          <w:instrText xml:space="preserve"> PAGEREF _Toc181219274 \h </w:instrText>
        </w:r>
        <w:r w:rsidR="005552C5">
          <w:rPr>
            <w:noProof/>
            <w:webHidden/>
          </w:rPr>
        </w:r>
        <w:r w:rsidR="005552C5">
          <w:rPr>
            <w:noProof/>
            <w:webHidden/>
          </w:rPr>
          <w:fldChar w:fldCharType="separate"/>
        </w:r>
        <w:r w:rsidR="005552C5">
          <w:rPr>
            <w:noProof/>
            <w:webHidden/>
          </w:rPr>
          <w:t>3</w:t>
        </w:r>
        <w:r w:rsidR="005552C5">
          <w:rPr>
            <w:noProof/>
            <w:webHidden/>
          </w:rPr>
          <w:fldChar w:fldCharType="end"/>
        </w:r>
      </w:hyperlink>
    </w:p>
    <w:p w14:paraId="18E65C8F" w14:textId="38A783CB" w:rsidR="005552C5" w:rsidRDefault="00BA509B">
      <w:pPr>
        <w:pStyle w:val="TOC1"/>
        <w:tabs>
          <w:tab w:val="left" w:pos="567"/>
          <w:tab w:val="right" w:leader="dot" w:pos="9769"/>
        </w:tabs>
        <w:rPr>
          <w:rFonts w:asciiTheme="minorHAnsi" w:eastAsiaTheme="minorEastAsia" w:hAnsiTheme="minorHAnsi" w:cstheme="minorBidi"/>
          <w:noProof/>
          <w:kern w:val="2"/>
          <w:sz w:val="22"/>
          <w:szCs w:val="22"/>
          <w:lang w:eastAsia="en-AU"/>
          <w14:ligatures w14:val="standardContextual"/>
        </w:rPr>
      </w:pPr>
      <w:hyperlink w:anchor="_Toc181219275" w:history="1">
        <w:r w:rsidR="005552C5" w:rsidRPr="00142AD2">
          <w:rPr>
            <w:rStyle w:val="Hyperlink"/>
            <w:noProof/>
          </w:rPr>
          <w:t>1.</w:t>
        </w:r>
        <w:r w:rsidR="005552C5">
          <w:rPr>
            <w:rFonts w:asciiTheme="minorHAnsi" w:eastAsiaTheme="minorEastAsia" w:hAnsiTheme="minorHAnsi" w:cstheme="minorBidi"/>
            <w:noProof/>
            <w:kern w:val="2"/>
            <w:sz w:val="22"/>
            <w:szCs w:val="22"/>
            <w:lang w:eastAsia="en-AU"/>
            <w14:ligatures w14:val="standardContextual"/>
          </w:rPr>
          <w:tab/>
        </w:r>
        <w:r w:rsidR="005552C5" w:rsidRPr="00142AD2">
          <w:rPr>
            <w:rStyle w:val="Hyperlink"/>
            <w:noProof/>
          </w:rPr>
          <w:t>Introduction</w:t>
        </w:r>
        <w:r w:rsidR="005552C5">
          <w:rPr>
            <w:noProof/>
            <w:webHidden/>
          </w:rPr>
          <w:tab/>
        </w:r>
        <w:r w:rsidR="005552C5">
          <w:rPr>
            <w:noProof/>
            <w:webHidden/>
          </w:rPr>
          <w:fldChar w:fldCharType="begin"/>
        </w:r>
        <w:r w:rsidR="005552C5">
          <w:rPr>
            <w:noProof/>
            <w:webHidden/>
          </w:rPr>
          <w:instrText xml:space="preserve"> PAGEREF _Toc181219275 \h </w:instrText>
        </w:r>
        <w:r w:rsidR="005552C5">
          <w:rPr>
            <w:noProof/>
            <w:webHidden/>
          </w:rPr>
        </w:r>
        <w:r w:rsidR="005552C5">
          <w:rPr>
            <w:noProof/>
            <w:webHidden/>
          </w:rPr>
          <w:fldChar w:fldCharType="separate"/>
        </w:r>
        <w:r w:rsidR="005552C5">
          <w:rPr>
            <w:noProof/>
            <w:webHidden/>
          </w:rPr>
          <w:t>7</w:t>
        </w:r>
        <w:r w:rsidR="005552C5">
          <w:rPr>
            <w:noProof/>
            <w:webHidden/>
          </w:rPr>
          <w:fldChar w:fldCharType="end"/>
        </w:r>
      </w:hyperlink>
    </w:p>
    <w:p w14:paraId="58798EEC" w14:textId="4DB7AC6F" w:rsidR="005552C5" w:rsidRDefault="00BA509B">
      <w:pPr>
        <w:pStyle w:val="TOC2"/>
        <w:tabs>
          <w:tab w:val="left" w:pos="851"/>
        </w:tabs>
        <w:rPr>
          <w:rFonts w:asciiTheme="minorHAnsi" w:eastAsiaTheme="minorEastAsia" w:hAnsiTheme="minorHAnsi" w:cstheme="minorBidi"/>
          <w:noProof/>
          <w:kern w:val="2"/>
          <w:sz w:val="22"/>
          <w:szCs w:val="22"/>
          <w:lang w:eastAsia="en-AU"/>
          <w14:ligatures w14:val="standardContextual"/>
        </w:rPr>
      </w:pPr>
      <w:hyperlink w:anchor="_Toc181219276" w:history="1">
        <w:r w:rsidR="005552C5" w:rsidRPr="00142AD2">
          <w:rPr>
            <w:rStyle w:val="Hyperlink"/>
            <w:noProof/>
          </w:rPr>
          <w:t>1.1</w:t>
        </w:r>
        <w:r w:rsidR="005552C5">
          <w:rPr>
            <w:rFonts w:asciiTheme="minorHAnsi" w:eastAsiaTheme="minorEastAsia" w:hAnsiTheme="minorHAnsi" w:cstheme="minorBidi"/>
            <w:noProof/>
            <w:kern w:val="2"/>
            <w:sz w:val="22"/>
            <w:szCs w:val="22"/>
            <w:lang w:eastAsia="en-AU"/>
            <w14:ligatures w14:val="standardContextual"/>
          </w:rPr>
          <w:tab/>
        </w:r>
        <w:r w:rsidR="005552C5" w:rsidRPr="00142AD2">
          <w:rPr>
            <w:rStyle w:val="Hyperlink"/>
            <w:noProof/>
          </w:rPr>
          <w:t>Objectives</w:t>
        </w:r>
        <w:r w:rsidR="005552C5">
          <w:rPr>
            <w:noProof/>
            <w:webHidden/>
          </w:rPr>
          <w:tab/>
        </w:r>
        <w:r w:rsidR="005552C5">
          <w:rPr>
            <w:noProof/>
            <w:webHidden/>
          </w:rPr>
          <w:fldChar w:fldCharType="begin"/>
        </w:r>
        <w:r w:rsidR="005552C5">
          <w:rPr>
            <w:noProof/>
            <w:webHidden/>
          </w:rPr>
          <w:instrText xml:space="preserve"> PAGEREF _Toc181219276 \h </w:instrText>
        </w:r>
        <w:r w:rsidR="005552C5">
          <w:rPr>
            <w:noProof/>
            <w:webHidden/>
          </w:rPr>
        </w:r>
        <w:r w:rsidR="005552C5">
          <w:rPr>
            <w:noProof/>
            <w:webHidden/>
          </w:rPr>
          <w:fldChar w:fldCharType="separate"/>
        </w:r>
        <w:r w:rsidR="005552C5">
          <w:rPr>
            <w:noProof/>
            <w:webHidden/>
          </w:rPr>
          <w:t>7</w:t>
        </w:r>
        <w:r w:rsidR="005552C5">
          <w:rPr>
            <w:noProof/>
            <w:webHidden/>
          </w:rPr>
          <w:fldChar w:fldCharType="end"/>
        </w:r>
      </w:hyperlink>
    </w:p>
    <w:p w14:paraId="4A6CDDAF" w14:textId="7BD691C7" w:rsidR="005552C5" w:rsidRDefault="00BA509B">
      <w:pPr>
        <w:pStyle w:val="TOC2"/>
        <w:tabs>
          <w:tab w:val="left" w:pos="851"/>
        </w:tabs>
        <w:rPr>
          <w:rFonts w:asciiTheme="minorHAnsi" w:eastAsiaTheme="minorEastAsia" w:hAnsiTheme="minorHAnsi" w:cstheme="minorBidi"/>
          <w:noProof/>
          <w:kern w:val="2"/>
          <w:sz w:val="22"/>
          <w:szCs w:val="22"/>
          <w:lang w:eastAsia="en-AU"/>
          <w14:ligatures w14:val="standardContextual"/>
        </w:rPr>
      </w:pPr>
      <w:hyperlink w:anchor="_Toc181219277" w:history="1">
        <w:r w:rsidR="005552C5" w:rsidRPr="00142AD2">
          <w:rPr>
            <w:rStyle w:val="Hyperlink"/>
            <w:noProof/>
          </w:rPr>
          <w:t>1.2</w:t>
        </w:r>
        <w:r w:rsidR="005552C5">
          <w:rPr>
            <w:rFonts w:asciiTheme="minorHAnsi" w:eastAsiaTheme="minorEastAsia" w:hAnsiTheme="minorHAnsi" w:cstheme="minorBidi"/>
            <w:noProof/>
            <w:kern w:val="2"/>
            <w:sz w:val="22"/>
            <w:szCs w:val="22"/>
            <w:lang w:eastAsia="en-AU"/>
            <w14:ligatures w14:val="standardContextual"/>
          </w:rPr>
          <w:tab/>
        </w:r>
        <w:r w:rsidR="005552C5" w:rsidRPr="00142AD2">
          <w:rPr>
            <w:rStyle w:val="Hyperlink"/>
            <w:noProof/>
          </w:rPr>
          <w:t>Related Projects and Programs</w:t>
        </w:r>
        <w:r w:rsidR="005552C5">
          <w:rPr>
            <w:noProof/>
            <w:webHidden/>
          </w:rPr>
          <w:tab/>
        </w:r>
        <w:r w:rsidR="005552C5">
          <w:rPr>
            <w:noProof/>
            <w:webHidden/>
          </w:rPr>
          <w:fldChar w:fldCharType="begin"/>
        </w:r>
        <w:r w:rsidR="005552C5">
          <w:rPr>
            <w:noProof/>
            <w:webHidden/>
          </w:rPr>
          <w:instrText xml:space="preserve"> PAGEREF _Toc181219277 \h </w:instrText>
        </w:r>
        <w:r w:rsidR="005552C5">
          <w:rPr>
            <w:noProof/>
            <w:webHidden/>
          </w:rPr>
        </w:r>
        <w:r w:rsidR="005552C5">
          <w:rPr>
            <w:noProof/>
            <w:webHidden/>
          </w:rPr>
          <w:fldChar w:fldCharType="separate"/>
        </w:r>
        <w:r w:rsidR="005552C5">
          <w:rPr>
            <w:noProof/>
            <w:webHidden/>
          </w:rPr>
          <w:t>7</w:t>
        </w:r>
        <w:r w:rsidR="005552C5">
          <w:rPr>
            <w:noProof/>
            <w:webHidden/>
          </w:rPr>
          <w:fldChar w:fldCharType="end"/>
        </w:r>
      </w:hyperlink>
    </w:p>
    <w:p w14:paraId="4D815645" w14:textId="7A8FAF4E" w:rsidR="005552C5" w:rsidRDefault="00BA509B">
      <w:pPr>
        <w:pStyle w:val="TOC2"/>
        <w:tabs>
          <w:tab w:val="left" w:pos="851"/>
        </w:tabs>
        <w:rPr>
          <w:rFonts w:asciiTheme="minorHAnsi" w:eastAsiaTheme="minorEastAsia" w:hAnsiTheme="minorHAnsi" w:cstheme="minorBidi"/>
          <w:noProof/>
          <w:kern w:val="2"/>
          <w:sz w:val="22"/>
          <w:szCs w:val="22"/>
          <w:lang w:eastAsia="en-AU"/>
          <w14:ligatures w14:val="standardContextual"/>
        </w:rPr>
      </w:pPr>
      <w:hyperlink w:anchor="_Toc181219278" w:history="1">
        <w:r w:rsidR="005552C5" w:rsidRPr="00142AD2">
          <w:rPr>
            <w:rStyle w:val="Hyperlink"/>
            <w:noProof/>
          </w:rPr>
          <w:t>1.3</w:t>
        </w:r>
        <w:r w:rsidR="005552C5">
          <w:rPr>
            <w:rFonts w:asciiTheme="minorHAnsi" w:eastAsiaTheme="minorEastAsia" w:hAnsiTheme="minorHAnsi" w:cstheme="minorBidi"/>
            <w:noProof/>
            <w:kern w:val="2"/>
            <w:sz w:val="22"/>
            <w:szCs w:val="22"/>
            <w:lang w:eastAsia="en-AU"/>
            <w14:ligatures w14:val="standardContextual"/>
          </w:rPr>
          <w:tab/>
        </w:r>
        <w:r w:rsidR="005552C5" w:rsidRPr="00142AD2">
          <w:rPr>
            <w:rStyle w:val="Hyperlink"/>
            <w:noProof/>
          </w:rPr>
          <w:t>About SPR</w:t>
        </w:r>
        <w:r w:rsidR="005552C5">
          <w:rPr>
            <w:noProof/>
            <w:webHidden/>
          </w:rPr>
          <w:tab/>
        </w:r>
        <w:r w:rsidR="005552C5">
          <w:rPr>
            <w:noProof/>
            <w:webHidden/>
          </w:rPr>
          <w:fldChar w:fldCharType="begin"/>
        </w:r>
        <w:r w:rsidR="005552C5">
          <w:rPr>
            <w:noProof/>
            <w:webHidden/>
          </w:rPr>
          <w:instrText xml:space="preserve"> PAGEREF _Toc181219278 \h </w:instrText>
        </w:r>
        <w:r w:rsidR="005552C5">
          <w:rPr>
            <w:noProof/>
            <w:webHidden/>
          </w:rPr>
        </w:r>
        <w:r w:rsidR="005552C5">
          <w:rPr>
            <w:noProof/>
            <w:webHidden/>
          </w:rPr>
          <w:fldChar w:fldCharType="separate"/>
        </w:r>
        <w:r w:rsidR="005552C5">
          <w:rPr>
            <w:noProof/>
            <w:webHidden/>
          </w:rPr>
          <w:t>9</w:t>
        </w:r>
        <w:r w:rsidR="005552C5">
          <w:rPr>
            <w:noProof/>
            <w:webHidden/>
          </w:rPr>
          <w:fldChar w:fldCharType="end"/>
        </w:r>
      </w:hyperlink>
    </w:p>
    <w:p w14:paraId="75D76AC8" w14:textId="69912003" w:rsidR="005552C5" w:rsidRDefault="00BA509B">
      <w:pPr>
        <w:pStyle w:val="TOC1"/>
        <w:tabs>
          <w:tab w:val="left" w:pos="567"/>
          <w:tab w:val="right" w:leader="dot" w:pos="9769"/>
        </w:tabs>
        <w:rPr>
          <w:rFonts w:asciiTheme="minorHAnsi" w:eastAsiaTheme="minorEastAsia" w:hAnsiTheme="minorHAnsi" w:cstheme="minorBidi"/>
          <w:noProof/>
          <w:kern w:val="2"/>
          <w:sz w:val="22"/>
          <w:szCs w:val="22"/>
          <w:lang w:eastAsia="en-AU"/>
          <w14:ligatures w14:val="standardContextual"/>
        </w:rPr>
      </w:pPr>
      <w:hyperlink w:anchor="_Toc181219279" w:history="1">
        <w:r w:rsidR="005552C5" w:rsidRPr="00142AD2">
          <w:rPr>
            <w:rStyle w:val="Hyperlink"/>
            <w:noProof/>
          </w:rPr>
          <w:t>2.</w:t>
        </w:r>
        <w:r w:rsidR="005552C5">
          <w:rPr>
            <w:rFonts w:asciiTheme="minorHAnsi" w:eastAsiaTheme="minorEastAsia" w:hAnsiTheme="minorHAnsi" w:cstheme="minorBidi"/>
            <w:noProof/>
            <w:kern w:val="2"/>
            <w:sz w:val="22"/>
            <w:szCs w:val="22"/>
            <w:lang w:eastAsia="en-AU"/>
            <w14:ligatures w14:val="standardContextual"/>
          </w:rPr>
          <w:tab/>
        </w:r>
        <w:r w:rsidR="005552C5" w:rsidRPr="00142AD2">
          <w:rPr>
            <w:rStyle w:val="Hyperlink"/>
            <w:noProof/>
          </w:rPr>
          <w:t>Key Issues and Approaches</w:t>
        </w:r>
        <w:r w:rsidR="005552C5">
          <w:rPr>
            <w:noProof/>
            <w:webHidden/>
          </w:rPr>
          <w:tab/>
        </w:r>
        <w:r w:rsidR="005552C5">
          <w:rPr>
            <w:noProof/>
            <w:webHidden/>
          </w:rPr>
          <w:fldChar w:fldCharType="begin"/>
        </w:r>
        <w:r w:rsidR="005552C5">
          <w:rPr>
            <w:noProof/>
            <w:webHidden/>
          </w:rPr>
          <w:instrText xml:space="preserve"> PAGEREF _Toc181219279 \h </w:instrText>
        </w:r>
        <w:r w:rsidR="005552C5">
          <w:rPr>
            <w:noProof/>
            <w:webHidden/>
          </w:rPr>
        </w:r>
        <w:r w:rsidR="005552C5">
          <w:rPr>
            <w:noProof/>
            <w:webHidden/>
          </w:rPr>
          <w:fldChar w:fldCharType="separate"/>
        </w:r>
        <w:r w:rsidR="005552C5">
          <w:rPr>
            <w:noProof/>
            <w:webHidden/>
          </w:rPr>
          <w:t>10</w:t>
        </w:r>
        <w:r w:rsidR="005552C5">
          <w:rPr>
            <w:noProof/>
            <w:webHidden/>
          </w:rPr>
          <w:fldChar w:fldCharType="end"/>
        </w:r>
      </w:hyperlink>
    </w:p>
    <w:p w14:paraId="64287310" w14:textId="31494087" w:rsidR="005552C5" w:rsidRDefault="00BA509B">
      <w:pPr>
        <w:pStyle w:val="TOC2"/>
        <w:tabs>
          <w:tab w:val="left" w:pos="851"/>
        </w:tabs>
        <w:rPr>
          <w:rFonts w:asciiTheme="minorHAnsi" w:eastAsiaTheme="minorEastAsia" w:hAnsiTheme="minorHAnsi" w:cstheme="minorBidi"/>
          <w:noProof/>
          <w:kern w:val="2"/>
          <w:sz w:val="22"/>
          <w:szCs w:val="22"/>
          <w:lang w:eastAsia="en-AU"/>
          <w14:ligatures w14:val="standardContextual"/>
        </w:rPr>
      </w:pPr>
      <w:hyperlink w:anchor="_Toc181219280" w:history="1">
        <w:r w:rsidR="005552C5" w:rsidRPr="00142AD2">
          <w:rPr>
            <w:rStyle w:val="Hyperlink"/>
            <w:noProof/>
          </w:rPr>
          <w:t>2.1</w:t>
        </w:r>
        <w:r w:rsidR="005552C5">
          <w:rPr>
            <w:rFonts w:asciiTheme="minorHAnsi" w:eastAsiaTheme="minorEastAsia" w:hAnsiTheme="minorHAnsi" w:cstheme="minorBidi"/>
            <w:noProof/>
            <w:kern w:val="2"/>
            <w:sz w:val="22"/>
            <w:szCs w:val="22"/>
            <w:lang w:eastAsia="en-AU"/>
            <w14:ligatures w14:val="standardContextual"/>
          </w:rPr>
          <w:tab/>
        </w:r>
        <w:r w:rsidR="005552C5" w:rsidRPr="00142AD2">
          <w:rPr>
            <w:rStyle w:val="Hyperlink"/>
            <w:noProof/>
          </w:rPr>
          <w:t>CLUE</w:t>
        </w:r>
        <w:r w:rsidR="005552C5">
          <w:rPr>
            <w:noProof/>
            <w:webHidden/>
          </w:rPr>
          <w:tab/>
        </w:r>
        <w:r w:rsidR="005552C5">
          <w:rPr>
            <w:noProof/>
            <w:webHidden/>
          </w:rPr>
          <w:fldChar w:fldCharType="begin"/>
        </w:r>
        <w:r w:rsidR="005552C5">
          <w:rPr>
            <w:noProof/>
            <w:webHidden/>
          </w:rPr>
          <w:instrText xml:space="preserve"> PAGEREF _Toc181219280 \h </w:instrText>
        </w:r>
        <w:r w:rsidR="005552C5">
          <w:rPr>
            <w:noProof/>
            <w:webHidden/>
          </w:rPr>
        </w:r>
        <w:r w:rsidR="005552C5">
          <w:rPr>
            <w:noProof/>
            <w:webHidden/>
          </w:rPr>
          <w:fldChar w:fldCharType="separate"/>
        </w:r>
        <w:r w:rsidR="005552C5">
          <w:rPr>
            <w:noProof/>
            <w:webHidden/>
          </w:rPr>
          <w:t>10</w:t>
        </w:r>
        <w:r w:rsidR="005552C5">
          <w:rPr>
            <w:noProof/>
            <w:webHidden/>
          </w:rPr>
          <w:fldChar w:fldCharType="end"/>
        </w:r>
      </w:hyperlink>
    </w:p>
    <w:p w14:paraId="7ED3291D" w14:textId="6160580A" w:rsidR="005552C5" w:rsidRDefault="00BA509B">
      <w:pPr>
        <w:pStyle w:val="TOC2"/>
        <w:tabs>
          <w:tab w:val="left" w:pos="851"/>
        </w:tabs>
        <w:rPr>
          <w:rFonts w:asciiTheme="minorHAnsi" w:eastAsiaTheme="minorEastAsia" w:hAnsiTheme="minorHAnsi" w:cstheme="minorBidi"/>
          <w:noProof/>
          <w:kern w:val="2"/>
          <w:sz w:val="22"/>
          <w:szCs w:val="22"/>
          <w:lang w:eastAsia="en-AU"/>
          <w14:ligatures w14:val="standardContextual"/>
        </w:rPr>
      </w:pPr>
      <w:hyperlink w:anchor="_Toc181219281" w:history="1">
        <w:r w:rsidR="005552C5" w:rsidRPr="00142AD2">
          <w:rPr>
            <w:rStyle w:val="Hyperlink"/>
            <w:noProof/>
          </w:rPr>
          <w:t>2.2</w:t>
        </w:r>
        <w:r w:rsidR="005552C5">
          <w:rPr>
            <w:rFonts w:asciiTheme="minorHAnsi" w:eastAsiaTheme="minorEastAsia" w:hAnsiTheme="minorHAnsi" w:cstheme="minorBidi"/>
            <w:noProof/>
            <w:kern w:val="2"/>
            <w:sz w:val="22"/>
            <w:szCs w:val="22"/>
            <w:lang w:eastAsia="en-AU"/>
            <w14:ligatures w14:val="standardContextual"/>
          </w:rPr>
          <w:tab/>
        </w:r>
        <w:r w:rsidR="005552C5" w:rsidRPr="00142AD2">
          <w:rPr>
            <w:rStyle w:val="Hyperlink"/>
            <w:noProof/>
          </w:rPr>
          <w:t>Property Data</w:t>
        </w:r>
        <w:r w:rsidR="005552C5">
          <w:rPr>
            <w:noProof/>
            <w:webHidden/>
          </w:rPr>
          <w:tab/>
        </w:r>
        <w:r w:rsidR="005552C5">
          <w:rPr>
            <w:noProof/>
            <w:webHidden/>
          </w:rPr>
          <w:fldChar w:fldCharType="begin"/>
        </w:r>
        <w:r w:rsidR="005552C5">
          <w:rPr>
            <w:noProof/>
            <w:webHidden/>
          </w:rPr>
          <w:instrText xml:space="preserve"> PAGEREF _Toc181219281 \h </w:instrText>
        </w:r>
        <w:r w:rsidR="005552C5">
          <w:rPr>
            <w:noProof/>
            <w:webHidden/>
          </w:rPr>
        </w:r>
        <w:r w:rsidR="005552C5">
          <w:rPr>
            <w:noProof/>
            <w:webHidden/>
          </w:rPr>
          <w:fldChar w:fldCharType="separate"/>
        </w:r>
        <w:r w:rsidR="005552C5">
          <w:rPr>
            <w:noProof/>
            <w:webHidden/>
          </w:rPr>
          <w:t>11</w:t>
        </w:r>
        <w:r w:rsidR="005552C5">
          <w:rPr>
            <w:noProof/>
            <w:webHidden/>
          </w:rPr>
          <w:fldChar w:fldCharType="end"/>
        </w:r>
      </w:hyperlink>
    </w:p>
    <w:p w14:paraId="05DD4ADB" w14:textId="5C455782" w:rsidR="005552C5" w:rsidRDefault="00BA509B">
      <w:pPr>
        <w:pStyle w:val="TOC2"/>
        <w:tabs>
          <w:tab w:val="left" w:pos="851"/>
        </w:tabs>
        <w:rPr>
          <w:rFonts w:asciiTheme="minorHAnsi" w:eastAsiaTheme="minorEastAsia" w:hAnsiTheme="minorHAnsi" w:cstheme="minorBidi"/>
          <w:noProof/>
          <w:kern w:val="2"/>
          <w:sz w:val="22"/>
          <w:szCs w:val="22"/>
          <w:lang w:eastAsia="en-AU"/>
          <w14:ligatures w14:val="standardContextual"/>
        </w:rPr>
      </w:pPr>
      <w:hyperlink w:anchor="_Toc181219282" w:history="1">
        <w:r w:rsidR="005552C5" w:rsidRPr="00142AD2">
          <w:rPr>
            <w:rStyle w:val="Hyperlink"/>
            <w:noProof/>
          </w:rPr>
          <w:t>2.3</w:t>
        </w:r>
        <w:r w:rsidR="005552C5">
          <w:rPr>
            <w:rFonts w:asciiTheme="minorHAnsi" w:eastAsiaTheme="minorEastAsia" w:hAnsiTheme="minorHAnsi" w:cstheme="minorBidi"/>
            <w:noProof/>
            <w:kern w:val="2"/>
            <w:sz w:val="22"/>
            <w:szCs w:val="22"/>
            <w:lang w:eastAsia="en-AU"/>
            <w14:ligatures w14:val="standardContextual"/>
          </w:rPr>
          <w:tab/>
        </w:r>
        <w:r w:rsidR="005552C5" w:rsidRPr="00142AD2">
          <w:rPr>
            <w:rStyle w:val="Hyperlink"/>
            <w:noProof/>
          </w:rPr>
          <w:t>Energy Data</w:t>
        </w:r>
        <w:r w:rsidR="005552C5">
          <w:rPr>
            <w:noProof/>
            <w:webHidden/>
          </w:rPr>
          <w:tab/>
        </w:r>
        <w:r w:rsidR="005552C5">
          <w:rPr>
            <w:noProof/>
            <w:webHidden/>
          </w:rPr>
          <w:fldChar w:fldCharType="begin"/>
        </w:r>
        <w:r w:rsidR="005552C5">
          <w:rPr>
            <w:noProof/>
            <w:webHidden/>
          </w:rPr>
          <w:instrText xml:space="preserve"> PAGEREF _Toc181219282 \h </w:instrText>
        </w:r>
        <w:r w:rsidR="005552C5">
          <w:rPr>
            <w:noProof/>
            <w:webHidden/>
          </w:rPr>
        </w:r>
        <w:r w:rsidR="005552C5">
          <w:rPr>
            <w:noProof/>
            <w:webHidden/>
          </w:rPr>
          <w:fldChar w:fldCharType="separate"/>
        </w:r>
        <w:r w:rsidR="005552C5">
          <w:rPr>
            <w:noProof/>
            <w:webHidden/>
          </w:rPr>
          <w:t>12</w:t>
        </w:r>
        <w:r w:rsidR="005552C5">
          <w:rPr>
            <w:noProof/>
            <w:webHidden/>
          </w:rPr>
          <w:fldChar w:fldCharType="end"/>
        </w:r>
      </w:hyperlink>
    </w:p>
    <w:p w14:paraId="158D56DA" w14:textId="019C2663" w:rsidR="005552C5" w:rsidRDefault="00BA509B">
      <w:pPr>
        <w:pStyle w:val="TOC2"/>
        <w:tabs>
          <w:tab w:val="left" w:pos="851"/>
        </w:tabs>
        <w:rPr>
          <w:rFonts w:asciiTheme="minorHAnsi" w:eastAsiaTheme="minorEastAsia" w:hAnsiTheme="minorHAnsi" w:cstheme="minorBidi"/>
          <w:noProof/>
          <w:kern w:val="2"/>
          <w:sz w:val="22"/>
          <w:szCs w:val="22"/>
          <w:lang w:eastAsia="en-AU"/>
          <w14:ligatures w14:val="standardContextual"/>
        </w:rPr>
      </w:pPr>
      <w:hyperlink w:anchor="_Toc181219283" w:history="1">
        <w:r w:rsidR="005552C5" w:rsidRPr="00142AD2">
          <w:rPr>
            <w:rStyle w:val="Hyperlink"/>
            <w:noProof/>
          </w:rPr>
          <w:t>2.4</w:t>
        </w:r>
        <w:r w:rsidR="005552C5">
          <w:rPr>
            <w:rFonts w:asciiTheme="minorHAnsi" w:eastAsiaTheme="minorEastAsia" w:hAnsiTheme="minorHAnsi" w:cstheme="minorBidi"/>
            <w:noProof/>
            <w:kern w:val="2"/>
            <w:sz w:val="22"/>
            <w:szCs w:val="22"/>
            <w:lang w:eastAsia="en-AU"/>
            <w14:ligatures w14:val="standardContextual"/>
          </w:rPr>
          <w:tab/>
        </w:r>
        <w:r w:rsidR="005552C5" w:rsidRPr="00142AD2">
          <w:rPr>
            <w:rStyle w:val="Hyperlink"/>
            <w:noProof/>
          </w:rPr>
          <w:t>Methodology</w:t>
        </w:r>
        <w:r w:rsidR="005552C5">
          <w:rPr>
            <w:noProof/>
            <w:webHidden/>
          </w:rPr>
          <w:tab/>
        </w:r>
        <w:r w:rsidR="005552C5">
          <w:rPr>
            <w:noProof/>
            <w:webHidden/>
          </w:rPr>
          <w:fldChar w:fldCharType="begin"/>
        </w:r>
        <w:r w:rsidR="005552C5">
          <w:rPr>
            <w:noProof/>
            <w:webHidden/>
          </w:rPr>
          <w:instrText xml:space="preserve"> PAGEREF _Toc181219283 \h </w:instrText>
        </w:r>
        <w:r w:rsidR="005552C5">
          <w:rPr>
            <w:noProof/>
            <w:webHidden/>
          </w:rPr>
        </w:r>
        <w:r w:rsidR="005552C5">
          <w:rPr>
            <w:noProof/>
            <w:webHidden/>
          </w:rPr>
          <w:fldChar w:fldCharType="separate"/>
        </w:r>
        <w:r w:rsidR="005552C5">
          <w:rPr>
            <w:noProof/>
            <w:webHidden/>
          </w:rPr>
          <w:t>15</w:t>
        </w:r>
        <w:r w:rsidR="005552C5">
          <w:rPr>
            <w:noProof/>
            <w:webHidden/>
          </w:rPr>
          <w:fldChar w:fldCharType="end"/>
        </w:r>
      </w:hyperlink>
    </w:p>
    <w:p w14:paraId="6A49B1E0" w14:textId="582E4339" w:rsidR="005552C5" w:rsidRDefault="00BA509B">
      <w:pPr>
        <w:pStyle w:val="TOC1"/>
        <w:tabs>
          <w:tab w:val="left" w:pos="567"/>
          <w:tab w:val="right" w:leader="dot" w:pos="9769"/>
        </w:tabs>
        <w:rPr>
          <w:rFonts w:asciiTheme="minorHAnsi" w:eastAsiaTheme="minorEastAsia" w:hAnsiTheme="minorHAnsi" w:cstheme="minorBidi"/>
          <w:noProof/>
          <w:kern w:val="2"/>
          <w:sz w:val="22"/>
          <w:szCs w:val="22"/>
          <w:lang w:eastAsia="en-AU"/>
          <w14:ligatures w14:val="standardContextual"/>
        </w:rPr>
      </w:pPr>
      <w:hyperlink w:anchor="_Toc181219284" w:history="1">
        <w:r w:rsidR="005552C5" w:rsidRPr="00142AD2">
          <w:rPr>
            <w:rStyle w:val="Hyperlink"/>
            <w:noProof/>
          </w:rPr>
          <w:t>3.</w:t>
        </w:r>
        <w:r w:rsidR="005552C5">
          <w:rPr>
            <w:rFonts w:asciiTheme="minorHAnsi" w:eastAsiaTheme="minorEastAsia" w:hAnsiTheme="minorHAnsi" w:cstheme="minorBidi"/>
            <w:noProof/>
            <w:kern w:val="2"/>
            <w:sz w:val="22"/>
            <w:szCs w:val="22"/>
            <w:lang w:eastAsia="en-AU"/>
            <w14:ligatures w14:val="standardContextual"/>
          </w:rPr>
          <w:tab/>
        </w:r>
        <w:r w:rsidR="005552C5" w:rsidRPr="00142AD2">
          <w:rPr>
            <w:rStyle w:val="Hyperlink"/>
            <w:noProof/>
          </w:rPr>
          <w:t>Melbourne’s Buildings</w:t>
        </w:r>
        <w:r w:rsidR="005552C5">
          <w:rPr>
            <w:noProof/>
            <w:webHidden/>
          </w:rPr>
          <w:tab/>
        </w:r>
        <w:r w:rsidR="005552C5">
          <w:rPr>
            <w:noProof/>
            <w:webHidden/>
          </w:rPr>
          <w:fldChar w:fldCharType="begin"/>
        </w:r>
        <w:r w:rsidR="005552C5">
          <w:rPr>
            <w:noProof/>
            <w:webHidden/>
          </w:rPr>
          <w:instrText xml:space="preserve"> PAGEREF _Toc181219284 \h </w:instrText>
        </w:r>
        <w:r w:rsidR="005552C5">
          <w:rPr>
            <w:noProof/>
            <w:webHidden/>
          </w:rPr>
        </w:r>
        <w:r w:rsidR="005552C5">
          <w:rPr>
            <w:noProof/>
            <w:webHidden/>
          </w:rPr>
          <w:fldChar w:fldCharType="separate"/>
        </w:r>
        <w:r w:rsidR="005552C5">
          <w:rPr>
            <w:noProof/>
            <w:webHidden/>
          </w:rPr>
          <w:t>24</w:t>
        </w:r>
        <w:r w:rsidR="005552C5">
          <w:rPr>
            <w:noProof/>
            <w:webHidden/>
          </w:rPr>
          <w:fldChar w:fldCharType="end"/>
        </w:r>
      </w:hyperlink>
    </w:p>
    <w:p w14:paraId="2839BF8F" w14:textId="76517B35" w:rsidR="005552C5" w:rsidRDefault="00BA509B">
      <w:pPr>
        <w:pStyle w:val="TOC2"/>
        <w:tabs>
          <w:tab w:val="left" w:pos="851"/>
        </w:tabs>
        <w:rPr>
          <w:rFonts w:asciiTheme="minorHAnsi" w:eastAsiaTheme="minorEastAsia" w:hAnsiTheme="minorHAnsi" w:cstheme="minorBidi"/>
          <w:noProof/>
          <w:kern w:val="2"/>
          <w:sz w:val="22"/>
          <w:szCs w:val="22"/>
          <w:lang w:eastAsia="en-AU"/>
          <w14:ligatures w14:val="standardContextual"/>
        </w:rPr>
      </w:pPr>
      <w:hyperlink w:anchor="_Toc181219285" w:history="1">
        <w:r w:rsidR="005552C5" w:rsidRPr="00142AD2">
          <w:rPr>
            <w:rStyle w:val="Hyperlink"/>
            <w:noProof/>
          </w:rPr>
          <w:t>3.1</w:t>
        </w:r>
        <w:r w:rsidR="005552C5">
          <w:rPr>
            <w:rFonts w:asciiTheme="minorHAnsi" w:eastAsiaTheme="minorEastAsia" w:hAnsiTheme="minorHAnsi" w:cstheme="minorBidi"/>
            <w:noProof/>
            <w:kern w:val="2"/>
            <w:sz w:val="22"/>
            <w:szCs w:val="22"/>
            <w:lang w:eastAsia="en-AU"/>
            <w14:ligatures w14:val="standardContextual"/>
          </w:rPr>
          <w:tab/>
        </w:r>
        <w:r w:rsidR="005552C5" w:rsidRPr="00142AD2">
          <w:rPr>
            <w:rStyle w:val="Hyperlink"/>
            <w:noProof/>
          </w:rPr>
          <w:t>Overview of Total Floor Space</w:t>
        </w:r>
        <w:r w:rsidR="005552C5">
          <w:rPr>
            <w:noProof/>
            <w:webHidden/>
          </w:rPr>
          <w:tab/>
        </w:r>
        <w:r w:rsidR="005552C5">
          <w:rPr>
            <w:noProof/>
            <w:webHidden/>
          </w:rPr>
          <w:fldChar w:fldCharType="begin"/>
        </w:r>
        <w:r w:rsidR="005552C5">
          <w:rPr>
            <w:noProof/>
            <w:webHidden/>
          </w:rPr>
          <w:instrText xml:space="preserve"> PAGEREF _Toc181219285 \h </w:instrText>
        </w:r>
        <w:r w:rsidR="005552C5">
          <w:rPr>
            <w:noProof/>
            <w:webHidden/>
          </w:rPr>
        </w:r>
        <w:r w:rsidR="005552C5">
          <w:rPr>
            <w:noProof/>
            <w:webHidden/>
          </w:rPr>
          <w:fldChar w:fldCharType="separate"/>
        </w:r>
        <w:r w:rsidR="005552C5">
          <w:rPr>
            <w:noProof/>
            <w:webHidden/>
          </w:rPr>
          <w:t>24</w:t>
        </w:r>
        <w:r w:rsidR="005552C5">
          <w:rPr>
            <w:noProof/>
            <w:webHidden/>
          </w:rPr>
          <w:fldChar w:fldCharType="end"/>
        </w:r>
      </w:hyperlink>
    </w:p>
    <w:p w14:paraId="4A769AFA" w14:textId="54DA1356" w:rsidR="005552C5" w:rsidRDefault="00BA509B">
      <w:pPr>
        <w:pStyle w:val="TOC2"/>
        <w:tabs>
          <w:tab w:val="left" w:pos="851"/>
        </w:tabs>
        <w:rPr>
          <w:rFonts w:asciiTheme="minorHAnsi" w:eastAsiaTheme="minorEastAsia" w:hAnsiTheme="minorHAnsi" w:cstheme="minorBidi"/>
          <w:noProof/>
          <w:kern w:val="2"/>
          <w:sz w:val="22"/>
          <w:szCs w:val="22"/>
          <w:lang w:eastAsia="en-AU"/>
          <w14:ligatures w14:val="standardContextual"/>
        </w:rPr>
      </w:pPr>
      <w:hyperlink w:anchor="_Toc181219286" w:history="1">
        <w:r w:rsidR="005552C5" w:rsidRPr="00142AD2">
          <w:rPr>
            <w:rStyle w:val="Hyperlink"/>
            <w:noProof/>
          </w:rPr>
          <w:t>3.2</w:t>
        </w:r>
        <w:r w:rsidR="005552C5">
          <w:rPr>
            <w:rFonts w:asciiTheme="minorHAnsi" w:eastAsiaTheme="minorEastAsia" w:hAnsiTheme="minorHAnsi" w:cstheme="minorBidi"/>
            <w:noProof/>
            <w:kern w:val="2"/>
            <w:sz w:val="22"/>
            <w:szCs w:val="22"/>
            <w:lang w:eastAsia="en-AU"/>
            <w14:ligatures w14:val="standardContextual"/>
          </w:rPr>
          <w:tab/>
        </w:r>
        <w:r w:rsidR="005552C5" w:rsidRPr="00142AD2">
          <w:rPr>
            <w:rStyle w:val="Hyperlink"/>
            <w:noProof/>
          </w:rPr>
          <w:t>Space Use by Type</w:t>
        </w:r>
        <w:r w:rsidR="005552C5">
          <w:rPr>
            <w:noProof/>
            <w:webHidden/>
          </w:rPr>
          <w:tab/>
        </w:r>
        <w:r w:rsidR="005552C5">
          <w:rPr>
            <w:noProof/>
            <w:webHidden/>
          </w:rPr>
          <w:fldChar w:fldCharType="begin"/>
        </w:r>
        <w:r w:rsidR="005552C5">
          <w:rPr>
            <w:noProof/>
            <w:webHidden/>
          </w:rPr>
          <w:instrText xml:space="preserve"> PAGEREF _Toc181219286 \h </w:instrText>
        </w:r>
        <w:r w:rsidR="005552C5">
          <w:rPr>
            <w:noProof/>
            <w:webHidden/>
          </w:rPr>
        </w:r>
        <w:r w:rsidR="005552C5">
          <w:rPr>
            <w:noProof/>
            <w:webHidden/>
          </w:rPr>
          <w:fldChar w:fldCharType="separate"/>
        </w:r>
        <w:r w:rsidR="005552C5">
          <w:rPr>
            <w:noProof/>
            <w:webHidden/>
          </w:rPr>
          <w:t>25</w:t>
        </w:r>
        <w:r w:rsidR="005552C5">
          <w:rPr>
            <w:noProof/>
            <w:webHidden/>
          </w:rPr>
          <w:fldChar w:fldCharType="end"/>
        </w:r>
      </w:hyperlink>
    </w:p>
    <w:p w14:paraId="43245458" w14:textId="37CD695C" w:rsidR="005552C5" w:rsidRDefault="00BA509B">
      <w:pPr>
        <w:pStyle w:val="TOC2"/>
        <w:tabs>
          <w:tab w:val="left" w:pos="851"/>
        </w:tabs>
        <w:rPr>
          <w:rFonts w:asciiTheme="minorHAnsi" w:eastAsiaTheme="minorEastAsia" w:hAnsiTheme="minorHAnsi" w:cstheme="minorBidi"/>
          <w:noProof/>
          <w:kern w:val="2"/>
          <w:sz w:val="22"/>
          <w:szCs w:val="22"/>
          <w:lang w:eastAsia="en-AU"/>
          <w14:ligatures w14:val="standardContextual"/>
        </w:rPr>
      </w:pPr>
      <w:hyperlink w:anchor="_Toc181219287" w:history="1">
        <w:r w:rsidR="005552C5" w:rsidRPr="00142AD2">
          <w:rPr>
            <w:rStyle w:val="Hyperlink"/>
            <w:noProof/>
          </w:rPr>
          <w:t>3.3</w:t>
        </w:r>
        <w:r w:rsidR="005552C5">
          <w:rPr>
            <w:rFonts w:asciiTheme="minorHAnsi" w:eastAsiaTheme="minorEastAsia" w:hAnsiTheme="minorHAnsi" w:cstheme="minorBidi"/>
            <w:noProof/>
            <w:kern w:val="2"/>
            <w:sz w:val="22"/>
            <w:szCs w:val="22"/>
            <w:lang w:eastAsia="en-AU"/>
            <w14:ligatures w14:val="standardContextual"/>
          </w:rPr>
          <w:tab/>
        </w:r>
        <w:r w:rsidR="005552C5" w:rsidRPr="00142AD2">
          <w:rPr>
            <w:rStyle w:val="Hyperlink"/>
            <w:noProof/>
          </w:rPr>
          <w:t>Building Primary Space-Use</w:t>
        </w:r>
        <w:r w:rsidR="005552C5">
          <w:rPr>
            <w:noProof/>
            <w:webHidden/>
          </w:rPr>
          <w:tab/>
        </w:r>
        <w:r w:rsidR="005552C5">
          <w:rPr>
            <w:noProof/>
            <w:webHidden/>
          </w:rPr>
          <w:fldChar w:fldCharType="begin"/>
        </w:r>
        <w:r w:rsidR="005552C5">
          <w:rPr>
            <w:noProof/>
            <w:webHidden/>
          </w:rPr>
          <w:instrText xml:space="preserve"> PAGEREF _Toc181219287 \h </w:instrText>
        </w:r>
        <w:r w:rsidR="005552C5">
          <w:rPr>
            <w:noProof/>
            <w:webHidden/>
          </w:rPr>
        </w:r>
        <w:r w:rsidR="005552C5">
          <w:rPr>
            <w:noProof/>
            <w:webHidden/>
          </w:rPr>
          <w:fldChar w:fldCharType="separate"/>
        </w:r>
        <w:r w:rsidR="005552C5">
          <w:rPr>
            <w:noProof/>
            <w:webHidden/>
          </w:rPr>
          <w:t>38</w:t>
        </w:r>
        <w:r w:rsidR="005552C5">
          <w:rPr>
            <w:noProof/>
            <w:webHidden/>
          </w:rPr>
          <w:fldChar w:fldCharType="end"/>
        </w:r>
      </w:hyperlink>
    </w:p>
    <w:p w14:paraId="63C4808B" w14:textId="727C8E6E" w:rsidR="005552C5" w:rsidRDefault="00BA509B">
      <w:pPr>
        <w:pStyle w:val="TOC2"/>
        <w:tabs>
          <w:tab w:val="left" w:pos="851"/>
        </w:tabs>
        <w:rPr>
          <w:rFonts w:asciiTheme="minorHAnsi" w:eastAsiaTheme="minorEastAsia" w:hAnsiTheme="minorHAnsi" w:cstheme="minorBidi"/>
          <w:noProof/>
          <w:kern w:val="2"/>
          <w:sz w:val="22"/>
          <w:szCs w:val="22"/>
          <w:lang w:eastAsia="en-AU"/>
          <w14:ligatures w14:val="standardContextual"/>
        </w:rPr>
      </w:pPr>
      <w:hyperlink w:anchor="_Toc181219288" w:history="1">
        <w:r w:rsidR="005552C5" w:rsidRPr="00142AD2">
          <w:rPr>
            <w:rStyle w:val="Hyperlink"/>
            <w:noProof/>
          </w:rPr>
          <w:t>3.4</w:t>
        </w:r>
        <w:r w:rsidR="005552C5">
          <w:rPr>
            <w:rFonts w:asciiTheme="minorHAnsi" w:eastAsiaTheme="minorEastAsia" w:hAnsiTheme="minorHAnsi" w:cstheme="minorBidi"/>
            <w:noProof/>
            <w:kern w:val="2"/>
            <w:sz w:val="22"/>
            <w:szCs w:val="22"/>
            <w:lang w:eastAsia="en-AU"/>
            <w14:ligatures w14:val="standardContextual"/>
          </w:rPr>
          <w:tab/>
        </w:r>
        <w:r w:rsidR="005552C5" w:rsidRPr="00142AD2">
          <w:rPr>
            <w:rStyle w:val="Hyperlink"/>
            <w:noProof/>
          </w:rPr>
          <w:t>Embedded Networks</w:t>
        </w:r>
        <w:r w:rsidR="005552C5">
          <w:rPr>
            <w:noProof/>
            <w:webHidden/>
          </w:rPr>
          <w:tab/>
        </w:r>
        <w:r w:rsidR="005552C5">
          <w:rPr>
            <w:noProof/>
            <w:webHidden/>
          </w:rPr>
          <w:fldChar w:fldCharType="begin"/>
        </w:r>
        <w:r w:rsidR="005552C5">
          <w:rPr>
            <w:noProof/>
            <w:webHidden/>
          </w:rPr>
          <w:instrText xml:space="preserve"> PAGEREF _Toc181219288 \h </w:instrText>
        </w:r>
        <w:r w:rsidR="005552C5">
          <w:rPr>
            <w:noProof/>
            <w:webHidden/>
          </w:rPr>
        </w:r>
        <w:r w:rsidR="005552C5">
          <w:rPr>
            <w:noProof/>
            <w:webHidden/>
          </w:rPr>
          <w:fldChar w:fldCharType="separate"/>
        </w:r>
        <w:r w:rsidR="005552C5">
          <w:rPr>
            <w:noProof/>
            <w:webHidden/>
          </w:rPr>
          <w:t>40</w:t>
        </w:r>
        <w:r w:rsidR="005552C5">
          <w:rPr>
            <w:noProof/>
            <w:webHidden/>
          </w:rPr>
          <w:fldChar w:fldCharType="end"/>
        </w:r>
      </w:hyperlink>
    </w:p>
    <w:p w14:paraId="048446C4" w14:textId="5B9E1A71" w:rsidR="005552C5" w:rsidRDefault="00BA509B">
      <w:pPr>
        <w:pStyle w:val="TOC1"/>
        <w:tabs>
          <w:tab w:val="left" w:pos="567"/>
          <w:tab w:val="right" w:leader="dot" w:pos="9769"/>
        </w:tabs>
        <w:rPr>
          <w:rFonts w:asciiTheme="minorHAnsi" w:eastAsiaTheme="minorEastAsia" w:hAnsiTheme="minorHAnsi" w:cstheme="minorBidi"/>
          <w:noProof/>
          <w:kern w:val="2"/>
          <w:sz w:val="22"/>
          <w:szCs w:val="22"/>
          <w:lang w:eastAsia="en-AU"/>
          <w14:ligatures w14:val="standardContextual"/>
        </w:rPr>
      </w:pPr>
      <w:hyperlink w:anchor="_Toc181219289" w:history="1">
        <w:r w:rsidR="005552C5" w:rsidRPr="00142AD2">
          <w:rPr>
            <w:rStyle w:val="Hyperlink"/>
            <w:noProof/>
          </w:rPr>
          <w:t>4.</w:t>
        </w:r>
        <w:r w:rsidR="005552C5">
          <w:rPr>
            <w:rFonts w:asciiTheme="minorHAnsi" w:eastAsiaTheme="minorEastAsia" w:hAnsiTheme="minorHAnsi" w:cstheme="minorBidi"/>
            <w:noProof/>
            <w:kern w:val="2"/>
            <w:sz w:val="22"/>
            <w:szCs w:val="22"/>
            <w:lang w:eastAsia="en-AU"/>
            <w14:ligatures w14:val="standardContextual"/>
          </w:rPr>
          <w:tab/>
        </w:r>
        <w:r w:rsidR="005552C5" w:rsidRPr="00142AD2">
          <w:rPr>
            <w:rStyle w:val="Hyperlink"/>
            <w:noProof/>
          </w:rPr>
          <w:t>Energy Use and Greenhouse Gas Emissions in Melbourne’s Buildings</w:t>
        </w:r>
        <w:r w:rsidR="005552C5">
          <w:rPr>
            <w:noProof/>
            <w:webHidden/>
          </w:rPr>
          <w:tab/>
        </w:r>
        <w:r w:rsidR="005552C5">
          <w:rPr>
            <w:noProof/>
            <w:webHidden/>
          </w:rPr>
          <w:fldChar w:fldCharType="begin"/>
        </w:r>
        <w:r w:rsidR="005552C5">
          <w:rPr>
            <w:noProof/>
            <w:webHidden/>
          </w:rPr>
          <w:instrText xml:space="preserve"> PAGEREF _Toc181219289 \h </w:instrText>
        </w:r>
        <w:r w:rsidR="005552C5">
          <w:rPr>
            <w:noProof/>
            <w:webHidden/>
          </w:rPr>
        </w:r>
        <w:r w:rsidR="005552C5">
          <w:rPr>
            <w:noProof/>
            <w:webHidden/>
          </w:rPr>
          <w:fldChar w:fldCharType="separate"/>
        </w:r>
        <w:r w:rsidR="005552C5">
          <w:rPr>
            <w:noProof/>
            <w:webHidden/>
          </w:rPr>
          <w:t>42</w:t>
        </w:r>
        <w:r w:rsidR="005552C5">
          <w:rPr>
            <w:noProof/>
            <w:webHidden/>
          </w:rPr>
          <w:fldChar w:fldCharType="end"/>
        </w:r>
      </w:hyperlink>
    </w:p>
    <w:p w14:paraId="619B80C1" w14:textId="57894C73" w:rsidR="005552C5" w:rsidRDefault="00BA509B">
      <w:pPr>
        <w:pStyle w:val="TOC2"/>
        <w:tabs>
          <w:tab w:val="left" w:pos="851"/>
        </w:tabs>
        <w:rPr>
          <w:rFonts w:asciiTheme="minorHAnsi" w:eastAsiaTheme="minorEastAsia" w:hAnsiTheme="minorHAnsi" w:cstheme="minorBidi"/>
          <w:noProof/>
          <w:kern w:val="2"/>
          <w:sz w:val="22"/>
          <w:szCs w:val="22"/>
          <w:lang w:eastAsia="en-AU"/>
          <w14:ligatures w14:val="standardContextual"/>
        </w:rPr>
      </w:pPr>
      <w:hyperlink w:anchor="_Toc181219290" w:history="1">
        <w:r w:rsidR="005552C5" w:rsidRPr="00142AD2">
          <w:rPr>
            <w:rStyle w:val="Hyperlink"/>
            <w:noProof/>
          </w:rPr>
          <w:t>4.1</w:t>
        </w:r>
        <w:r w:rsidR="005552C5">
          <w:rPr>
            <w:rFonts w:asciiTheme="minorHAnsi" w:eastAsiaTheme="minorEastAsia" w:hAnsiTheme="minorHAnsi" w:cstheme="minorBidi"/>
            <w:noProof/>
            <w:kern w:val="2"/>
            <w:sz w:val="22"/>
            <w:szCs w:val="22"/>
            <w:lang w:eastAsia="en-AU"/>
            <w14:ligatures w14:val="standardContextual"/>
          </w:rPr>
          <w:tab/>
        </w:r>
        <w:r w:rsidR="005552C5" w:rsidRPr="00142AD2">
          <w:rPr>
            <w:rStyle w:val="Hyperlink"/>
            <w:noProof/>
          </w:rPr>
          <w:t>Overview of Energy Consumption</w:t>
        </w:r>
        <w:r w:rsidR="005552C5">
          <w:rPr>
            <w:noProof/>
            <w:webHidden/>
          </w:rPr>
          <w:tab/>
        </w:r>
        <w:r w:rsidR="005552C5">
          <w:rPr>
            <w:noProof/>
            <w:webHidden/>
          </w:rPr>
          <w:fldChar w:fldCharType="begin"/>
        </w:r>
        <w:r w:rsidR="005552C5">
          <w:rPr>
            <w:noProof/>
            <w:webHidden/>
          </w:rPr>
          <w:instrText xml:space="preserve"> PAGEREF _Toc181219290 \h </w:instrText>
        </w:r>
        <w:r w:rsidR="005552C5">
          <w:rPr>
            <w:noProof/>
            <w:webHidden/>
          </w:rPr>
        </w:r>
        <w:r w:rsidR="005552C5">
          <w:rPr>
            <w:noProof/>
            <w:webHidden/>
          </w:rPr>
          <w:fldChar w:fldCharType="separate"/>
        </w:r>
        <w:r w:rsidR="005552C5">
          <w:rPr>
            <w:noProof/>
            <w:webHidden/>
          </w:rPr>
          <w:t>42</w:t>
        </w:r>
        <w:r w:rsidR="005552C5">
          <w:rPr>
            <w:noProof/>
            <w:webHidden/>
          </w:rPr>
          <w:fldChar w:fldCharType="end"/>
        </w:r>
      </w:hyperlink>
    </w:p>
    <w:p w14:paraId="25A744C1" w14:textId="264DA597" w:rsidR="005552C5" w:rsidRDefault="00BA509B">
      <w:pPr>
        <w:pStyle w:val="TOC2"/>
        <w:tabs>
          <w:tab w:val="left" w:pos="851"/>
        </w:tabs>
        <w:rPr>
          <w:rFonts w:asciiTheme="minorHAnsi" w:eastAsiaTheme="minorEastAsia" w:hAnsiTheme="minorHAnsi" w:cstheme="minorBidi"/>
          <w:noProof/>
          <w:kern w:val="2"/>
          <w:sz w:val="22"/>
          <w:szCs w:val="22"/>
          <w:lang w:eastAsia="en-AU"/>
          <w14:ligatures w14:val="standardContextual"/>
        </w:rPr>
      </w:pPr>
      <w:hyperlink w:anchor="_Toc181219291" w:history="1">
        <w:r w:rsidR="005552C5" w:rsidRPr="00142AD2">
          <w:rPr>
            <w:rStyle w:val="Hyperlink"/>
            <w:noProof/>
          </w:rPr>
          <w:t>4.2</w:t>
        </w:r>
        <w:r w:rsidR="005552C5">
          <w:rPr>
            <w:rFonts w:asciiTheme="minorHAnsi" w:eastAsiaTheme="minorEastAsia" w:hAnsiTheme="minorHAnsi" w:cstheme="minorBidi"/>
            <w:noProof/>
            <w:kern w:val="2"/>
            <w:sz w:val="22"/>
            <w:szCs w:val="22"/>
            <w:lang w:eastAsia="en-AU"/>
            <w14:ligatures w14:val="standardContextual"/>
          </w:rPr>
          <w:tab/>
        </w:r>
        <w:r w:rsidR="005552C5" w:rsidRPr="00142AD2">
          <w:rPr>
            <w:rStyle w:val="Hyperlink"/>
            <w:noProof/>
          </w:rPr>
          <w:t>Energy Use by Space-Use Type</w:t>
        </w:r>
        <w:r w:rsidR="005552C5">
          <w:rPr>
            <w:noProof/>
            <w:webHidden/>
          </w:rPr>
          <w:tab/>
        </w:r>
        <w:r w:rsidR="005552C5">
          <w:rPr>
            <w:noProof/>
            <w:webHidden/>
          </w:rPr>
          <w:fldChar w:fldCharType="begin"/>
        </w:r>
        <w:r w:rsidR="005552C5">
          <w:rPr>
            <w:noProof/>
            <w:webHidden/>
          </w:rPr>
          <w:instrText xml:space="preserve"> PAGEREF _Toc181219291 \h </w:instrText>
        </w:r>
        <w:r w:rsidR="005552C5">
          <w:rPr>
            <w:noProof/>
            <w:webHidden/>
          </w:rPr>
        </w:r>
        <w:r w:rsidR="005552C5">
          <w:rPr>
            <w:noProof/>
            <w:webHidden/>
          </w:rPr>
          <w:fldChar w:fldCharType="separate"/>
        </w:r>
        <w:r w:rsidR="005552C5">
          <w:rPr>
            <w:noProof/>
            <w:webHidden/>
          </w:rPr>
          <w:t>44</w:t>
        </w:r>
        <w:r w:rsidR="005552C5">
          <w:rPr>
            <w:noProof/>
            <w:webHidden/>
          </w:rPr>
          <w:fldChar w:fldCharType="end"/>
        </w:r>
      </w:hyperlink>
    </w:p>
    <w:p w14:paraId="1D057562" w14:textId="5CCD94DA" w:rsidR="005552C5" w:rsidRDefault="00BA509B">
      <w:pPr>
        <w:pStyle w:val="TOC2"/>
        <w:tabs>
          <w:tab w:val="left" w:pos="851"/>
        </w:tabs>
        <w:rPr>
          <w:rFonts w:asciiTheme="minorHAnsi" w:eastAsiaTheme="minorEastAsia" w:hAnsiTheme="minorHAnsi" w:cstheme="minorBidi"/>
          <w:noProof/>
          <w:kern w:val="2"/>
          <w:sz w:val="22"/>
          <w:szCs w:val="22"/>
          <w:lang w:eastAsia="en-AU"/>
          <w14:ligatures w14:val="standardContextual"/>
        </w:rPr>
      </w:pPr>
      <w:hyperlink w:anchor="_Toc181219292" w:history="1">
        <w:r w:rsidR="005552C5" w:rsidRPr="00142AD2">
          <w:rPr>
            <w:rStyle w:val="Hyperlink"/>
            <w:noProof/>
            <w:lang w:val="en-GB"/>
          </w:rPr>
          <w:t>4.3</w:t>
        </w:r>
        <w:r w:rsidR="005552C5">
          <w:rPr>
            <w:rFonts w:asciiTheme="minorHAnsi" w:eastAsiaTheme="minorEastAsia" w:hAnsiTheme="minorHAnsi" w:cstheme="minorBidi"/>
            <w:noProof/>
            <w:kern w:val="2"/>
            <w:sz w:val="22"/>
            <w:szCs w:val="22"/>
            <w:lang w:eastAsia="en-AU"/>
            <w14:ligatures w14:val="standardContextual"/>
          </w:rPr>
          <w:tab/>
        </w:r>
        <w:r w:rsidR="005552C5" w:rsidRPr="00142AD2">
          <w:rPr>
            <w:rStyle w:val="Hyperlink"/>
            <w:noProof/>
            <w:lang w:val="en-GB"/>
          </w:rPr>
          <w:t>Greenhouse Gas Emissions</w:t>
        </w:r>
        <w:r w:rsidR="005552C5">
          <w:rPr>
            <w:noProof/>
            <w:webHidden/>
          </w:rPr>
          <w:tab/>
        </w:r>
        <w:r w:rsidR="005552C5">
          <w:rPr>
            <w:noProof/>
            <w:webHidden/>
          </w:rPr>
          <w:fldChar w:fldCharType="begin"/>
        </w:r>
        <w:r w:rsidR="005552C5">
          <w:rPr>
            <w:noProof/>
            <w:webHidden/>
          </w:rPr>
          <w:instrText xml:space="preserve"> PAGEREF _Toc181219292 \h </w:instrText>
        </w:r>
        <w:r w:rsidR="005552C5">
          <w:rPr>
            <w:noProof/>
            <w:webHidden/>
          </w:rPr>
        </w:r>
        <w:r w:rsidR="005552C5">
          <w:rPr>
            <w:noProof/>
            <w:webHidden/>
          </w:rPr>
          <w:fldChar w:fldCharType="separate"/>
        </w:r>
        <w:r w:rsidR="005552C5">
          <w:rPr>
            <w:noProof/>
            <w:webHidden/>
          </w:rPr>
          <w:t>57</w:t>
        </w:r>
        <w:r w:rsidR="005552C5">
          <w:rPr>
            <w:noProof/>
            <w:webHidden/>
          </w:rPr>
          <w:fldChar w:fldCharType="end"/>
        </w:r>
      </w:hyperlink>
    </w:p>
    <w:p w14:paraId="7574FF33" w14:textId="1057D912" w:rsidR="005552C5" w:rsidRDefault="00BA509B">
      <w:pPr>
        <w:pStyle w:val="TOC2"/>
        <w:tabs>
          <w:tab w:val="left" w:pos="851"/>
        </w:tabs>
        <w:rPr>
          <w:rFonts w:asciiTheme="minorHAnsi" w:eastAsiaTheme="minorEastAsia" w:hAnsiTheme="minorHAnsi" w:cstheme="minorBidi"/>
          <w:noProof/>
          <w:kern w:val="2"/>
          <w:sz w:val="22"/>
          <w:szCs w:val="22"/>
          <w:lang w:eastAsia="en-AU"/>
          <w14:ligatures w14:val="standardContextual"/>
        </w:rPr>
      </w:pPr>
      <w:hyperlink w:anchor="_Toc181219293" w:history="1">
        <w:r w:rsidR="005552C5" w:rsidRPr="00142AD2">
          <w:rPr>
            <w:rStyle w:val="Hyperlink"/>
            <w:noProof/>
          </w:rPr>
          <w:t>4.4</w:t>
        </w:r>
        <w:r w:rsidR="005552C5">
          <w:rPr>
            <w:rFonts w:asciiTheme="minorHAnsi" w:eastAsiaTheme="minorEastAsia" w:hAnsiTheme="minorHAnsi" w:cstheme="minorBidi"/>
            <w:noProof/>
            <w:kern w:val="2"/>
            <w:sz w:val="22"/>
            <w:szCs w:val="22"/>
            <w:lang w:eastAsia="en-AU"/>
            <w14:ligatures w14:val="standardContextual"/>
          </w:rPr>
          <w:tab/>
        </w:r>
        <w:r w:rsidR="005552C5" w:rsidRPr="00142AD2">
          <w:rPr>
            <w:rStyle w:val="Hyperlink"/>
            <w:noProof/>
          </w:rPr>
          <w:t>Validation of Results</w:t>
        </w:r>
        <w:r w:rsidR="005552C5">
          <w:rPr>
            <w:noProof/>
            <w:webHidden/>
          </w:rPr>
          <w:tab/>
        </w:r>
        <w:r w:rsidR="005552C5">
          <w:rPr>
            <w:noProof/>
            <w:webHidden/>
          </w:rPr>
          <w:fldChar w:fldCharType="begin"/>
        </w:r>
        <w:r w:rsidR="005552C5">
          <w:rPr>
            <w:noProof/>
            <w:webHidden/>
          </w:rPr>
          <w:instrText xml:space="preserve"> PAGEREF _Toc181219293 \h </w:instrText>
        </w:r>
        <w:r w:rsidR="005552C5">
          <w:rPr>
            <w:noProof/>
            <w:webHidden/>
          </w:rPr>
        </w:r>
        <w:r w:rsidR="005552C5">
          <w:rPr>
            <w:noProof/>
            <w:webHidden/>
          </w:rPr>
          <w:fldChar w:fldCharType="separate"/>
        </w:r>
        <w:r w:rsidR="005552C5">
          <w:rPr>
            <w:noProof/>
            <w:webHidden/>
          </w:rPr>
          <w:t>64</w:t>
        </w:r>
        <w:r w:rsidR="005552C5">
          <w:rPr>
            <w:noProof/>
            <w:webHidden/>
          </w:rPr>
          <w:fldChar w:fldCharType="end"/>
        </w:r>
      </w:hyperlink>
    </w:p>
    <w:p w14:paraId="246F3620" w14:textId="68D64596" w:rsidR="005552C5" w:rsidRDefault="00BA509B">
      <w:pPr>
        <w:pStyle w:val="TOC1"/>
        <w:tabs>
          <w:tab w:val="left" w:pos="567"/>
          <w:tab w:val="right" w:leader="dot" w:pos="9769"/>
        </w:tabs>
        <w:rPr>
          <w:rFonts w:asciiTheme="minorHAnsi" w:eastAsiaTheme="minorEastAsia" w:hAnsiTheme="minorHAnsi" w:cstheme="minorBidi"/>
          <w:noProof/>
          <w:kern w:val="2"/>
          <w:sz w:val="22"/>
          <w:szCs w:val="22"/>
          <w:lang w:eastAsia="en-AU"/>
          <w14:ligatures w14:val="standardContextual"/>
        </w:rPr>
      </w:pPr>
      <w:hyperlink w:anchor="_Toc181219294" w:history="1">
        <w:r w:rsidR="005552C5" w:rsidRPr="00142AD2">
          <w:rPr>
            <w:rStyle w:val="Hyperlink"/>
            <w:noProof/>
          </w:rPr>
          <w:t>5.</w:t>
        </w:r>
        <w:r w:rsidR="005552C5">
          <w:rPr>
            <w:rFonts w:asciiTheme="minorHAnsi" w:eastAsiaTheme="minorEastAsia" w:hAnsiTheme="minorHAnsi" w:cstheme="minorBidi"/>
            <w:noProof/>
            <w:kern w:val="2"/>
            <w:sz w:val="22"/>
            <w:szCs w:val="22"/>
            <w:lang w:eastAsia="en-AU"/>
            <w14:ligatures w14:val="standardContextual"/>
          </w:rPr>
          <w:tab/>
        </w:r>
        <w:r w:rsidR="005552C5" w:rsidRPr="00142AD2">
          <w:rPr>
            <w:rStyle w:val="Hyperlink"/>
            <w:noProof/>
          </w:rPr>
          <w:t>Future Opportunities</w:t>
        </w:r>
        <w:r w:rsidR="005552C5">
          <w:rPr>
            <w:noProof/>
            <w:webHidden/>
          </w:rPr>
          <w:tab/>
        </w:r>
        <w:r w:rsidR="005552C5">
          <w:rPr>
            <w:noProof/>
            <w:webHidden/>
          </w:rPr>
          <w:fldChar w:fldCharType="begin"/>
        </w:r>
        <w:r w:rsidR="005552C5">
          <w:rPr>
            <w:noProof/>
            <w:webHidden/>
          </w:rPr>
          <w:instrText xml:space="preserve"> PAGEREF _Toc181219294 \h </w:instrText>
        </w:r>
        <w:r w:rsidR="005552C5">
          <w:rPr>
            <w:noProof/>
            <w:webHidden/>
          </w:rPr>
        </w:r>
        <w:r w:rsidR="005552C5">
          <w:rPr>
            <w:noProof/>
            <w:webHidden/>
          </w:rPr>
          <w:fldChar w:fldCharType="separate"/>
        </w:r>
        <w:r w:rsidR="005552C5">
          <w:rPr>
            <w:noProof/>
            <w:webHidden/>
          </w:rPr>
          <w:t>66</w:t>
        </w:r>
        <w:r w:rsidR="005552C5">
          <w:rPr>
            <w:noProof/>
            <w:webHidden/>
          </w:rPr>
          <w:fldChar w:fldCharType="end"/>
        </w:r>
      </w:hyperlink>
    </w:p>
    <w:p w14:paraId="597C20FF" w14:textId="44347978" w:rsidR="005552C5" w:rsidRDefault="00BA509B">
      <w:pPr>
        <w:pStyle w:val="TOC2"/>
        <w:tabs>
          <w:tab w:val="left" w:pos="851"/>
        </w:tabs>
        <w:rPr>
          <w:rFonts w:asciiTheme="minorHAnsi" w:eastAsiaTheme="minorEastAsia" w:hAnsiTheme="minorHAnsi" w:cstheme="minorBidi"/>
          <w:noProof/>
          <w:kern w:val="2"/>
          <w:sz w:val="22"/>
          <w:szCs w:val="22"/>
          <w:lang w:eastAsia="en-AU"/>
          <w14:ligatures w14:val="standardContextual"/>
        </w:rPr>
      </w:pPr>
      <w:hyperlink w:anchor="_Toc181219295" w:history="1">
        <w:r w:rsidR="005552C5" w:rsidRPr="00142AD2">
          <w:rPr>
            <w:rStyle w:val="Hyperlink"/>
            <w:noProof/>
          </w:rPr>
          <w:t>5.1</w:t>
        </w:r>
        <w:r w:rsidR="005552C5">
          <w:rPr>
            <w:rFonts w:asciiTheme="minorHAnsi" w:eastAsiaTheme="minorEastAsia" w:hAnsiTheme="minorHAnsi" w:cstheme="minorBidi"/>
            <w:noProof/>
            <w:kern w:val="2"/>
            <w:sz w:val="22"/>
            <w:szCs w:val="22"/>
            <w:lang w:eastAsia="en-AU"/>
            <w14:ligatures w14:val="standardContextual"/>
          </w:rPr>
          <w:tab/>
        </w:r>
        <w:r w:rsidR="005552C5" w:rsidRPr="00142AD2">
          <w:rPr>
            <w:rStyle w:val="Hyperlink"/>
            <w:noProof/>
          </w:rPr>
          <w:t>Overview</w:t>
        </w:r>
        <w:r w:rsidR="005552C5">
          <w:rPr>
            <w:noProof/>
            <w:webHidden/>
          </w:rPr>
          <w:tab/>
        </w:r>
        <w:r w:rsidR="005552C5">
          <w:rPr>
            <w:noProof/>
            <w:webHidden/>
          </w:rPr>
          <w:fldChar w:fldCharType="begin"/>
        </w:r>
        <w:r w:rsidR="005552C5">
          <w:rPr>
            <w:noProof/>
            <w:webHidden/>
          </w:rPr>
          <w:instrText xml:space="preserve"> PAGEREF _Toc181219295 \h </w:instrText>
        </w:r>
        <w:r w:rsidR="005552C5">
          <w:rPr>
            <w:noProof/>
            <w:webHidden/>
          </w:rPr>
        </w:r>
        <w:r w:rsidR="005552C5">
          <w:rPr>
            <w:noProof/>
            <w:webHidden/>
          </w:rPr>
          <w:fldChar w:fldCharType="separate"/>
        </w:r>
        <w:r w:rsidR="005552C5">
          <w:rPr>
            <w:noProof/>
            <w:webHidden/>
          </w:rPr>
          <w:t>66</w:t>
        </w:r>
        <w:r w:rsidR="005552C5">
          <w:rPr>
            <w:noProof/>
            <w:webHidden/>
          </w:rPr>
          <w:fldChar w:fldCharType="end"/>
        </w:r>
      </w:hyperlink>
    </w:p>
    <w:p w14:paraId="0A0AB965" w14:textId="29330731" w:rsidR="005552C5" w:rsidRDefault="00BA509B">
      <w:pPr>
        <w:pStyle w:val="TOC2"/>
        <w:tabs>
          <w:tab w:val="left" w:pos="851"/>
        </w:tabs>
        <w:rPr>
          <w:rFonts w:asciiTheme="minorHAnsi" w:eastAsiaTheme="minorEastAsia" w:hAnsiTheme="minorHAnsi" w:cstheme="minorBidi"/>
          <w:noProof/>
          <w:kern w:val="2"/>
          <w:sz w:val="22"/>
          <w:szCs w:val="22"/>
          <w:lang w:eastAsia="en-AU"/>
          <w14:ligatures w14:val="standardContextual"/>
        </w:rPr>
      </w:pPr>
      <w:hyperlink w:anchor="_Toc181219296" w:history="1">
        <w:r w:rsidR="005552C5" w:rsidRPr="00142AD2">
          <w:rPr>
            <w:rStyle w:val="Hyperlink"/>
            <w:noProof/>
          </w:rPr>
          <w:t>5.2</w:t>
        </w:r>
        <w:r w:rsidR="005552C5">
          <w:rPr>
            <w:rFonts w:asciiTheme="minorHAnsi" w:eastAsiaTheme="minorEastAsia" w:hAnsiTheme="minorHAnsi" w:cstheme="minorBidi"/>
            <w:noProof/>
            <w:kern w:val="2"/>
            <w:sz w:val="22"/>
            <w:szCs w:val="22"/>
            <w:lang w:eastAsia="en-AU"/>
            <w14:ligatures w14:val="standardContextual"/>
          </w:rPr>
          <w:tab/>
        </w:r>
        <w:r w:rsidR="005552C5" w:rsidRPr="00142AD2">
          <w:rPr>
            <w:rStyle w:val="Hyperlink"/>
            <w:noProof/>
          </w:rPr>
          <w:t>A Digital Twin?</w:t>
        </w:r>
        <w:r w:rsidR="005552C5">
          <w:rPr>
            <w:noProof/>
            <w:webHidden/>
          </w:rPr>
          <w:tab/>
        </w:r>
        <w:r w:rsidR="005552C5">
          <w:rPr>
            <w:noProof/>
            <w:webHidden/>
          </w:rPr>
          <w:fldChar w:fldCharType="begin"/>
        </w:r>
        <w:r w:rsidR="005552C5">
          <w:rPr>
            <w:noProof/>
            <w:webHidden/>
          </w:rPr>
          <w:instrText xml:space="preserve"> PAGEREF _Toc181219296 \h </w:instrText>
        </w:r>
        <w:r w:rsidR="005552C5">
          <w:rPr>
            <w:noProof/>
            <w:webHidden/>
          </w:rPr>
        </w:r>
        <w:r w:rsidR="005552C5">
          <w:rPr>
            <w:noProof/>
            <w:webHidden/>
          </w:rPr>
          <w:fldChar w:fldCharType="separate"/>
        </w:r>
        <w:r w:rsidR="005552C5">
          <w:rPr>
            <w:noProof/>
            <w:webHidden/>
          </w:rPr>
          <w:t>66</w:t>
        </w:r>
        <w:r w:rsidR="005552C5">
          <w:rPr>
            <w:noProof/>
            <w:webHidden/>
          </w:rPr>
          <w:fldChar w:fldCharType="end"/>
        </w:r>
      </w:hyperlink>
    </w:p>
    <w:p w14:paraId="58771A9A" w14:textId="063F1F72" w:rsidR="005552C5" w:rsidRDefault="00BA509B">
      <w:pPr>
        <w:pStyle w:val="TOC2"/>
        <w:tabs>
          <w:tab w:val="left" w:pos="851"/>
        </w:tabs>
        <w:rPr>
          <w:rFonts w:asciiTheme="minorHAnsi" w:eastAsiaTheme="minorEastAsia" w:hAnsiTheme="minorHAnsi" w:cstheme="minorBidi"/>
          <w:noProof/>
          <w:kern w:val="2"/>
          <w:sz w:val="22"/>
          <w:szCs w:val="22"/>
          <w:lang w:eastAsia="en-AU"/>
          <w14:ligatures w14:val="standardContextual"/>
        </w:rPr>
      </w:pPr>
      <w:hyperlink w:anchor="_Toc181219297" w:history="1">
        <w:r w:rsidR="005552C5" w:rsidRPr="00142AD2">
          <w:rPr>
            <w:rStyle w:val="Hyperlink"/>
            <w:noProof/>
          </w:rPr>
          <w:t>5.3</w:t>
        </w:r>
        <w:r w:rsidR="005552C5">
          <w:rPr>
            <w:rFonts w:asciiTheme="minorHAnsi" w:eastAsiaTheme="minorEastAsia" w:hAnsiTheme="minorHAnsi" w:cstheme="minorBidi"/>
            <w:noProof/>
            <w:kern w:val="2"/>
            <w:sz w:val="22"/>
            <w:szCs w:val="22"/>
            <w:lang w:eastAsia="en-AU"/>
            <w14:ligatures w14:val="standardContextual"/>
          </w:rPr>
          <w:tab/>
        </w:r>
        <w:r w:rsidR="005552C5" w:rsidRPr="00142AD2">
          <w:rPr>
            <w:rStyle w:val="Hyperlink"/>
            <w:noProof/>
          </w:rPr>
          <w:t>Improving Energy Data Access</w:t>
        </w:r>
        <w:r w:rsidR="005552C5">
          <w:rPr>
            <w:noProof/>
            <w:webHidden/>
          </w:rPr>
          <w:tab/>
        </w:r>
        <w:r w:rsidR="005552C5">
          <w:rPr>
            <w:noProof/>
            <w:webHidden/>
          </w:rPr>
          <w:fldChar w:fldCharType="begin"/>
        </w:r>
        <w:r w:rsidR="005552C5">
          <w:rPr>
            <w:noProof/>
            <w:webHidden/>
          </w:rPr>
          <w:instrText xml:space="preserve"> PAGEREF _Toc181219297 \h </w:instrText>
        </w:r>
        <w:r w:rsidR="005552C5">
          <w:rPr>
            <w:noProof/>
            <w:webHidden/>
          </w:rPr>
        </w:r>
        <w:r w:rsidR="005552C5">
          <w:rPr>
            <w:noProof/>
            <w:webHidden/>
          </w:rPr>
          <w:fldChar w:fldCharType="separate"/>
        </w:r>
        <w:r w:rsidR="005552C5">
          <w:rPr>
            <w:noProof/>
            <w:webHidden/>
          </w:rPr>
          <w:t>66</w:t>
        </w:r>
        <w:r w:rsidR="005552C5">
          <w:rPr>
            <w:noProof/>
            <w:webHidden/>
          </w:rPr>
          <w:fldChar w:fldCharType="end"/>
        </w:r>
      </w:hyperlink>
    </w:p>
    <w:p w14:paraId="6C4467A6" w14:textId="05605AEB" w:rsidR="005552C5" w:rsidRDefault="00BA509B">
      <w:pPr>
        <w:pStyle w:val="TOC2"/>
        <w:tabs>
          <w:tab w:val="left" w:pos="851"/>
        </w:tabs>
        <w:rPr>
          <w:rFonts w:asciiTheme="minorHAnsi" w:eastAsiaTheme="minorEastAsia" w:hAnsiTheme="minorHAnsi" w:cstheme="minorBidi"/>
          <w:noProof/>
          <w:kern w:val="2"/>
          <w:sz w:val="22"/>
          <w:szCs w:val="22"/>
          <w:lang w:eastAsia="en-AU"/>
          <w14:ligatures w14:val="standardContextual"/>
        </w:rPr>
      </w:pPr>
      <w:hyperlink w:anchor="_Toc181219298" w:history="1">
        <w:r w:rsidR="005552C5" w:rsidRPr="00142AD2">
          <w:rPr>
            <w:rStyle w:val="Hyperlink"/>
            <w:noProof/>
          </w:rPr>
          <w:t>5.4</w:t>
        </w:r>
        <w:r w:rsidR="005552C5">
          <w:rPr>
            <w:rFonts w:asciiTheme="minorHAnsi" w:eastAsiaTheme="minorEastAsia" w:hAnsiTheme="minorHAnsi" w:cstheme="minorBidi"/>
            <w:noProof/>
            <w:kern w:val="2"/>
            <w:sz w:val="22"/>
            <w:szCs w:val="22"/>
            <w:lang w:eastAsia="en-AU"/>
            <w14:ligatures w14:val="standardContextual"/>
          </w:rPr>
          <w:tab/>
        </w:r>
        <w:r w:rsidR="005552C5" w:rsidRPr="00142AD2">
          <w:rPr>
            <w:rStyle w:val="Hyperlink"/>
            <w:noProof/>
          </w:rPr>
          <w:t>Gas Connections and Exposure</w:t>
        </w:r>
        <w:r w:rsidR="005552C5">
          <w:rPr>
            <w:noProof/>
            <w:webHidden/>
          </w:rPr>
          <w:tab/>
        </w:r>
        <w:r w:rsidR="005552C5">
          <w:rPr>
            <w:noProof/>
            <w:webHidden/>
          </w:rPr>
          <w:fldChar w:fldCharType="begin"/>
        </w:r>
        <w:r w:rsidR="005552C5">
          <w:rPr>
            <w:noProof/>
            <w:webHidden/>
          </w:rPr>
          <w:instrText xml:space="preserve"> PAGEREF _Toc181219298 \h </w:instrText>
        </w:r>
        <w:r w:rsidR="005552C5">
          <w:rPr>
            <w:noProof/>
            <w:webHidden/>
          </w:rPr>
        </w:r>
        <w:r w:rsidR="005552C5">
          <w:rPr>
            <w:noProof/>
            <w:webHidden/>
          </w:rPr>
          <w:fldChar w:fldCharType="separate"/>
        </w:r>
        <w:r w:rsidR="005552C5">
          <w:rPr>
            <w:noProof/>
            <w:webHidden/>
          </w:rPr>
          <w:t>67</w:t>
        </w:r>
        <w:r w:rsidR="005552C5">
          <w:rPr>
            <w:noProof/>
            <w:webHidden/>
          </w:rPr>
          <w:fldChar w:fldCharType="end"/>
        </w:r>
      </w:hyperlink>
    </w:p>
    <w:p w14:paraId="1749461D" w14:textId="1F12EF48" w:rsidR="005552C5" w:rsidRDefault="00BA509B">
      <w:pPr>
        <w:pStyle w:val="TOC2"/>
        <w:tabs>
          <w:tab w:val="left" w:pos="851"/>
        </w:tabs>
        <w:rPr>
          <w:rFonts w:asciiTheme="minorHAnsi" w:eastAsiaTheme="minorEastAsia" w:hAnsiTheme="minorHAnsi" w:cstheme="minorBidi"/>
          <w:noProof/>
          <w:kern w:val="2"/>
          <w:sz w:val="22"/>
          <w:szCs w:val="22"/>
          <w:lang w:eastAsia="en-AU"/>
          <w14:ligatures w14:val="standardContextual"/>
        </w:rPr>
      </w:pPr>
      <w:hyperlink w:anchor="_Toc181219299" w:history="1">
        <w:r w:rsidR="005552C5" w:rsidRPr="00142AD2">
          <w:rPr>
            <w:rStyle w:val="Hyperlink"/>
            <w:noProof/>
          </w:rPr>
          <w:t>5.5</w:t>
        </w:r>
        <w:r w:rsidR="005552C5">
          <w:rPr>
            <w:rFonts w:asciiTheme="minorHAnsi" w:eastAsiaTheme="minorEastAsia" w:hAnsiTheme="minorHAnsi" w:cstheme="minorBidi"/>
            <w:noProof/>
            <w:kern w:val="2"/>
            <w:sz w:val="22"/>
            <w:szCs w:val="22"/>
            <w:lang w:eastAsia="en-AU"/>
            <w14:ligatures w14:val="standardContextual"/>
          </w:rPr>
          <w:tab/>
        </w:r>
        <w:r w:rsidR="005552C5" w:rsidRPr="00142AD2">
          <w:rPr>
            <w:rStyle w:val="Hyperlink"/>
            <w:noProof/>
          </w:rPr>
          <w:t>Greenhouse Gas Emissions Abatement Opportunity Analysis</w:t>
        </w:r>
        <w:r w:rsidR="005552C5">
          <w:rPr>
            <w:noProof/>
            <w:webHidden/>
          </w:rPr>
          <w:tab/>
        </w:r>
        <w:r w:rsidR="005552C5">
          <w:rPr>
            <w:noProof/>
            <w:webHidden/>
          </w:rPr>
          <w:fldChar w:fldCharType="begin"/>
        </w:r>
        <w:r w:rsidR="005552C5">
          <w:rPr>
            <w:noProof/>
            <w:webHidden/>
          </w:rPr>
          <w:instrText xml:space="preserve"> PAGEREF _Toc181219299 \h </w:instrText>
        </w:r>
        <w:r w:rsidR="005552C5">
          <w:rPr>
            <w:noProof/>
            <w:webHidden/>
          </w:rPr>
        </w:r>
        <w:r w:rsidR="005552C5">
          <w:rPr>
            <w:noProof/>
            <w:webHidden/>
          </w:rPr>
          <w:fldChar w:fldCharType="separate"/>
        </w:r>
        <w:r w:rsidR="005552C5">
          <w:rPr>
            <w:noProof/>
            <w:webHidden/>
          </w:rPr>
          <w:t>67</w:t>
        </w:r>
        <w:r w:rsidR="005552C5">
          <w:rPr>
            <w:noProof/>
            <w:webHidden/>
          </w:rPr>
          <w:fldChar w:fldCharType="end"/>
        </w:r>
      </w:hyperlink>
    </w:p>
    <w:p w14:paraId="71139548" w14:textId="4DB50C2E" w:rsidR="005552C5" w:rsidRDefault="00BA509B">
      <w:pPr>
        <w:pStyle w:val="TOC2"/>
        <w:tabs>
          <w:tab w:val="left" w:pos="851"/>
        </w:tabs>
        <w:rPr>
          <w:rFonts w:asciiTheme="minorHAnsi" w:eastAsiaTheme="minorEastAsia" w:hAnsiTheme="minorHAnsi" w:cstheme="minorBidi"/>
          <w:noProof/>
          <w:kern w:val="2"/>
          <w:sz w:val="22"/>
          <w:szCs w:val="22"/>
          <w:lang w:eastAsia="en-AU"/>
          <w14:ligatures w14:val="standardContextual"/>
        </w:rPr>
      </w:pPr>
      <w:hyperlink w:anchor="_Toc181219300" w:history="1">
        <w:r w:rsidR="005552C5" w:rsidRPr="00142AD2">
          <w:rPr>
            <w:rStyle w:val="Hyperlink"/>
            <w:noProof/>
          </w:rPr>
          <w:t>5.6</w:t>
        </w:r>
        <w:r w:rsidR="005552C5">
          <w:rPr>
            <w:rFonts w:asciiTheme="minorHAnsi" w:eastAsiaTheme="minorEastAsia" w:hAnsiTheme="minorHAnsi" w:cstheme="minorBidi"/>
            <w:noProof/>
            <w:kern w:val="2"/>
            <w:sz w:val="22"/>
            <w:szCs w:val="22"/>
            <w:lang w:eastAsia="en-AU"/>
            <w14:ligatures w14:val="standardContextual"/>
          </w:rPr>
          <w:tab/>
        </w:r>
        <w:r w:rsidR="005552C5" w:rsidRPr="00142AD2">
          <w:rPr>
            <w:rStyle w:val="Hyperlink"/>
            <w:noProof/>
          </w:rPr>
          <w:t>NABERS/CBD Data Matching</w:t>
        </w:r>
        <w:r w:rsidR="005552C5">
          <w:rPr>
            <w:noProof/>
            <w:webHidden/>
          </w:rPr>
          <w:tab/>
        </w:r>
        <w:r w:rsidR="005552C5">
          <w:rPr>
            <w:noProof/>
            <w:webHidden/>
          </w:rPr>
          <w:fldChar w:fldCharType="begin"/>
        </w:r>
        <w:r w:rsidR="005552C5">
          <w:rPr>
            <w:noProof/>
            <w:webHidden/>
          </w:rPr>
          <w:instrText xml:space="preserve"> PAGEREF _Toc181219300 \h </w:instrText>
        </w:r>
        <w:r w:rsidR="005552C5">
          <w:rPr>
            <w:noProof/>
            <w:webHidden/>
          </w:rPr>
        </w:r>
        <w:r w:rsidR="005552C5">
          <w:rPr>
            <w:noProof/>
            <w:webHidden/>
          </w:rPr>
          <w:fldChar w:fldCharType="separate"/>
        </w:r>
        <w:r w:rsidR="005552C5">
          <w:rPr>
            <w:noProof/>
            <w:webHidden/>
          </w:rPr>
          <w:t>68</w:t>
        </w:r>
        <w:r w:rsidR="005552C5">
          <w:rPr>
            <w:noProof/>
            <w:webHidden/>
          </w:rPr>
          <w:fldChar w:fldCharType="end"/>
        </w:r>
      </w:hyperlink>
    </w:p>
    <w:p w14:paraId="1752E7B1" w14:textId="061D5014" w:rsidR="005552C5" w:rsidRDefault="00BA509B">
      <w:pPr>
        <w:pStyle w:val="TOC1"/>
        <w:tabs>
          <w:tab w:val="left" w:pos="567"/>
          <w:tab w:val="right" w:leader="dot" w:pos="9769"/>
        </w:tabs>
        <w:rPr>
          <w:rFonts w:asciiTheme="minorHAnsi" w:eastAsiaTheme="minorEastAsia" w:hAnsiTheme="minorHAnsi" w:cstheme="minorBidi"/>
          <w:noProof/>
          <w:kern w:val="2"/>
          <w:sz w:val="22"/>
          <w:szCs w:val="22"/>
          <w:lang w:eastAsia="en-AU"/>
          <w14:ligatures w14:val="standardContextual"/>
        </w:rPr>
      </w:pPr>
      <w:hyperlink w:anchor="_Toc181219301" w:history="1">
        <w:r w:rsidR="005552C5" w:rsidRPr="00142AD2">
          <w:rPr>
            <w:rStyle w:val="Hyperlink"/>
            <w:noProof/>
          </w:rPr>
          <w:t>6.</w:t>
        </w:r>
        <w:r w:rsidR="005552C5">
          <w:rPr>
            <w:rFonts w:asciiTheme="minorHAnsi" w:eastAsiaTheme="minorEastAsia" w:hAnsiTheme="minorHAnsi" w:cstheme="minorBidi"/>
            <w:noProof/>
            <w:kern w:val="2"/>
            <w:sz w:val="22"/>
            <w:szCs w:val="22"/>
            <w:lang w:eastAsia="en-AU"/>
            <w14:ligatures w14:val="standardContextual"/>
          </w:rPr>
          <w:tab/>
        </w:r>
        <w:r w:rsidR="005552C5" w:rsidRPr="00142AD2">
          <w:rPr>
            <w:rStyle w:val="Hyperlink"/>
            <w:noProof/>
          </w:rPr>
          <w:t>Summary and Conclusion</w:t>
        </w:r>
        <w:r w:rsidR="005552C5">
          <w:rPr>
            <w:noProof/>
            <w:webHidden/>
          </w:rPr>
          <w:tab/>
        </w:r>
        <w:r w:rsidR="005552C5">
          <w:rPr>
            <w:noProof/>
            <w:webHidden/>
          </w:rPr>
          <w:fldChar w:fldCharType="begin"/>
        </w:r>
        <w:r w:rsidR="005552C5">
          <w:rPr>
            <w:noProof/>
            <w:webHidden/>
          </w:rPr>
          <w:instrText xml:space="preserve"> PAGEREF _Toc181219301 \h </w:instrText>
        </w:r>
        <w:r w:rsidR="005552C5">
          <w:rPr>
            <w:noProof/>
            <w:webHidden/>
          </w:rPr>
        </w:r>
        <w:r w:rsidR="005552C5">
          <w:rPr>
            <w:noProof/>
            <w:webHidden/>
          </w:rPr>
          <w:fldChar w:fldCharType="separate"/>
        </w:r>
        <w:r w:rsidR="005552C5">
          <w:rPr>
            <w:noProof/>
            <w:webHidden/>
          </w:rPr>
          <w:t>69</w:t>
        </w:r>
        <w:r w:rsidR="005552C5">
          <w:rPr>
            <w:noProof/>
            <w:webHidden/>
          </w:rPr>
          <w:fldChar w:fldCharType="end"/>
        </w:r>
      </w:hyperlink>
    </w:p>
    <w:p w14:paraId="628F2094" w14:textId="5A33AE66" w:rsidR="005552C5" w:rsidRDefault="00BA509B">
      <w:pPr>
        <w:pStyle w:val="TOC1"/>
        <w:tabs>
          <w:tab w:val="left" w:pos="567"/>
          <w:tab w:val="right" w:leader="dot" w:pos="9769"/>
        </w:tabs>
        <w:rPr>
          <w:rFonts w:asciiTheme="minorHAnsi" w:eastAsiaTheme="minorEastAsia" w:hAnsiTheme="minorHAnsi" w:cstheme="minorBidi"/>
          <w:noProof/>
          <w:kern w:val="2"/>
          <w:sz w:val="22"/>
          <w:szCs w:val="22"/>
          <w:lang w:eastAsia="en-AU"/>
          <w14:ligatures w14:val="standardContextual"/>
        </w:rPr>
      </w:pPr>
      <w:hyperlink w:anchor="_Toc181219302" w:history="1">
        <w:r w:rsidR="005552C5" w:rsidRPr="00142AD2">
          <w:rPr>
            <w:rStyle w:val="Hyperlink"/>
            <w:noProof/>
          </w:rPr>
          <w:t>7.</w:t>
        </w:r>
        <w:r w:rsidR="005552C5">
          <w:rPr>
            <w:rFonts w:asciiTheme="minorHAnsi" w:eastAsiaTheme="minorEastAsia" w:hAnsiTheme="minorHAnsi" w:cstheme="minorBidi"/>
            <w:noProof/>
            <w:kern w:val="2"/>
            <w:sz w:val="22"/>
            <w:szCs w:val="22"/>
            <w:lang w:eastAsia="en-AU"/>
            <w14:ligatures w14:val="standardContextual"/>
          </w:rPr>
          <w:tab/>
        </w:r>
        <w:r w:rsidR="005552C5" w:rsidRPr="00142AD2">
          <w:rPr>
            <w:rStyle w:val="Hyperlink"/>
            <w:noProof/>
          </w:rPr>
          <w:t>Glossary of Terms</w:t>
        </w:r>
        <w:r w:rsidR="005552C5">
          <w:rPr>
            <w:noProof/>
            <w:webHidden/>
          </w:rPr>
          <w:tab/>
        </w:r>
        <w:r w:rsidR="005552C5">
          <w:rPr>
            <w:noProof/>
            <w:webHidden/>
          </w:rPr>
          <w:fldChar w:fldCharType="begin"/>
        </w:r>
        <w:r w:rsidR="005552C5">
          <w:rPr>
            <w:noProof/>
            <w:webHidden/>
          </w:rPr>
          <w:instrText xml:space="preserve"> PAGEREF _Toc181219302 \h </w:instrText>
        </w:r>
        <w:r w:rsidR="005552C5">
          <w:rPr>
            <w:noProof/>
            <w:webHidden/>
          </w:rPr>
        </w:r>
        <w:r w:rsidR="005552C5">
          <w:rPr>
            <w:noProof/>
            <w:webHidden/>
          </w:rPr>
          <w:fldChar w:fldCharType="separate"/>
        </w:r>
        <w:r w:rsidR="005552C5">
          <w:rPr>
            <w:noProof/>
            <w:webHidden/>
          </w:rPr>
          <w:t>70</w:t>
        </w:r>
        <w:r w:rsidR="005552C5">
          <w:rPr>
            <w:noProof/>
            <w:webHidden/>
          </w:rPr>
          <w:fldChar w:fldCharType="end"/>
        </w:r>
      </w:hyperlink>
    </w:p>
    <w:p w14:paraId="27E1BF35" w14:textId="731F125A" w:rsidR="005552C5" w:rsidRDefault="00BA509B">
      <w:pPr>
        <w:pStyle w:val="TOC1"/>
        <w:tabs>
          <w:tab w:val="left" w:pos="567"/>
          <w:tab w:val="right" w:leader="dot" w:pos="9769"/>
        </w:tabs>
        <w:rPr>
          <w:rFonts w:asciiTheme="minorHAnsi" w:eastAsiaTheme="minorEastAsia" w:hAnsiTheme="minorHAnsi" w:cstheme="minorBidi"/>
          <w:noProof/>
          <w:kern w:val="2"/>
          <w:sz w:val="22"/>
          <w:szCs w:val="22"/>
          <w:lang w:eastAsia="en-AU"/>
          <w14:ligatures w14:val="standardContextual"/>
        </w:rPr>
      </w:pPr>
      <w:hyperlink w:anchor="_Toc181219303" w:history="1">
        <w:r w:rsidR="005552C5" w:rsidRPr="00142AD2">
          <w:rPr>
            <w:rStyle w:val="Hyperlink"/>
            <w:noProof/>
          </w:rPr>
          <w:t>8.</w:t>
        </w:r>
        <w:r w:rsidR="005552C5">
          <w:rPr>
            <w:rFonts w:asciiTheme="minorHAnsi" w:eastAsiaTheme="minorEastAsia" w:hAnsiTheme="minorHAnsi" w:cstheme="minorBidi"/>
            <w:noProof/>
            <w:kern w:val="2"/>
            <w:sz w:val="22"/>
            <w:szCs w:val="22"/>
            <w:lang w:eastAsia="en-AU"/>
            <w14:ligatures w14:val="standardContextual"/>
          </w:rPr>
          <w:tab/>
        </w:r>
        <w:r w:rsidR="005552C5" w:rsidRPr="00142AD2">
          <w:rPr>
            <w:rStyle w:val="Hyperlink"/>
            <w:noProof/>
          </w:rPr>
          <w:t>Appendix 1: Accessible Data Tables</w:t>
        </w:r>
        <w:r w:rsidR="005552C5">
          <w:rPr>
            <w:noProof/>
            <w:webHidden/>
          </w:rPr>
          <w:tab/>
        </w:r>
        <w:r w:rsidR="005552C5">
          <w:rPr>
            <w:noProof/>
            <w:webHidden/>
          </w:rPr>
          <w:fldChar w:fldCharType="begin"/>
        </w:r>
        <w:r w:rsidR="005552C5">
          <w:rPr>
            <w:noProof/>
            <w:webHidden/>
          </w:rPr>
          <w:instrText xml:space="preserve"> PAGEREF _Toc181219303 \h </w:instrText>
        </w:r>
        <w:r w:rsidR="005552C5">
          <w:rPr>
            <w:noProof/>
            <w:webHidden/>
          </w:rPr>
        </w:r>
        <w:r w:rsidR="005552C5">
          <w:rPr>
            <w:noProof/>
            <w:webHidden/>
          </w:rPr>
          <w:fldChar w:fldCharType="separate"/>
        </w:r>
        <w:r w:rsidR="005552C5">
          <w:rPr>
            <w:noProof/>
            <w:webHidden/>
          </w:rPr>
          <w:t>72</w:t>
        </w:r>
        <w:r w:rsidR="005552C5">
          <w:rPr>
            <w:noProof/>
            <w:webHidden/>
          </w:rPr>
          <w:fldChar w:fldCharType="end"/>
        </w:r>
      </w:hyperlink>
    </w:p>
    <w:p w14:paraId="23B54BB6" w14:textId="1A712E3F" w:rsidR="00ED416A" w:rsidRDefault="005A2447" w:rsidP="005A2447">
      <w:pPr>
        <w:pStyle w:val="Heading1"/>
        <w:rPr>
          <w:rFonts w:hint="eastAsia"/>
        </w:rPr>
      </w:pPr>
      <w:r>
        <w:rPr>
          <w:rFonts w:ascii="Arial" w:eastAsia="MS Mincho" w:hAnsi="Arial"/>
          <w:bCs w:val="0"/>
          <w:sz w:val="20"/>
          <w:szCs w:val="24"/>
          <w:lang w:val="en-AU"/>
        </w:rPr>
        <w:fldChar w:fldCharType="end"/>
      </w:r>
      <w:r w:rsidR="00B152AF">
        <w:rPr>
          <w:rFonts w:hint="eastAsia"/>
        </w:rPr>
        <w:br w:type="page"/>
      </w:r>
      <w:bookmarkEnd w:id="1"/>
      <w:bookmarkEnd w:id="2"/>
      <w:r w:rsidR="00ED416A">
        <w:lastRenderedPageBreak/>
        <w:t xml:space="preserve"> </w:t>
      </w:r>
      <w:bookmarkStart w:id="3" w:name="_Toc181219274"/>
      <w:r w:rsidR="00ED416A">
        <w:t>Executive Summary</w:t>
      </w:r>
      <w:bookmarkEnd w:id="3"/>
    </w:p>
    <w:p w14:paraId="68E5DAFF" w14:textId="77777777" w:rsidR="00ED416A" w:rsidRDefault="00ED416A" w:rsidP="00D1663C">
      <w:r>
        <w:t>The City of Melbourne has commissioned this Buildings Baseline Study to assist with key objectives including:</w:t>
      </w:r>
    </w:p>
    <w:p w14:paraId="550F4B17" w14:textId="77777777" w:rsidR="00ED416A" w:rsidRDefault="00ED416A" w:rsidP="00907604">
      <w:pPr>
        <w:pStyle w:val="ListParagraph"/>
        <w:numPr>
          <w:ilvl w:val="0"/>
          <w:numId w:val="15"/>
        </w:numPr>
      </w:pPr>
      <w:r>
        <w:t xml:space="preserve">informing the development of the </w:t>
      </w:r>
      <w:r w:rsidRPr="002775CC">
        <w:t>Retrofit Melbourne Implementation Plan</w:t>
      </w:r>
    </w:p>
    <w:p w14:paraId="46C0A51F" w14:textId="77777777" w:rsidR="00ED416A" w:rsidRDefault="00ED416A" w:rsidP="00907604">
      <w:pPr>
        <w:pStyle w:val="ListParagraph"/>
        <w:numPr>
          <w:ilvl w:val="0"/>
          <w:numId w:val="15"/>
        </w:numPr>
      </w:pPr>
      <w:r>
        <w:t>identifying specific and effective decarbonisation pathways for different sectors of the built environment</w:t>
      </w:r>
    </w:p>
    <w:p w14:paraId="678B6216" w14:textId="77777777" w:rsidR="00ED416A" w:rsidRDefault="00ED416A" w:rsidP="00907604">
      <w:pPr>
        <w:pStyle w:val="ListParagraph"/>
        <w:numPr>
          <w:ilvl w:val="0"/>
          <w:numId w:val="15"/>
        </w:numPr>
      </w:pPr>
      <w:r>
        <w:t>supporting the development of effective and efficient policy and regulatory options to reduce greenhouse gas emissions</w:t>
      </w:r>
    </w:p>
    <w:p w14:paraId="693EDF4D" w14:textId="77777777" w:rsidR="00ED416A" w:rsidRDefault="00ED416A" w:rsidP="00907604">
      <w:pPr>
        <w:pStyle w:val="ListParagraph"/>
        <w:numPr>
          <w:ilvl w:val="0"/>
          <w:numId w:val="15"/>
        </w:numPr>
      </w:pPr>
      <w:r>
        <w:t xml:space="preserve">supporting the City’s and stakeholders’ analysis of a wide range of built environment issues, by providing authoritative information on the City’s built environment, energy use and greenhouse gas emissions, in particular. </w:t>
      </w:r>
    </w:p>
    <w:p w14:paraId="2C0969BC" w14:textId="77777777" w:rsidR="00ED416A" w:rsidRDefault="00ED416A" w:rsidP="00D1663C">
      <w:r>
        <w:t>Chapter 1 provides background to the study and acknowledges the many data sources and inputs that have been volunteered to the study.  Chapter 2 sets out the issues for study, and notes how these issues have been addressed, including a detailed description of the study’s methodology.  The key findings of the study are divided into Chapter 3 – Melbourne’s Buildings – and Chapter 4 – Energy Use and Greenhouse Gas Emissions in Melbourne’s Buildings.  These findings are supported by a set of Future Opportunities that could be explored (Chapter 5).</w:t>
      </w:r>
    </w:p>
    <w:p w14:paraId="002A2632" w14:textId="77777777" w:rsidR="00ED416A" w:rsidRDefault="00ED416A" w:rsidP="00D1663C">
      <w:r>
        <w:t>The study presents a snapshot of the city’s buildings, energy use and emissions in 2022, as this is most the recent year for which all key data inputs are currently available.</w:t>
      </w:r>
    </w:p>
    <w:p w14:paraId="21F3C113" w14:textId="77777777" w:rsidR="00ED416A" w:rsidRDefault="00ED416A" w:rsidP="00ED416A">
      <w:pPr>
        <w:pStyle w:val="Heading4"/>
        <w:rPr>
          <w:rFonts w:hint="eastAsia"/>
        </w:rPr>
      </w:pPr>
      <w:bookmarkStart w:id="4" w:name="_Melbourne’s_Buildings"/>
      <w:bookmarkEnd w:id="4"/>
      <w:r>
        <w:t>Melbourne’s Buildings</w:t>
      </w:r>
    </w:p>
    <w:p w14:paraId="1F42C27B" w14:textId="77777777" w:rsidR="00ED416A" w:rsidRDefault="00ED416A" w:rsidP="00D1663C">
      <w:r>
        <w:t>In 2022, the gross floor area (GFA) of Melbourne’s 14,087 buildings was 42 million square meters (sqm).</w:t>
      </w:r>
      <w:r>
        <w:rPr>
          <w:rStyle w:val="FootnoteReference"/>
        </w:rPr>
        <w:footnoteReference w:id="1"/>
      </w:r>
      <w:r>
        <w:t xml:space="preserve">  </w:t>
      </w:r>
    </w:p>
    <w:p w14:paraId="5F2BB496" w14:textId="77777777" w:rsidR="00ED416A" w:rsidRDefault="00ED416A" w:rsidP="00D1663C">
      <w:r>
        <w:t>The three largest space-uses in the city are:</w:t>
      </w:r>
    </w:p>
    <w:p w14:paraId="2ABBB868" w14:textId="77777777" w:rsidR="00ED416A" w:rsidRDefault="00ED416A" w:rsidP="00907604">
      <w:pPr>
        <w:pStyle w:val="ListParagraph"/>
        <w:numPr>
          <w:ilvl w:val="0"/>
          <w:numId w:val="14"/>
        </w:numPr>
      </w:pPr>
      <w:r>
        <w:t xml:space="preserve">Residential – </w:t>
      </w:r>
      <w:r w:rsidRPr="009B0B11">
        <w:t>13</w:t>
      </w:r>
      <w:r>
        <w:t>.8 million sqm</w:t>
      </w:r>
    </w:p>
    <w:p w14:paraId="7E9E466B" w14:textId="77777777" w:rsidR="00ED416A" w:rsidRDefault="00ED416A" w:rsidP="00907604">
      <w:pPr>
        <w:pStyle w:val="ListParagraph"/>
        <w:numPr>
          <w:ilvl w:val="0"/>
          <w:numId w:val="14"/>
        </w:numPr>
      </w:pPr>
      <w:r>
        <w:t>Offices – 8 million sqm</w:t>
      </w:r>
    </w:p>
    <w:p w14:paraId="19007281" w14:textId="77777777" w:rsidR="00ED416A" w:rsidRDefault="00ED416A" w:rsidP="00907604">
      <w:pPr>
        <w:pStyle w:val="ListParagraph"/>
        <w:numPr>
          <w:ilvl w:val="0"/>
          <w:numId w:val="14"/>
        </w:numPr>
      </w:pPr>
      <w:r>
        <w:t>Unoccupied space (including construction) – 5.1 million sqm.</w:t>
      </w:r>
      <w:r>
        <w:rPr>
          <w:rStyle w:val="FootnoteReference"/>
        </w:rPr>
        <w:footnoteReference w:id="2"/>
      </w:r>
    </w:p>
    <w:p w14:paraId="1C9B8CFF" w14:textId="0C37B834" w:rsidR="00A91679" w:rsidRPr="00A91679" w:rsidRDefault="00ED416A" w:rsidP="00D1663C">
      <w:r>
        <w:t xml:space="preserve">An overview of the floor area and shares by space use type is shown in </w:t>
      </w:r>
      <w:r>
        <w:fldChar w:fldCharType="begin"/>
      </w:r>
      <w:r>
        <w:instrText xml:space="preserve"> REF _Ref170742925 \h </w:instrText>
      </w:r>
      <w:r w:rsidR="00D1663C">
        <w:instrText xml:space="preserve"> \* MERGEFORMAT </w:instrText>
      </w:r>
      <w:r>
        <w:fldChar w:fldCharType="separate"/>
      </w:r>
      <w:r w:rsidRPr="004D0F37">
        <w:t xml:space="preserve">Figure </w:t>
      </w:r>
      <w:r>
        <w:rPr>
          <w:noProof/>
        </w:rPr>
        <w:t>1</w:t>
      </w:r>
      <w:r>
        <w:fldChar w:fldCharType="end"/>
      </w:r>
      <w:r>
        <w:t>.</w:t>
      </w:r>
    </w:p>
    <w:p w14:paraId="418D94E4" w14:textId="77777777" w:rsidR="00A361FC" w:rsidRDefault="00A361FC" w:rsidP="00A361FC">
      <w:pPr>
        <w:pStyle w:val="BodyText"/>
        <w:keepNext/>
        <w:ind w:left="207"/>
      </w:pPr>
      <w:r>
        <w:rPr>
          <w:noProof/>
        </w:rPr>
        <w:lastRenderedPageBreak/>
        <w:drawing>
          <wp:inline distT="0" distB="0" distL="0" distR="0" wp14:anchorId="61260F72" wp14:editId="0B42B385">
            <wp:extent cx="6120130" cy="3899535"/>
            <wp:effectExtent l="0" t="0" r="0" b="5715"/>
            <wp:docPr id="563562008" name="Chart 1" descr="Pie chart, see Appendix A1 for data information.&#10;">
              <a:extLst xmlns:a="http://schemas.openxmlformats.org/drawingml/2006/main">
                <a:ext uri="{FF2B5EF4-FFF2-40B4-BE49-F238E27FC236}">
                  <a16:creationId xmlns:a16="http://schemas.microsoft.com/office/drawing/2014/main" id="{C36320DA-6C3C-A4D3-A57E-C0ABF7F87FC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F95CEA9" w14:textId="77777777" w:rsidR="00A361FC" w:rsidRPr="00A361FC" w:rsidRDefault="00A361FC" w:rsidP="00A361FC">
      <w:pPr>
        <w:pStyle w:val="Caption"/>
        <w:rPr>
          <w:rFonts w:hint="eastAsia"/>
        </w:rPr>
      </w:pPr>
      <w:bookmarkStart w:id="5" w:name="_Ref170742925"/>
      <w:bookmarkStart w:id="6" w:name="_Toc171951107"/>
      <w:r w:rsidRPr="00A361FC">
        <w:t xml:space="preserve">Figure </w:t>
      </w:r>
      <w:r w:rsidRPr="00A361FC">
        <w:fldChar w:fldCharType="begin"/>
      </w:r>
      <w:r w:rsidRPr="00A361FC">
        <w:instrText xml:space="preserve"> SEQ Figure \* ARABIC </w:instrText>
      </w:r>
      <w:r w:rsidRPr="00A361FC">
        <w:fldChar w:fldCharType="separate"/>
      </w:r>
      <w:r w:rsidRPr="00A361FC">
        <w:t>1</w:t>
      </w:r>
      <w:r w:rsidRPr="00A361FC">
        <w:fldChar w:fldCharType="end"/>
      </w:r>
      <w:bookmarkEnd w:id="5"/>
      <w:r w:rsidRPr="00A361FC">
        <w:t>:  Floor Area Shares by Space Use Type, City of Melbourne, 2022</w:t>
      </w:r>
      <w:bookmarkEnd w:id="6"/>
    </w:p>
    <w:p w14:paraId="40679A4D" w14:textId="3BEBEE5A" w:rsidR="00617DC4" w:rsidRDefault="00617DC4" w:rsidP="00A361FC">
      <w:pPr>
        <w:pStyle w:val="BodyText"/>
      </w:pPr>
      <w:r>
        <w:rPr>
          <w:lang w:val="en-US"/>
        </w:rPr>
        <w:t>View</w:t>
      </w:r>
      <w:r w:rsidRPr="0097501F">
        <w:t xml:space="preserve"> </w:t>
      </w:r>
      <w:hyperlink w:anchor="_Floor_Area_Shares" w:history="1">
        <w:r>
          <w:rPr>
            <w:rStyle w:val="Hyperlink"/>
            <w:lang w:val="en-US"/>
          </w:rPr>
          <w:t>Floor Area Shares by Space Use Type, City of Melbourne, 2022</w:t>
        </w:r>
      </w:hyperlink>
      <w:r>
        <w:rPr>
          <w:lang w:val="en-US"/>
        </w:rPr>
        <w:t xml:space="preserve"> data table</w:t>
      </w:r>
      <w:r w:rsidR="001901CF">
        <w:rPr>
          <w:lang w:val="en-US"/>
        </w:rPr>
        <w:t xml:space="preserve"> A.1</w:t>
      </w:r>
      <w:r>
        <w:rPr>
          <w:lang w:val="en-US"/>
        </w:rPr>
        <w:t xml:space="preserve"> in appendix</w:t>
      </w:r>
    </w:p>
    <w:p w14:paraId="0B77EA65" w14:textId="05AD640A" w:rsidR="00ED416A" w:rsidRDefault="00ED416A" w:rsidP="00D1663C">
      <w:r>
        <w:t xml:space="preserve">Considering electricity and gas (but not minor fuels such as diesel or LPG), total energy consumption in Melbourne’s buildings in 2022 totalled 16.3 PJ, with electricity accounting for 59.1% of this total and fossil gas 40.9%.  Unsurprisingly, offices and residential dominate total energy use as well as floor area.  However, the higher average energy intensity of offices, as compared to residential, means that offices have a higher share of energy use (at 31%) than of floor area (19%) – see </w:t>
      </w:r>
      <w:r>
        <w:fldChar w:fldCharType="begin"/>
      </w:r>
      <w:r>
        <w:instrText xml:space="preserve"> REF _Ref171951343 \h </w:instrText>
      </w:r>
      <w:r w:rsidR="00D1663C">
        <w:instrText xml:space="preserve"> \* MERGEFORMAT </w:instrText>
      </w:r>
      <w:r>
        <w:fldChar w:fldCharType="separate"/>
      </w:r>
      <w:r w:rsidRPr="00966116">
        <w:t xml:space="preserve">Figure </w:t>
      </w:r>
      <w:r>
        <w:rPr>
          <w:noProof/>
        </w:rPr>
        <w:t>2</w:t>
      </w:r>
      <w:r>
        <w:fldChar w:fldCharType="end"/>
      </w:r>
      <w:r>
        <w:t>. Put together, these two space uses account for 60% of building related energy use in Melbourne, while adding commercial accommodation and hospitals/healthcare brings the total of these four types to 78%.  Other significant energy users are education and retail, at 5% of total energy consumption each.</w:t>
      </w:r>
    </w:p>
    <w:p w14:paraId="0ED89A73" w14:textId="77777777" w:rsidR="00AC0F27" w:rsidRDefault="00AC0F27" w:rsidP="00AC0F27">
      <w:pPr>
        <w:pStyle w:val="BodyText"/>
        <w:keepNext/>
      </w:pPr>
      <w:r>
        <w:rPr>
          <w:noProof/>
        </w:rPr>
        <w:lastRenderedPageBreak/>
        <w:drawing>
          <wp:inline distT="0" distB="0" distL="0" distR="0" wp14:anchorId="6107ABB1" wp14:editId="12C5EA37">
            <wp:extent cx="5930020" cy="3757188"/>
            <wp:effectExtent l="0" t="0" r="0" b="0"/>
            <wp:docPr id="663787181" name="Chart 1" descr="Pie chart, see Appendix A2 for data information.">
              <a:extLst xmlns:a="http://schemas.openxmlformats.org/drawingml/2006/main">
                <a:ext uri="{FF2B5EF4-FFF2-40B4-BE49-F238E27FC236}">
                  <a16:creationId xmlns:a16="http://schemas.microsoft.com/office/drawing/2014/main" id="{AE8DCC07-803C-786C-5C0B-951B38417C2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6A9F423" w14:textId="77777777" w:rsidR="00AC0F27" w:rsidRPr="00AC0F27" w:rsidRDefault="00AC0F27" w:rsidP="00AC0F27">
      <w:pPr>
        <w:pStyle w:val="Caption"/>
        <w:rPr>
          <w:rFonts w:hint="eastAsia"/>
        </w:rPr>
      </w:pPr>
      <w:r w:rsidRPr="00AC0F27">
        <w:t xml:space="preserve">Figure </w:t>
      </w:r>
      <w:r w:rsidRPr="00AC0F27">
        <w:fldChar w:fldCharType="begin"/>
      </w:r>
      <w:r w:rsidRPr="00AC0F27">
        <w:instrText xml:space="preserve"> SEQ Figure \* ARABIC </w:instrText>
      </w:r>
      <w:r w:rsidRPr="00AC0F27">
        <w:fldChar w:fldCharType="separate"/>
      </w:r>
      <w:r w:rsidRPr="00AC0F27">
        <w:t>2</w:t>
      </w:r>
      <w:r w:rsidRPr="00AC0F27">
        <w:fldChar w:fldCharType="end"/>
      </w:r>
      <w:r w:rsidRPr="00AC0F27">
        <w:t>:  Total Energy Use Shares by Space-Use Type, City of Melbourne, 2022</w:t>
      </w:r>
    </w:p>
    <w:p w14:paraId="34287C89" w14:textId="622A99E1" w:rsidR="00617DC4" w:rsidRDefault="00617DC4" w:rsidP="00AC0F27">
      <w:pPr>
        <w:pStyle w:val="BodyText"/>
      </w:pPr>
      <w:bookmarkStart w:id="7" w:name="_Ref171951343"/>
      <w:bookmarkStart w:id="8" w:name="_Toc171951108"/>
      <w:r>
        <w:rPr>
          <w:lang w:val="en-US"/>
        </w:rPr>
        <w:t>View</w:t>
      </w:r>
      <w:r w:rsidRPr="0097501F">
        <w:t xml:space="preserve"> </w:t>
      </w:r>
      <w:hyperlink w:anchor="_Total_Energy_Use" w:history="1">
        <w:r>
          <w:rPr>
            <w:rStyle w:val="Hyperlink"/>
            <w:lang w:val="en-US"/>
          </w:rPr>
          <w:t>Total Energy Use Shares by Space-Use Type, City of Melbourne, 2022</w:t>
        </w:r>
      </w:hyperlink>
      <w:r>
        <w:rPr>
          <w:lang w:val="en-US"/>
        </w:rPr>
        <w:t xml:space="preserve"> data table</w:t>
      </w:r>
      <w:r w:rsidR="001901CF">
        <w:rPr>
          <w:lang w:val="en-US"/>
        </w:rPr>
        <w:t xml:space="preserve"> A.2</w:t>
      </w:r>
      <w:r>
        <w:rPr>
          <w:lang w:val="en-US"/>
        </w:rPr>
        <w:t xml:space="preserve"> in </w:t>
      </w:r>
      <w:r w:rsidR="001901CF">
        <w:rPr>
          <w:lang w:val="en-US"/>
        </w:rPr>
        <w:t>appendix.</w:t>
      </w:r>
    </w:p>
    <w:bookmarkEnd w:id="7"/>
    <w:bookmarkEnd w:id="8"/>
    <w:p w14:paraId="1E6FA6B6" w14:textId="577DE63B" w:rsidR="00ED416A" w:rsidRDefault="00ED416A" w:rsidP="00D1663C">
      <w:r>
        <w:t>Turning to greenhouse gas emissions, total emissions from the built environment in 2022 were 3.2</w:t>
      </w:r>
      <w:r w:rsidRPr="00022458">
        <w:t xml:space="preserve"> million tonnes CO</w:t>
      </w:r>
      <w:r w:rsidRPr="00F27AD8">
        <w:rPr>
          <w:vertAlign w:val="subscript"/>
        </w:rPr>
        <w:t>2</w:t>
      </w:r>
      <w:r w:rsidRPr="00022458">
        <w:t>-e, with 8</w:t>
      </w:r>
      <w:r>
        <w:t>8.4</w:t>
      </w:r>
      <w:r w:rsidRPr="00022458">
        <w:t xml:space="preserve">% of this total, </w:t>
      </w:r>
      <w:r>
        <w:t xml:space="preserve">or </w:t>
      </w:r>
      <w:r w:rsidRPr="00022458">
        <w:t>2.</w:t>
      </w:r>
      <w:r>
        <w:t>83</w:t>
      </w:r>
      <w:r w:rsidRPr="00022458">
        <w:t xml:space="preserve"> Mt CO</w:t>
      </w:r>
      <w:r w:rsidRPr="00F27AD8">
        <w:rPr>
          <w:vertAlign w:val="subscript"/>
        </w:rPr>
        <w:t>2</w:t>
      </w:r>
      <w:r w:rsidRPr="00022458">
        <w:t>-e</w:t>
      </w:r>
      <w:r>
        <w:t>,</w:t>
      </w:r>
      <w:r w:rsidRPr="00022458">
        <w:t xml:space="preserve"> resulting from electricity consumption, and 1</w:t>
      </w:r>
      <w:r>
        <w:t>1.6</w:t>
      </w:r>
      <w:r w:rsidRPr="00022458">
        <w:t>%, or 3</w:t>
      </w:r>
      <w:r>
        <w:t>70</w:t>
      </w:r>
      <w:r w:rsidRPr="00022458">
        <w:t xml:space="preserve"> kt CO</w:t>
      </w:r>
      <w:r w:rsidRPr="00213234">
        <w:rPr>
          <w:vertAlign w:val="subscript"/>
        </w:rPr>
        <w:t>2</w:t>
      </w:r>
      <w:r w:rsidRPr="00022458">
        <w:t>-e, derived from fossil gas.</w:t>
      </w:r>
      <w:r>
        <w:t xml:space="preserve">  </w:t>
      </w:r>
      <w:r>
        <w:fldChar w:fldCharType="begin"/>
      </w:r>
      <w:r>
        <w:instrText xml:space="preserve"> REF _Ref171867807 \h </w:instrText>
      </w:r>
      <w:r w:rsidR="00D1663C">
        <w:instrText xml:space="preserve"> \* MERGEFORMAT </w:instrText>
      </w:r>
      <w:r>
        <w:fldChar w:fldCharType="separate"/>
      </w:r>
      <w:r w:rsidRPr="00380765">
        <w:t xml:space="preserve">Figure </w:t>
      </w:r>
      <w:r>
        <w:rPr>
          <w:noProof/>
        </w:rPr>
        <w:t>3</w:t>
      </w:r>
      <w:r>
        <w:fldChar w:fldCharType="end"/>
      </w:r>
      <w:r>
        <w:t xml:space="preserve"> shows the distribution of these emissions by space use type. </w:t>
      </w:r>
    </w:p>
    <w:p w14:paraId="686A95D9" w14:textId="77777777" w:rsidR="00A84F31" w:rsidRDefault="00A84F31" w:rsidP="00A84F31">
      <w:pPr>
        <w:pStyle w:val="BodyText"/>
        <w:keepNext/>
      </w:pPr>
      <w:r>
        <w:rPr>
          <w:noProof/>
        </w:rPr>
        <w:lastRenderedPageBreak/>
        <w:drawing>
          <wp:inline distT="0" distB="0" distL="0" distR="0" wp14:anchorId="12EB9A1C" wp14:editId="2D4E2F93">
            <wp:extent cx="6373640" cy="3711921"/>
            <wp:effectExtent l="0" t="0" r="8255" b="3175"/>
            <wp:docPr id="1337477276" name="Chart 1" descr="Pie chart, see Appendix A3 for data information.">
              <a:extLst xmlns:a="http://schemas.openxmlformats.org/drawingml/2006/main">
                <a:ext uri="{FF2B5EF4-FFF2-40B4-BE49-F238E27FC236}">
                  <a16:creationId xmlns:a16="http://schemas.microsoft.com/office/drawing/2014/main" id="{2F51C6F4-D054-C518-20A0-74D4FBEBE9F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C03A55C" w14:textId="77777777" w:rsidR="00A84F31" w:rsidRPr="00A84F31" w:rsidRDefault="00A84F31" w:rsidP="00A84F31">
      <w:pPr>
        <w:pStyle w:val="Caption"/>
        <w:rPr>
          <w:rFonts w:hint="eastAsia"/>
        </w:rPr>
      </w:pPr>
      <w:bookmarkStart w:id="9" w:name="_Ref171867807"/>
      <w:bookmarkStart w:id="10" w:name="_Ref171867802"/>
      <w:bookmarkStart w:id="11" w:name="_Toc171951109"/>
      <w:r w:rsidRPr="00A84F31">
        <w:t xml:space="preserve">Figure </w:t>
      </w:r>
      <w:r w:rsidRPr="00A84F31">
        <w:fldChar w:fldCharType="begin"/>
      </w:r>
      <w:r w:rsidRPr="00A84F31">
        <w:instrText xml:space="preserve"> SEQ Figure \* ARABIC </w:instrText>
      </w:r>
      <w:r w:rsidRPr="00A84F31">
        <w:fldChar w:fldCharType="separate"/>
      </w:r>
      <w:r w:rsidRPr="00A84F31">
        <w:t>3</w:t>
      </w:r>
      <w:r w:rsidRPr="00A84F31">
        <w:fldChar w:fldCharType="end"/>
      </w:r>
      <w:bookmarkEnd w:id="9"/>
      <w:r w:rsidRPr="00A84F31">
        <w:t>: Greenhouse Gas Emission Shares by Space Use Type, City of Melbourne, 2022</w:t>
      </w:r>
      <w:bookmarkEnd w:id="10"/>
      <w:bookmarkEnd w:id="11"/>
    </w:p>
    <w:p w14:paraId="45B5CD2F" w14:textId="0FA19B2C" w:rsidR="00617DC4" w:rsidRDefault="00617DC4" w:rsidP="00AC0F27">
      <w:pPr>
        <w:pStyle w:val="BodyText"/>
      </w:pPr>
      <w:r>
        <w:rPr>
          <w:lang w:val="en-US"/>
        </w:rPr>
        <w:t>View</w:t>
      </w:r>
      <w:r w:rsidRPr="0097501F">
        <w:t xml:space="preserve"> </w:t>
      </w:r>
      <w:hyperlink w:anchor="_Greenhouse_Gas_Emission" w:history="1">
        <w:r>
          <w:rPr>
            <w:rStyle w:val="Hyperlink"/>
            <w:lang w:val="en-US"/>
          </w:rPr>
          <w:t>Greenhouse Gas Emission Shares by Space Use Type, City of Melbourne, 2022</w:t>
        </w:r>
      </w:hyperlink>
      <w:r>
        <w:rPr>
          <w:lang w:val="en-US"/>
        </w:rPr>
        <w:t xml:space="preserve"> data table</w:t>
      </w:r>
      <w:r w:rsidR="001901CF">
        <w:rPr>
          <w:lang w:val="en-US"/>
        </w:rPr>
        <w:t xml:space="preserve"> A.3</w:t>
      </w:r>
      <w:r>
        <w:rPr>
          <w:lang w:val="en-US"/>
        </w:rPr>
        <w:t xml:space="preserve"> in appendix</w:t>
      </w:r>
    </w:p>
    <w:p w14:paraId="49F90057" w14:textId="77777777" w:rsidR="00ED416A" w:rsidRPr="00B715EC" w:rsidRDefault="00ED416A" w:rsidP="00D1663C">
      <w:r>
        <w:t xml:space="preserve">The City of Melbourne possesses valuable data resources, such as CLUE and Pathway, that have been vital in the delivery of this baseline study. There are, however, opportunities to improve these resources, including by developing a 'digital twin' of Melbourne's built environment. A digital twin would be a detailed and dynamic model that integrates new data regularly, allowing for simulations and analysis of various changes. This would involve enhancing the resolution of individual buildings, modelling stock turnover, simulating weather impacts, and characterizing energy loads. Ongoing matching of NABERS energy data with individual buildings would improve the accuracy of energy use models incorporated into a digital twin. </w:t>
      </w:r>
    </w:p>
    <w:p w14:paraId="708EE816" w14:textId="77777777" w:rsidR="00ED416A" w:rsidRDefault="00ED416A" w:rsidP="00D1663C">
      <w:r>
        <w:t xml:space="preserve">Improving access to energy data is another critical opportunity. Enhancing collaboration between local governments and energy distributors, exploring alternative energy data sources, and potentially advocating for regulatory changes to increase data availability are key strategies. This would enable better policy development, emission pathway analyses, and inventory management. </w:t>
      </w:r>
    </w:p>
    <w:p w14:paraId="45929C95" w14:textId="77777777" w:rsidR="00A84F31" w:rsidRDefault="00A84F31">
      <w:pPr>
        <w:spacing w:after="0" w:line="240" w:lineRule="auto"/>
        <w:rPr>
          <w:rFonts w:ascii="Arial Bold" w:eastAsia="MS Gothic" w:hAnsi="Arial Bold" w:hint="eastAsia"/>
          <w:bCs/>
          <w:sz w:val="28"/>
          <w:szCs w:val="32"/>
          <w:lang w:val="en-US"/>
        </w:rPr>
      </w:pPr>
      <w:bookmarkStart w:id="12" w:name="_Toc173876022"/>
      <w:r>
        <w:rPr>
          <w:rFonts w:hint="eastAsia"/>
        </w:rPr>
        <w:br w:type="page"/>
      </w:r>
    </w:p>
    <w:p w14:paraId="1BDEB415" w14:textId="4F4C84E1" w:rsidR="00ED416A" w:rsidRDefault="00ED416A" w:rsidP="00907604">
      <w:pPr>
        <w:pStyle w:val="Heading1"/>
        <w:numPr>
          <w:ilvl w:val="0"/>
          <w:numId w:val="8"/>
        </w:numPr>
        <w:ind w:left="709" w:hanging="709"/>
        <w:rPr>
          <w:rFonts w:hint="eastAsia"/>
        </w:rPr>
      </w:pPr>
      <w:bookmarkStart w:id="13" w:name="_Toc181219275"/>
      <w:r>
        <w:lastRenderedPageBreak/>
        <w:t>Introduction</w:t>
      </w:r>
      <w:bookmarkEnd w:id="12"/>
      <w:bookmarkEnd w:id="13"/>
    </w:p>
    <w:p w14:paraId="5CEC2C56" w14:textId="2AC1B928" w:rsidR="00ED416A" w:rsidRDefault="00ED416A" w:rsidP="00ED416A">
      <w:pPr>
        <w:pStyle w:val="Heading2"/>
        <w:rPr>
          <w:rFonts w:hint="eastAsia"/>
        </w:rPr>
      </w:pPr>
      <w:bookmarkStart w:id="14" w:name="_Toc173876023"/>
      <w:bookmarkStart w:id="15" w:name="_Toc181219276"/>
      <w:r>
        <w:t>1.1</w:t>
      </w:r>
      <w:r>
        <w:tab/>
        <w:t>Objectives</w:t>
      </w:r>
      <w:bookmarkEnd w:id="14"/>
      <w:bookmarkEnd w:id="15"/>
    </w:p>
    <w:p w14:paraId="6B6DB7CE" w14:textId="77777777" w:rsidR="00ED416A" w:rsidRDefault="00ED416A" w:rsidP="00D1663C">
      <w:r>
        <w:t xml:space="preserve">The City of Melbourne has commissioned SPR to prepare a Buildings Baseline Study of the city, its energy use and greenhouse gas emissions.  </w:t>
      </w:r>
    </w:p>
    <w:p w14:paraId="6B314E7F" w14:textId="77777777" w:rsidR="00ED416A" w:rsidRDefault="00ED416A" w:rsidP="00D1663C">
      <w:r>
        <w:t>The study aims to be a key resource for the City and for other stakeholders, that will help meet several objectives:</w:t>
      </w:r>
    </w:p>
    <w:p w14:paraId="5D9D574B" w14:textId="77777777" w:rsidR="00ED416A" w:rsidRDefault="00ED416A" w:rsidP="00907604">
      <w:pPr>
        <w:pStyle w:val="ListParagraph"/>
        <w:numPr>
          <w:ilvl w:val="0"/>
          <w:numId w:val="13"/>
        </w:numPr>
      </w:pPr>
      <w:r>
        <w:t xml:space="preserve">it will inform the development of the </w:t>
      </w:r>
      <w:r w:rsidRPr="00687245">
        <w:rPr>
          <w:i/>
          <w:iCs/>
        </w:rPr>
        <w:t>Retrofit Melbourne Implementation Plan</w:t>
      </w:r>
    </w:p>
    <w:p w14:paraId="782ACD81" w14:textId="77777777" w:rsidR="00ED416A" w:rsidRDefault="00ED416A" w:rsidP="00907604">
      <w:pPr>
        <w:pStyle w:val="ListParagraph"/>
        <w:numPr>
          <w:ilvl w:val="0"/>
          <w:numId w:val="13"/>
        </w:numPr>
      </w:pPr>
      <w:r>
        <w:t>it will help the City to identify specific and effective decarbonisation pathways for different sectors in the built environment</w:t>
      </w:r>
    </w:p>
    <w:p w14:paraId="1D1AD855" w14:textId="77777777" w:rsidR="00ED416A" w:rsidRDefault="00ED416A" w:rsidP="00907604">
      <w:pPr>
        <w:pStyle w:val="ListParagraph"/>
        <w:numPr>
          <w:ilvl w:val="0"/>
          <w:numId w:val="13"/>
        </w:numPr>
      </w:pPr>
      <w:r>
        <w:t>it will support the analysis and development of effective and efficient policy and regulatory options</w:t>
      </w:r>
    </w:p>
    <w:p w14:paraId="29EA0222" w14:textId="77777777" w:rsidR="00ED416A" w:rsidRDefault="00ED416A" w:rsidP="00907604">
      <w:pPr>
        <w:pStyle w:val="ListParagraph"/>
        <w:numPr>
          <w:ilvl w:val="0"/>
          <w:numId w:val="13"/>
        </w:numPr>
      </w:pPr>
      <w:r>
        <w:t xml:space="preserve">it will be of value to wider building sector and to researchers in related fields, by providing an authoritative set of insights into the city’s structure and energy use in particular. </w:t>
      </w:r>
    </w:p>
    <w:p w14:paraId="1160903F" w14:textId="77777777" w:rsidR="00ED416A" w:rsidRDefault="00ED416A" w:rsidP="00D1663C">
      <w:r>
        <w:t xml:space="preserve">Overall, the study aims to support the City’s goal of achieving net zero greenhouse gas emissions by 2040.  The City estimates that buildings represent 66% of the municipality’s emissions, making this the key sector for abatement purposes.  </w:t>
      </w:r>
    </w:p>
    <w:p w14:paraId="408A75B6" w14:textId="77777777" w:rsidR="00ED416A" w:rsidRDefault="00ED416A" w:rsidP="00D1663C">
      <w:r>
        <w:t>The Baseline Study will provide a solid grounding and key information required for these outcomes, by providing a detailed, spatially disaggregated and validated map of the city’s buildings by type, space use by type, other relevant building characteristics, energy use by fuel, and greenhouse gas emissions.</w:t>
      </w:r>
    </w:p>
    <w:p w14:paraId="1AD2A322" w14:textId="3698FB0C" w:rsidR="00ED416A" w:rsidRDefault="00ED416A" w:rsidP="00ED416A">
      <w:pPr>
        <w:pStyle w:val="Heading2"/>
        <w:rPr>
          <w:rFonts w:hint="eastAsia"/>
        </w:rPr>
      </w:pPr>
      <w:bookmarkStart w:id="16" w:name="_Toc173876024"/>
      <w:bookmarkStart w:id="17" w:name="_Toc181219277"/>
      <w:r>
        <w:t>1.2</w:t>
      </w:r>
      <w:r>
        <w:tab/>
        <w:t>Related Projects and Programs</w:t>
      </w:r>
      <w:bookmarkEnd w:id="16"/>
      <w:bookmarkEnd w:id="17"/>
    </w:p>
    <w:p w14:paraId="1DC904ED" w14:textId="77777777" w:rsidR="00ED416A" w:rsidRPr="002775CC" w:rsidRDefault="00ED416A" w:rsidP="00D1663C">
      <w:r>
        <w:t>This Baseline Study builds on a strong tradition of buildings-related data, programs and analysis at the City of Melbourne, in addition to making use of important data collections and research by other parties.  We briefly review some of the key resources that have informed this study.</w:t>
      </w:r>
    </w:p>
    <w:p w14:paraId="43CECD11" w14:textId="48C949A5" w:rsidR="00ED416A" w:rsidRDefault="00ED416A" w:rsidP="00ED416A">
      <w:pPr>
        <w:pStyle w:val="Heading3"/>
        <w:rPr>
          <w:rFonts w:hint="eastAsia"/>
        </w:rPr>
      </w:pPr>
      <w:bookmarkStart w:id="18" w:name="_Ref168564978"/>
      <w:r>
        <w:t>1.2.1</w:t>
      </w:r>
      <w:r>
        <w:tab/>
        <w:t xml:space="preserve">Census of Land Use </w:t>
      </w:r>
      <w:bookmarkEnd w:id="18"/>
      <w:r>
        <w:t xml:space="preserve">and Employment Data </w:t>
      </w:r>
    </w:p>
    <w:p w14:paraId="6F9DDE43" w14:textId="77777777" w:rsidR="00ED416A" w:rsidRDefault="00ED416A" w:rsidP="00D1663C">
      <w:pPr>
        <w:rPr>
          <w:lang w:val="en-GB"/>
        </w:rPr>
      </w:pPr>
      <w:r>
        <w:rPr>
          <w:lang w:val="en-GB"/>
        </w:rPr>
        <w:t xml:space="preserve">Melbourne’s Census of Land Use and Employment (CLUE) represents a best-practice resource for city-level data in Australia.  It is based on an annual census program that results in a full refresh every two years.  The data program commenced in 1962 and moved onto a 2-yearly basis in 2000.  </w:t>
      </w:r>
    </w:p>
    <w:p w14:paraId="1664AF6C" w14:textId="77777777" w:rsidR="00ED416A" w:rsidRDefault="00ED416A" w:rsidP="00D1663C">
      <w:pPr>
        <w:rPr>
          <w:lang w:val="en-GB"/>
        </w:rPr>
      </w:pPr>
      <w:r w:rsidRPr="00AD566E">
        <w:rPr>
          <w:lang w:val="en-GB"/>
        </w:rPr>
        <w:t>A team of census officers visits every establishment in every building in the City of Melbourne. The census generally involves an officer visiting businesses during normal operating hours to ask details about their business and premises.</w:t>
      </w:r>
      <w:r>
        <w:rPr>
          <w:lang w:val="en-GB"/>
        </w:rPr>
        <w:t xml:space="preserve">  </w:t>
      </w:r>
      <w:r w:rsidRPr="00AD566E">
        <w:rPr>
          <w:lang w:val="en-GB"/>
        </w:rPr>
        <w:t>Information collected includes trading name, activity description, a space type code, number of employees, number of parking spaces and capacity measures.</w:t>
      </w:r>
      <w:r>
        <w:rPr>
          <w:lang w:val="en-GB"/>
        </w:rPr>
        <w:t xml:space="preserve">  Participation is confidential and the published results do not provide specific details about individual businesses.</w:t>
      </w:r>
    </w:p>
    <w:p w14:paraId="2FAA781C" w14:textId="77777777" w:rsidR="00ED416A" w:rsidRPr="00AD566E" w:rsidRDefault="00ED416A" w:rsidP="00D1663C">
      <w:pPr>
        <w:rPr>
          <w:lang w:val="en-GB"/>
        </w:rPr>
      </w:pPr>
      <w:r w:rsidRPr="00AD566E">
        <w:rPr>
          <w:lang w:val="en-GB"/>
        </w:rPr>
        <w:t>CLUE data includes:</w:t>
      </w:r>
    </w:p>
    <w:p w14:paraId="39CE94A7" w14:textId="77777777" w:rsidR="00ED416A" w:rsidRPr="00687245" w:rsidRDefault="00ED416A" w:rsidP="00907604">
      <w:pPr>
        <w:pStyle w:val="ListParagraph"/>
        <w:numPr>
          <w:ilvl w:val="0"/>
          <w:numId w:val="12"/>
        </w:numPr>
        <w:rPr>
          <w:lang w:val="en-GB"/>
        </w:rPr>
      </w:pPr>
      <w:r w:rsidRPr="00687245">
        <w:rPr>
          <w:lang w:val="en-GB"/>
        </w:rPr>
        <w:t>industry structure and type (ANZSIC code and number of establishments or business locations)</w:t>
      </w:r>
    </w:p>
    <w:p w14:paraId="45299346" w14:textId="77777777" w:rsidR="00ED416A" w:rsidRPr="00687245" w:rsidRDefault="00ED416A" w:rsidP="00907604">
      <w:pPr>
        <w:pStyle w:val="ListParagraph"/>
        <w:numPr>
          <w:ilvl w:val="0"/>
          <w:numId w:val="12"/>
        </w:numPr>
        <w:rPr>
          <w:lang w:val="en-GB"/>
        </w:rPr>
      </w:pPr>
      <w:r w:rsidRPr="00687245">
        <w:rPr>
          <w:lang w:val="en-GB"/>
        </w:rPr>
        <w:t>floor space type and use (office, retail, industrial, accommodation or entertainment and office vacancy rates)</w:t>
      </w:r>
    </w:p>
    <w:p w14:paraId="6703BEA4" w14:textId="77777777" w:rsidR="00ED416A" w:rsidRPr="00687245" w:rsidRDefault="00ED416A" w:rsidP="00907604">
      <w:pPr>
        <w:pStyle w:val="ListParagraph"/>
        <w:numPr>
          <w:ilvl w:val="0"/>
          <w:numId w:val="12"/>
        </w:numPr>
        <w:rPr>
          <w:lang w:val="en-GB"/>
        </w:rPr>
      </w:pPr>
      <w:r w:rsidRPr="00687245">
        <w:rPr>
          <w:lang w:val="en-GB"/>
        </w:rPr>
        <w:t>employment type (full-time, part-time, casual or contractor)</w:t>
      </w:r>
    </w:p>
    <w:p w14:paraId="15B58E18" w14:textId="77777777" w:rsidR="00ED416A" w:rsidRPr="00687245" w:rsidRDefault="00ED416A" w:rsidP="00907604">
      <w:pPr>
        <w:pStyle w:val="ListParagraph"/>
        <w:numPr>
          <w:ilvl w:val="0"/>
          <w:numId w:val="12"/>
        </w:numPr>
        <w:rPr>
          <w:lang w:val="en-GB"/>
        </w:rPr>
      </w:pPr>
      <w:r w:rsidRPr="00687245">
        <w:rPr>
          <w:lang w:val="en-GB"/>
        </w:rPr>
        <w:t>building information (number of floors, year of construction, gross floor area and lettable area)</w:t>
      </w:r>
    </w:p>
    <w:p w14:paraId="7118F380" w14:textId="77777777" w:rsidR="00ED416A" w:rsidRPr="00687245" w:rsidRDefault="00ED416A" w:rsidP="00907604">
      <w:pPr>
        <w:pStyle w:val="ListParagraph"/>
        <w:numPr>
          <w:ilvl w:val="0"/>
          <w:numId w:val="12"/>
        </w:numPr>
        <w:rPr>
          <w:lang w:val="en-GB"/>
        </w:rPr>
      </w:pPr>
      <w:r w:rsidRPr="00687245">
        <w:rPr>
          <w:lang w:val="en-GB"/>
        </w:rPr>
        <w:lastRenderedPageBreak/>
        <w:t>venue and capacity measures (cafe or restaurant seats, child care centre spaces, off-street car parking spaces, bicycle and shower facilities, residential dwellings, student dwellings, student beds, theatre and stadium seats, conference and meeting seats and gaming machines)</w:t>
      </w:r>
    </w:p>
    <w:p w14:paraId="65426BF6" w14:textId="77777777" w:rsidR="00ED416A" w:rsidRPr="00687245" w:rsidRDefault="00ED416A" w:rsidP="00907604">
      <w:pPr>
        <w:pStyle w:val="ListParagraph"/>
        <w:numPr>
          <w:ilvl w:val="0"/>
          <w:numId w:val="12"/>
        </w:numPr>
        <w:rPr>
          <w:lang w:val="en-GB"/>
        </w:rPr>
      </w:pPr>
      <w:r w:rsidRPr="00687245">
        <w:rPr>
          <w:lang w:val="en-GB"/>
        </w:rPr>
        <w:t>spatial distribution (maps, CLUE small areas, blocks and customised regions).</w:t>
      </w:r>
    </w:p>
    <w:p w14:paraId="40349CF3" w14:textId="50805F33" w:rsidR="00ED416A" w:rsidRDefault="00ED416A" w:rsidP="00ED416A">
      <w:pPr>
        <w:pStyle w:val="Heading3"/>
        <w:rPr>
          <w:rFonts w:hint="eastAsia"/>
        </w:rPr>
      </w:pPr>
      <w:r>
        <w:t>1.2.2</w:t>
      </w:r>
      <w:r>
        <w:tab/>
        <w:t>Other Property Data</w:t>
      </w:r>
    </w:p>
    <w:p w14:paraId="3D75F549" w14:textId="77777777" w:rsidR="00ED416A" w:rsidRDefault="00ED416A" w:rsidP="00D1663C">
      <w:pPr>
        <w:rPr>
          <w:lang w:val="en-GB"/>
        </w:rPr>
      </w:pPr>
      <w:r>
        <w:rPr>
          <w:lang w:val="en-GB"/>
        </w:rPr>
        <w:t xml:space="preserve">Separately from CLUE, the City of Melbourne maintains </w:t>
      </w:r>
      <w:bookmarkStart w:id="19" w:name="_Ref169082779"/>
      <w:r w:rsidRPr="00065DFE">
        <w:rPr>
          <w:lang w:val="en-GB"/>
        </w:rPr>
        <w:t>VMOnline</w:t>
      </w:r>
      <w:r>
        <w:rPr>
          <w:lang w:val="en-GB"/>
        </w:rPr>
        <w:t xml:space="preserve">, which </w:t>
      </w:r>
      <w:r w:rsidRPr="00065DFE">
        <w:rPr>
          <w:lang w:val="en-GB"/>
        </w:rPr>
        <w:t xml:space="preserve">is a portal to databases that hold and calculate statutory property valuations. The base property data </w:t>
      </w:r>
      <w:r>
        <w:rPr>
          <w:lang w:val="en-GB"/>
        </w:rPr>
        <w:t xml:space="preserve">include </w:t>
      </w:r>
      <w:r w:rsidRPr="00065DFE">
        <w:rPr>
          <w:lang w:val="en-GB"/>
        </w:rPr>
        <w:t xml:space="preserve">addresses, overlays, permits and owners come from Council records. Data </w:t>
      </w:r>
      <w:r>
        <w:rPr>
          <w:lang w:val="en-GB"/>
        </w:rPr>
        <w:t xml:space="preserve">such as </w:t>
      </w:r>
      <w:r w:rsidRPr="00065DFE">
        <w:rPr>
          <w:lang w:val="en-GB"/>
        </w:rPr>
        <w:t xml:space="preserve">building areas and property record structure are entered by Council. </w:t>
      </w:r>
    </w:p>
    <w:p w14:paraId="714FD7A5" w14:textId="77777777" w:rsidR="00ED416A" w:rsidRPr="00065DFE" w:rsidRDefault="00ED416A" w:rsidP="00D1663C">
      <w:pPr>
        <w:rPr>
          <w:lang w:val="en-GB"/>
        </w:rPr>
      </w:pPr>
      <w:r w:rsidRPr="00065DFE">
        <w:rPr>
          <w:lang w:val="en-GB"/>
        </w:rPr>
        <w:t>The base data are used in conjunction with a valuation model that is produced and maintained by a contracted valuation company to produce statutory valuations for rates, FSPL and land tax. The V</w:t>
      </w:r>
      <w:r>
        <w:rPr>
          <w:lang w:val="en-GB"/>
        </w:rPr>
        <w:t xml:space="preserve">aluer General for Victoria </w:t>
      </w:r>
      <w:r w:rsidRPr="00065DFE">
        <w:rPr>
          <w:lang w:val="en-GB"/>
        </w:rPr>
        <w:t>audits the database and transactions within it, as well as all submitted valuations.</w:t>
      </w:r>
    </w:p>
    <w:p w14:paraId="1F10C4E3" w14:textId="77777777" w:rsidR="00ED416A" w:rsidRDefault="00ED416A" w:rsidP="00D1663C">
      <w:pPr>
        <w:rPr>
          <w:lang w:val="en-GB"/>
        </w:rPr>
      </w:pPr>
      <w:r>
        <w:rPr>
          <w:lang w:val="en-GB"/>
        </w:rPr>
        <w:t xml:space="preserve">Within this system is a property database, known as </w:t>
      </w:r>
      <w:r w:rsidRPr="00065DFE">
        <w:rPr>
          <w:lang w:val="en-GB"/>
        </w:rPr>
        <w:t>Pathway</w:t>
      </w:r>
      <w:r>
        <w:rPr>
          <w:lang w:val="en-GB"/>
        </w:rPr>
        <w:t>,</w:t>
      </w:r>
      <w:r w:rsidRPr="00065DFE">
        <w:rPr>
          <w:lang w:val="en-GB"/>
        </w:rPr>
        <w:t xml:space="preserve"> that stores </w:t>
      </w:r>
      <w:r>
        <w:rPr>
          <w:lang w:val="en-GB"/>
        </w:rPr>
        <w:t xml:space="preserve">the City of Melbourne’s </w:t>
      </w:r>
      <w:r w:rsidRPr="00065DFE">
        <w:rPr>
          <w:lang w:val="en-GB"/>
        </w:rPr>
        <w:t>property occupancy and ownership details, such as land use and title and parcel information. Occupancy information is collected at the property by census officers. Ownership information is collected at the time of transfer from acquisition forms.</w:t>
      </w:r>
    </w:p>
    <w:p w14:paraId="615DFA53" w14:textId="54B51B6B" w:rsidR="00ED416A" w:rsidRPr="00065DFE" w:rsidRDefault="00ED416A" w:rsidP="00D1663C">
      <w:pPr>
        <w:rPr>
          <w:lang w:val="en-GB"/>
        </w:rPr>
      </w:pPr>
      <w:r>
        <w:rPr>
          <w:lang w:val="en-GB"/>
        </w:rPr>
        <w:t xml:space="preserve">As discussed in the Methodology Section </w:t>
      </w:r>
      <w:r>
        <w:rPr>
          <w:lang w:val="en-GB"/>
        </w:rPr>
        <w:fldChar w:fldCharType="begin"/>
      </w:r>
      <w:r>
        <w:rPr>
          <w:lang w:val="en-GB"/>
        </w:rPr>
        <w:instrText xml:space="preserve"> REF _Ref169085975 \r \h </w:instrText>
      </w:r>
      <w:r w:rsidR="00D1663C">
        <w:rPr>
          <w:lang w:val="en-GB"/>
        </w:rPr>
        <w:instrText xml:space="preserve"> \* MERGEFORMAT </w:instrText>
      </w:r>
      <w:r>
        <w:rPr>
          <w:lang w:val="en-GB"/>
        </w:rPr>
      </w:r>
      <w:r>
        <w:rPr>
          <w:lang w:val="en-GB"/>
        </w:rPr>
        <w:fldChar w:fldCharType="separate"/>
      </w:r>
      <w:r>
        <w:rPr>
          <w:lang w:val="en-GB"/>
        </w:rPr>
        <w:t>2.4</w:t>
      </w:r>
      <w:r>
        <w:rPr>
          <w:lang w:val="en-GB"/>
        </w:rPr>
        <w:fldChar w:fldCharType="end"/>
      </w:r>
      <w:r>
        <w:rPr>
          <w:lang w:val="en-GB"/>
        </w:rPr>
        <w:t xml:space="preserve"> below, we make use of the occupancy data from Pathway to add depth and detail to CLUE in several areas, including apartments, hotels, retail, data centres and coolstores.  This reflects the much higher number of land use descriptors in the data provided from Pathway (at least 341) as compared to the number of space use descriptors in CLUE (37), and it has assisted, in particular, in identifying high energy intensity spaces in the city.</w:t>
      </w:r>
    </w:p>
    <w:p w14:paraId="6D593564" w14:textId="451F46B9" w:rsidR="00ED416A" w:rsidRDefault="00ED416A" w:rsidP="00ED416A">
      <w:pPr>
        <w:pStyle w:val="Heading3"/>
        <w:rPr>
          <w:rFonts w:hint="eastAsia"/>
        </w:rPr>
      </w:pPr>
      <w:bookmarkStart w:id="20" w:name="_Ref170803402"/>
      <w:r>
        <w:t>1.2.3</w:t>
      </w:r>
      <w:r>
        <w:tab/>
        <w:t>Previous Studies, Data Sources and Acknowledgements</w:t>
      </w:r>
      <w:bookmarkEnd w:id="19"/>
      <w:bookmarkEnd w:id="20"/>
    </w:p>
    <w:p w14:paraId="1262251B" w14:textId="77777777" w:rsidR="00ED416A" w:rsidRDefault="00ED416A" w:rsidP="00D1663C">
      <w:pPr>
        <w:rPr>
          <w:lang w:val="en-GB"/>
        </w:rPr>
      </w:pPr>
      <w:r>
        <w:rPr>
          <w:lang w:val="en-GB"/>
        </w:rPr>
        <w:t>We draw on data from a number of data sources and past studies.  Key data sources include:</w:t>
      </w:r>
    </w:p>
    <w:p w14:paraId="5A364650" w14:textId="77777777" w:rsidR="00ED416A" w:rsidRPr="00687245" w:rsidRDefault="00ED416A" w:rsidP="00907604">
      <w:pPr>
        <w:pStyle w:val="ListParagraph"/>
        <w:numPr>
          <w:ilvl w:val="0"/>
          <w:numId w:val="11"/>
        </w:numPr>
        <w:rPr>
          <w:lang w:val="en-GB"/>
        </w:rPr>
      </w:pPr>
      <w:r w:rsidRPr="00687245">
        <w:rPr>
          <w:lang w:val="en-GB"/>
        </w:rPr>
        <w:t>CLUE and City of Melbourne property data, as above</w:t>
      </w:r>
    </w:p>
    <w:p w14:paraId="6F344C2B" w14:textId="77777777" w:rsidR="00ED416A" w:rsidRPr="00687245" w:rsidRDefault="00ED416A" w:rsidP="00907604">
      <w:pPr>
        <w:pStyle w:val="ListParagraph"/>
        <w:numPr>
          <w:ilvl w:val="0"/>
          <w:numId w:val="11"/>
        </w:numPr>
        <w:rPr>
          <w:lang w:val="en-GB"/>
        </w:rPr>
      </w:pPr>
      <w:r w:rsidRPr="00687245">
        <w:rPr>
          <w:lang w:val="en-GB"/>
        </w:rPr>
        <w:t>Tailored (and confidentialised) data from the National Australian Built Environment Ratings Scheme (NABERS) program</w:t>
      </w:r>
    </w:p>
    <w:p w14:paraId="445AF70C" w14:textId="77777777" w:rsidR="00ED416A" w:rsidRPr="00687245" w:rsidRDefault="00ED416A" w:rsidP="00907604">
      <w:pPr>
        <w:pStyle w:val="ListParagraph"/>
        <w:numPr>
          <w:ilvl w:val="0"/>
          <w:numId w:val="11"/>
        </w:numPr>
        <w:rPr>
          <w:lang w:val="en-GB"/>
        </w:rPr>
      </w:pPr>
      <w:r w:rsidRPr="00687245">
        <w:rPr>
          <w:lang w:val="en-GB"/>
        </w:rPr>
        <w:t>Publicly-available data from the Commercial Buildings Disclosure (CBD) program</w:t>
      </w:r>
    </w:p>
    <w:p w14:paraId="70C450B6" w14:textId="77777777" w:rsidR="00ED416A" w:rsidRPr="00687245" w:rsidRDefault="00ED416A" w:rsidP="00907604">
      <w:pPr>
        <w:pStyle w:val="ListParagraph"/>
        <w:numPr>
          <w:ilvl w:val="0"/>
          <w:numId w:val="11"/>
        </w:numPr>
        <w:rPr>
          <w:lang w:val="en-GB"/>
        </w:rPr>
      </w:pPr>
      <w:r w:rsidRPr="00687245">
        <w:rPr>
          <w:lang w:val="en-GB"/>
        </w:rPr>
        <w:t>Australian Bureau of Statistics (ABS) Census and building activity data</w:t>
      </w:r>
    </w:p>
    <w:p w14:paraId="36594FA7" w14:textId="77777777" w:rsidR="00ED416A" w:rsidRPr="00687245" w:rsidRDefault="00ED416A" w:rsidP="00907604">
      <w:pPr>
        <w:pStyle w:val="ListParagraph"/>
        <w:numPr>
          <w:ilvl w:val="0"/>
          <w:numId w:val="11"/>
        </w:numPr>
        <w:rPr>
          <w:lang w:val="en-GB"/>
        </w:rPr>
      </w:pPr>
      <w:r w:rsidRPr="00687245">
        <w:rPr>
          <w:lang w:val="en-GB"/>
        </w:rPr>
        <w:t xml:space="preserve">Electricity and gas consumption data provided by gas distributors (APA, AusNet and MGM) and electricity distributors (Jemena and CitiPower)  </w:t>
      </w:r>
    </w:p>
    <w:p w14:paraId="1B518520" w14:textId="77777777" w:rsidR="00ED416A" w:rsidRPr="00687245" w:rsidRDefault="00ED416A" w:rsidP="00907604">
      <w:pPr>
        <w:pStyle w:val="ListParagraph"/>
        <w:numPr>
          <w:ilvl w:val="0"/>
          <w:numId w:val="11"/>
        </w:numPr>
        <w:rPr>
          <w:lang w:val="en-GB"/>
        </w:rPr>
      </w:pPr>
      <w:r w:rsidRPr="00687245">
        <w:rPr>
          <w:lang w:val="en-GB"/>
        </w:rPr>
        <w:t>Solar installation data from the Australian Photovoltaic Institute (APVI)</w:t>
      </w:r>
    </w:p>
    <w:p w14:paraId="216CCCBB" w14:textId="77777777" w:rsidR="00ED416A" w:rsidRPr="00687245" w:rsidRDefault="00ED416A" w:rsidP="00907604">
      <w:pPr>
        <w:pStyle w:val="ListParagraph"/>
        <w:numPr>
          <w:ilvl w:val="0"/>
          <w:numId w:val="11"/>
        </w:numPr>
        <w:rPr>
          <w:lang w:val="en-GB"/>
        </w:rPr>
      </w:pPr>
      <w:r w:rsidRPr="00687245">
        <w:rPr>
          <w:lang w:val="en-GB"/>
        </w:rPr>
        <w:t>Distributor data and energy consumption benchmarks from the Australian Energy Regulator (AER)</w:t>
      </w:r>
    </w:p>
    <w:p w14:paraId="65F6ECEF" w14:textId="77777777" w:rsidR="00ED416A" w:rsidRDefault="00ED416A" w:rsidP="00D1663C">
      <w:pPr>
        <w:rPr>
          <w:lang w:val="en-GB"/>
        </w:rPr>
      </w:pPr>
      <w:r>
        <w:rPr>
          <w:lang w:val="en-GB"/>
        </w:rPr>
        <w:t xml:space="preserve">Existing studies reviewed and/or utilised for this project include SPR’s 2022 (national) </w:t>
      </w:r>
      <w:r w:rsidRPr="002A611F">
        <w:rPr>
          <w:i/>
          <w:iCs/>
          <w:lang w:val="en-GB"/>
        </w:rPr>
        <w:t>Commercial Building Energy Consumption Baseline Study</w:t>
      </w:r>
      <w:r>
        <w:rPr>
          <w:i/>
          <w:iCs/>
          <w:lang w:val="en-GB"/>
        </w:rPr>
        <w:t>,</w:t>
      </w:r>
      <w:r>
        <w:rPr>
          <w:lang w:val="en-GB"/>
        </w:rPr>
        <w:t xml:space="preserve"> which has provided reference energy intensities for building types that are not covered by NABERS or CBD (see below).  </w:t>
      </w:r>
    </w:p>
    <w:p w14:paraId="4CEC8635" w14:textId="77777777" w:rsidR="00ED416A" w:rsidRDefault="00ED416A" w:rsidP="00D1663C">
      <w:pPr>
        <w:rPr>
          <w:lang w:val="en-GB"/>
        </w:rPr>
      </w:pPr>
      <w:r>
        <w:rPr>
          <w:lang w:val="en-GB"/>
        </w:rPr>
        <w:t xml:space="preserve">For residential buildings, we refer to a number of CSIRO sources.  First, CSIRO provided tailored data to this project on newer (NatHERS rated) residential buildings in Melbourne from its </w:t>
      </w:r>
      <w:r w:rsidRPr="002A611F">
        <w:rPr>
          <w:i/>
          <w:iCs/>
          <w:lang w:val="en-GB"/>
        </w:rPr>
        <w:t>Australian Housing Data</w:t>
      </w:r>
      <w:r>
        <w:rPr>
          <w:lang w:val="en-GB"/>
        </w:rPr>
        <w:t xml:space="preserve"> portal,  Second, we draw on past work that SPR undertook in collaboration with CSIRO for ClimateWorks’ </w:t>
      </w:r>
      <w:r w:rsidRPr="002A611F">
        <w:rPr>
          <w:i/>
          <w:iCs/>
          <w:lang w:val="en-GB"/>
        </w:rPr>
        <w:t xml:space="preserve">Renovation </w:t>
      </w:r>
      <w:r w:rsidRPr="002A611F">
        <w:rPr>
          <w:i/>
          <w:iCs/>
          <w:lang w:val="en-GB"/>
        </w:rPr>
        <w:lastRenderedPageBreak/>
        <w:t>Pathways Australia</w:t>
      </w:r>
      <w:r>
        <w:rPr>
          <w:lang w:val="en-GB"/>
        </w:rPr>
        <w:t xml:space="preserve"> project.  This provided data on typical housing archetypes, stock and energy profiles.  We also referred to CSIRO’s 2018 </w:t>
      </w:r>
      <w:r w:rsidRPr="0066697E">
        <w:rPr>
          <w:i/>
          <w:iCs/>
          <w:lang w:val="en-GB"/>
        </w:rPr>
        <w:t>City of Melbourne Apartment Emissions Baseline Project</w:t>
      </w:r>
      <w:r>
        <w:rPr>
          <w:lang w:val="en-GB"/>
        </w:rPr>
        <w:t>.</w:t>
      </w:r>
      <w:r>
        <w:rPr>
          <w:rStyle w:val="FootnoteReference"/>
          <w:lang w:val="en-GB"/>
        </w:rPr>
        <w:footnoteReference w:id="3"/>
      </w:r>
      <w:r>
        <w:rPr>
          <w:lang w:val="en-GB"/>
        </w:rPr>
        <w:t xml:space="preserve"> </w:t>
      </w:r>
    </w:p>
    <w:p w14:paraId="28E582FC" w14:textId="77777777" w:rsidR="00ED416A" w:rsidRPr="002A611F" w:rsidRDefault="00ED416A" w:rsidP="00D1663C">
      <w:pPr>
        <w:rPr>
          <w:lang w:val="en-GB"/>
        </w:rPr>
      </w:pPr>
      <w:r>
        <w:rPr>
          <w:lang w:val="en-GB"/>
        </w:rPr>
        <w:t xml:space="preserve">We refer to Energy Consult’s 2021 (national) </w:t>
      </w:r>
      <w:r w:rsidRPr="002A611F">
        <w:rPr>
          <w:i/>
          <w:iCs/>
          <w:lang w:val="en-GB"/>
        </w:rPr>
        <w:t>Residential Baseline Study</w:t>
      </w:r>
      <w:r>
        <w:rPr>
          <w:i/>
          <w:iCs/>
          <w:lang w:val="en-GB"/>
        </w:rPr>
        <w:t>,</w:t>
      </w:r>
      <w:r w:rsidRPr="002A611F">
        <w:rPr>
          <w:lang w:val="en-GB"/>
        </w:rPr>
        <w:t xml:space="preserve"> for example</w:t>
      </w:r>
      <w:r>
        <w:rPr>
          <w:lang w:val="en-GB"/>
        </w:rPr>
        <w:t xml:space="preserve"> for data on typical energy-using appliance profiles. </w:t>
      </w:r>
    </w:p>
    <w:p w14:paraId="07DECE53" w14:textId="77777777" w:rsidR="00ED416A" w:rsidRDefault="00ED416A" w:rsidP="00D1663C">
      <w:r>
        <w:t xml:space="preserve">We reviewed The City of Toronto’s </w:t>
      </w:r>
      <w:r w:rsidRPr="003579C9">
        <w:rPr>
          <w:i/>
          <w:iCs/>
        </w:rPr>
        <w:t>Net Zero Existing Buildings Strategy, Final Report</w:t>
      </w:r>
      <w:r>
        <w:t xml:space="preserve">, March 2021, and Point Advisory’s </w:t>
      </w:r>
      <w:r w:rsidRPr="003579C9">
        <w:rPr>
          <w:i/>
          <w:iCs/>
        </w:rPr>
        <w:t>Zero emissions commercial building – Final Report</w:t>
      </w:r>
      <w:r>
        <w:t xml:space="preserve">, August 2019, prepared for the City of Melbourne. </w:t>
      </w:r>
    </w:p>
    <w:p w14:paraId="099DF24A" w14:textId="77777777" w:rsidR="00ED416A" w:rsidRDefault="00ED416A" w:rsidP="00D1663C">
      <w:r>
        <w:t xml:space="preserve">A. Stephan &amp; A. Athanassiadis, </w:t>
      </w:r>
      <w:r w:rsidRPr="0053389E">
        <w:rPr>
          <w:i/>
          <w:iCs/>
        </w:rPr>
        <w:t>Quantifying and mapping embodied environmental requirements of urban building stock</w:t>
      </w:r>
      <w:r>
        <w:t xml:space="preserve">, discusses a potential ‘archetype’ model framework, but we do not use that framework for this study. </w:t>
      </w:r>
    </w:p>
    <w:p w14:paraId="0B64B3D6" w14:textId="6D048D71" w:rsidR="00ED416A" w:rsidRDefault="00ED416A" w:rsidP="00ED416A">
      <w:pPr>
        <w:pStyle w:val="Heading2"/>
        <w:rPr>
          <w:rFonts w:hint="eastAsia"/>
        </w:rPr>
      </w:pPr>
      <w:bookmarkStart w:id="21" w:name="_Toc173876025"/>
      <w:bookmarkStart w:id="22" w:name="_Toc181219278"/>
      <w:r>
        <w:t>1.3</w:t>
      </w:r>
      <w:r>
        <w:tab/>
        <w:t>About SPR</w:t>
      </w:r>
      <w:bookmarkEnd w:id="21"/>
      <w:bookmarkEnd w:id="22"/>
    </w:p>
    <w:p w14:paraId="3153E000" w14:textId="77777777" w:rsidR="00ED416A" w:rsidRDefault="00ED416A" w:rsidP="00D1663C">
      <w:r>
        <w:t xml:space="preserve">Strategy Policy Research Pty Ltd (SPR) is consulting firm dedicated to making the business case for sustainability.  It has particular expertise, experience and an extensive track-record in building baseline studies.  This began with the first national </w:t>
      </w:r>
      <w:r w:rsidRPr="00045E43">
        <w:rPr>
          <w:i/>
          <w:iCs/>
        </w:rPr>
        <w:t>Commercial Building Baseline Study</w:t>
      </w:r>
      <w:r>
        <w:t xml:space="preserve"> project for the Australian Government, that commenced in 2010 and was published in 2012.  Partners in that project included BIS Shrapnel and Exergy Pty Ltd.  A major revision and update of this work was undertaken over the 5 years leading up to the publication of the </w:t>
      </w:r>
      <w:r w:rsidRPr="00045E43">
        <w:rPr>
          <w:i/>
          <w:iCs/>
        </w:rPr>
        <w:t>2022 Commercial Buildings Energy Consumption Baseline Study</w:t>
      </w:r>
      <w:r>
        <w:t>.  This project was undertaken by SPR, with important inputs from CSIRO.</w:t>
      </w:r>
    </w:p>
    <w:p w14:paraId="79C52FDF" w14:textId="77777777" w:rsidR="00ED416A" w:rsidRDefault="00ED416A" w:rsidP="00D1663C">
      <w:r>
        <w:t>SPR has also undertaken major baseline and related studies for:</w:t>
      </w:r>
    </w:p>
    <w:p w14:paraId="1CCA6FFB" w14:textId="77777777" w:rsidR="00ED416A" w:rsidRDefault="00ED416A" w:rsidP="00907604">
      <w:pPr>
        <w:pStyle w:val="ListParagraph"/>
        <w:numPr>
          <w:ilvl w:val="0"/>
          <w:numId w:val="10"/>
        </w:numPr>
      </w:pPr>
      <w:r>
        <w:t>the Queensland Government (2018, and for QLD government buildings, 2022)</w:t>
      </w:r>
    </w:p>
    <w:p w14:paraId="1D36AE4D" w14:textId="77777777" w:rsidR="00ED416A" w:rsidRDefault="00ED416A" w:rsidP="00907604">
      <w:pPr>
        <w:pStyle w:val="ListParagraph"/>
        <w:numPr>
          <w:ilvl w:val="0"/>
          <w:numId w:val="10"/>
        </w:numPr>
      </w:pPr>
      <w:r>
        <w:t>the ACT (several studies)</w:t>
      </w:r>
    </w:p>
    <w:p w14:paraId="55C989B3" w14:textId="77777777" w:rsidR="00ED416A" w:rsidRDefault="00ED416A" w:rsidP="00907604">
      <w:pPr>
        <w:pStyle w:val="ListParagraph"/>
        <w:numPr>
          <w:ilvl w:val="0"/>
          <w:numId w:val="10"/>
        </w:numPr>
      </w:pPr>
      <w:r>
        <w:t>South Australian Government Buildings (2020)</w:t>
      </w:r>
    </w:p>
    <w:p w14:paraId="2FB48E0A" w14:textId="77777777" w:rsidR="00ED416A" w:rsidRDefault="00ED416A" w:rsidP="00907604">
      <w:pPr>
        <w:pStyle w:val="ListParagraph"/>
        <w:numPr>
          <w:ilvl w:val="0"/>
          <w:numId w:val="10"/>
        </w:numPr>
      </w:pPr>
      <w:r>
        <w:t xml:space="preserve">the City of Sydney (multiple projects including the </w:t>
      </w:r>
      <w:r w:rsidRPr="00687245">
        <w:rPr>
          <w:i/>
          <w:iCs/>
        </w:rPr>
        <w:t>Energy Efficiency Master Plan</w:t>
      </w:r>
      <w:r>
        <w:t xml:space="preserve"> and </w:t>
      </w:r>
      <w:r w:rsidRPr="00687245">
        <w:rPr>
          <w:i/>
          <w:iCs/>
        </w:rPr>
        <w:t>Net Zero High-Rise</w:t>
      </w:r>
      <w:r>
        <w:t xml:space="preserve">).  </w:t>
      </w:r>
    </w:p>
    <w:p w14:paraId="3CB9F2B2" w14:textId="77777777" w:rsidR="00ED416A" w:rsidRDefault="00ED416A" w:rsidP="00907604">
      <w:pPr>
        <w:pStyle w:val="ListParagraph"/>
        <w:numPr>
          <w:ilvl w:val="0"/>
          <w:numId w:val="10"/>
        </w:numPr>
      </w:pPr>
      <w:r>
        <w:t xml:space="preserve">ClimateWorks – SPR worked with CSIRO to build a highly detailed model of Australian housing, energy consumption and emissions for ClimateWorks’ </w:t>
      </w:r>
      <w:r w:rsidRPr="00687245">
        <w:rPr>
          <w:i/>
          <w:iCs/>
        </w:rPr>
        <w:t>Renovation Pathways Australia</w:t>
      </w:r>
      <w:r>
        <w:t xml:space="preserve"> project.</w:t>
      </w:r>
    </w:p>
    <w:p w14:paraId="44A06111" w14:textId="77777777" w:rsidR="00ED416A" w:rsidRDefault="00ED416A" w:rsidP="00D1663C">
      <w:r>
        <w:t xml:space="preserve">On the energy side, SPR has prepared energy efficiency forecasts for AEMO since 2016, including contributing to the </w:t>
      </w:r>
      <w:r w:rsidRPr="00045E43">
        <w:rPr>
          <w:i/>
          <w:iCs/>
        </w:rPr>
        <w:t>Integrated System Plan</w:t>
      </w:r>
      <w:r>
        <w:t xml:space="preserve"> series, amongst many other projects.  </w:t>
      </w:r>
    </w:p>
    <w:p w14:paraId="57B8B12D" w14:textId="77777777" w:rsidR="00ED416A" w:rsidRDefault="00ED416A" w:rsidP="00D1663C">
      <w:pPr>
        <w:rPr>
          <w:rFonts w:ascii="Helvetica" w:hAnsi="Helvetica" w:cs="Arial"/>
          <w:b/>
          <w:bCs/>
          <w:color w:val="004E5D"/>
          <w:kern w:val="32"/>
          <w:sz w:val="32"/>
          <w:szCs w:val="32"/>
        </w:rPr>
      </w:pPr>
      <w:r>
        <w:br w:type="page"/>
      </w:r>
    </w:p>
    <w:p w14:paraId="7ADCABC3" w14:textId="24D2822E" w:rsidR="00ED416A" w:rsidRDefault="00ED416A" w:rsidP="00907604">
      <w:pPr>
        <w:pStyle w:val="Heading1"/>
        <w:numPr>
          <w:ilvl w:val="0"/>
          <w:numId w:val="8"/>
        </w:numPr>
        <w:ind w:left="709" w:hanging="709"/>
        <w:rPr>
          <w:rFonts w:hint="eastAsia"/>
        </w:rPr>
      </w:pPr>
      <w:bookmarkStart w:id="23" w:name="_Toc173876026"/>
      <w:bookmarkStart w:id="24" w:name="_Toc181219279"/>
      <w:r>
        <w:lastRenderedPageBreak/>
        <w:t>Key Issues and Approaches</w:t>
      </w:r>
      <w:bookmarkEnd w:id="23"/>
      <w:bookmarkEnd w:id="24"/>
    </w:p>
    <w:p w14:paraId="7EB6575D" w14:textId="0D7F8385" w:rsidR="00ED416A" w:rsidRPr="00827F26" w:rsidRDefault="00ED416A" w:rsidP="00D1663C">
      <w:r>
        <w:t xml:space="preserve">The following section defines most of the key technical terms used throughout this document. An additional glossary of some high-level concepts not described below is included at Section </w:t>
      </w:r>
      <w:r>
        <w:fldChar w:fldCharType="begin"/>
      </w:r>
      <w:r>
        <w:instrText xml:space="preserve"> REF _Ref171021855 \r \h </w:instrText>
      </w:r>
      <w:r w:rsidR="00D1663C">
        <w:instrText xml:space="preserve"> \* MERGEFORMAT </w:instrText>
      </w:r>
      <w:r>
        <w:fldChar w:fldCharType="separate"/>
      </w:r>
      <w:r>
        <w:t>7</w:t>
      </w:r>
      <w:r>
        <w:fldChar w:fldCharType="end"/>
      </w:r>
      <w:r>
        <w:t xml:space="preserve"> for further reference.</w:t>
      </w:r>
    </w:p>
    <w:p w14:paraId="344290FC" w14:textId="42C135D0" w:rsidR="00ED416A" w:rsidRDefault="00ED416A" w:rsidP="00ED416A">
      <w:pPr>
        <w:pStyle w:val="Heading2"/>
        <w:rPr>
          <w:rFonts w:hint="eastAsia"/>
        </w:rPr>
      </w:pPr>
      <w:bookmarkStart w:id="25" w:name="_Ref168841660"/>
      <w:bookmarkStart w:id="26" w:name="_Toc173876027"/>
      <w:bookmarkStart w:id="27" w:name="_Toc181219280"/>
      <w:r>
        <w:t>2.1</w:t>
      </w:r>
      <w:r>
        <w:tab/>
        <w:t>CLUE</w:t>
      </w:r>
      <w:bookmarkEnd w:id="25"/>
      <w:bookmarkEnd w:id="26"/>
      <w:bookmarkEnd w:id="27"/>
    </w:p>
    <w:p w14:paraId="78C0D34F" w14:textId="3C463827" w:rsidR="00ED416A" w:rsidRDefault="00ED416A" w:rsidP="00D1663C">
      <w:r>
        <w:t xml:space="preserve">As noted in Section </w:t>
      </w:r>
      <w:r>
        <w:fldChar w:fldCharType="begin"/>
      </w:r>
      <w:r>
        <w:instrText xml:space="preserve"> REF _Ref168564978 \n \h </w:instrText>
      </w:r>
      <w:r w:rsidR="00D1663C">
        <w:instrText xml:space="preserve"> \* MERGEFORMAT </w:instrText>
      </w:r>
      <w:r>
        <w:fldChar w:fldCharType="separate"/>
      </w:r>
      <w:r>
        <w:t>1.2.1</w:t>
      </w:r>
      <w:r>
        <w:fldChar w:fldCharType="end"/>
      </w:r>
      <w:r>
        <w:t>, CLUE is the key data resource that forms the groundwork for this Buildings Baseline Study.  When we compare this data source to similar systems managed by other major cities around Australia, CLUE is easily the most detailed and comprehensive, as well as the most accessible.  That said, CLUE is not without issues that are relevant in the context of this study, and these issues are reviewed below, along with the strategies that we use to manage them.</w:t>
      </w:r>
    </w:p>
    <w:p w14:paraId="18776DA5" w14:textId="104FD275" w:rsidR="00ED416A" w:rsidRDefault="00ED416A" w:rsidP="00ED416A">
      <w:pPr>
        <w:pStyle w:val="Heading3"/>
        <w:rPr>
          <w:rFonts w:hint="eastAsia"/>
        </w:rPr>
      </w:pPr>
      <w:r>
        <w:t>2.1.1</w:t>
      </w:r>
      <w:r>
        <w:tab/>
        <w:t>Energy Data</w:t>
      </w:r>
    </w:p>
    <w:p w14:paraId="38B614CE" w14:textId="77777777" w:rsidR="00ED416A" w:rsidRDefault="00ED416A" w:rsidP="00D1663C">
      <w:pPr>
        <w:rPr>
          <w:lang w:val="en-GB"/>
        </w:rPr>
      </w:pPr>
      <w:r>
        <w:rPr>
          <w:lang w:val="en-GB"/>
        </w:rPr>
        <w:t xml:space="preserve">CLUE was not designed to collect data on energy use or emissions.  Generally, however, its identification of both the primary purpose type and of the floor area of major space uses for Melbourne’s buildings means that it is highly suitable for adding energy data.  There are some limitations, however, such as where space uses are identified that may or may not be associated with energy use (such as some common areas).  </w:t>
      </w:r>
    </w:p>
    <w:p w14:paraId="3C48EFB7" w14:textId="50E0C33F" w:rsidR="00ED416A" w:rsidRDefault="00ED416A" w:rsidP="00D1663C">
      <w:pPr>
        <w:rPr>
          <w:lang w:val="en-GB"/>
        </w:rPr>
      </w:pPr>
      <w:r>
        <w:rPr>
          <w:lang w:val="en-GB"/>
        </w:rPr>
        <w:t xml:space="preserve">In other cases, space uses that may be associated with relatively high- and also relatively-low energy intensity are grouped into one category – such as ‘commercial – accommodation’, for example – while other space uses that would be useful to separate, due to their high average energy intensity, are not identified in CLUE – such as supermarkets, coldstores and data centres, for example.  As discussed further in Section </w:t>
      </w:r>
      <w:r>
        <w:rPr>
          <w:lang w:val="en-GB"/>
        </w:rPr>
        <w:fldChar w:fldCharType="begin"/>
      </w:r>
      <w:r>
        <w:rPr>
          <w:lang w:val="en-GB"/>
        </w:rPr>
        <w:instrText xml:space="preserve"> REF _Ref168838167 \n \h </w:instrText>
      </w:r>
      <w:r w:rsidR="00D1663C">
        <w:rPr>
          <w:lang w:val="en-GB"/>
        </w:rPr>
        <w:instrText xml:space="preserve"> \* MERGEFORMAT </w:instrText>
      </w:r>
      <w:r>
        <w:rPr>
          <w:lang w:val="en-GB"/>
        </w:rPr>
      </w:r>
      <w:r>
        <w:rPr>
          <w:lang w:val="en-GB"/>
        </w:rPr>
        <w:fldChar w:fldCharType="separate"/>
      </w:r>
      <w:r>
        <w:rPr>
          <w:lang w:val="en-GB"/>
        </w:rPr>
        <w:t>2.2</w:t>
      </w:r>
      <w:r>
        <w:rPr>
          <w:lang w:val="en-GB"/>
        </w:rPr>
        <w:fldChar w:fldCharType="end"/>
      </w:r>
      <w:r>
        <w:rPr>
          <w:lang w:val="en-GB"/>
        </w:rPr>
        <w:t xml:space="preserve">, in some cases we have been able to make use of the City of Melbourne’s separate property data to resolve some of these high-intensity areas. </w:t>
      </w:r>
    </w:p>
    <w:p w14:paraId="552100E4" w14:textId="77777777" w:rsidR="00ED416A" w:rsidRPr="00687245" w:rsidRDefault="00ED416A" w:rsidP="00D1663C">
      <w:pPr>
        <w:rPr>
          <w:b/>
          <w:bCs/>
          <w:lang w:val="en-GB"/>
        </w:rPr>
      </w:pPr>
      <w:r w:rsidRPr="00687245">
        <w:rPr>
          <w:b/>
          <w:bCs/>
          <w:lang w:val="en-GB"/>
        </w:rPr>
        <w:t>Fuels considered in analysis</w:t>
      </w:r>
    </w:p>
    <w:p w14:paraId="6E2C1A9E" w14:textId="77777777" w:rsidR="00ED416A" w:rsidRPr="00B967CE" w:rsidRDefault="00ED416A" w:rsidP="00D1663C">
      <w:pPr>
        <w:rPr>
          <w:lang w:val="en-GB"/>
        </w:rPr>
      </w:pPr>
      <w:r>
        <w:rPr>
          <w:lang w:val="en-GB"/>
        </w:rPr>
        <w:t>This report deals with electricity and gas use in Melbourne’s buildings. There may be some buildings or space-uses that use other fuels, such as diesel, petrol, biomass or solar thermal hot water, in stationary applications. These minor fuels may be in regular daily use, such as biomass in fireplaces, or in emergencies, such as diesel generators in hospitals. Data on the use of these fuels is patchy, at best, and is unlikely to constitute a meaningful share of the City’s total stationary energy – as such, we have excluded them from our analysis.</w:t>
      </w:r>
    </w:p>
    <w:p w14:paraId="2D061FE7" w14:textId="7FBD468C" w:rsidR="00ED416A" w:rsidRDefault="00D65473" w:rsidP="00ED416A">
      <w:pPr>
        <w:pStyle w:val="Heading3"/>
        <w:rPr>
          <w:rFonts w:hint="eastAsia"/>
        </w:rPr>
      </w:pPr>
      <w:r>
        <w:t>2.1.2</w:t>
      </w:r>
      <w:r>
        <w:tab/>
      </w:r>
      <w:r w:rsidR="00ED416A">
        <w:t>Vacancies and Stock Turnover</w:t>
      </w:r>
    </w:p>
    <w:p w14:paraId="5F02A82C" w14:textId="77777777" w:rsidR="00ED416A" w:rsidRDefault="00ED416A" w:rsidP="00D1663C">
      <w:r>
        <w:t>CLUE collects data at least once every two years on every property in the city.  It therefore offers a series of 2-yearly ‘snapshots’ of the building stock, albeit that some parts of that snapshot will relate to two different years.  Importantly, though it does not aim to be a ‘stock turnover’ model that explicitly accounts for new construction and demolition.  However, at the time that the census is made, inevitably there are builds under construction, or extension, or demolition, or refurbishment/renovation (which could lead to a change in class/space use), or which are vacant, or blocks that are vacant awaiting redevelopment.  These represent the turnover of, change in, the stock.  It may be unclear, during a construction process, what the final floor area and space uses will be.  Also, the building sites will generally not be using electricity or gas, and so we exclude them from this study.</w:t>
      </w:r>
    </w:p>
    <w:p w14:paraId="03FA963A" w14:textId="77777777" w:rsidR="00ED416A" w:rsidRDefault="00ED416A" w:rsidP="00D1663C">
      <w:r>
        <w:t xml:space="preserve">Similarly, most vacant areas will not be using energy, although smaller tenancies – of less than a whole floor – may use base building power, even if vacant, depending upon the sophistication of the energy management system and building management practices.  Practically, we exclude these areas from energy balance model. </w:t>
      </w:r>
    </w:p>
    <w:p w14:paraId="3F61D44F" w14:textId="1F242CBA" w:rsidR="00ED416A" w:rsidRDefault="00D65473" w:rsidP="00ED416A">
      <w:pPr>
        <w:pStyle w:val="Heading3"/>
        <w:rPr>
          <w:rFonts w:hint="eastAsia"/>
        </w:rPr>
      </w:pPr>
      <w:bookmarkStart w:id="28" w:name="_Ref171020392"/>
      <w:r>
        <w:t>2.1.3</w:t>
      </w:r>
      <w:r>
        <w:tab/>
      </w:r>
      <w:r w:rsidR="00ED416A">
        <w:t>Shared Spaces</w:t>
      </w:r>
      <w:bookmarkEnd w:id="28"/>
    </w:p>
    <w:p w14:paraId="271ABF1B" w14:textId="77777777" w:rsidR="00ED416A" w:rsidRDefault="00ED416A" w:rsidP="003A6133">
      <w:pPr>
        <w:rPr>
          <w:lang w:val="en-GB"/>
        </w:rPr>
      </w:pPr>
      <w:r>
        <w:rPr>
          <w:lang w:val="en-GB"/>
        </w:rPr>
        <w:lastRenderedPageBreak/>
        <w:t xml:space="preserve">Shared spaces include common areas such </w:t>
      </w:r>
      <w:r w:rsidRPr="00425139">
        <w:rPr>
          <w:lang w:val="en-GB"/>
        </w:rPr>
        <w:t>as circulation areas</w:t>
      </w:r>
      <w:r>
        <w:rPr>
          <w:lang w:val="en-GB"/>
        </w:rPr>
        <w:t xml:space="preserve"> and</w:t>
      </w:r>
      <w:r w:rsidRPr="00425139">
        <w:rPr>
          <w:lang w:val="en-GB"/>
        </w:rPr>
        <w:t xml:space="preserve"> toilets,</w:t>
      </w:r>
      <w:r>
        <w:rPr>
          <w:lang w:val="en-GB"/>
        </w:rPr>
        <w:t xml:space="preserve"> equipment installation, such as</w:t>
      </w:r>
      <w:r w:rsidRPr="00425139">
        <w:rPr>
          <w:lang w:val="en-GB"/>
        </w:rPr>
        <w:t xml:space="preserve"> lift shafts</w:t>
      </w:r>
      <w:r>
        <w:rPr>
          <w:lang w:val="en-GB"/>
        </w:rPr>
        <w:t xml:space="preserve"> and server rooms, and private covered parking.  In CLUE the bulk of these areas are separately identified, but the building type within which the shared spaces exist varies.</w:t>
      </w:r>
      <w:r>
        <w:rPr>
          <w:rStyle w:val="FootnoteReference"/>
          <w:lang w:val="en-GB"/>
        </w:rPr>
        <w:footnoteReference w:id="4"/>
      </w:r>
      <w:r>
        <w:rPr>
          <w:lang w:val="en-GB"/>
        </w:rPr>
        <w:t xml:space="preserve"> Depending on the context, some of these areas will be unpowered – such as rooftops – but foyers and circulation areas may or may not be space-conditioned.  To estimate the likely energy consumption of these areas we apportion them proportionally to the composite space-uses within each building.  NABERS data for apartment buildings, which is not extensive, and only covers the energy consumption of common areas and some shared services, was used as a check point for energy intensities calculated using secondary sources.  For office buildings, common areas (both floor area and any energy consumption) are generally in either whole or base building ratings.  Generally, then, the NABERS observations of energy intensity can be applied to these common areas.  A limitation is that we do not know how much of the common area is unpowered, and this could be a subject for future research. In our model shared spaces have been apportioned the same energy intensities as the spaces with which they area associated, which have been drawn from a number of sources. This approach may not accurately reflect the energy intensity of these shared spaces. Further work would need to be done to develop an approach to accurately apportion these areas to other space-uses.</w:t>
      </w:r>
    </w:p>
    <w:p w14:paraId="48223192" w14:textId="77777777" w:rsidR="00ED416A" w:rsidRDefault="00ED416A" w:rsidP="003A6133">
      <w:pPr>
        <w:rPr>
          <w:lang w:val="en-GB"/>
        </w:rPr>
      </w:pPr>
      <w:r>
        <w:rPr>
          <w:lang w:val="en-GB"/>
        </w:rPr>
        <w:t>A small area of shared space was not able to be associated with a primary space use, largely in cases where the building was solely associated with a “shared space”, primarily small equipment installation sites. These spaces have been included in the “other” space use category in our analysis.</w:t>
      </w:r>
    </w:p>
    <w:p w14:paraId="62D481CF" w14:textId="52869DA9" w:rsidR="00ED416A" w:rsidRDefault="00D65473" w:rsidP="00ED416A">
      <w:pPr>
        <w:pStyle w:val="Heading3"/>
        <w:rPr>
          <w:rFonts w:hint="eastAsia"/>
        </w:rPr>
      </w:pPr>
      <w:bookmarkStart w:id="29" w:name="_Ref168836014"/>
      <w:r>
        <w:t>2.1.4</w:t>
      </w:r>
      <w:r>
        <w:tab/>
      </w:r>
      <w:r w:rsidR="00ED416A">
        <w:t>Space Use</w:t>
      </w:r>
      <w:bookmarkEnd w:id="29"/>
    </w:p>
    <w:p w14:paraId="0D84BEE4" w14:textId="77777777" w:rsidR="00ED416A" w:rsidRDefault="00ED416A" w:rsidP="00D1663C">
      <w:r>
        <w:t>CLUE has two primary ways of classifying the use of floor area – first, each floor is assigned a ‘space type code’ (such as office, retail or others), which represents the predominant space use on that floor; and second, where an ‘establishment’ (occupant or tenant) occupies more than one floor, each floor may have a unique space use assigned to it.  However, within CLUE, individual tenancies on a single floor cannot be assigned different space uses.  This is limitation in the current context, as the energy intensity of the spaces may be quite different.  Examples could include buildings/floors with a primary purpose (or predominant space use) of residential, but where there are areas used as retail (cafes, restaurants, food halls), supermarkets or cold stores.  Another common example is where offices host a data centre or significant server room.</w:t>
      </w:r>
    </w:p>
    <w:p w14:paraId="389BD864" w14:textId="77777777" w:rsidR="00ED416A" w:rsidRPr="00AD466A" w:rsidRDefault="00ED416A" w:rsidP="00D1663C">
      <w:r>
        <w:t xml:space="preserve">A similar limitation arises for the space use ‘commercial accommodation’, as this category includes low-energy intensity spaces, such as backpackers, and high-intensity spaces such as major tourist hotels.  NABERS data for hotels – which does not cover establishments such as backpackers, hostels or boarding houses – nevertheless indicates that energy intensity and quality rating (A, AA, AAA) are closely related), and this confirms the utility of breaking up this space use into at least two sub-groups, corresponding to high- and low- energy intensity.  </w:t>
      </w:r>
    </w:p>
    <w:p w14:paraId="4DC94A92" w14:textId="77777777" w:rsidR="00ED416A" w:rsidRDefault="00ED416A" w:rsidP="00D1663C">
      <w:r>
        <w:t>As discussed in next section, we make use of separate property data held by the City of Melbourne to identify several high-energy-intensity space uses, including where this are not the predominant space use in a building or on a floor.  This means that these areas, and therefore the space use as a whole, can be modelled more accurately.</w:t>
      </w:r>
    </w:p>
    <w:p w14:paraId="3E3E9F80" w14:textId="1C3C9515" w:rsidR="00ED416A" w:rsidRDefault="00D65473" w:rsidP="00ED416A">
      <w:pPr>
        <w:pStyle w:val="Heading2"/>
        <w:rPr>
          <w:rFonts w:hint="eastAsia"/>
        </w:rPr>
      </w:pPr>
      <w:bookmarkStart w:id="30" w:name="_Ref168838167"/>
      <w:bookmarkStart w:id="31" w:name="_Toc173876028"/>
      <w:bookmarkStart w:id="32" w:name="_Toc181219281"/>
      <w:r>
        <w:t>2.2</w:t>
      </w:r>
      <w:r>
        <w:tab/>
      </w:r>
      <w:r w:rsidR="00ED416A">
        <w:t>Property Data</w:t>
      </w:r>
      <w:bookmarkEnd w:id="30"/>
      <w:bookmarkEnd w:id="31"/>
      <w:bookmarkEnd w:id="32"/>
    </w:p>
    <w:p w14:paraId="0379D0E3" w14:textId="77777777" w:rsidR="00ED416A" w:rsidRDefault="00ED416A" w:rsidP="00D1663C">
      <w:r>
        <w:t xml:space="preserve">The City of Melbourne’s property data makes use of a much wider taxonomy of land use/space use descriptors than does CLUE, drawing on the Australian Valuation Property Classification Code (AVPCC).  The data provided for this project included 341 ‘land use’ descriptors – albeit, when applied to floor area within a building, these are better understood as space use descriptors.  The City of Melbourne was able to provide data for both the count of individual ‘occupancies’ within each building and for the sum of floor area on </w:t>
      </w:r>
      <w:r>
        <w:lastRenderedPageBreak/>
        <w:t>essentially the same taxonomy.  However, since these data sets used a common building identifier, we were able to match the floor area and the count of occupancies, at least where required.</w:t>
      </w:r>
    </w:p>
    <w:p w14:paraId="734F50B4" w14:textId="77777777" w:rsidR="00ED416A" w:rsidRDefault="00ED416A" w:rsidP="00D1663C">
      <w:r>
        <w:t>For example, the occupancy data includes many more residential categories, including counts and floor area for each of apartment studios, apartments/flats with 1 – 7 bedrooms, and penthouses.  This data presented in Chapter 3.  A limitation with both CLUE and the Property data is that houses and townhouses (which are both ‘Class 1’ dwellings) are considered as one category.  We make use of ABS data (which links Census and building activity statistics) to establish the count of sub-type, and we estimate the split of floor area drawing on CSIRO data relating to the most common housing archetypes.  While houses and townhouses are assumed, in ratings tools such as NatHERS, to experience the same thermal loads in a given climate zone, there are often significant differences in the design of houses and townhouses, and this impacts on their energy performance.  A townhouse with one or, moreso, two common walls will typically require less space conditioning that a house with no common walls, as the townhouse common walls effectively share heat between neighbouring townhouses.  On the other hand, townhouses are generally smaller than houses and very often have less roof area, which is increasingly important for solar generation purposes.</w:t>
      </w:r>
    </w:p>
    <w:p w14:paraId="44D80B17" w14:textId="3BB04C8A" w:rsidR="00ED416A" w:rsidRDefault="00ED416A" w:rsidP="00D1663C">
      <w:r>
        <w:t xml:space="preserve">Second, as noted in Section </w:t>
      </w:r>
      <w:r>
        <w:fldChar w:fldCharType="begin"/>
      </w:r>
      <w:r>
        <w:instrText xml:space="preserve"> REF _Ref168841660 \n \h </w:instrText>
      </w:r>
      <w:r w:rsidR="00D1663C">
        <w:instrText xml:space="preserve"> \* MERGEFORMAT </w:instrText>
      </w:r>
      <w:r>
        <w:fldChar w:fldCharType="separate"/>
      </w:r>
      <w:r>
        <w:t>2.1</w:t>
      </w:r>
      <w:r>
        <w:fldChar w:fldCharType="end"/>
      </w:r>
      <w:r>
        <w:t>, we also make use of the occupancy data to identify the floor area of space uses that are likely to be associated with high energy intensity, including supermarkets, cafes, restaurants and others.  The advantage of the occupancy data for this study is that it identifies the floor area of these space use types even when they are not the dominant space use on a floor or for an establishment.  As a result, it offers finer resolution that CLUE which, as noted, assigns only one dominant space use per floor.</w:t>
      </w:r>
    </w:p>
    <w:p w14:paraId="2F2E5B61" w14:textId="77777777" w:rsidR="00ED416A" w:rsidRDefault="00ED416A" w:rsidP="00D1663C">
      <w:r>
        <w:t xml:space="preserve">We note that are differences between the floor area totals shown for at least residential buildings in CLUE and in the Property data, but these are relatively small.  The residential floor areas shown in the Property data are only areas within apartments, while CLUE appears to take into account some other areas – although, in principle, these other areas should not include common area or carparks, as these are separately identified in CLUE. </w:t>
      </w:r>
    </w:p>
    <w:p w14:paraId="207472E7" w14:textId="77777777" w:rsidR="00ED416A" w:rsidRPr="00935F87" w:rsidRDefault="00ED416A" w:rsidP="00D1663C">
      <w:r>
        <w:t>It is important to stress that, despite the issues noted, the combination of CLUE and Property data represents a remarkably detailed and comprehensive description of the City’s built environment.</w:t>
      </w:r>
    </w:p>
    <w:p w14:paraId="2E68D984" w14:textId="44C0F294" w:rsidR="00ED416A" w:rsidRDefault="00D65473" w:rsidP="00ED416A">
      <w:pPr>
        <w:pStyle w:val="Heading2"/>
        <w:rPr>
          <w:rFonts w:hint="eastAsia"/>
        </w:rPr>
      </w:pPr>
      <w:bookmarkStart w:id="33" w:name="_Toc173876029"/>
      <w:bookmarkStart w:id="34" w:name="_Toc181219282"/>
      <w:r>
        <w:t>2.3</w:t>
      </w:r>
      <w:r>
        <w:tab/>
      </w:r>
      <w:r w:rsidR="00ED416A">
        <w:t>Energy Data</w:t>
      </w:r>
      <w:bookmarkEnd w:id="33"/>
      <w:bookmarkEnd w:id="34"/>
    </w:p>
    <w:p w14:paraId="076D6F61" w14:textId="4FB02959" w:rsidR="00ED416A" w:rsidRPr="0079490F" w:rsidRDefault="00D65473" w:rsidP="00ED416A">
      <w:pPr>
        <w:pStyle w:val="Heading3"/>
        <w:rPr>
          <w:rFonts w:hint="eastAsia"/>
        </w:rPr>
      </w:pPr>
      <w:r>
        <w:t>2.3.1</w:t>
      </w:r>
      <w:r>
        <w:tab/>
      </w:r>
      <w:r w:rsidR="00ED416A">
        <w:t>Top-Down Data Sources</w:t>
      </w:r>
    </w:p>
    <w:p w14:paraId="0C56883A" w14:textId="7EC274AD" w:rsidR="00ED416A" w:rsidRDefault="00ED416A" w:rsidP="00D1663C">
      <w:r>
        <w:t xml:space="preserve">Data on the metered consumption of electricity and gas has been provided to the City of Melbourne and to this study, by energy distributors on a voluntary basis, as acknowledged in Section </w:t>
      </w:r>
      <w:r>
        <w:fldChar w:fldCharType="begin"/>
      </w:r>
      <w:r>
        <w:instrText xml:space="preserve"> REF _Ref169082779 \n \h </w:instrText>
      </w:r>
      <w:r w:rsidR="00D1663C">
        <w:instrText xml:space="preserve"> \* MERGEFORMAT </w:instrText>
      </w:r>
      <w:r>
        <w:fldChar w:fldCharType="separate"/>
      </w:r>
      <w:r>
        <w:t>0</w:t>
      </w:r>
      <w:r>
        <w:fldChar w:fldCharType="end"/>
      </w:r>
      <w:r>
        <w:t xml:space="preserve"> above.  The structure of these data inputs varies by provider, but generally they provide either annual (or, in some cases, monthly) consumption by customer type and by postcode.  Some of the gas data includes customer (or connection) numbers, and some of the electricity data includes information on solar purchases from customers (equivalent to exports from behind-the-meter solar systems).</w:t>
      </w:r>
    </w:p>
    <w:p w14:paraId="6EB4BE15" w14:textId="77777777" w:rsidR="00ED416A" w:rsidRDefault="00ED416A" w:rsidP="00D1663C">
      <w:r>
        <w:t>The distributors’ ability to provide data to public interest studies such as this, and the resolution of that data, is limited by a number of factors:</w:t>
      </w:r>
    </w:p>
    <w:p w14:paraId="26ED217E" w14:textId="77777777" w:rsidR="00ED416A" w:rsidRDefault="00ED416A" w:rsidP="00907604">
      <w:pPr>
        <w:pStyle w:val="ListParagraph"/>
        <w:numPr>
          <w:ilvl w:val="0"/>
          <w:numId w:val="9"/>
        </w:numPr>
      </w:pPr>
      <w:r>
        <w:t>privacy and confidentiality – individuals’ consumption of energy is regarded as private and/or confidential, and aggregation to the post code level (as a general rule) is sufficient to protect this privacy</w:t>
      </w:r>
      <w:r>
        <w:rPr>
          <w:rStyle w:val="FootnoteReference"/>
        </w:rPr>
        <w:footnoteReference w:id="5"/>
      </w:r>
    </w:p>
    <w:p w14:paraId="722AADF8" w14:textId="77777777" w:rsidR="00ED416A" w:rsidRDefault="00ED416A" w:rsidP="00907604">
      <w:pPr>
        <w:pStyle w:val="ListParagraph"/>
        <w:numPr>
          <w:ilvl w:val="0"/>
          <w:numId w:val="9"/>
        </w:numPr>
      </w:pPr>
      <w:r>
        <w:lastRenderedPageBreak/>
        <w:t>customer types – there are significant issues, discussed below, regarding the accuracy of the characterisation of customer types, both for electricity and gas, albeit that there are different issues that arise for each fuel</w:t>
      </w:r>
    </w:p>
    <w:p w14:paraId="6A610312" w14:textId="77777777" w:rsidR="00ED416A" w:rsidRDefault="00ED416A" w:rsidP="00907604">
      <w:pPr>
        <w:pStyle w:val="ListParagraph"/>
        <w:numPr>
          <w:ilvl w:val="0"/>
          <w:numId w:val="9"/>
        </w:numPr>
      </w:pPr>
      <w:r>
        <w:t>metered consumption – in the case of electricity, data on metered consumption increasingly underestimates actual, or underlying, consumption, due the increasing prevalence of solar systems behind the meter.  Customers’ self-consumption of self-generated energy is not metered, while net exports from customers’ premises to networks is metered (as it generally attracts feed-in tariffs)</w:t>
      </w:r>
    </w:p>
    <w:p w14:paraId="26BFACAC" w14:textId="77777777" w:rsidR="00ED416A" w:rsidRDefault="00ED416A" w:rsidP="00687245">
      <w:r>
        <w:t>A scope (rather than energy data) limitation is that, by focusing on one year (FY2022), as a snapshot of the City of Melbourne, change over time in city’s energy use is not illuminated.  A specific issue in this context is the extent to which energy consumption and emissions in FY2022 may be impacted by the legacy of COVID–19 impacts, such as lower utilisation of office space in the city, and increased work-from-home.  Since we have captured at least some energy data for multiple years, we do offer in Chapter 4 some observations around these trends, but we note that a fuller exploration of them is not within the scope of this study.</w:t>
      </w:r>
    </w:p>
    <w:p w14:paraId="225001E0" w14:textId="77777777" w:rsidR="00ED416A" w:rsidRDefault="00ED416A" w:rsidP="00687245">
      <w:r>
        <w:t>Regarding the three factors noted above as limitations arising from the structure of energy data inputs, the privacy and confidentiality issue has the practical implication that the data provided by energy distributors is not linked to the individual buildings that are the subject of this study.  Therefore, and as described further below, we are required to use two primary approaches to overcome this limitation:</w:t>
      </w:r>
    </w:p>
    <w:p w14:paraId="7264BB79" w14:textId="771F102C" w:rsidR="00ED416A" w:rsidRDefault="00ED416A" w:rsidP="003A6133">
      <w:pPr>
        <w:pStyle w:val="ListParagraph"/>
        <w:numPr>
          <w:ilvl w:val="0"/>
          <w:numId w:val="24"/>
        </w:numPr>
      </w:pPr>
      <w:r>
        <w:t xml:space="preserve">we make use of other data sources that do provide (in some cases, on a confidential basis) observations of fuel use in specific buildings – primarily data the NABERS and CBD programs, supplemented by data from the national Commercial Buildings Energy Consumption Baseline study and other sources (see Section </w:t>
      </w:r>
      <w:r>
        <w:fldChar w:fldCharType="begin"/>
      </w:r>
      <w:r>
        <w:instrText xml:space="preserve"> REF _Ref169086129 \n \h </w:instrText>
      </w:r>
      <w:r w:rsidR="003A6133">
        <w:instrText xml:space="preserve"> \* MERGEFORMAT </w:instrText>
      </w:r>
      <w:r>
        <w:fldChar w:fldCharType="separate"/>
      </w:r>
      <w:r>
        <w:t>2.3.2</w:t>
      </w:r>
      <w:r>
        <w:fldChar w:fldCharType="end"/>
      </w:r>
      <w:r>
        <w:t>)</w:t>
      </w:r>
    </w:p>
    <w:p w14:paraId="1D790DA4" w14:textId="7DBC6543" w:rsidR="00ED416A" w:rsidRDefault="00ED416A" w:rsidP="003A6133">
      <w:pPr>
        <w:pStyle w:val="ListParagraph"/>
        <w:numPr>
          <w:ilvl w:val="0"/>
          <w:numId w:val="24"/>
        </w:numPr>
      </w:pPr>
      <w:r>
        <w:t xml:space="preserve">to undertake top-down/bottom-up data reconciliation, making use of a model of the building stock, and average fuel intensities of different space uses with the city, to reconcile all of the available data, include aggregate fuel consumption by postcode and customer type, as provided by the energy distributors.  </w:t>
      </w:r>
    </w:p>
    <w:p w14:paraId="480D09A5" w14:textId="3B1474D3" w:rsidR="00ED416A" w:rsidRDefault="00ED416A" w:rsidP="00D1663C">
      <w:r>
        <w:t xml:space="preserve">Further methodological details are provided in Section </w:t>
      </w:r>
      <w:r>
        <w:fldChar w:fldCharType="begin"/>
      </w:r>
      <w:r>
        <w:instrText xml:space="preserve"> REF _Ref169085975 \n \h </w:instrText>
      </w:r>
      <w:r w:rsidR="00D1663C">
        <w:instrText xml:space="preserve"> \* MERGEFORMAT </w:instrText>
      </w:r>
      <w:r>
        <w:fldChar w:fldCharType="separate"/>
      </w:r>
      <w:r>
        <w:t>2.4</w:t>
      </w:r>
      <w:r>
        <w:fldChar w:fldCharType="end"/>
      </w:r>
      <w:r>
        <w:t>.</w:t>
      </w:r>
    </w:p>
    <w:p w14:paraId="3737DA34" w14:textId="4983D575" w:rsidR="00ED416A" w:rsidRDefault="00D65473" w:rsidP="00ED416A">
      <w:pPr>
        <w:pStyle w:val="Heading3"/>
        <w:rPr>
          <w:rFonts w:hint="eastAsia"/>
        </w:rPr>
      </w:pPr>
      <w:bookmarkStart w:id="35" w:name="_Ref169086129"/>
      <w:r>
        <w:t>2.3.2</w:t>
      </w:r>
      <w:r>
        <w:tab/>
      </w:r>
      <w:r w:rsidR="00ED416A">
        <w:t>Bottom-Up Data Sources</w:t>
      </w:r>
      <w:bookmarkEnd w:id="35"/>
    </w:p>
    <w:p w14:paraId="74BADFDE" w14:textId="14AA6C6F" w:rsidR="00ED416A" w:rsidRDefault="00ED416A" w:rsidP="00D1663C">
      <w:r>
        <w:t xml:space="preserve">As also acknowledged in Section </w:t>
      </w:r>
      <w:r>
        <w:fldChar w:fldCharType="begin"/>
      </w:r>
      <w:r>
        <w:instrText xml:space="preserve"> REF _Ref170803402 \r \h </w:instrText>
      </w:r>
      <w:r w:rsidR="00D1663C">
        <w:instrText xml:space="preserve"> \* MERGEFORMAT </w:instrText>
      </w:r>
      <w:r>
        <w:fldChar w:fldCharType="separate"/>
      </w:r>
      <w:r>
        <w:t>1.2.3</w:t>
      </w:r>
      <w:r>
        <w:fldChar w:fldCharType="end"/>
      </w:r>
      <w:r>
        <w:t xml:space="preserve">, we are very grateful for significant data inputs to this study from both the NABERS and CBD programs.  </w:t>
      </w:r>
    </w:p>
    <w:p w14:paraId="402B45D4" w14:textId="77777777" w:rsidR="00ED416A" w:rsidRDefault="00ED416A" w:rsidP="00ED416A">
      <w:pPr>
        <w:pStyle w:val="Heading4"/>
        <w:rPr>
          <w:rFonts w:hint="eastAsia"/>
        </w:rPr>
      </w:pPr>
      <w:r>
        <w:t>NABERS/CBD</w:t>
      </w:r>
    </w:p>
    <w:p w14:paraId="5722AB5C" w14:textId="77777777" w:rsidR="00ED416A" w:rsidRDefault="00ED416A" w:rsidP="00D1663C">
      <w:r>
        <w:t>NABERS provided data, on a confidential basis, derived from its historical records of ratings by building type in Victoria.  CBD is not confidential, but publicly-disclosed in line with that program’s intention of mandatory disclosure.</w:t>
      </w:r>
    </w:p>
    <w:p w14:paraId="114ACF15" w14:textId="3B59CB40" w:rsidR="00D1663C" w:rsidRPr="00D1663C" w:rsidRDefault="00D1663C" w:rsidP="00D1663C">
      <w:pPr>
        <w:pStyle w:val="Caption"/>
        <w:rPr>
          <w:rFonts w:hint="eastAsia"/>
        </w:rPr>
      </w:pPr>
      <w:bookmarkStart w:id="36" w:name="_Ref169087744"/>
      <w:bookmarkStart w:id="37" w:name="_Toc171951162"/>
      <w:r w:rsidRPr="00D1663C">
        <w:t xml:space="preserve">Table </w:t>
      </w:r>
      <w:r w:rsidRPr="00D1663C">
        <w:fldChar w:fldCharType="begin"/>
      </w:r>
      <w:r w:rsidRPr="00D1663C">
        <w:instrText xml:space="preserve"> SEQ Table \* ARABIC </w:instrText>
      </w:r>
      <w:r w:rsidRPr="00D1663C">
        <w:fldChar w:fldCharType="separate"/>
      </w:r>
      <w:r w:rsidRPr="00D1663C">
        <w:t>1</w:t>
      </w:r>
      <w:r w:rsidRPr="00D1663C">
        <w:fldChar w:fldCharType="end"/>
      </w:r>
      <w:bookmarkEnd w:id="36"/>
      <w:r w:rsidRPr="00D1663C">
        <w:t>:  NABERS Data Record Count by Building Type (Melbourne/VIC)</w:t>
      </w:r>
      <w:bookmarkEnd w:id="37"/>
    </w:p>
    <w:tbl>
      <w:tblPr>
        <w:tblStyle w:val="GridTable2-Accent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3"/>
        <w:gridCol w:w="3232"/>
        <w:gridCol w:w="2953"/>
      </w:tblGrid>
      <w:tr w:rsidR="00617DC4" w:rsidRPr="007D395E" w14:paraId="6A234256" w14:textId="77777777" w:rsidTr="00D1663C">
        <w:trPr>
          <w:cnfStyle w:val="100000000000" w:firstRow="1" w:lastRow="0" w:firstColumn="0" w:lastColumn="0" w:oddVBand="0" w:evenVBand="0" w:oddHBand="0" w:evenHBand="0" w:firstRowFirstColumn="0" w:firstRowLastColumn="0" w:lastRowFirstColumn="0" w:lastRowLastColumn="0"/>
          <w:trHeight w:val="640"/>
        </w:trPr>
        <w:tc>
          <w:tcPr>
            <w:cnfStyle w:val="001000000000" w:firstRow="0" w:lastRow="0" w:firstColumn="1" w:lastColumn="0" w:oddVBand="0" w:evenVBand="0" w:oddHBand="0" w:evenHBand="0" w:firstRowFirstColumn="0" w:firstRowLastColumn="0" w:lastRowFirstColumn="0" w:lastRowLastColumn="0"/>
            <w:tcW w:w="3443" w:type="dxa"/>
            <w:tcBorders>
              <w:top w:val="none" w:sz="0" w:space="0" w:color="auto"/>
              <w:bottom w:val="none" w:sz="0" w:space="0" w:color="auto"/>
              <w:right w:val="none" w:sz="0" w:space="0" w:color="auto"/>
            </w:tcBorders>
            <w:shd w:val="clear" w:color="auto" w:fill="auto"/>
          </w:tcPr>
          <w:p w14:paraId="1DB0D7FA" w14:textId="77777777" w:rsidR="00617DC4" w:rsidRPr="007D395E" w:rsidRDefault="00617DC4" w:rsidP="00D1663C">
            <w:pPr>
              <w:pStyle w:val="BodyText"/>
              <w:spacing w:before="144" w:after="0"/>
              <w:rPr>
                <w:sz w:val="22"/>
                <w:szCs w:val="18"/>
              </w:rPr>
            </w:pPr>
            <w:r w:rsidRPr="007D395E">
              <w:rPr>
                <w:sz w:val="22"/>
                <w:szCs w:val="18"/>
              </w:rPr>
              <w:t>Building Type</w:t>
            </w:r>
          </w:p>
        </w:tc>
        <w:tc>
          <w:tcPr>
            <w:tcW w:w="3232" w:type="dxa"/>
            <w:tcBorders>
              <w:top w:val="none" w:sz="0" w:space="0" w:color="auto"/>
              <w:left w:val="none" w:sz="0" w:space="0" w:color="auto"/>
              <w:bottom w:val="none" w:sz="0" w:space="0" w:color="auto"/>
              <w:right w:val="none" w:sz="0" w:space="0" w:color="auto"/>
            </w:tcBorders>
            <w:shd w:val="clear" w:color="auto" w:fill="auto"/>
          </w:tcPr>
          <w:p w14:paraId="245A5D6D" w14:textId="77777777" w:rsidR="00617DC4" w:rsidRPr="007D395E" w:rsidRDefault="00617DC4" w:rsidP="00D1663C">
            <w:pPr>
              <w:pStyle w:val="BodyText"/>
              <w:spacing w:before="144" w:after="0"/>
              <w:cnfStyle w:val="100000000000" w:firstRow="1" w:lastRow="0" w:firstColumn="0" w:lastColumn="0" w:oddVBand="0" w:evenVBand="0" w:oddHBand="0" w:evenHBand="0" w:firstRowFirstColumn="0" w:firstRowLastColumn="0" w:lastRowFirstColumn="0" w:lastRowLastColumn="0"/>
              <w:rPr>
                <w:sz w:val="22"/>
                <w:szCs w:val="18"/>
              </w:rPr>
            </w:pPr>
            <w:r w:rsidRPr="007D395E">
              <w:rPr>
                <w:sz w:val="22"/>
                <w:szCs w:val="18"/>
              </w:rPr>
              <w:t>Record Count</w:t>
            </w:r>
          </w:p>
        </w:tc>
        <w:tc>
          <w:tcPr>
            <w:tcW w:w="2953" w:type="dxa"/>
            <w:tcBorders>
              <w:top w:val="none" w:sz="0" w:space="0" w:color="auto"/>
              <w:left w:val="none" w:sz="0" w:space="0" w:color="auto"/>
              <w:bottom w:val="none" w:sz="0" w:space="0" w:color="auto"/>
            </w:tcBorders>
            <w:shd w:val="clear" w:color="auto" w:fill="auto"/>
          </w:tcPr>
          <w:p w14:paraId="39BEDCA4" w14:textId="77777777" w:rsidR="00617DC4" w:rsidRPr="007D395E" w:rsidRDefault="00617DC4" w:rsidP="00D1663C">
            <w:pPr>
              <w:pStyle w:val="BodyText"/>
              <w:spacing w:before="144" w:after="0"/>
              <w:cnfStyle w:val="100000000000" w:firstRow="1" w:lastRow="0" w:firstColumn="0" w:lastColumn="0" w:oddVBand="0" w:evenVBand="0" w:oddHBand="0" w:evenHBand="0" w:firstRowFirstColumn="0" w:firstRowLastColumn="0" w:lastRowFirstColumn="0" w:lastRowLastColumn="0"/>
              <w:rPr>
                <w:sz w:val="22"/>
                <w:szCs w:val="18"/>
              </w:rPr>
            </w:pPr>
            <w:r w:rsidRPr="007D395E">
              <w:rPr>
                <w:sz w:val="22"/>
                <w:szCs w:val="18"/>
              </w:rPr>
              <w:t>Shares of Records by Building Type</w:t>
            </w:r>
          </w:p>
        </w:tc>
      </w:tr>
      <w:tr w:rsidR="00617DC4" w:rsidRPr="007D395E" w14:paraId="71873E66" w14:textId="77777777" w:rsidTr="00D1663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43" w:type="dxa"/>
            <w:shd w:val="clear" w:color="auto" w:fill="auto"/>
          </w:tcPr>
          <w:p w14:paraId="65B4D760" w14:textId="77777777" w:rsidR="00617DC4" w:rsidRPr="007D395E" w:rsidRDefault="00617DC4" w:rsidP="00D1663C">
            <w:pPr>
              <w:pStyle w:val="BodyText"/>
              <w:spacing w:after="0"/>
              <w:rPr>
                <w:b w:val="0"/>
                <w:bCs w:val="0"/>
                <w:sz w:val="22"/>
                <w:szCs w:val="18"/>
              </w:rPr>
            </w:pPr>
            <w:r w:rsidRPr="007D395E">
              <w:rPr>
                <w:b w:val="0"/>
                <w:bCs w:val="0"/>
                <w:sz w:val="22"/>
                <w:szCs w:val="18"/>
              </w:rPr>
              <w:t>Offices</w:t>
            </w:r>
          </w:p>
        </w:tc>
        <w:tc>
          <w:tcPr>
            <w:tcW w:w="3232" w:type="dxa"/>
            <w:shd w:val="clear" w:color="auto" w:fill="auto"/>
          </w:tcPr>
          <w:p w14:paraId="65B75A8F" w14:textId="77777777" w:rsidR="00617DC4" w:rsidRPr="007D395E" w:rsidRDefault="00617DC4" w:rsidP="003A6133">
            <w:pPr>
              <w:pStyle w:val="BodyText"/>
              <w:spacing w:after="0"/>
              <w:jc w:val="right"/>
              <w:cnfStyle w:val="000000100000" w:firstRow="0" w:lastRow="0" w:firstColumn="0" w:lastColumn="0" w:oddVBand="0" w:evenVBand="0" w:oddHBand="1" w:evenHBand="0" w:firstRowFirstColumn="0" w:firstRowLastColumn="0" w:lastRowFirstColumn="0" w:lastRowLastColumn="0"/>
              <w:rPr>
                <w:sz w:val="22"/>
                <w:szCs w:val="18"/>
              </w:rPr>
            </w:pPr>
            <w:r w:rsidRPr="007D395E">
              <w:rPr>
                <w:sz w:val="22"/>
                <w:szCs w:val="18"/>
              </w:rPr>
              <w:t>4,907</w:t>
            </w:r>
          </w:p>
        </w:tc>
        <w:tc>
          <w:tcPr>
            <w:tcW w:w="2953" w:type="dxa"/>
            <w:shd w:val="clear" w:color="auto" w:fill="auto"/>
          </w:tcPr>
          <w:p w14:paraId="461A143D" w14:textId="77777777" w:rsidR="00617DC4" w:rsidRPr="007D395E" w:rsidRDefault="00617DC4" w:rsidP="003A6133">
            <w:pPr>
              <w:pStyle w:val="BodyText"/>
              <w:spacing w:after="0"/>
              <w:jc w:val="right"/>
              <w:cnfStyle w:val="000000100000" w:firstRow="0" w:lastRow="0" w:firstColumn="0" w:lastColumn="0" w:oddVBand="0" w:evenVBand="0" w:oddHBand="1" w:evenHBand="0" w:firstRowFirstColumn="0" w:firstRowLastColumn="0" w:lastRowFirstColumn="0" w:lastRowLastColumn="0"/>
              <w:rPr>
                <w:sz w:val="22"/>
                <w:szCs w:val="18"/>
              </w:rPr>
            </w:pPr>
            <w:r w:rsidRPr="007D395E">
              <w:rPr>
                <w:sz w:val="22"/>
                <w:szCs w:val="18"/>
              </w:rPr>
              <w:t>87.9%</w:t>
            </w:r>
          </w:p>
        </w:tc>
      </w:tr>
      <w:tr w:rsidR="00617DC4" w:rsidRPr="007D395E" w14:paraId="19B682A4" w14:textId="77777777" w:rsidTr="00D1663C">
        <w:trPr>
          <w:trHeight w:val="20"/>
        </w:trPr>
        <w:tc>
          <w:tcPr>
            <w:cnfStyle w:val="001000000000" w:firstRow="0" w:lastRow="0" w:firstColumn="1" w:lastColumn="0" w:oddVBand="0" w:evenVBand="0" w:oddHBand="0" w:evenHBand="0" w:firstRowFirstColumn="0" w:firstRowLastColumn="0" w:lastRowFirstColumn="0" w:lastRowLastColumn="0"/>
            <w:tcW w:w="3443" w:type="dxa"/>
            <w:shd w:val="clear" w:color="auto" w:fill="auto"/>
          </w:tcPr>
          <w:p w14:paraId="6C71D1E1" w14:textId="77777777" w:rsidR="00617DC4" w:rsidRPr="007D395E" w:rsidRDefault="00617DC4" w:rsidP="00D1663C">
            <w:pPr>
              <w:pStyle w:val="BodyText"/>
              <w:spacing w:after="0"/>
              <w:rPr>
                <w:b w:val="0"/>
                <w:bCs w:val="0"/>
                <w:sz w:val="22"/>
                <w:szCs w:val="18"/>
              </w:rPr>
            </w:pPr>
            <w:r w:rsidRPr="007D395E">
              <w:rPr>
                <w:b w:val="0"/>
                <w:bCs w:val="0"/>
                <w:sz w:val="22"/>
                <w:szCs w:val="18"/>
              </w:rPr>
              <w:t xml:space="preserve">Shopping centres (base buildings) </w:t>
            </w:r>
          </w:p>
        </w:tc>
        <w:tc>
          <w:tcPr>
            <w:tcW w:w="3232" w:type="dxa"/>
            <w:shd w:val="clear" w:color="auto" w:fill="auto"/>
          </w:tcPr>
          <w:p w14:paraId="658D8445" w14:textId="77777777" w:rsidR="00617DC4" w:rsidRPr="007D395E" w:rsidRDefault="00617DC4" w:rsidP="003A6133">
            <w:pPr>
              <w:pStyle w:val="BodyText"/>
              <w:spacing w:after="0"/>
              <w:jc w:val="right"/>
              <w:cnfStyle w:val="000000000000" w:firstRow="0" w:lastRow="0" w:firstColumn="0" w:lastColumn="0" w:oddVBand="0" w:evenVBand="0" w:oddHBand="0" w:evenHBand="0" w:firstRowFirstColumn="0" w:firstRowLastColumn="0" w:lastRowFirstColumn="0" w:lastRowLastColumn="0"/>
              <w:rPr>
                <w:sz w:val="22"/>
                <w:szCs w:val="18"/>
              </w:rPr>
            </w:pPr>
            <w:r w:rsidRPr="007D395E">
              <w:rPr>
                <w:sz w:val="22"/>
                <w:szCs w:val="18"/>
              </w:rPr>
              <w:t>478</w:t>
            </w:r>
          </w:p>
        </w:tc>
        <w:tc>
          <w:tcPr>
            <w:tcW w:w="2953" w:type="dxa"/>
            <w:shd w:val="clear" w:color="auto" w:fill="auto"/>
          </w:tcPr>
          <w:p w14:paraId="01183BB0" w14:textId="77777777" w:rsidR="00617DC4" w:rsidRPr="007D395E" w:rsidRDefault="00617DC4" w:rsidP="003A6133">
            <w:pPr>
              <w:pStyle w:val="BodyText"/>
              <w:spacing w:after="0"/>
              <w:jc w:val="right"/>
              <w:cnfStyle w:val="000000000000" w:firstRow="0" w:lastRow="0" w:firstColumn="0" w:lastColumn="0" w:oddVBand="0" w:evenVBand="0" w:oddHBand="0" w:evenHBand="0" w:firstRowFirstColumn="0" w:firstRowLastColumn="0" w:lastRowFirstColumn="0" w:lastRowLastColumn="0"/>
              <w:rPr>
                <w:sz w:val="22"/>
                <w:szCs w:val="18"/>
              </w:rPr>
            </w:pPr>
            <w:r w:rsidRPr="007D395E">
              <w:rPr>
                <w:sz w:val="22"/>
                <w:szCs w:val="18"/>
              </w:rPr>
              <w:t>8.6%</w:t>
            </w:r>
          </w:p>
        </w:tc>
      </w:tr>
      <w:tr w:rsidR="00617DC4" w:rsidRPr="007D395E" w14:paraId="322871AD" w14:textId="77777777" w:rsidTr="00D1663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43" w:type="dxa"/>
            <w:shd w:val="clear" w:color="auto" w:fill="auto"/>
          </w:tcPr>
          <w:p w14:paraId="09BE8DCC" w14:textId="77777777" w:rsidR="00617DC4" w:rsidRPr="007D395E" w:rsidRDefault="00617DC4" w:rsidP="00D1663C">
            <w:pPr>
              <w:pStyle w:val="BodyText"/>
              <w:spacing w:after="0"/>
              <w:rPr>
                <w:b w:val="0"/>
                <w:bCs w:val="0"/>
                <w:sz w:val="22"/>
                <w:szCs w:val="18"/>
              </w:rPr>
            </w:pPr>
            <w:r w:rsidRPr="007D395E">
              <w:rPr>
                <w:b w:val="0"/>
                <w:bCs w:val="0"/>
                <w:sz w:val="22"/>
                <w:szCs w:val="18"/>
              </w:rPr>
              <w:t>Hotels</w:t>
            </w:r>
          </w:p>
        </w:tc>
        <w:tc>
          <w:tcPr>
            <w:tcW w:w="3232" w:type="dxa"/>
            <w:shd w:val="clear" w:color="auto" w:fill="auto"/>
          </w:tcPr>
          <w:p w14:paraId="6E527D45" w14:textId="77777777" w:rsidR="00617DC4" w:rsidRPr="007D395E" w:rsidRDefault="00617DC4" w:rsidP="003A6133">
            <w:pPr>
              <w:pStyle w:val="BodyText"/>
              <w:spacing w:after="0"/>
              <w:jc w:val="right"/>
              <w:cnfStyle w:val="000000100000" w:firstRow="0" w:lastRow="0" w:firstColumn="0" w:lastColumn="0" w:oddVBand="0" w:evenVBand="0" w:oddHBand="1" w:evenHBand="0" w:firstRowFirstColumn="0" w:firstRowLastColumn="0" w:lastRowFirstColumn="0" w:lastRowLastColumn="0"/>
              <w:rPr>
                <w:sz w:val="22"/>
                <w:szCs w:val="18"/>
              </w:rPr>
            </w:pPr>
            <w:r w:rsidRPr="007D395E">
              <w:rPr>
                <w:sz w:val="22"/>
                <w:szCs w:val="18"/>
              </w:rPr>
              <w:t>58</w:t>
            </w:r>
          </w:p>
        </w:tc>
        <w:tc>
          <w:tcPr>
            <w:tcW w:w="2953" w:type="dxa"/>
            <w:shd w:val="clear" w:color="auto" w:fill="auto"/>
          </w:tcPr>
          <w:p w14:paraId="6D9CC46D" w14:textId="77777777" w:rsidR="00617DC4" w:rsidRPr="007D395E" w:rsidRDefault="00617DC4" w:rsidP="003A6133">
            <w:pPr>
              <w:pStyle w:val="BodyText"/>
              <w:spacing w:after="0"/>
              <w:jc w:val="right"/>
              <w:cnfStyle w:val="000000100000" w:firstRow="0" w:lastRow="0" w:firstColumn="0" w:lastColumn="0" w:oddVBand="0" w:evenVBand="0" w:oddHBand="1" w:evenHBand="0" w:firstRowFirstColumn="0" w:firstRowLastColumn="0" w:lastRowFirstColumn="0" w:lastRowLastColumn="0"/>
              <w:rPr>
                <w:sz w:val="22"/>
                <w:szCs w:val="18"/>
              </w:rPr>
            </w:pPr>
            <w:r w:rsidRPr="007D395E">
              <w:rPr>
                <w:sz w:val="22"/>
                <w:szCs w:val="18"/>
              </w:rPr>
              <w:t>1.0%</w:t>
            </w:r>
          </w:p>
        </w:tc>
      </w:tr>
      <w:tr w:rsidR="00617DC4" w:rsidRPr="007D395E" w14:paraId="67FBB572" w14:textId="77777777" w:rsidTr="00D1663C">
        <w:trPr>
          <w:trHeight w:val="20"/>
        </w:trPr>
        <w:tc>
          <w:tcPr>
            <w:cnfStyle w:val="001000000000" w:firstRow="0" w:lastRow="0" w:firstColumn="1" w:lastColumn="0" w:oddVBand="0" w:evenVBand="0" w:oddHBand="0" w:evenHBand="0" w:firstRowFirstColumn="0" w:firstRowLastColumn="0" w:lastRowFirstColumn="0" w:lastRowLastColumn="0"/>
            <w:tcW w:w="3443" w:type="dxa"/>
            <w:shd w:val="clear" w:color="auto" w:fill="auto"/>
          </w:tcPr>
          <w:p w14:paraId="549DB8DD" w14:textId="77777777" w:rsidR="00617DC4" w:rsidRPr="007D395E" w:rsidRDefault="00617DC4" w:rsidP="00D1663C">
            <w:pPr>
              <w:pStyle w:val="BodyText"/>
              <w:spacing w:after="0"/>
              <w:rPr>
                <w:b w:val="0"/>
                <w:bCs w:val="0"/>
                <w:sz w:val="22"/>
                <w:szCs w:val="18"/>
              </w:rPr>
            </w:pPr>
            <w:r w:rsidRPr="007D395E">
              <w:rPr>
                <w:b w:val="0"/>
                <w:bCs w:val="0"/>
                <w:sz w:val="22"/>
                <w:szCs w:val="18"/>
              </w:rPr>
              <w:t>Public hospitals</w:t>
            </w:r>
          </w:p>
        </w:tc>
        <w:tc>
          <w:tcPr>
            <w:tcW w:w="3232" w:type="dxa"/>
            <w:shd w:val="clear" w:color="auto" w:fill="auto"/>
          </w:tcPr>
          <w:p w14:paraId="41C9C6E9" w14:textId="77777777" w:rsidR="00617DC4" w:rsidRPr="007D395E" w:rsidRDefault="00617DC4" w:rsidP="003A6133">
            <w:pPr>
              <w:pStyle w:val="BodyText"/>
              <w:spacing w:after="0"/>
              <w:jc w:val="right"/>
              <w:cnfStyle w:val="000000000000" w:firstRow="0" w:lastRow="0" w:firstColumn="0" w:lastColumn="0" w:oddVBand="0" w:evenVBand="0" w:oddHBand="0" w:evenHBand="0" w:firstRowFirstColumn="0" w:firstRowLastColumn="0" w:lastRowFirstColumn="0" w:lastRowLastColumn="0"/>
              <w:rPr>
                <w:sz w:val="22"/>
                <w:szCs w:val="18"/>
              </w:rPr>
            </w:pPr>
            <w:r w:rsidRPr="007D395E">
              <w:rPr>
                <w:sz w:val="22"/>
                <w:szCs w:val="18"/>
              </w:rPr>
              <w:t>50</w:t>
            </w:r>
          </w:p>
        </w:tc>
        <w:tc>
          <w:tcPr>
            <w:tcW w:w="2953" w:type="dxa"/>
            <w:shd w:val="clear" w:color="auto" w:fill="auto"/>
          </w:tcPr>
          <w:p w14:paraId="74E09D33" w14:textId="77777777" w:rsidR="00617DC4" w:rsidRPr="007D395E" w:rsidRDefault="00617DC4" w:rsidP="003A6133">
            <w:pPr>
              <w:pStyle w:val="BodyText"/>
              <w:spacing w:after="0"/>
              <w:jc w:val="right"/>
              <w:cnfStyle w:val="000000000000" w:firstRow="0" w:lastRow="0" w:firstColumn="0" w:lastColumn="0" w:oddVBand="0" w:evenVBand="0" w:oddHBand="0" w:evenHBand="0" w:firstRowFirstColumn="0" w:firstRowLastColumn="0" w:lastRowFirstColumn="0" w:lastRowLastColumn="0"/>
              <w:rPr>
                <w:i/>
                <w:iCs/>
                <w:sz w:val="22"/>
                <w:szCs w:val="18"/>
              </w:rPr>
            </w:pPr>
            <w:r w:rsidRPr="007D395E">
              <w:rPr>
                <w:i/>
                <w:iCs/>
                <w:sz w:val="22"/>
                <w:szCs w:val="18"/>
              </w:rPr>
              <w:t>less than 1%</w:t>
            </w:r>
          </w:p>
        </w:tc>
      </w:tr>
      <w:tr w:rsidR="00617DC4" w:rsidRPr="007D395E" w14:paraId="15E2A8DB" w14:textId="77777777" w:rsidTr="00D1663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43" w:type="dxa"/>
            <w:shd w:val="clear" w:color="auto" w:fill="auto"/>
          </w:tcPr>
          <w:p w14:paraId="3E6CC36F" w14:textId="77777777" w:rsidR="00617DC4" w:rsidRPr="007D395E" w:rsidRDefault="00617DC4" w:rsidP="00D1663C">
            <w:pPr>
              <w:pStyle w:val="BodyText"/>
              <w:spacing w:after="0"/>
              <w:rPr>
                <w:b w:val="0"/>
                <w:bCs w:val="0"/>
                <w:sz w:val="22"/>
                <w:szCs w:val="18"/>
              </w:rPr>
            </w:pPr>
            <w:r w:rsidRPr="007D395E">
              <w:rPr>
                <w:b w:val="0"/>
                <w:bCs w:val="0"/>
                <w:sz w:val="22"/>
                <w:szCs w:val="18"/>
              </w:rPr>
              <w:lastRenderedPageBreak/>
              <w:t>Apartment buildings (common areas)</w:t>
            </w:r>
          </w:p>
        </w:tc>
        <w:tc>
          <w:tcPr>
            <w:tcW w:w="3232" w:type="dxa"/>
            <w:shd w:val="clear" w:color="auto" w:fill="auto"/>
          </w:tcPr>
          <w:p w14:paraId="6D925E2D" w14:textId="77777777" w:rsidR="00617DC4" w:rsidRPr="007D395E" w:rsidRDefault="00617DC4" w:rsidP="003A6133">
            <w:pPr>
              <w:pStyle w:val="BodyText"/>
              <w:spacing w:after="0"/>
              <w:jc w:val="right"/>
              <w:cnfStyle w:val="000000100000" w:firstRow="0" w:lastRow="0" w:firstColumn="0" w:lastColumn="0" w:oddVBand="0" w:evenVBand="0" w:oddHBand="1" w:evenHBand="0" w:firstRowFirstColumn="0" w:firstRowLastColumn="0" w:lastRowFirstColumn="0" w:lastRowLastColumn="0"/>
              <w:rPr>
                <w:sz w:val="22"/>
                <w:szCs w:val="18"/>
              </w:rPr>
            </w:pPr>
            <w:r w:rsidRPr="007D395E">
              <w:rPr>
                <w:sz w:val="22"/>
                <w:szCs w:val="18"/>
              </w:rPr>
              <w:t>48</w:t>
            </w:r>
          </w:p>
        </w:tc>
        <w:tc>
          <w:tcPr>
            <w:tcW w:w="2953" w:type="dxa"/>
            <w:shd w:val="clear" w:color="auto" w:fill="auto"/>
          </w:tcPr>
          <w:p w14:paraId="2333D0EC" w14:textId="77777777" w:rsidR="00617DC4" w:rsidRPr="007D395E" w:rsidRDefault="00617DC4" w:rsidP="003A6133">
            <w:pPr>
              <w:pStyle w:val="BodyText"/>
              <w:spacing w:after="0"/>
              <w:jc w:val="right"/>
              <w:cnfStyle w:val="000000100000" w:firstRow="0" w:lastRow="0" w:firstColumn="0" w:lastColumn="0" w:oddVBand="0" w:evenVBand="0" w:oddHBand="1" w:evenHBand="0" w:firstRowFirstColumn="0" w:firstRowLastColumn="0" w:lastRowFirstColumn="0" w:lastRowLastColumn="0"/>
              <w:rPr>
                <w:sz w:val="22"/>
                <w:szCs w:val="18"/>
              </w:rPr>
            </w:pPr>
            <w:r w:rsidRPr="007D395E">
              <w:rPr>
                <w:i/>
                <w:iCs/>
                <w:sz w:val="22"/>
                <w:szCs w:val="18"/>
              </w:rPr>
              <w:t>less than 1%</w:t>
            </w:r>
          </w:p>
        </w:tc>
      </w:tr>
      <w:tr w:rsidR="00617DC4" w:rsidRPr="007D395E" w14:paraId="230C756C" w14:textId="77777777" w:rsidTr="00D1663C">
        <w:trPr>
          <w:trHeight w:val="20"/>
        </w:trPr>
        <w:tc>
          <w:tcPr>
            <w:cnfStyle w:val="001000000000" w:firstRow="0" w:lastRow="0" w:firstColumn="1" w:lastColumn="0" w:oddVBand="0" w:evenVBand="0" w:oddHBand="0" w:evenHBand="0" w:firstRowFirstColumn="0" w:firstRowLastColumn="0" w:lastRowFirstColumn="0" w:lastRowLastColumn="0"/>
            <w:tcW w:w="3443" w:type="dxa"/>
            <w:shd w:val="clear" w:color="auto" w:fill="auto"/>
          </w:tcPr>
          <w:p w14:paraId="33749919" w14:textId="77777777" w:rsidR="00617DC4" w:rsidRPr="007D395E" w:rsidRDefault="00617DC4" w:rsidP="00D1663C">
            <w:pPr>
              <w:pStyle w:val="BodyText"/>
              <w:spacing w:after="0"/>
              <w:rPr>
                <w:b w:val="0"/>
                <w:bCs w:val="0"/>
                <w:sz w:val="22"/>
                <w:szCs w:val="18"/>
              </w:rPr>
            </w:pPr>
            <w:r w:rsidRPr="007D395E">
              <w:rPr>
                <w:b w:val="0"/>
                <w:bCs w:val="0"/>
                <w:sz w:val="22"/>
                <w:szCs w:val="18"/>
              </w:rPr>
              <w:t>Data centres</w:t>
            </w:r>
          </w:p>
        </w:tc>
        <w:tc>
          <w:tcPr>
            <w:tcW w:w="3232" w:type="dxa"/>
            <w:shd w:val="clear" w:color="auto" w:fill="auto"/>
          </w:tcPr>
          <w:p w14:paraId="1B222F1F" w14:textId="77777777" w:rsidR="00617DC4" w:rsidRPr="007D395E" w:rsidRDefault="00617DC4" w:rsidP="003A6133">
            <w:pPr>
              <w:pStyle w:val="BodyText"/>
              <w:spacing w:after="0"/>
              <w:jc w:val="right"/>
              <w:cnfStyle w:val="000000000000" w:firstRow="0" w:lastRow="0" w:firstColumn="0" w:lastColumn="0" w:oddVBand="0" w:evenVBand="0" w:oddHBand="0" w:evenHBand="0" w:firstRowFirstColumn="0" w:firstRowLastColumn="0" w:lastRowFirstColumn="0" w:lastRowLastColumn="0"/>
              <w:rPr>
                <w:sz w:val="22"/>
                <w:szCs w:val="18"/>
              </w:rPr>
            </w:pPr>
            <w:r w:rsidRPr="007D395E">
              <w:rPr>
                <w:sz w:val="22"/>
                <w:szCs w:val="18"/>
              </w:rPr>
              <w:t>30</w:t>
            </w:r>
          </w:p>
        </w:tc>
        <w:tc>
          <w:tcPr>
            <w:tcW w:w="2953" w:type="dxa"/>
            <w:shd w:val="clear" w:color="auto" w:fill="auto"/>
          </w:tcPr>
          <w:p w14:paraId="09768657" w14:textId="77777777" w:rsidR="00617DC4" w:rsidRPr="007D395E" w:rsidRDefault="00617DC4" w:rsidP="003A6133">
            <w:pPr>
              <w:pStyle w:val="BodyText"/>
              <w:spacing w:after="0"/>
              <w:jc w:val="right"/>
              <w:cnfStyle w:val="000000000000" w:firstRow="0" w:lastRow="0" w:firstColumn="0" w:lastColumn="0" w:oddVBand="0" w:evenVBand="0" w:oddHBand="0" w:evenHBand="0" w:firstRowFirstColumn="0" w:firstRowLastColumn="0" w:lastRowFirstColumn="0" w:lastRowLastColumn="0"/>
              <w:rPr>
                <w:sz w:val="22"/>
                <w:szCs w:val="18"/>
              </w:rPr>
            </w:pPr>
            <w:r w:rsidRPr="007D395E">
              <w:rPr>
                <w:i/>
                <w:iCs/>
                <w:sz w:val="22"/>
                <w:szCs w:val="18"/>
              </w:rPr>
              <w:t>less than 1%</w:t>
            </w:r>
          </w:p>
        </w:tc>
      </w:tr>
      <w:tr w:rsidR="00617DC4" w:rsidRPr="007D395E" w14:paraId="346146C4" w14:textId="77777777" w:rsidTr="00D1663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43" w:type="dxa"/>
            <w:shd w:val="clear" w:color="auto" w:fill="auto"/>
          </w:tcPr>
          <w:p w14:paraId="30018474" w14:textId="77777777" w:rsidR="00617DC4" w:rsidRPr="007D395E" w:rsidRDefault="00617DC4" w:rsidP="00D1663C">
            <w:pPr>
              <w:pStyle w:val="BodyText"/>
              <w:spacing w:after="0"/>
              <w:rPr>
                <w:b w:val="0"/>
                <w:bCs w:val="0"/>
                <w:sz w:val="22"/>
                <w:szCs w:val="18"/>
              </w:rPr>
            </w:pPr>
            <w:r w:rsidRPr="007D395E">
              <w:rPr>
                <w:b w:val="0"/>
                <w:bCs w:val="0"/>
                <w:sz w:val="22"/>
                <w:szCs w:val="18"/>
              </w:rPr>
              <w:t>Residential aged care and retirement living</w:t>
            </w:r>
          </w:p>
        </w:tc>
        <w:tc>
          <w:tcPr>
            <w:tcW w:w="3232" w:type="dxa"/>
            <w:shd w:val="clear" w:color="auto" w:fill="auto"/>
          </w:tcPr>
          <w:p w14:paraId="45433646" w14:textId="77777777" w:rsidR="00617DC4" w:rsidRPr="007D395E" w:rsidRDefault="00617DC4" w:rsidP="003A6133">
            <w:pPr>
              <w:pStyle w:val="BodyText"/>
              <w:spacing w:after="0"/>
              <w:jc w:val="right"/>
              <w:cnfStyle w:val="000000100000" w:firstRow="0" w:lastRow="0" w:firstColumn="0" w:lastColumn="0" w:oddVBand="0" w:evenVBand="0" w:oddHBand="1" w:evenHBand="0" w:firstRowFirstColumn="0" w:firstRowLastColumn="0" w:lastRowFirstColumn="0" w:lastRowLastColumn="0"/>
              <w:rPr>
                <w:sz w:val="22"/>
                <w:szCs w:val="18"/>
              </w:rPr>
            </w:pPr>
            <w:r w:rsidRPr="007D395E">
              <w:rPr>
                <w:sz w:val="22"/>
                <w:szCs w:val="18"/>
              </w:rPr>
              <w:t>7</w:t>
            </w:r>
          </w:p>
        </w:tc>
        <w:tc>
          <w:tcPr>
            <w:tcW w:w="2953" w:type="dxa"/>
            <w:shd w:val="clear" w:color="auto" w:fill="auto"/>
          </w:tcPr>
          <w:p w14:paraId="3E85F6FE" w14:textId="77777777" w:rsidR="00617DC4" w:rsidRPr="007D395E" w:rsidRDefault="00617DC4" w:rsidP="003A6133">
            <w:pPr>
              <w:pStyle w:val="BodyText"/>
              <w:spacing w:after="0"/>
              <w:jc w:val="right"/>
              <w:cnfStyle w:val="000000100000" w:firstRow="0" w:lastRow="0" w:firstColumn="0" w:lastColumn="0" w:oddVBand="0" w:evenVBand="0" w:oddHBand="1" w:evenHBand="0" w:firstRowFirstColumn="0" w:firstRowLastColumn="0" w:lastRowFirstColumn="0" w:lastRowLastColumn="0"/>
              <w:rPr>
                <w:sz w:val="22"/>
                <w:szCs w:val="18"/>
              </w:rPr>
            </w:pPr>
            <w:r w:rsidRPr="007D395E">
              <w:rPr>
                <w:i/>
                <w:iCs/>
                <w:sz w:val="22"/>
                <w:szCs w:val="18"/>
              </w:rPr>
              <w:t>less than 1%</w:t>
            </w:r>
          </w:p>
        </w:tc>
      </w:tr>
      <w:tr w:rsidR="00617DC4" w:rsidRPr="007D395E" w14:paraId="5A94B4BB" w14:textId="77777777" w:rsidTr="00D1663C">
        <w:trPr>
          <w:trHeight w:val="20"/>
        </w:trPr>
        <w:tc>
          <w:tcPr>
            <w:cnfStyle w:val="001000000000" w:firstRow="0" w:lastRow="0" w:firstColumn="1" w:lastColumn="0" w:oddVBand="0" w:evenVBand="0" w:oddHBand="0" w:evenHBand="0" w:firstRowFirstColumn="0" w:firstRowLastColumn="0" w:lastRowFirstColumn="0" w:lastRowLastColumn="0"/>
            <w:tcW w:w="3443" w:type="dxa"/>
            <w:shd w:val="clear" w:color="auto" w:fill="auto"/>
          </w:tcPr>
          <w:p w14:paraId="12E4948A" w14:textId="77777777" w:rsidR="00617DC4" w:rsidRPr="007D395E" w:rsidRDefault="00617DC4" w:rsidP="00D1663C">
            <w:pPr>
              <w:pStyle w:val="BodyText"/>
              <w:spacing w:after="0"/>
              <w:rPr>
                <w:b w:val="0"/>
                <w:bCs w:val="0"/>
                <w:sz w:val="22"/>
                <w:szCs w:val="18"/>
              </w:rPr>
            </w:pPr>
            <w:r w:rsidRPr="007D395E">
              <w:rPr>
                <w:b w:val="0"/>
                <w:bCs w:val="0"/>
                <w:sz w:val="22"/>
                <w:szCs w:val="18"/>
              </w:rPr>
              <w:t>Warehouses and cold stores</w:t>
            </w:r>
          </w:p>
        </w:tc>
        <w:tc>
          <w:tcPr>
            <w:tcW w:w="3232" w:type="dxa"/>
            <w:shd w:val="clear" w:color="auto" w:fill="auto"/>
          </w:tcPr>
          <w:p w14:paraId="6623229C" w14:textId="77777777" w:rsidR="00617DC4" w:rsidRPr="007D395E" w:rsidRDefault="00617DC4" w:rsidP="003A6133">
            <w:pPr>
              <w:pStyle w:val="BodyText"/>
              <w:spacing w:after="0"/>
              <w:jc w:val="right"/>
              <w:cnfStyle w:val="000000000000" w:firstRow="0" w:lastRow="0" w:firstColumn="0" w:lastColumn="0" w:oddVBand="0" w:evenVBand="0" w:oddHBand="0" w:evenHBand="0" w:firstRowFirstColumn="0" w:firstRowLastColumn="0" w:lastRowFirstColumn="0" w:lastRowLastColumn="0"/>
              <w:rPr>
                <w:sz w:val="22"/>
                <w:szCs w:val="18"/>
              </w:rPr>
            </w:pPr>
            <w:r w:rsidRPr="007D395E">
              <w:rPr>
                <w:sz w:val="22"/>
                <w:szCs w:val="18"/>
              </w:rPr>
              <w:t>6</w:t>
            </w:r>
          </w:p>
        </w:tc>
        <w:tc>
          <w:tcPr>
            <w:tcW w:w="2953" w:type="dxa"/>
            <w:shd w:val="clear" w:color="auto" w:fill="auto"/>
          </w:tcPr>
          <w:p w14:paraId="6CF3A884" w14:textId="77777777" w:rsidR="00617DC4" w:rsidRPr="007D395E" w:rsidRDefault="00617DC4" w:rsidP="003A6133">
            <w:pPr>
              <w:pStyle w:val="BodyText"/>
              <w:spacing w:after="0"/>
              <w:jc w:val="right"/>
              <w:cnfStyle w:val="000000000000" w:firstRow="0" w:lastRow="0" w:firstColumn="0" w:lastColumn="0" w:oddVBand="0" w:evenVBand="0" w:oddHBand="0" w:evenHBand="0" w:firstRowFirstColumn="0" w:firstRowLastColumn="0" w:lastRowFirstColumn="0" w:lastRowLastColumn="0"/>
              <w:rPr>
                <w:sz w:val="22"/>
                <w:szCs w:val="18"/>
              </w:rPr>
            </w:pPr>
            <w:r w:rsidRPr="007D395E">
              <w:rPr>
                <w:i/>
                <w:iCs/>
                <w:sz w:val="22"/>
                <w:szCs w:val="18"/>
              </w:rPr>
              <w:t>less than 1%</w:t>
            </w:r>
          </w:p>
        </w:tc>
      </w:tr>
      <w:tr w:rsidR="00617DC4" w:rsidRPr="007D395E" w14:paraId="55EABE81" w14:textId="77777777" w:rsidTr="00D1663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43" w:type="dxa"/>
            <w:shd w:val="clear" w:color="auto" w:fill="auto"/>
          </w:tcPr>
          <w:p w14:paraId="15E64F9D" w14:textId="77777777" w:rsidR="00617DC4" w:rsidRPr="007D395E" w:rsidRDefault="00617DC4" w:rsidP="00D1663C">
            <w:pPr>
              <w:pStyle w:val="BodyText"/>
              <w:spacing w:after="0"/>
              <w:rPr>
                <w:sz w:val="22"/>
                <w:szCs w:val="18"/>
              </w:rPr>
            </w:pPr>
            <w:r w:rsidRPr="007D395E">
              <w:rPr>
                <w:sz w:val="22"/>
                <w:szCs w:val="18"/>
              </w:rPr>
              <w:t>Total</w:t>
            </w:r>
          </w:p>
        </w:tc>
        <w:tc>
          <w:tcPr>
            <w:tcW w:w="3232" w:type="dxa"/>
            <w:shd w:val="clear" w:color="auto" w:fill="auto"/>
          </w:tcPr>
          <w:p w14:paraId="3F89002B" w14:textId="77777777" w:rsidR="00617DC4" w:rsidRPr="007D395E" w:rsidRDefault="00617DC4" w:rsidP="003A6133">
            <w:pPr>
              <w:pStyle w:val="BodyText"/>
              <w:spacing w:after="0"/>
              <w:jc w:val="right"/>
              <w:cnfStyle w:val="000000100000" w:firstRow="0" w:lastRow="0" w:firstColumn="0" w:lastColumn="0" w:oddVBand="0" w:evenVBand="0" w:oddHBand="1" w:evenHBand="0" w:firstRowFirstColumn="0" w:firstRowLastColumn="0" w:lastRowFirstColumn="0" w:lastRowLastColumn="0"/>
              <w:rPr>
                <w:b/>
                <w:bCs/>
                <w:sz w:val="22"/>
                <w:szCs w:val="18"/>
              </w:rPr>
            </w:pPr>
            <w:r w:rsidRPr="007D395E">
              <w:rPr>
                <w:b/>
                <w:bCs/>
                <w:sz w:val="22"/>
                <w:szCs w:val="18"/>
              </w:rPr>
              <w:t>5,584</w:t>
            </w:r>
          </w:p>
        </w:tc>
        <w:tc>
          <w:tcPr>
            <w:tcW w:w="2953" w:type="dxa"/>
            <w:shd w:val="clear" w:color="auto" w:fill="auto"/>
          </w:tcPr>
          <w:p w14:paraId="05D84C10" w14:textId="77777777" w:rsidR="00617DC4" w:rsidRPr="007D395E" w:rsidRDefault="00617DC4" w:rsidP="003A6133">
            <w:pPr>
              <w:pStyle w:val="BodyText"/>
              <w:spacing w:after="0"/>
              <w:jc w:val="right"/>
              <w:cnfStyle w:val="000000100000" w:firstRow="0" w:lastRow="0" w:firstColumn="0" w:lastColumn="0" w:oddVBand="0" w:evenVBand="0" w:oddHBand="1" w:evenHBand="0" w:firstRowFirstColumn="0" w:firstRowLastColumn="0" w:lastRowFirstColumn="0" w:lastRowLastColumn="0"/>
              <w:rPr>
                <w:b/>
                <w:bCs/>
                <w:sz w:val="22"/>
                <w:szCs w:val="18"/>
              </w:rPr>
            </w:pPr>
            <w:r w:rsidRPr="007D395E">
              <w:rPr>
                <w:b/>
                <w:bCs/>
                <w:sz w:val="22"/>
                <w:szCs w:val="18"/>
              </w:rPr>
              <w:t>100%</w:t>
            </w:r>
          </w:p>
        </w:tc>
      </w:tr>
    </w:tbl>
    <w:p w14:paraId="6143B2B7" w14:textId="77777777" w:rsidR="00617DC4" w:rsidRDefault="00617DC4" w:rsidP="00ED416A">
      <w:pPr>
        <w:pStyle w:val="BodyText"/>
      </w:pPr>
    </w:p>
    <w:p w14:paraId="3E119519" w14:textId="77777777" w:rsidR="00D65473" w:rsidRDefault="00D65473" w:rsidP="00D1663C">
      <w:r w:rsidRPr="005905F1">
        <w:t>In total the NABERS (energy) data provided comprises</w:t>
      </w:r>
      <w:r>
        <w:t xml:space="preserve"> over 5,500 individual data records, although this will include multiple ratings of some buildings over time (since 2009, in this data sample), and therefore the total count of NABER-rated buildings will be lower than this.  Also, while the majority of records provided fall within the City of Melbourne, some may be outside.   </w:t>
      </w:r>
    </w:p>
    <w:p w14:paraId="4391C89B" w14:textId="77777777" w:rsidR="00D65473" w:rsidRDefault="00D65473" w:rsidP="00D1663C">
      <w:r>
        <w:t>From a methodological perspective, but also considering privacy and confidentiality, this study only includes the actual individual energy use or emissions of individual buildings where these buildings are associated with publicly available NABERS data. For other buildings, even those with NABERS ratings, results are modelled. The intention, as noted, is to characterise the overall energy consumption and emissions by building type, rather than identifying specific buildings.</w:t>
      </w:r>
    </w:p>
    <w:p w14:paraId="4AC9CB0F" w14:textId="2C03B332" w:rsidR="00D65473" w:rsidRDefault="00D65473" w:rsidP="00D1663C">
      <w:r>
        <w:t xml:space="preserve">Considering </w:t>
      </w:r>
      <w:r>
        <w:fldChar w:fldCharType="begin"/>
      </w:r>
      <w:r>
        <w:instrText xml:space="preserve"> REF _Ref169087744 \h </w:instrText>
      </w:r>
      <w:r w:rsidR="00D1663C">
        <w:instrText xml:space="preserve"> \* MERGEFORMAT </w:instrText>
      </w:r>
      <w:r>
        <w:fldChar w:fldCharType="separate"/>
      </w:r>
      <w:r w:rsidRPr="0087470B">
        <w:t xml:space="preserve">Table </w:t>
      </w:r>
      <w:r>
        <w:rPr>
          <w:noProof/>
        </w:rPr>
        <w:t>1</w:t>
      </w:r>
      <w:r>
        <w:fldChar w:fldCharType="end"/>
      </w:r>
      <w:r>
        <w:t>, it is apparent that most of the ratings data provided relates to offices.  This is partly because offices were the first sectors to be covered by the program, while some sectors – such as warehouses and cold stores, aged care and retirement living and public hospitals – have only recently been covered by the program.  However, the Table also reflects the differing degrees of voluntary engagement with the NABERS that has come from different sectors.  Hotels, for example, have been covered by NABERS since at least 2009 but account for only 1% of the data records for Melbourne.  Noting this data contains records that date from 2009 onwards, only some of them are recent enough to be representative of current energy intensities, only offices and shopping centres are well-represented – however, given the paucity of data from other sources, we nevertheless use data from the whole sample to provide at indicative information about plausible energy intensities.</w:t>
      </w:r>
    </w:p>
    <w:p w14:paraId="3A7FD5BE" w14:textId="77777777" w:rsidR="00D65473" w:rsidRDefault="00D65473" w:rsidP="00D1663C">
      <w:r>
        <w:t>Another important issue with the NABERS energy intensity data is that the sample of buildings represented in the NABERS data is not representative of the broad average of buildings in the same sectors across Australia.  In the case of offices, there is strong interaction between the CBD program, discussed below, and NABERS, with CBD representing around 75% of NABERS-rated office floor area.  Therefore, the CBD criteria for mandatory disclosure – including features such as a 1,000 sqm minimum floor area, which applies to primary purpose offices only, owned or occupied by Constitutional corporations – distort the NABERS sample when compared to the average space, without these constraints.</w:t>
      </w:r>
    </w:p>
    <w:p w14:paraId="5537A4F3" w14:textId="77777777" w:rsidR="00D65473" w:rsidRDefault="00D65473" w:rsidP="00D1663C">
      <w:r>
        <w:t xml:space="preserve">A second effect occurs for all building types rated under NABERS, the voluntary nature of the rating also distorts the sample, from a statistical point of view.  Professor Ross Garnaut, in the seminal 2008 </w:t>
      </w:r>
      <w:r w:rsidRPr="00FE2F89">
        <w:rPr>
          <w:i/>
          <w:iCs/>
        </w:rPr>
        <w:t>Climate Change Review</w:t>
      </w:r>
      <w:r>
        <w:t xml:space="preserve">, noted that an inherent danger with voluntary disclosure is that it may lead to ‘adverse selection’, as well-performing buildings are likely to have that performance information disclosed, while poorly-performing buildings are likely to have that performance information withheld from the market to the extent possible.  He notes: </w:t>
      </w:r>
    </w:p>
    <w:p w14:paraId="52BFF0B1" w14:textId="77777777" w:rsidR="00D65473" w:rsidRPr="00FE2F89" w:rsidRDefault="00D65473" w:rsidP="00D65473">
      <w:pPr>
        <w:pStyle w:val="BodyText"/>
        <w:ind w:left="720"/>
        <w:rPr>
          <w:i/>
          <w:iCs/>
        </w:rPr>
      </w:pPr>
      <w:r w:rsidRPr="00FE2F89">
        <w:rPr>
          <w:i/>
          <w:iCs/>
        </w:rPr>
        <w:t xml:space="preserve">Ensuring that both parties in a transaction have access to sufficient information will generally be the most effective way to address information asymmetry. Disclosure schemes, such as energy efficiency ratings, complement an emissions trading scheme as they assist individuals to act on the price signal.  </w:t>
      </w:r>
    </w:p>
    <w:p w14:paraId="28819E27" w14:textId="77777777" w:rsidR="00D65473" w:rsidRPr="00FE2F89" w:rsidRDefault="00D65473" w:rsidP="00D65473">
      <w:pPr>
        <w:pStyle w:val="BodyText"/>
        <w:ind w:left="720"/>
        <w:rPr>
          <w:i/>
          <w:iCs/>
        </w:rPr>
      </w:pPr>
      <w:r w:rsidRPr="00FE2F89">
        <w:rPr>
          <w:i/>
          <w:iCs/>
          <w:u w:val="single"/>
        </w:rPr>
        <w:lastRenderedPageBreak/>
        <w:t>Disclosure schemes will be far more effective if they are mandatory</w:t>
      </w:r>
      <w:r w:rsidRPr="00FE2F89">
        <w:rPr>
          <w:i/>
          <w:iCs/>
        </w:rPr>
        <w:t xml:space="preserve">, as sellers are only likely to apply voluntary labels to high-performing products, leaving consumers unable to select among average and poorly performing products. </w:t>
      </w:r>
      <w:r w:rsidRPr="00FE2F89">
        <w:t>[emphasis added]</w:t>
      </w:r>
      <w:r>
        <w:rPr>
          <w:rStyle w:val="FootnoteReference"/>
        </w:rPr>
        <w:footnoteReference w:id="6"/>
      </w:r>
    </w:p>
    <w:p w14:paraId="0F9D0E92" w14:textId="7C646CD9" w:rsidR="00D65473" w:rsidRDefault="00D65473" w:rsidP="00D65473">
      <w:pPr>
        <w:pStyle w:val="Heading4"/>
        <w:rPr>
          <w:rFonts w:hint="eastAsia"/>
        </w:rPr>
      </w:pPr>
      <w:r>
        <w:t>CBBS (2022)</w:t>
      </w:r>
    </w:p>
    <w:p w14:paraId="1744A6B2" w14:textId="77777777" w:rsidR="00D65473" w:rsidRDefault="00D65473" w:rsidP="00D1663C">
      <w:r>
        <w:t>For building types not covered by NABERS or CBD, or another high-quality source of archetype specific energy intensity data, and for alternative perspectives on those building types that are covered by these programs, we also make use of data compiled for the national Commercial Buildings Energy Consumption Baseline Study (2022).  This data source also has certain limitation, such as the degree to which fuel intensity data is available varies by geography and building type.  Nevertheless, it has provided useful reference values, which are then validated via top-down, bottom-up model reconciliation.</w:t>
      </w:r>
    </w:p>
    <w:p w14:paraId="3FBBC239" w14:textId="59648A89" w:rsidR="00D65473" w:rsidRDefault="00D65473" w:rsidP="00D65473">
      <w:pPr>
        <w:pStyle w:val="Heading2"/>
        <w:rPr>
          <w:rFonts w:hint="eastAsia"/>
        </w:rPr>
      </w:pPr>
      <w:bookmarkStart w:id="38" w:name="_Ref169085975"/>
      <w:bookmarkStart w:id="39" w:name="_Toc173876030"/>
      <w:bookmarkStart w:id="40" w:name="_Toc181219283"/>
      <w:r>
        <w:t>2.4</w:t>
      </w:r>
      <w:r>
        <w:tab/>
        <w:t>Methodology</w:t>
      </w:r>
      <w:bookmarkEnd w:id="38"/>
      <w:bookmarkEnd w:id="39"/>
      <w:bookmarkEnd w:id="40"/>
    </w:p>
    <w:p w14:paraId="2116CA18" w14:textId="1FFDDFD4" w:rsidR="00D65473" w:rsidRDefault="00D65473" w:rsidP="00D65473">
      <w:pPr>
        <w:pStyle w:val="Heading3"/>
        <w:rPr>
          <w:rFonts w:hint="eastAsia"/>
        </w:rPr>
      </w:pPr>
      <w:r>
        <w:t>2.4.1</w:t>
      </w:r>
      <w:r>
        <w:tab/>
        <w:t>Defining the City’s Building Stock</w:t>
      </w:r>
    </w:p>
    <w:p w14:paraId="0253B5D7" w14:textId="77777777" w:rsidR="00D65473" w:rsidRDefault="00D65473" w:rsidP="00D1663C">
      <w:r>
        <w:t>The CLUE database, a commendably comprehensive and informative asset, sits at the core of the space-use model developed for this baseline study. In maintaining the CLUE database, the City regularly captures the space-use mix across the LGA at a relatively granular level, in turn enabling the detailed fuel-use modelling associated with this report.</w:t>
      </w:r>
    </w:p>
    <w:p w14:paraId="6073B8A5" w14:textId="77777777" w:rsidR="00D65473" w:rsidRDefault="00D65473" w:rsidP="00D1663C">
      <w:r>
        <w:t>Limitations of relying entirely on CLUE include less disaggregation in space-use type when compared with the “land-use type” data provided by the City – CLUE includes 38 space-use types while the land-use type data includes 339 distinct space uses. While it would not be valuable to apportion a separate fuel-use intensity to each of these space-uses, nor is sufficient data likely to exist to do so in a credible way, some valuable/interesting space-uses are missing from the CLUE data. Examples of high-intensity space uses missing from CLUE include supermarkets and cool rooms. CLUE also omits a range of data which provides greater context/differentiation between the range of fuel-use intensities within a large space-use type like retail and, importantly, residential apartments.</w:t>
      </w:r>
    </w:p>
    <w:p w14:paraId="527F6CFB" w14:textId="77777777" w:rsidR="00D65473" w:rsidRDefault="00D65473" w:rsidP="00D1663C">
      <w:r>
        <w:t>To overcome these limitations in the CLUE data, we incorporated information provided by the City derived from the property/rates database. Key information gleaned from this source included counts of apartments, which avoided the need to estimate these totals using census data, and more detailed data on the makeup of CLUE space-use categories such as retail and education/research. This process was facilitated by the City’s use of consistent Property IDs across datasets – this approach should be retained and expanded as new datasets are developed and existing datasets expanded.</w:t>
      </w:r>
    </w:p>
    <w:p w14:paraId="37769718" w14:textId="488C5899" w:rsidR="00617DC4" w:rsidRDefault="001B23B1" w:rsidP="00D1663C">
      <w:pPr>
        <w:pStyle w:val="BodyText"/>
        <w:jc w:val="center"/>
      </w:pPr>
      <w:r w:rsidRPr="001B23B1">
        <w:rPr>
          <w:noProof/>
        </w:rPr>
        <w:lastRenderedPageBreak/>
        <w:drawing>
          <wp:inline distT="0" distB="0" distL="0" distR="0" wp14:anchorId="4B2FCC15" wp14:editId="5C49B419">
            <wp:extent cx="2933323" cy="3059682"/>
            <wp:effectExtent l="0" t="0" r="635" b="7620"/>
            <wp:docPr id="607938332" name="Picture 1" descr="A transparent funnel shape with three blue circles of the same size labelled: Land-use type data, CLUE data and Property data. An arrow point down from the bottom of the funnel to the text 'Combined space-use mode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938332" name="Picture 1" descr="A transparent funnel shape with three blue circles of the same size labelled: Land-use type data, CLUE data and Property data. An arrow point down from the bottom of the funnel to the text 'Combined space-use model' "/>
                    <pic:cNvPicPr/>
                  </pic:nvPicPr>
                  <pic:blipFill>
                    <a:blip r:embed="rId12"/>
                    <a:stretch>
                      <a:fillRect/>
                    </a:stretch>
                  </pic:blipFill>
                  <pic:spPr>
                    <a:xfrm>
                      <a:off x="0" y="0"/>
                      <a:ext cx="2943665" cy="3070469"/>
                    </a:xfrm>
                    <a:prstGeom prst="rect">
                      <a:avLst/>
                    </a:prstGeom>
                  </pic:spPr>
                </pic:pic>
              </a:graphicData>
            </a:graphic>
          </wp:inline>
        </w:drawing>
      </w:r>
    </w:p>
    <w:p w14:paraId="04D15720" w14:textId="77777777" w:rsidR="00D65473" w:rsidRPr="00D1663C" w:rsidRDefault="00D65473" w:rsidP="00D1663C">
      <w:pPr>
        <w:pStyle w:val="Caption"/>
        <w:rPr>
          <w:rFonts w:hint="eastAsia"/>
        </w:rPr>
      </w:pPr>
      <w:bookmarkStart w:id="41" w:name="_Toc171951110"/>
      <w:r w:rsidRPr="00D1663C">
        <w:t xml:space="preserve">Figure </w:t>
      </w:r>
      <w:r w:rsidRPr="00D1663C">
        <w:fldChar w:fldCharType="begin"/>
      </w:r>
      <w:r w:rsidRPr="00D1663C">
        <w:instrText xml:space="preserve"> SEQ Figure \* ARABIC </w:instrText>
      </w:r>
      <w:r w:rsidRPr="00D1663C">
        <w:fldChar w:fldCharType="separate"/>
      </w:r>
      <w:r w:rsidRPr="00D1663C">
        <w:t>4</w:t>
      </w:r>
      <w:r w:rsidRPr="00D1663C">
        <w:fldChar w:fldCharType="end"/>
      </w:r>
      <w:r w:rsidRPr="00D1663C">
        <w:t>:  Combined Space Use Model Overview</w:t>
      </w:r>
      <w:bookmarkEnd w:id="41"/>
    </w:p>
    <w:p w14:paraId="5744AE71" w14:textId="77777777" w:rsidR="00D65473" w:rsidRDefault="00D65473" w:rsidP="00D1663C">
      <w:r>
        <w:t xml:space="preserve">As became clear during the production of the final fuel-use and emission totals, many of the City’s largest buildings use behind-the-meter embedded networks to supply electricity to individual apartments or tenancies. To enable an accurate count of residential and commercial fuel-use, we manually matched publicly available data from the Energy and Water Ombudsman to properties in the combined space-use model. </w:t>
      </w:r>
    </w:p>
    <w:p w14:paraId="00E4FDFF" w14:textId="4FBF5FE3" w:rsidR="00D65473" w:rsidRDefault="00D1663C" w:rsidP="00D65473">
      <w:pPr>
        <w:pStyle w:val="Heading3"/>
        <w:rPr>
          <w:rFonts w:hint="eastAsia"/>
        </w:rPr>
      </w:pPr>
      <w:r>
        <w:t>2.4.2</w:t>
      </w:r>
      <w:r>
        <w:tab/>
      </w:r>
      <w:r w:rsidR="00D65473">
        <w:t>CLUE space-use titles</w:t>
      </w:r>
    </w:p>
    <w:p w14:paraId="6BF0C40D" w14:textId="53AD3FC0" w:rsidR="00D65473" w:rsidRDefault="00D65473" w:rsidP="00687245">
      <w:pPr>
        <w:rPr>
          <w:lang w:val="en-GB"/>
        </w:rPr>
      </w:pPr>
      <w:r>
        <w:rPr>
          <w:lang w:val="en-GB"/>
        </w:rPr>
        <w:t>The CLUE database uses 37 unique space-use descriptors to catalogue the City’s building stock. To make the data tables included in this report more comprehensible, we have combined multiple, related space-uses to give us 14 categories.</w:t>
      </w:r>
      <w:r>
        <w:rPr>
          <w:rStyle w:val="FootnoteReference"/>
          <w:lang w:val="en-GB"/>
        </w:rPr>
        <w:footnoteReference w:id="7"/>
      </w:r>
      <w:r>
        <w:rPr>
          <w:lang w:val="en-GB"/>
        </w:rPr>
        <w:t xml:space="preserve"> These categories, and the space-use types they encompass, are show in </w:t>
      </w:r>
      <w:r>
        <w:rPr>
          <w:lang w:val="en-GB"/>
        </w:rPr>
        <w:fldChar w:fldCharType="begin"/>
      </w:r>
      <w:r>
        <w:rPr>
          <w:lang w:val="en-GB"/>
        </w:rPr>
        <w:instrText xml:space="preserve"> REF _Ref171020240 \h </w:instrText>
      </w:r>
      <w:r w:rsidR="00687245">
        <w:rPr>
          <w:lang w:val="en-GB"/>
        </w:rPr>
        <w:instrText xml:space="preserve"> \* MERGEFORMAT </w:instrText>
      </w:r>
      <w:r>
        <w:rPr>
          <w:lang w:val="en-GB"/>
        </w:rPr>
      </w:r>
      <w:r>
        <w:rPr>
          <w:lang w:val="en-GB"/>
        </w:rPr>
        <w:fldChar w:fldCharType="separate"/>
      </w:r>
      <w:r w:rsidRPr="00514BD6">
        <w:t xml:space="preserve">Table </w:t>
      </w:r>
      <w:r>
        <w:rPr>
          <w:noProof/>
        </w:rPr>
        <w:t>2</w:t>
      </w:r>
      <w:r>
        <w:rPr>
          <w:lang w:val="en-GB"/>
        </w:rPr>
        <w:fldChar w:fldCharType="end"/>
      </w:r>
      <w:r>
        <w:rPr>
          <w:lang w:val="en-GB"/>
        </w:rPr>
        <w:t xml:space="preserve">. </w:t>
      </w:r>
    </w:p>
    <w:p w14:paraId="4661F899" w14:textId="570FC370" w:rsidR="00A12C95" w:rsidRDefault="00D1663C" w:rsidP="00D1663C">
      <w:pPr>
        <w:pStyle w:val="Caption"/>
        <w:rPr>
          <w:rFonts w:hint="eastAsia"/>
        </w:rPr>
      </w:pPr>
      <w:bookmarkStart w:id="42" w:name="_Ref171020240"/>
      <w:bookmarkStart w:id="43" w:name="_Ref171020228"/>
      <w:bookmarkStart w:id="44" w:name="_Toc171951163"/>
      <w:r w:rsidRPr="00514BD6">
        <w:t xml:space="preserve">Table </w:t>
      </w:r>
      <w:r w:rsidRPr="00514BD6">
        <w:fldChar w:fldCharType="begin"/>
      </w:r>
      <w:r w:rsidRPr="00514BD6">
        <w:instrText xml:space="preserve"> SEQ Table \* ARABIC </w:instrText>
      </w:r>
      <w:r w:rsidRPr="00514BD6">
        <w:fldChar w:fldCharType="separate"/>
      </w:r>
      <w:r>
        <w:rPr>
          <w:noProof/>
        </w:rPr>
        <w:t>2</w:t>
      </w:r>
      <w:r w:rsidRPr="00514BD6">
        <w:fldChar w:fldCharType="end"/>
      </w:r>
      <w:bookmarkEnd w:id="42"/>
      <w:r w:rsidRPr="00514BD6">
        <w:t>: High-level Space-Use Categories used in Charts</w:t>
      </w:r>
      <w:bookmarkEnd w:id="43"/>
      <w:bookmarkEnd w:id="44"/>
    </w:p>
    <w:tbl>
      <w:tblPr>
        <w:tblStyle w:val="GridTable2-Accent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D1663C" w14:paraId="6980A295" w14:textId="77777777" w:rsidTr="00D166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Borders>
              <w:top w:val="none" w:sz="0" w:space="0" w:color="auto"/>
              <w:bottom w:val="none" w:sz="0" w:space="0" w:color="auto"/>
              <w:right w:val="none" w:sz="0" w:space="0" w:color="auto"/>
            </w:tcBorders>
            <w:shd w:val="clear" w:color="auto" w:fill="auto"/>
          </w:tcPr>
          <w:p w14:paraId="5FF33654" w14:textId="77777777" w:rsidR="00D1663C" w:rsidRPr="00514BD6" w:rsidRDefault="00D1663C" w:rsidP="00D1663C">
            <w:pPr>
              <w:spacing w:after="0"/>
              <w:rPr>
                <w:lang w:val="en-GB"/>
              </w:rPr>
            </w:pPr>
            <w:r w:rsidRPr="00514BD6">
              <w:rPr>
                <w:lang w:val="en-GB"/>
              </w:rPr>
              <w:t>Space-use description used in charts</w:t>
            </w:r>
          </w:p>
        </w:tc>
        <w:tc>
          <w:tcPr>
            <w:tcW w:w="4814" w:type="dxa"/>
            <w:tcBorders>
              <w:top w:val="none" w:sz="0" w:space="0" w:color="auto"/>
              <w:left w:val="none" w:sz="0" w:space="0" w:color="auto"/>
              <w:bottom w:val="none" w:sz="0" w:space="0" w:color="auto"/>
            </w:tcBorders>
            <w:shd w:val="clear" w:color="auto" w:fill="auto"/>
          </w:tcPr>
          <w:p w14:paraId="10781314" w14:textId="77777777" w:rsidR="00D1663C" w:rsidRPr="00514BD6" w:rsidRDefault="00D1663C" w:rsidP="00D1663C">
            <w:pPr>
              <w:spacing w:after="0"/>
              <w:cnfStyle w:val="100000000000" w:firstRow="1" w:lastRow="0" w:firstColumn="0" w:lastColumn="0" w:oddVBand="0" w:evenVBand="0" w:oddHBand="0" w:evenHBand="0" w:firstRowFirstColumn="0" w:firstRowLastColumn="0" w:lastRowFirstColumn="0" w:lastRowLastColumn="0"/>
              <w:rPr>
                <w:lang w:val="en-GB"/>
              </w:rPr>
            </w:pPr>
            <w:r w:rsidRPr="00514BD6">
              <w:rPr>
                <w:lang w:val="en-GB"/>
              </w:rPr>
              <w:t>CLUE space-use types</w:t>
            </w:r>
          </w:p>
        </w:tc>
      </w:tr>
      <w:tr w:rsidR="00D1663C" w14:paraId="0293A43E" w14:textId="77777777" w:rsidTr="00D166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shd w:val="clear" w:color="auto" w:fill="auto"/>
          </w:tcPr>
          <w:p w14:paraId="06EA1070" w14:textId="77777777" w:rsidR="00D1663C" w:rsidRPr="00514BD6" w:rsidRDefault="00D1663C" w:rsidP="00D1663C">
            <w:pPr>
              <w:spacing w:after="0"/>
              <w:rPr>
                <w:b w:val="0"/>
                <w:lang w:val="en-GB"/>
              </w:rPr>
            </w:pPr>
            <w:r w:rsidRPr="00514BD6">
              <w:rPr>
                <w:b w:val="0"/>
                <w:lang w:val="en-GB"/>
              </w:rPr>
              <w:t>Office</w:t>
            </w:r>
            <w:r w:rsidRPr="00514BD6">
              <w:rPr>
                <w:b w:val="0"/>
                <w:lang w:val="en-GB"/>
              </w:rPr>
              <w:tab/>
            </w:r>
            <w:r w:rsidRPr="00514BD6">
              <w:rPr>
                <w:b w:val="0"/>
                <w:lang w:val="en-GB"/>
              </w:rPr>
              <w:tab/>
            </w:r>
            <w:r w:rsidRPr="00514BD6">
              <w:rPr>
                <w:b w:val="0"/>
                <w:lang w:val="en-GB"/>
              </w:rPr>
              <w:tab/>
            </w:r>
            <w:r w:rsidRPr="00514BD6">
              <w:rPr>
                <w:b w:val="0"/>
                <w:lang w:val="en-GB"/>
              </w:rPr>
              <w:tab/>
            </w:r>
            <w:r w:rsidRPr="00514BD6">
              <w:rPr>
                <w:b w:val="0"/>
                <w:lang w:val="en-GB"/>
              </w:rPr>
              <w:tab/>
            </w:r>
            <w:r w:rsidRPr="00514BD6">
              <w:rPr>
                <w:b w:val="0"/>
                <w:lang w:val="en-GB"/>
              </w:rPr>
              <w:tab/>
            </w:r>
          </w:p>
        </w:tc>
        <w:tc>
          <w:tcPr>
            <w:tcW w:w="4814" w:type="dxa"/>
            <w:shd w:val="clear" w:color="auto" w:fill="auto"/>
          </w:tcPr>
          <w:p w14:paraId="5C855826" w14:textId="77777777" w:rsidR="00D1663C" w:rsidRPr="00514BD6" w:rsidRDefault="00D1663C" w:rsidP="00D1663C">
            <w:pPr>
              <w:spacing w:after="0"/>
              <w:cnfStyle w:val="000000100000" w:firstRow="0" w:lastRow="0" w:firstColumn="0" w:lastColumn="0" w:oddVBand="0" w:evenVBand="0" w:oddHBand="1" w:evenHBand="0" w:firstRowFirstColumn="0" w:firstRowLastColumn="0" w:lastRowFirstColumn="0" w:lastRowLastColumn="0"/>
              <w:rPr>
                <w:lang w:val="en-GB"/>
              </w:rPr>
            </w:pPr>
            <w:r w:rsidRPr="00514BD6">
              <w:rPr>
                <w:lang w:val="en-GB"/>
              </w:rPr>
              <w:t>Office</w:t>
            </w:r>
          </w:p>
        </w:tc>
      </w:tr>
      <w:tr w:rsidR="00D1663C" w14:paraId="4402B4BE" w14:textId="77777777" w:rsidTr="009546F6">
        <w:trPr>
          <w:trHeight w:val="1084"/>
        </w:trPr>
        <w:tc>
          <w:tcPr>
            <w:cnfStyle w:val="001000000000" w:firstRow="0" w:lastRow="0" w:firstColumn="1" w:lastColumn="0" w:oddVBand="0" w:evenVBand="0" w:oddHBand="0" w:evenHBand="0" w:firstRowFirstColumn="0" w:firstRowLastColumn="0" w:lastRowFirstColumn="0" w:lastRowLastColumn="0"/>
            <w:tcW w:w="4814" w:type="dxa"/>
            <w:shd w:val="clear" w:color="auto" w:fill="auto"/>
          </w:tcPr>
          <w:p w14:paraId="75108A5B" w14:textId="77777777" w:rsidR="00D1663C" w:rsidRPr="00514BD6" w:rsidRDefault="00D1663C" w:rsidP="00D1663C">
            <w:pPr>
              <w:spacing w:after="0"/>
              <w:rPr>
                <w:b w:val="0"/>
                <w:lang w:val="en-GB"/>
              </w:rPr>
            </w:pPr>
            <w:r w:rsidRPr="00514BD6">
              <w:rPr>
                <w:b w:val="0"/>
                <w:lang w:val="en-GB"/>
              </w:rPr>
              <w:t>Residential</w:t>
            </w:r>
          </w:p>
        </w:tc>
        <w:tc>
          <w:tcPr>
            <w:tcW w:w="4814" w:type="dxa"/>
            <w:shd w:val="clear" w:color="auto" w:fill="auto"/>
          </w:tcPr>
          <w:p w14:paraId="1698A8DE" w14:textId="77777777" w:rsidR="00D1663C" w:rsidRPr="00514BD6" w:rsidRDefault="00D1663C" w:rsidP="00D1663C">
            <w:pPr>
              <w:spacing w:after="0"/>
              <w:cnfStyle w:val="000000000000" w:firstRow="0" w:lastRow="0" w:firstColumn="0" w:lastColumn="0" w:oddVBand="0" w:evenVBand="0" w:oddHBand="0" w:evenHBand="0" w:firstRowFirstColumn="0" w:firstRowLastColumn="0" w:lastRowFirstColumn="0" w:lastRowLastColumn="0"/>
              <w:rPr>
                <w:lang w:val="en-GB"/>
              </w:rPr>
            </w:pPr>
            <w:r w:rsidRPr="00514BD6">
              <w:rPr>
                <w:lang w:val="en-GB"/>
              </w:rPr>
              <w:t>Student Accommodation</w:t>
            </w:r>
          </w:p>
          <w:p w14:paraId="7993151A" w14:textId="77777777" w:rsidR="00D1663C" w:rsidRPr="00514BD6" w:rsidRDefault="00D1663C" w:rsidP="00D1663C">
            <w:pPr>
              <w:spacing w:after="0"/>
              <w:cnfStyle w:val="000000000000" w:firstRow="0" w:lastRow="0" w:firstColumn="0" w:lastColumn="0" w:oddVBand="0" w:evenVBand="0" w:oddHBand="0" w:evenHBand="0" w:firstRowFirstColumn="0" w:firstRowLastColumn="0" w:lastRowFirstColumn="0" w:lastRowLastColumn="0"/>
              <w:rPr>
                <w:lang w:val="en-GB"/>
              </w:rPr>
            </w:pPr>
            <w:r w:rsidRPr="00514BD6">
              <w:rPr>
                <w:lang w:val="en-GB"/>
              </w:rPr>
              <w:t>Institutional Accommodation</w:t>
            </w:r>
          </w:p>
          <w:p w14:paraId="1A9D7917" w14:textId="77777777" w:rsidR="00D1663C" w:rsidRPr="00514BD6" w:rsidRDefault="00D1663C" w:rsidP="00D1663C">
            <w:pPr>
              <w:spacing w:after="0"/>
              <w:cnfStyle w:val="000000000000" w:firstRow="0" w:lastRow="0" w:firstColumn="0" w:lastColumn="0" w:oddVBand="0" w:evenVBand="0" w:oddHBand="0" w:evenHBand="0" w:firstRowFirstColumn="0" w:firstRowLastColumn="0" w:lastRowFirstColumn="0" w:lastRowLastColumn="0"/>
              <w:rPr>
                <w:lang w:val="en-GB"/>
              </w:rPr>
            </w:pPr>
            <w:r w:rsidRPr="00514BD6">
              <w:rPr>
                <w:lang w:val="en-GB"/>
              </w:rPr>
              <w:t>Residential Apartment</w:t>
            </w:r>
          </w:p>
          <w:p w14:paraId="263B1789" w14:textId="77777777" w:rsidR="00D1663C" w:rsidRPr="00514BD6" w:rsidRDefault="00D1663C" w:rsidP="00D1663C">
            <w:pPr>
              <w:spacing w:after="0"/>
              <w:cnfStyle w:val="000000000000" w:firstRow="0" w:lastRow="0" w:firstColumn="0" w:lastColumn="0" w:oddVBand="0" w:evenVBand="0" w:oddHBand="0" w:evenHBand="0" w:firstRowFirstColumn="0" w:firstRowLastColumn="0" w:lastRowFirstColumn="0" w:lastRowLastColumn="0"/>
              <w:rPr>
                <w:lang w:val="en-GB"/>
              </w:rPr>
            </w:pPr>
            <w:r w:rsidRPr="00514BD6">
              <w:rPr>
                <w:lang w:val="en-GB"/>
              </w:rPr>
              <w:t>House/Townhouse</w:t>
            </w:r>
          </w:p>
        </w:tc>
      </w:tr>
      <w:tr w:rsidR="00D1663C" w14:paraId="46EFDD47" w14:textId="77777777" w:rsidTr="00D166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shd w:val="clear" w:color="auto" w:fill="auto"/>
          </w:tcPr>
          <w:p w14:paraId="36DCABEC" w14:textId="77777777" w:rsidR="00D1663C" w:rsidRPr="00514BD6" w:rsidRDefault="00D1663C" w:rsidP="00D1663C">
            <w:pPr>
              <w:spacing w:after="0"/>
              <w:rPr>
                <w:b w:val="0"/>
                <w:lang w:val="en-GB"/>
              </w:rPr>
            </w:pPr>
            <w:r w:rsidRPr="00514BD6">
              <w:rPr>
                <w:b w:val="0"/>
                <w:lang w:val="en-GB"/>
              </w:rPr>
              <w:t>Retail</w:t>
            </w:r>
          </w:p>
        </w:tc>
        <w:tc>
          <w:tcPr>
            <w:tcW w:w="4814" w:type="dxa"/>
            <w:shd w:val="clear" w:color="auto" w:fill="auto"/>
          </w:tcPr>
          <w:p w14:paraId="4ABC60D7" w14:textId="77777777" w:rsidR="00D1663C" w:rsidRPr="00514BD6" w:rsidRDefault="00D1663C" w:rsidP="00D1663C">
            <w:pPr>
              <w:spacing w:after="0"/>
              <w:cnfStyle w:val="000000100000" w:firstRow="0" w:lastRow="0" w:firstColumn="0" w:lastColumn="0" w:oddVBand="0" w:evenVBand="0" w:oddHBand="1" w:evenHBand="0" w:firstRowFirstColumn="0" w:firstRowLastColumn="0" w:lastRowFirstColumn="0" w:lastRowLastColumn="0"/>
              <w:rPr>
                <w:lang w:val="en-GB"/>
              </w:rPr>
            </w:pPr>
            <w:r w:rsidRPr="00514BD6">
              <w:rPr>
                <w:lang w:val="en-GB"/>
              </w:rPr>
              <w:t>Retail – Shop (our energy-use calculations this space use into Retail – Shop and Retail – Supermarket)</w:t>
            </w:r>
            <w:r w:rsidRPr="00514BD6">
              <w:rPr>
                <w:lang w:val="en-GB"/>
              </w:rPr>
              <w:tab/>
            </w:r>
          </w:p>
          <w:p w14:paraId="37DBE55B" w14:textId="77777777" w:rsidR="00D1663C" w:rsidRPr="00514BD6" w:rsidRDefault="00D1663C" w:rsidP="00D1663C">
            <w:pPr>
              <w:spacing w:after="0"/>
              <w:cnfStyle w:val="000000100000" w:firstRow="0" w:lastRow="0" w:firstColumn="0" w:lastColumn="0" w:oddVBand="0" w:evenVBand="0" w:oddHBand="1" w:evenHBand="0" w:firstRowFirstColumn="0" w:firstRowLastColumn="0" w:lastRowFirstColumn="0" w:lastRowLastColumn="0"/>
              <w:rPr>
                <w:lang w:val="en-GB"/>
              </w:rPr>
            </w:pPr>
            <w:r w:rsidRPr="00514BD6">
              <w:rPr>
                <w:lang w:val="en-GB"/>
              </w:rPr>
              <w:t>Retail - Stall</w:t>
            </w:r>
            <w:r w:rsidRPr="00514BD6">
              <w:rPr>
                <w:lang w:val="en-GB"/>
              </w:rPr>
              <w:tab/>
            </w:r>
          </w:p>
          <w:p w14:paraId="09FAB851" w14:textId="77777777" w:rsidR="00D1663C" w:rsidRPr="00514BD6" w:rsidRDefault="00D1663C" w:rsidP="00D1663C">
            <w:pPr>
              <w:spacing w:after="0"/>
              <w:cnfStyle w:val="000000100000" w:firstRow="0" w:lastRow="0" w:firstColumn="0" w:lastColumn="0" w:oddVBand="0" w:evenVBand="0" w:oddHBand="1" w:evenHBand="0" w:firstRowFirstColumn="0" w:firstRowLastColumn="0" w:lastRowFirstColumn="0" w:lastRowLastColumn="0"/>
              <w:rPr>
                <w:lang w:val="en-GB"/>
              </w:rPr>
            </w:pPr>
            <w:r w:rsidRPr="00514BD6">
              <w:rPr>
                <w:lang w:val="en-GB"/>
              </w:rPr>
              <w:t>Retail - Showroom</w:t>
            </w:r>
            <w:r w:rsidRPr="00514BD6">
              <w:rPr>
                <w:lang w:val="en-GB"/>
              </w:rPr>
              <w:tab/>
            </w:r>
          </w:p>
          <w:p w14:paraId="727DB03F" w14:textId="77777777" w:rsidR="00D1663C" w:rsidRPr="00514BD6" w:rsidRDefault="00D1663C" w:rsidP="00D1663C">
            <w:pPr>
              <w:spacing w:after="0"/>
              <w:cnfStyle w:val="000000100000" w:firstRow="0" w:lastRow="0" w:firstColumn="0" w:lastColumn="0" w:oddVBand="0" w:evenVBand="0" w:oddHBand="1" w:evenHBand="0" w:firstRowFirstColumn="0" w:firstRowLastColumn="0" w:lastRowFirstColumn="0" w:lastRowLastColumn="0"/>
              <w:rPr>
                <w:lang w:val="en-GB"/>
              </w:rPr>
            </w:pPr>
            <w:r w:rsidRPr="00514BD6">
              <w:rPr>
                <w:lang w:val="en-GB"/>
              </w:rPr>
              <w:t>Retail - Cars</w:t>
            </w:r>
            <w:r w:rsidRPr="00514BD6">
              <w:rPr>
                <w:lang w:val="en-GB"/>
              </w:rPr>
              <w:tab/>
            </w:r>
          </w:p>
          <w:p w14:paraId="5ADF6343" w14:textId="77777777" w:rsidR="00D1663C" w:rsidRPr="00514BD6" w:rsidRDefault="00D1663C" w:rsidP="00D1663C">
            <w:pPr>
              <w:spacing w:after="0"/>
              <w:cnfStyle w:val="000000100000" w:firstRow="0" w:lastRow="0" w:firstColumn="0" w:lastColumn="0" w:oddVBand="0" w:evenVBand="0" w:oddHBand="1" w:evenHBand="0" w:firstRowFirstColumn="0" w:firstRowLastColumn="0" w:lastRowFirstColumn="0" w:lastRowLastColumn="0"/>
              <w:rPr>
                <w:lang w:val="en-GB"/>
              </w:rPr>
            </w:pPr>
            <w:r w:rsidRPr="00514BD6">
              <w:rPr>
                <w:lang w:val="en-GB"/>
              </w:rPr>
              <w:t>Wholesale</w:t>
            </w:r>
          </w:p>
        </w:tc>
      </w:tr>
      <w:tr w:rsidR="00D1663C" w14:paraId="2F1961DD" w14:textId="77777777" w:rsidTr="00D1663C">
        <w:tc>
          <w:tcPr>
            <w:cnfStyle w:val="001000000000" w:firstRow="0" w:lastRow="0" w:firstColumn="1" w:lastColumn="0" w:oddVBand="0" w:evenVBand="0" w:oddHBand="0" w:evenHBand="0" w:firstRowFirstColumn="0" w:firstRowLastColumn="0" w:lastRowFirstColumn="0" w:lastRowLastColumn="0"/>
            <w:tcW w:w="4814" w:type="dxa"/>
            <w:shd w:val="clear" w:color="auto" w:fill="auto"/>
          </w:tcPr>
          <w:p w14:paraId="7B08C1C2" w14:textId="77777777" w:rsidR="00D1663C" w:rsidRPr="00514BD6" w:rsidRDefault="00D1663C" w:rsidP="00D1663C">
            <w:pPr>
              <w:spacing w:after="0"/>
              <w:rPr>
                <w:b w:val="0"/>
                <w:lang w:val="en-GB"/>
              </w:rPr>
            </w:pPr>
            <w:r w:rsidRPr="00514BD6">
              <w:rPr>
                <w:b w:val="0"/>
                <w:lang w:val="en-GB"/>
              </w:rPr>
              <w:t>Manufacturing/light industrial</w:t>
            </w:r>
          </w:p>
        </w:tc>
        <w:tc>
          <w:tcPr>
            <w:tcW w:w="4814" w:type="dxa"/>
            <w:shd w:val="clear" w:color="auto" w:fill="auto"/>
          </w:tcPr>
          <w:p w14:paraId="19FE2EEF" w14:textId="77777777" w:rsidR="00D1663C" w:rsidRPr="00514BD6" w:rsidRDefault="00D1663C" w:rsidP="00D1663C">
            <w:pPr>
              <w:spacing w:after="0"/>
              <w:cnfStyle w:val="000000000000" w:firstRow="0" w:lastRow="0" w:firstColumn="0" w:lastColumn="0" w:oddVBand="0" w:evenVBand="0" w:oddHBand="0" w:evenHBand="0" w:firstRowFirstColumn="0" w:firstRowLastColumn="0" w:lastRowFirstColumn="0" w:lastRowLastColumn="0"/>
              <w:rPr>
                <w:lang w:val="en-GB"/>
              </w:rPr>
            </w:pPr>
            <w:r w:rsidRPr="00514BD6">
              <w:rPr>
                <w:lang w:val="en-GB"/>
              </w:rPr>
              <w:t>Manufacturing</w:t>
            </w:r>
          </w:p>
          <w:p w14:paraId="475B3940" w14:textId="77777777" w:rsidR="00D1663C" w:rsidRPr="00514BD6" w:rsidRDefault="00D1663C" w:rsidP="00D1663C">
            <w:pPr>
              <w:spacing w:after="0"/>
              <w:cnfStyle w:val="000000000000" w:firstRow="0" w:lastRow="0" w:firstColumn="0" w:lastColumn="0" w:oddVBand="0" w:evenVBand="0" w:oddHBand="0" w:evenHBand="0" w:firstRowFirstColumn="0" w:firstRowLastColumn="0" w:lastRowFirstColumn="0" w:lastRowLastColumn="0"/>
              <w:rPr>
                <w:lang w:val="en-GB"/>
              </w:rPr>
            </w:pPr>
            <w:r w:rsidRPr="00514BD6">
              <w:rPr>
                <w:lang w:val="en-GB"/>
              </w:rPr>
              <w:t>Workshop/Studio</w:t>
            </w:r>
          </w:p>
          <w:p w14:paraId="11B02F75" w14:textId="77777777" w:rsidR="00D1663C" w:rsidRPr="00514BD6" w:rsidRDefault="00D1663C" w:rsidP="00D1663C">
            <w:pPr>
              <w:spacing w:after="0"/>
              <w:cnfStyle w:val="000000000000" w:firstRow="0" w:lastRow="0" w:firstColumn="0" w:lastColumn="0" w:oddVBand="0" w:evenVBand="0" w:oddHBand="0" w:evenHBand="0" w:firstRowFirstColumn="0" w:firstRowLastColumn="0" w:lastRowFirstColumn="0" w:lastRowLastColumn="0"/>
              <w:rPr>
                <w:lang w:val="en-GB"/>
              </w:rPr>
            </w:pPr>
            <w:r w:rsidRPr="00514BD6">
              <w:rPr>
                <w:lang w:val="en-GB"/>
              </w:rPr>
              <w:t>Storage</w:t>
            </w:r>
          </w:p>
        </w:tc>
      </w:tr>
      <w:tr w:rsidR="00D1663C" w14:paraId="2DFBA77A" w14:textId="77777777" w:rsidTr="00D166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shd w:val="clear" w:color="auto" w:fill="auto"/>
          </w:tcPr>
          <w:p w14:paraId="7BCC2443" w14:textId="77777777" w:rsidR="00D1663C" w:rsidRPr="00514BD6" w:rsidRDefault="00D1663C" w:rsidP="00D1663C">
            <w:pPr>
              <w:spacing w:after="0"/>
              <w:rPr>
                <w:b w:val="0"/>
                <w:lang w:val="en-GB"/>
              </w:rPr>
            </w:pPr>
            <w:r w:rsidRPr="00514BD6">
              <w:rPr>
                <w:b w:val="0"/>
                <w:lang w:val="en-GB"/>
              </w:rPr>
              <w:t>Transport</w:t>
            </w:r>
          </w:p>
        </w:tc>
        <w:tc>
          <w:tcPr>
            <w:tcW w:w="4814" w:type="dxa"/>
            <w:shd w:val="clear" w:color="auto" w:fill="auto"/>
          </w:tcPr>
          <w:p w14:paraId="61981B65" w14:textId="77777777" w:rsidR="00D1663C" w:rsidRPr="00514BD6" w:rsidRDefault="00D1663C" w:rsidP="00D1663C">
            <w:pPr>
              <w:spacing w:after="0"/>
              <w:cnfStyle w:val="000000100000" w:firstRow="0" w:lastRow="0" w:firstColumn="0" w:lastColumn="0" w:oddVBand="0" w:evenVBand="0" w:oddHBand="1" w:evenHBand="0" w:firstRowFirstColumn="0" w:firstRowLastColumn="0" w:lastRowFirstColumn="0" w:lastRowLastColumn="0"/>
              <w:rPr>
                <w:lang w:val="en-GB"/>
              </w:rPr>
            </w:pPr>
            <w:r w:rsidRPr="00514BD6">
              <w:rPr>
                <w:lang w:val="en-GB"/>
              </w:rPr>
              <w:t>Transport</w:t>
            </w:r>
          </w:p>
          <w:p w14:paraId="235FD1AD" w14:textId="77777777" w:rsidR="00D1663C" w:rsidRPr="00514BD6" w:rsidRDefault="00D1663C" w:rsidP="00D1663C">
            <w:pPr>
              <w:spacing w:after="0"/>
              <w:cnfStyle w:val="000000100000" w:firstRow="0" w:lastRow="0" w:firstColumn="0" w:lastColumn="0" w:oddVBand="0" w:evenVBand="0" w:oddHBand="1" w:evenHBand="0" w:firstRowFirstColumn="0" w:firstRowLastColumn="0" w:lastRowFirstColumn="0" w:lastRowLastColumn="0"/>
              <w:rPr>
                <w:lang w:val="en-GB"/>
              </w:rPr>
            </w:pPr>
            <w:r w:rsidRPr="00514BD6">
              <w:rPr>
                <w:lang w:val="en-GB"/>
              </w:rPr>
              <w:lastRenderedPageBreak/>
              <w:t>Transport/Storage - Uncovered</w:t>
            </w:r>
          </w:p>
        </w:tc>
      </w:tr>
      <w:tr w:rsidR="00D1663C" w14:paraId="20F22CFD" w14:textId="77777777" w:rsidTr="00D1663C">
        <w:tc>
          <w:tcPr>
            <w:cnfStyle w:val="001000000000" w:firstRow="0" w:lastRow="0" w:firstColumn="1" w:lastColumn="0" w:oddVBand="0" w:evenVBand="0" w:oddHBand="0" w:evenHBand="0" w:firstRowFirstColumn="0" w:firstRowLastColumn="0" w:lastRowFirstColumn="0" w:lastRowLastColumn="0"/>
            <w:tcW w:w="4814" w:type="dxa"/>
            <w:shd w:val="clear" w:color="auto" w:fill="auto"/>
          </w:tcPr>
          <w:p w14:paraId="2A54ADB1" w14:textId="77777777" w:rsidR="00D1663C" w:rsidRPr="00514BD6" w:rsidRDefault="00D1663C" w:rsidP="00D1663C">
            <w:pPr>
              <w:spacing w:after="0"/>
              <w:rPr>
                <w:b w:val="0"/>
                <w:lang w:val="en-GB"/>
              </w:rPr>
            </w:pPr>
            <w:r w:rsidRPr="00514BD6">
              <w:rPr>
                <w:b w:val="0"/>
                <w:lang w:val="en-GB"/>
              </w:rPr>
              <w:lastRenderedPageBreak/>
              <w:t>Education</w:t>
            </w:r>
          </w:p>
        </w:tc>
        <w:tc>
          <w:tcPr>
            <w:tcW w:w="4814" w:type="dxa"/>
            <w:shd w:val="clear" w:color="auto" w:fill="auto"/>
          </w:tcPr>
          <w:p w14:paraId="0D9825E3" w14:textId="77777777" w:rsidR="00D1663C" w:rsidRPr="00514BD6" w:rsidRDefault="00D1663C" w:rsidP="00D1663C">
            <w:pPr>
              <w:spacing w:after="0"/>
              <w:cnfStyle w:val="000000000000" w:firstRow="0" w:lastRow="0" w:firstColumn="0" w:lastColumn="0" w:oddVBand="0" w:evenVBand="0" w:oddHBand="0" w:evenHBand="0" w:firstRowFirstColumn="0" w:firstRowLastColumn="0" w:lastRowFirstColumn="0" w:lastRowLastColumn="0"/>
              <w:rPr>
                <w:lang w:val="en-GB"/>
              </w:rPr>
            </w:pPr>
            <w:r w:rsidRPr="00514BD6">
              <w:rPr>
                <w:lang w:val="en-GB"/>
              </w:rPr>
              <w:t>Educational/Research</w:t>
            </w:r>
          </w:p>
        </w:tc>
      </w:tr>
      <w:tr w:rsidR="00D1663C" w14:paraId="67A03B41" w14:textId="77777777" w:rsidTr="00D166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shd w:val="clear" w:color="auto" w:fill="auto"/>
          </w:tcPr>
          <w:p w14:paraId="05B4B03E" w14:textId="77777777" w:rsidR="00D1663C" w:rsidRPr="00514BD6" w:rsidRDefault="00D1663C" w:rsidP="00D1663C">
            <w:pPr>
              <w:spacing w:after="0"/>
              <w:rPr>
                <w:b w:val="0"/>
                <w:lang w:val="en-GB"/>
              </w:rPr>
            </w:pPr>
            <w:r w:rsidRPr="00514BD6">
              <w:rPr>
                <w:b w:val="0"/>
                <w:lang w:val="en-GB"/>
              </w:rPr>
              <w:t>Hospitals/healthcare</w:t>
            </w:r>
          </w:p>
        </w:tc>
        <w:tc>
          <w:tcPr>
            <w:tcW w:w="4814" w:type="dxa"/>
            <w:shd w:val="clear" w:color="auto" w:fill="auto"/>
          </w:tcPr>
          <w:p w14:paraId="7FD9F530" w14:textId="77777777" w:rsidR="00D1663C" w:rsidRPr="00514BD6" w:rsidRDefault="00D1663C" w:rsidP="00D1663C">
            <w:pPr>
              <w:spacing w:after="0"/>
              <w:cnfStyle w:val="000000100000" w:firstRow="0" w:lastRow="0" w:firstColumn="0" w:lastColumn="0" w:oddVBand="0" w:evenVBand="0" w:oddHBand="1" w:evenHBand="0" w:firstRowFirstColumn="0" w:firstRowLastColumn="0" w:lastRowFirstColumn="0" w:lastRowLastColumn="0"/>
              <w:rPr>
                <w:lang w:val="en-GB"/>
              </w:rPr>
            </w:pPr>
            <w:r w:rsidRPr="00514BD6">
              <w:rPr>
                <w:lang w:val="en-GB"/>
              </w:rPr>
              <w:t>Hospital/Clinic</w:t>
            </w:r>
          </w:p>
        </w:tc>
      </w:tr>
      <w:tr w:rsidR="00D1663C" w14:paraId="48DF33E7" w14:textId="77777777" w:rsidTr="00D1663C">
        <w:tc>
          <w:tcPr>
            <w:cnfStyle w:val="001000000000" w:firstRow="0" w:lastRow="0" w:firstColumn="1" w:lastColumn="0" w:oddVBand="0" w:evenVBand="0" w:oddHBand="0" w:evenHBand="0" w:firstRowFirstColumn="0" w:firstRowLastColumn="0" w:lastRowFirstColumn="0" w:lastRowLastColumn="0"/>
            <w:tcW w:w="4814" w:type="dxa"/>
            <w:shd w:val="clear" w:color="auto" w:fill="auto"/>
          </w:tcPr>
          <w:p w14:paraId="090E2088" w14:textId="77777777" w:rsidR="00D1663C" w:rsidRPr="00514BD6" w:rsidRDefault="00D1663C" w:rsidP="00D1663C">
            <w:pPr>
              <w:spacing w:after="0"/>
              <w:rPr>
                <w:b w:val="0"/>
                <w:lang w:val="en-GB"/>
              </w:rPr>
            </w:pPr>
            <w:r w:rsidRPr="00514BD6">
              <w:rPr>
                <w:b w:val="0"/>
                <w:lang w:val="en-GB"/>
              </w:rPr>
              <w:t>Commercial accommodation</w:t>
            </w:r>
          </w:p>
        </w:tc>
        <w:tc>
          <w:tcPr>
            <w:tcW w:w="4814" w:type="dxa"/>
            <w:shd w:val="clear" w:color="auto" w:fill="auto"/>
          </w:tcPr>
          <w:p w14:paraId="7E02B4CE" w14:textId="77777777" w:rsidR="00D1663C" w:rsidRPr="00514BD6" w:rsidRDefault="00D1663C" w:rsidP="00D1663C">
            <w:pPr>
              <w:spacing w:after="0"/>
              <w:cnfStyle w:val="000000000000" w:firstRow="0" w:lastRow="0" w:firstColumn="0" w:lastColumn="0" w:oddVBand="0" w:evenVBand="0" w:oddHBand="0" w:evenHBand="0" w:firstRowFirstColumn="0" w:firstRowLastColumn="0" w:lastRowFirstColumn="0" w:lastRowLastColumn="0"/>
              <w:rPr>
                <w:lang w:val="en-GB"/>
              </w:rPr>
            </w:pPr>
            <w:r w:rsidRPr="00514BD6">
              <w:rPr>
                <w:lang w:val="en-GB"/>
              </w:rPr>
              <w:t>Commercial Accommodation (our energy-use calculations divided this space into sub-categories to capture the spread of intensities)</w:t>
            </w:r>
          </w:p>
        </w:tc>
      </w:tr>
      <w:tr w:rsidR="00D1663C" w14:paraId="3C367BBA" w14:textId="77777777" w:rsidTr="00D166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shd w:val="clear" w:color="auto" w:fill="auto"/>
          </w:tcPr>
          <w:p w14:paraId="35D70281" w14:textId="77777777" w:rsidR="00D1663C" w:rsidRPr="00514BD6" w:rsidRDefault="00D1663C" w:rsidP="00D1663C">
            <w:pPr>
              <w:spacing w:after="0"/>
              <w:rPr>
                <w:b w:val="0"/>
                <w:lang w:val="en-GB"/>
              </w:rPr>
            </w:pPr>
            <w:r w:rsidRPr="00514BD6">
              <w:rPr>
                <w:b w:val="0"/>
                <w:lang w:val="en-GB"/>
              </w:rPr>
              <w:t>Entertainment/recreation</w:t>
            </w:r>
          </w:p>
        </w:tc>
        <w:tc>
          <w:tcPr>
            <w:tcW w:w="4814" w:type="dxa"/>
            <w:shd w:val="clear" w:color="auto" w:fill="auto"/>
          </w:tcPr>
          <w:p w14:paraId="1487E3AF" w14:textId="77777777" w:rsidR="00D1663C" w:rsidRPr="00514BD6" w:rsidRDefault="00D1663C" w:rsidP="00D1663C">
            <w:pPr>
              <w:spacing w:after="0"/>
              <w:cnfStyle w:val="000000100000" w:firstRow="0" w:lastRow="0" w:firstColumn="0" w:lastColumn="0" w:oddVBand="0" w:evenVBand="0" w:oddHBand="1" w:evenHBand="0" w:firstRowFirstColumn="0" w:firstRowLastColumn="0" w:lastRowFirstColumn="0" w:lastRowLastColumn="0"/>
              <w:rPr>
                <w:lang w:val="en-GB"/>
              </w:rPr>
            </w:pPr>
            <w:r w:rsidRPr="00514BD6">
              <w:rPr>
                <w:lang w:val="en-GB"/>
              </w:rPr>
              <w:t>Entertainment/Recreation - Indoor</w:t>
            </w:r>
          </w:p>
        </w:tc>
      </w:tr>
      <w:tr w:rsidR="00D1663C" w14:paraId="561FD92C" w14:textId="77777777" w:rsidTr="00D1663C">
        <w:tc>
          <w:tcPr>
            <w:cnfStyle w:val="001000000000" w:firstRow="0" w:lastRow="0" w:firstColumn="1" w:lastColumn="0" w:oddVBand="0" w:evenVBand="0" w:oddHBand="0" w:evenHBand="0" w:firstRowFirstColumn="0" w:firstRowLastColumn="0" w:lastRowFirstColumn="0" w:lastRowLastColumn="0"/>
            <w:tcW w:w="4814" w:type="dxa"/>
            <w:shd w:val="clear" w:color="auto" w:fill="auto"/>
          </w:tcPr>
          <w:p w14:paraId="11356F88" w14:textId="77777777" w:rsidR="00D1663C" w:rsidRPr="00514BD6" w:rsidRDefault="00D1663C" w:rsidP="00D1663C">
            <w:pPr>
              <w:spacing w:after="0"/>
              <w:rPr>
                <w:b w:val="0"/>
                <w:lang w:val="en-GB"/>
              </w:rPr>
            </w:pPr>
            <w:r w:rsidRPr="00514BD6">
              <w:rPr>
                <w:b w:val="0"/>
                <w:lang w:val="en-GB"/>
              </w:rPr>
              <w:t>Unoccupied</w:t>
            </w:r>
          </w:p>
        </w:tc>
        <w:tc>
          <w:tcPr>
            <w:tcW w:w="4814" w:type="dxa"/>
            <w:shd w:val="clear" w:color="auto" w:fill="auto"/>
          </w:tcPr>
          <w:p w14:paraId="4A046988" w14:textId="77777777" w:rsidR="00D1663C" w:rsidRPr="00514BD6" w:rsidRDefault="00D1663C" w:rsidP="00D1663C">
            <w:pPr>
              <w:spacing w:after="0"/>
              <w:cnfStyle w:val="000000000000" w:firstRow="0" w:lastRow="0" w:firstColumn="0" w:lastColumn="0" w:oddVBand="0" w:evenVBand="0" w:oddHBand="0" w:evenHBand="0" w:firstRowFirstColumn="0" w:firstRowLastColumn="0" w:lastRowFirstColumn="0" w:lastRowLastColumn="0"/>
              <w:rPr>
                <w:lang w:val="en-GB"/>
              </w:rPr>
            </w:pPr>
            <w:r w:rsidRPr="00514BD6">
              <w:rPr>
                <w:lang w:val="en-GB"/>
              </w:rPr>
              <w:t>Unoccupied - Under Construction</w:t>
            </w:r>
          </w:p>
          <w:p w14:paraId="265157EE" w14:textId="77777777" w:rsidR="00D1663C" w:rsidRPr="00514BD6" w:rsidRDefault="00D1663C" w:rsidP="00D1663C">
            <w:pPr>
              <w:spacing w:after="0"/>
              <w:cnfStyle w:val="000000000000" w:firstRow="0" w:lastRow="0" w:firstColumn="0" w:lastColumn="0" w:oddVBand="0" w:evenVBand="0" w:oddHBand="0" w:evenHBand="0" w:firstRowFirstColumn="0" w:firstRowLastColumn="0" w:lastRowFirstColumn="0" w:lastRowLastColumn="0"/>
              <w:rPr>
                <w:lang w:val="en-GB"/>
              </w:rPr>
            </w:pPr>
            <w:r w:rsidRPr="00514BD6">
              <w:rPr>
                <w:lang w:val="en-GB"/>
              </w:rPr>
              <w:t>Unoccupied - Under Renovation</w:t>
            </w:r>
          </w:p>
          <w:p w14:paraId="19A710EB" w14:textId="77777777" w:rsidR="00D1663C" w:rsidRPr="00514BD6" w:rsidRDefault="00D1663C" w:rsidP="00D1663C">
            <w:pPr>
              <w:spacing w:after="0"/>
              <w:cnfStyle w:val="000000000000" w:firstRow="0" w:lastRow="0" w:firstColumn="0" w:lastColumn="0" w:oddVBand="0" w:evenVBand="0" w:oddHBand="0" w:evenHBand="0" w:firstRowFirstColumn="0" w:firstRowLastColumn="0" w:lastRowFirstColumn="0" w:lastRowLastColumn="0"/>
              <w:rPr>
                <w:lang w:val="en-GB"/>
              </w:rPr>
            </w:pPr>
            <w:r w:rsidRPr="00514BD6">
              <w:rPr>
                <w:lang w:val="en-GB"/>
              </w:rPr>
              <w:t>Unoccupied - Under Demolition/Condemned</w:t>
            </w:r>
          </w:p>
          <w:p w14:paraId="3940B77A" w14:textId="77777777" w:rsidR="00D1663C" w:rsidRPr="00514BD6" w:rsidRDefault="00D1663C" w:rsidP="00D1663C">
            <w:pPr>
              <w:spacing w:after="0"/>
              <w:cnfStyle w:val="000000000000" w:firstRow="0" w:lastRow="0" w:firstColumn="0" w:lastColumn="0" w:oddVBand="0" w:evenVBand="0" w:oddHBand="0" w:evenHBand="0" w:firstRowFirstColumn="0" w:firstRowLastColumn="0" w:lastRowFirstColumn="0" w:lastRowLastColumn="0"/>
              <w:rPr>
                <w:lang w:val="en-GB"/>
              </w:rPr>
            </w:pPr>
            <w:r w:rsidRPr="00514BD6">
              <w:rPr>
                <w:lang w:val="en-GB"/>
              </w:rPr>
              <w:t>Unoccupied - Unused</w:t>
            </w:r>
            <w:r w:rsidRPr="00514BD6">
              <w:rPr>
                <w:lang w:val="en-GB"/>
              </w:rPr>
              <w:tab/>
            </w:r>
          </w:p>
          <w:p w14:paraId="02CB8E54" w14:textId="77777777" w:rsidR="00D1663C" w:rsidRPr="00514BD6" w:rsidRDefault="00D1663C" w:rsidP="00D1663C">
            <w:pPr>
              <w:spacing w:after="0"/>
              <w:cnfStyle w:val="000000000000" w:firstRow="0" w:lastRow="0" w:firstColumn="0" w:lastColumn="0" w:oddVBand="0" w:evenVBand="0" w:oddHBand="0" w:evenHBand="0" w:firstRowFirstColumn="0" w:firstRowLastColumn="0" w:lastRowFirstColumn="0" w:lastRowLastColumn="0"/>
              <w:rPr>
                <w:lang w:val="en-GB"/>
              </w:rPr>
            </w:pPr>
            <w:r w:rsidRPr="00514BD6">
              <w:rPr>
                <w:lang w:val="en-GB"/>
              </w:rPr>
              <w:t>Unoccupied - Undeveloped Site</w:t>
            </w:r>
          </w:p>
        </w:tc>
      </w:tr>
      <w:tr w:rsidR="00D1663C" w14:paraId="762B40EA" w14:textId="77777777" w:rsidTr="00D166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shd w:val="clear" w:color="auto" w:fill="auto"/>
          </w:tcPr>
          <w:p w14:paraId="1EDB50B8" w14:textId="77777777" w:rsidR="00D1663C" w:rsidRPr="00514BD6" w:rsidRDefault="00D1663C" w:rsidP="00D1663C">
            <w:pPr>
              <w:spacing w:after="0"/>
              <w:rPr>
                <w:b w:val="0"/>
                <w:lang w:val="en-GB"/>
              </w:rPr>
            </w:pPr>
            <w:r w:rsidRPr="00514BD6">
              <w:rPr>
                <w:b w:val="0"/>
                <w:lang w:val="en-GB"/>
              </w:rPr>
              <w:t>Community/public use</w:t>
            </w:r>
          </w:p>
        </w:tc>
        <w:tc>
          <w:tcPr>
            <w:tcW w:w="4814" w:type="dxa"/>
            <w:shd w:val="clear" w:color="auto" w:fill="auto"/>
          </w:tcPr>
          <w:p w14:paraId="5EB46441" w14:textId="77777777" w:rsidR="00D1663C" w:rsidRPr="00514BD6" w:rsidRDefault="00D1663C" w:rsidP="00D1663C">
            <w:pPr>
              <w:spacing w:after="0"/>
              <w:cnfStyle w:val="000000100000" w:firstRow="0" w:lastRow="0" w:firstColumn="0" w:lastColumn="0" w:oddVBand="0" w:evenVBand="0" w:oddHBand="1" w:evenHBand="0" w:firstRowFirstColumn="0" w:firstRowLastColumn="0" w:lastRowFirstColumn="0" w:lastRowLastColumn="0"/>
              <w:rPr>
                <w:lang w:val="en-GB"/>
              </w:rPr>
            </w:pPr>
            <w:r w:rsidRPr="00514BD6">
              <w:rPr>
                <w:lang w:val="en-GB"/>
              </w:rPr>
              <w:t>Performances, Conferences, Ceremonies</w:t>
            </w:r>
          </w:p>
          <w:p w14:paraId="49770168" w14:textId="77777777" w:rsidR="00D1663C" w:rsidRPr="00514BD6" w:rsidRDefault="00D1663C" w:rsidP="00D1663C">
            <w:pPr>
              <w:spacing w:after="0"/>
              <w:cnfStyle w:val="000000100000" w:firstRow="0" w:lastRow="0" w:firstColumn="0" w:lastColumn="0" w:oddVBand="0" w:evenVBand="0" w:oddHBand="1" w:evenHBand="0" w:firstRowFirstColumn="0" w:firstRowLastColumn="0" w:lastRowFirstColumn="0" w:lastRowLastColumn="0"/>
              <w:rPr>
                <w:lang w:val="en-GB"/>
              </w:rPr>
            </w:pPr>
            <w:r w:rsidRPr="00514BD6">
              <w:rPr>
                <w:lang w:val="en-GB"/>
              </w:rPr>
              <w:t>Public Display Area</w:t>
            </w:r>
          </w:p>
          <w:p w14:paraId="757DCCEB" w14:textId="77777777" w:rsidR="00D1663C" w:rsidRPr="00514BD6" w:rsidRDefault="00D1663C" w:rsidP="00D1663C">
            <w:pPr>
              <w:spacing w:after="0"/>
              <w:cnfStyle w:val="000000100000" w:firstRow="0" w:lastRow="0" w:firstColumn="0" w:lastColumn="0" w:oddVBand="0" w:evenVBand="0" w:oddHBand="1" w:evenHBand="0" w:firstRowFirstColumn="0" w:firstRowLastColumn="0" w:lastRowFirstColumn="0" w:lastRowLastColumn="0"/>
              <w:rPr>
                <w:lang w:val="en-GB"/>
              </w:rPr>
            </w:pPr>
            <w:r w:rsidRPr="00514BD6">
              <w:rPr>
                <w:lang w:val="en-GB"/>
              </w:rPr>
              <w:t>Community Use</w:t>
            </w:r>
          </w:p>
        </w:tc>
      </w:tr>
      <w:tr w:rsidR="00D1663C" w14:paraId="491F9D5F" w14:textId="77777777" w:rsidTr="00D1663C">
        <w:tc>
          <w:tcPr>
            <w:cnfStyle w:val="001000000000" w:firstRow="0" w:lastRow="0" w:firstColumn="1" w:lastColumn="0" w:oddVBand="0" w:evenVBand="0" w:oddHBand="0" w:evenHBand="0" w:firstRowFirstColumn="0" w:firstRowLastColumn="0" w:lastRowFirstColumn="0" w:lastRowLastColumn="0"/>
            <w:tcW w:w="4814" w:type="dxa"/>
            <w:shd w:val="clear" w:color="auto" w:fill="auto"/>
          </w:tcPr>
          <w:p w14:paraId="7466406C" w14:textId="77777777" w:rsidR="00D1663C" w:rsidRPr="00514BD6" w:rsidRDefault="00D1663C" w:rsidP="00D1663C">
            <w:pPr>
              <w:spacing w:after="0"/>
              <w:rPr>
                <w:b w:val="0"/>
                <w:lang w:val="en-GB"/>
              </w:rPr>
            </w:pPr>
            <w:r w:rsidRPr="00514BD6">
              <w:rPr>
                <w:b w:val="0"/>
                <w:lang w:val="en-GB"/>
              </w:rPr>
              <w:t>Parking</w:t>
            </w:r>
          </w:p>
        </w:tc>
        <w:tc>
          <w:tcPr>
            <w:tcW w:w="4814" w:type="dxa"/>
            <w:shd w:val="clear" w:color="auto" w:fill="auto"/>
          </w:tcPr>
          <w:p w14:paraId="11C27356" w14:textId="77777777" w:rsidR="00D1663C" w:rsidRPr="00514BD6" w:rsidRDefault="00D1663C" w:rsidP="00D1663C">
            <w:pPr>
              <w:spacing w:after="0"/>
              <w:cnfStyle w:val="000000000000" w:firstRow="0" w:lastRow="0" w:firstColumn="0" w:lastColumn="0" w:oddVBand="0" w:evenVBand="0" w:oddHBand="0" w:evenHBand="0" w:firstRowFirstColumn="0" w:firstRowLastColumn="0" w:lastRowFirstColumn="0" w:lastRowLastColumn="0"/>
              <w:rPr>
                <w:lang w:val="en-GB"/>
              </w:rPr>
            </w:pPr>
            <w:r w:rsidRPr="00514BD6">
              <w:rPr>
                <w:lang w:val="en-GB"/>
              </w:rPr>
              <w:t>Parking - Private Uncovered</w:t>
            </w:r>
            <w:r w:rsidRPr="00514BD6">
              <w:rPr>
                <w:lang w:val="en-GB"/>
              </w:rPr>
              <w:tab/>
            </w:r>
          </w:p>
          <w:p w14:paraId="6BCF66B5" w14:textId="77777777" w:rsidR="00D1663C" w:rsidRPr="00514BD6" w:rsidRDefault="00D1663C" w:rsidP="00D1663C">
            <w:pPr>
              <w:spacing w:after="0"/>
              <w:cnfStyle w:val="000000000000" w:firstRow="0" w:lastRow="0" w:firstColumn="0" w:lastColumn="0" w:oddVBand="0" w:evenVBand="0" w:oddHBand="0" w:evenHBand="0" w:firstRowFirstColumn="0" w:firstRowLastColumn="0" w:lastRowFirstColumn="0" w:lastRowLastColumn="0"/>
              <w:rPr>
                <w:lang w:val="en-GB"/>
              </w:rPr>
            </w:pPr>
            <w:r w:rsidRPr="00514BD6">
              <w:rPr>
                <w:lang w:val="en-GB"/>
              </w:rPr>
              <w:t>Parking - Commercial Covered</w:t>
            </w:r>
            <w:r w:rsidRPr="00514BD6">
              <w:rPr>
                <w:lang w:val="en-GB"/>
              </w:rPr>
              <w:tab/>
            </w:r>
          </w:p>
          <w:p w14:paraId="0EA41E00" w14:textId="77777777" w:rsidR="00D1663C" w:rsidRPr="00514BD6" w:rsidRDefault="00D1663C" w:rsidP="00D1663C">
            <w:pPr>
              <w:spacing w:after="0"/>
              <w:cnfStyle w:val="000000000000" w:firstRow="0" w:lastRow="0" w:firstColumn="0" w:lastColumn="0" w:oddVBand="0" w:evenVBand="0" w:oddHBand="0" w:evenHBand="0" w:firstRowFirstColumn="0" w:firstRowLastColumn="0" w:lastRowFirstColumn="0" w:lastRowLastColumn="0"/>
              <w:rPr>
                <w:lang w:val="en-GB"/>
              </w:rPr>
            </w:pPr>
            <w:r w:rsidRPr="00514BD6">
              <w:rPr>
                <w:lang w:val="en-GB"/>
              </w:rPr>
              <w:t>Parking - Commercial Uncovered</w:t>
            </w:r>
          </w:p>
        </w:tc>
      </w:tr>
      <w:tr w:rsidR="00D1663C" w14:paraId="44043A16" w14:textId="77777777" w:rsidTr="00D166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shd w:val="clear" w:color="auto" w:fill="auto"/>
          </w:tcPr>
          <w:p w14:paraId="5CE52844" w14:textId="77777777" w:rsidR="00D1663C" w:rsidRPr="00514BD6" w:rsidRDefault="00D1663C" w:rsidP="00D1663C">
            <w:pPr>
              <w:spacing w:after="0"/>
              <w:rPr>
                <w:b w:val="0"/>
                <w:lang w:val="en-GB"/>
              </w:rPr>
            </w:pPr>
            <w:r w:rsidRPr="00514BD6">
              <w:rPr>
                <w:b w:val="0"/>
                <w:lang w:val="en-GB"/>
              </w:rPr>
              <w:t>Other</w:t>
            </w:r>
          </w:p>
        </w:tc>
        <w:tc>
          <w:tcPr>
            <w:tcW w:w="4814" w:type="dxa"/>
            <w:shd w:val="clear" w:color="auto" w:fill="auto"/>
          </w:tcPr>
          <w:p w14:paraId="5E46A1FA" w14:textId="77777777" w:rsidR="00D1663C" w:rsidRPr="00514BD6" w:rsidRDefault="00D1663C" w:rsidP="00D1663C">
            <w:pPr>
              <w:spacing w:after="0"/>
              <w:cnfStyle w:val="000000100000" w:firstRow="0" w:lastRow="0" w:firstColumn="0" w:lastColumn="0" w:oddVBand="0" w:evenVBand="0" w:oddHBand="1" w:evenHBand="0" w:firstRowFirstColumn="0" w:firstRowLastColumn="0" w:lastRowFirstColumn="0" w:lastRowLastColumn="0"/>
              <w:rPr>
                <w:lang w:val="en-GB"/>
              </w:rPr>
            </w:pPr>
            <w:r>
              <w:rPr>
                <w:lang w:val="en-GB"/>
              </w:rPr>
              <w:t xml:space="preserve">Equipment Installation associated with </w:t>
            </w:r>
            <w:r w:rsidRPr="00514BD6">
              <w:rPr>
                <w:lang w:val="en-GB"/>
              </w:rPr>
              <w:t>Data centres</w:t>
            </w:r>
          </w:p>
          <w:p w14:paraId="56C0D587" w14:textId="77777777" w:rsidR="00D1663C" w:rsidRDefault="00D1663C" w:rsidP="00D1663C">
            <w:pPr>
              <w:spacing w:after="0"/>
              <w:cnfStyle w:val="000000100000" w:firstRow="0" w:lastRow="0" w:firstColumn="0" w:lastColumn="0" w:oddVBand="0" w:evenVBand="0" w:oddHBand="1" w:evenHBand="0" w:firstRowFirstColumn="0" w:firstRowLastColumn="0" w:lastRowFirstColumn="0" w:lastRowLastColumn="0"/>
              <w:rPr>
                <w:lang w:val="en-GB"/>
              </w:rPr>
            </w:pPr>
            <w:r w:rsidRPr="00514BD6">
              <w:rPr>
                <w:lang w:val="en-GB"/>
              </w:rPr>
              <w:t>Private Outdoor Space</w:t>
            </w:r>
          </w:p>
          <w:p w14:paraId="3ECC707D" w14:textId="77777777" w:rsidR="00D1663C" w:rsidRPr="00514BD6" w:rsidRDefault="00D1663C" w:rsidP="00D1663C">
            <w:pPr>
              <w:spacing w:after="0"/>
              <w:cnfStyle w:val="000000100000" w:firstRow="0" w:lastRow="0" w:firstColumn="0" w:lastColumn="0" w:oddVBand="0" w:evenVBand="0" w:oddHBand="1" w:evenHBand="0" w:firstRowFirstColumn="0" w:firstRowLastColumn="0" w:lastRowFirstColumn="0" w:lastRowLastColumn="0"/>
              <w:rPr>
                <w:lang w:val="en-GB"/>
              </w:rPr>
            </w:pPr>
            <w:r>
              <w:rPr>
                <w:lang w:val="en-GB"/>
              </w:rPr>
              <w:t>Residual shared spaces unable to be associated with a primary space uses</w:t>
            </w:r>
          </w:p>
        </w:tc>
      </w:tr>
      <w:tr w:rsidR="00D1663C" w14:paraId="28B1E7A4" w14:textId="77777777" w:rsidTr="00D1663C">
        <w:tc>
          <w:tcPr>
            <w:cnfStyle w:val="001000000000" w:firstRow="0" w:lastRow="0" w:firstColumn="1" w:lastColumn="0" w:oddVBand="0" w:evenVBand="0" w:oddHBand="0" w:evenHBand="0" w:firstRowFirstColumn="0" w:firstRowLastColumn="0" w:lastRowFirstColumn="0" w:lastRowLastColumn="0"/>
            <w:tcW w:w="4814" w:type="dxa"/>
            <w:shd w:val="clear" w:color="auto" w:fill="auto"/>
          </w:tcPr>
          <w:p w14:paraId="71352D30" w14:textId="77777777" w:rsidR="00D1663C" w:rsidRPr="00514BD6" w:rsidRDefault="00D1663C" w:rsidP="00D1663C">
            <w:pPr>
              <w:spacing w:after="0"/>
              <w:rPr>
                <w:b w:val="0"/>
                <w:lang w:val="en-GB"/>
              </w:rPr>
            </w:pPr>
            <w:r w:rsidRPr="00514BD6">
              <w:rPr>
                <w:b w:val="0"/>
                <w:lang w:val="en-GB"/>
              </w:rPr>
              <w:t>Outdoor space</w:t>
            </w:r>
          </w:p>
        </w:tc>
        <w:tc>
          <w:tcPr>
            <w:tcW w:w="4814" w:type="dxa"/>
            <w:shd w:val="clear" w:color="auto" w:fill="auto"/>
          </w:tcPr>
          <w:p w14:paraId="20138A6B" w14:textId="77777777" w:rsidR="00D1663C" w:rsidRPr="00514BD6" w:rsidRDefault="00D1663C" w:rsidP="00D1663C">
            <w:pPr>
              <w:spacing w:after="0"/>
              <w:cnfStyle w:val="000000000000" w:firstRow="0" w:lastRow="0" w:firstColumn="0" w:lastColumn="0" w:oddVBand="0" w:evenVBand="0" w:oddHBand="0" w:evenHBand="0" w:firstRowFirstColumn="0" w:firstRowLastColumn="0" w:lastRowFirstColumn="0" w:lastRowLastColumn="0"/>
              <w:rPr>
                <w:lang w:val="en-GB"/>
              </w:rPr>
            </w:pPr>
            <w:r w:rsidRPr="00514BD6">
              <w:rPr>
                <w:lang w:val="en-GB"/>
              </w:rPr>
              <w:t>Square/Promenade</w:t>
            </w:r>
            <w:r w:rsidRPr="00514BD6">
              <w:rPr>
                <w:lang w:val="en-GB"/>
              </w:rPr>
              <w:tab/>
              <w:t>Park/Reserve</w:t>
            </w:r>
            <w:r w:rsidRPr="00514BD6">
              <w:rPr>
                <w:lang w:val="en-GB"/>
              </w:rPr>
              <w:tab/>
              <w:t>Sports and Recreation - Outdoor</w:t>
            </w:r>
          </w:p>
        </w:tc>
      </w:tr>
    </w:tbl>
    <w:p w14:paraId="0E9E0B35" w14:textId="77777777" w:rsidR="00D65473" w:rsidRDefault="00D65473" w:rsidP="00687245">
      <w:pPr>
        <w:rPr>
          <w:lang w:val="en-GB"/>
        </w:rPr>
      </w:pPr>
    </w:p>
    <w:p w14:paraId="31CDC823" w14:textId="5D0A1DDC" w:rsidR="00D65473" w:rsidRPr="00514BD6" w:rsidRDefault="00D65473" w:rsidP="00687245">
      <w:pPr>
        <w:rPr>
          <w:lang w:val="en-GB"/>
        </w:rPr>
      </w:pPr>
      <w:r w:rsidRPr="00514BD6">
        <w:rPr>
          <w:lang w:val="en-GB"/>
        </w:rPr>
        <w:t>CLUE also includes several shared spaces, namely “Common Areas”, “Equipment Installation” and “Parking – Private Covered”. These</w:t>
      </w:r>
      <w:r>
        <w:rPr>
          <w:lang w:val="en-GB"/>
        </w:rPr>
        <w:t xml:space="preserve"> spaces were allocated to other spaces in the database proportionally, as discussed in </w:t>
      </w:r>
      <w:r>
        <w:rPr>
          <w:lang w:val="en-GB"/>
        </w:rPr>
        <w:fldChar w:fldCharType="begin"/>
      </w:r>
      <w:r>
        <w:rPr>
          <w:lang w:val="en-GB"/>
        </w:rPr>
        <w:instrText xml:space="preserve"> REF _Ref171020392 \r \h </w:instrText>
      </w:r>
      <w:r w:rsidR="00687245">
        <w:rPr>
          <w:lang w:val="en-GB"/>
        </w:rPr>
        <w:instrText xml:space="preserve"> \* MERGEFORMAT </w:instrText>
      </w:r>
      <w:r>
        <w:rPr>
          <w:lang w:val="en-GB"/>
        </w:rPr>
      </w:r>
      <w:r>
        <w:rPr>
          <w:lang w:val="en-GB"/>
        </w:rPr>
        <w:fldChar w:fldCharType="separate"/>
      </w:r>
      <w:r>
        <w:rPr>
          <w:lang w:val="en-GB"/>
        </w:rPr>
        <w:t>2.1.3</w:t>
      </w:r>
      <w:r>
        <w:rPr>
          <w:lang w:val="en-GB"/>
        </w:rPr>
        <w:fldChar w:fldCharType="end"/>
      </w:r>
      <w:r>
        <w:rPr>
          <w:lang w:val="en-GB"/>
        </w:rPr>
        <w:t>.</w:t>
      </w:r>
    </w:p>
    <w:p w14:paraId="3E83A4D5" w14:textId="58041BA1" w:rsidR="00D65473" w:rsidRDefault="00D65473" w:rsidP="00D65473">
      <w:pPr>
        <w:pStyle w:val="Heading3"/>
        <w:rPr>
          <w:rFonts w:hint="eastAsia"/>
        </w:rPr>
      </w:pPr>
      <w:r>
        <w:t>2.4.3</w:t>
      </w:r>
      <w:r>
        <w:tab/>
        <w:t>Use of Postcodes</w:t>
      </w:r>
    </w:p>
    <w:p w14:paraId="41AFB22A" w14:textId="51B29331" w:rsidR="003B45CC" w:rsidRDefault="00D65473" w:rsidP="00687245">
      <w:pPr>
        <w:rPr>
          <w:lang w:val="en-GB"/>
        </w:rPr>
      </w:pPr>
      <w:r>
        <w:rPr>
          <w:lang w:val="en-GB"/>
        </w:rPr>
        <w:t xml:space="preserve">This study uses postcodes to disaggregate the City’s building stock geographically. This approach was adopted as it aligned with that taken by energy distributors, who provide consumption data by postcode, and allowed for greater granularity than the use of the alternative “CLUE small area”. For example, postcodes 3050 and 3181, containing the Royal Melbourne and Alfred Hospitals respectively, are not separated out in the CLUE small area field, obscuring the outsized energy consumption of these two areas. The approximate relationship between these two geographical indicators is described in </w:t>
      </w:r>
      <w:r>
        <w:rPr>
          <w:rFonts w:ascii="Times New Roman" w:hAnsi="Times New Roman"/>
          <w:lang w:val="en-GB" w:eastAsia="en-AU"/>
        </w:rPr>
        <w:fldChar w:fldCharType="begin"/>
      </w:r>
      <w:r>
        <w:rPr>
          <w:lang w:val="en-GB"/>
        </w:rPr>
        <w:instrText xml:space="preserve"> REF _Ref170728730 \h  \* MERGEFORMAT </w:instrText>
      </w:r>
      <w:r>
        <w:rPr>
          <w:rFonts w:ascii="Times New Roman" w:hAnsi="Times New Roman"/>
          <w:lang w:val="en-GB" w:eastAsia="en-AU"/>
        </w:rPr>
      </w:r>
      <w:r>
        <w:rPr>
          <w:rFonts w:ascii="Times New Roman" w:hAnsi="Times New Roman"/>
          <w:lang w:val="en-GB" w:eastAsia="en-AU"/>
        </w:rPr>
        <w:fldChar w:fldCharType="separate"/>
      </w:r>
      <w:r w:rsidRPr="005409E1">
        <w:t xml:space="preserve">Table </w:t>
      </w:r>
      <w:r>
        <w:rPr>
          <w:noProof/>
        </w:rPr>
        <w:t>3</w:t>
      </w:r>
      <w:r>
        <w:rPr>
          <w:lang w:val="en-GB"/>
        </w:rPr>
        <w:fldChar w:fldCharType="end"/>
      </w:r>
      <w:r>
        <w:rPr>
          <w:lang w:val="en-GB"/>
        </w:rPr>
        <w:t xml:space="preserve"> below.</w:t>
      </w:r>
    </w:p>
    <w:p w14:paraId="1799EB86" w14:textId="77777777" w:rsidR="00687245" w:rsidRPr="00687245" w:rsidRDefault="00687245" w:rsidP="00687245">
      <w:pPr>
        <w:pStyle w:val="Caption"/>
        <w:rPr>
          <w:rFonts w:hint="eastAsia"/>
        </w:rPr>
      </w:pPr>
      <w:bookmarkStart w:id="45" w:name="_Toc171951164"/>
      <w:r w:rsidRPr="00687245">
        <w:t xml:space="preserve">Table </w:t>
      </w:r>
      <w:r w:rsidRPr="00687245">
        <w:fldChar w:fldCharType="begin"/>
      </w:r>
      <w:r w:rsidRPr="00687245">
        <w:instrText xml:space="preserve"> SEQ Table \* ARABIC </w:instrText>
      </w:r>
      <w:r w:rsidRPr="00687245">
        <w:fldChar w:fldCharType="separate"/>
      </w:r>
      <w:r w:rsidRPr="00687245">
        <w:t>3</w:t>
      </w:r>
      <w:r w:rsidRPr="00687245">
        <w:fldChar w:fldCharType="end"/>
      </w:r>
      <w:r w:rsidRPr="00687245">
        <w:t>: Relationship Between CLUE Small Areas and Postcodes</w:t>
      </w:r>
      <w:bookmarkEnd w:id="45"/>
    </w:p>
    <w:tbl>
      <w:tblPr>
        <w:tblStyle w:val="GridTable2-Accent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417"/>
      </w:tblGrid>
      <w:tr w:rsidR="00687245" w:rsidRPr="00687245" w14:paraId="19B64425" w14:textId="77777777" w:rsidTr="0068724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Borders>
              <w:top w:val="none" w:sz="0" w:space="0" w:color="auto"/>
              <w:bottom w:val="none" w:sz="0" w:space="0" w:color="auto"/>
              <w:right w:val="none" w:sz="0" w:space="0" w:color="auto"/>
            </w:tcBorders>
            <w:shd w:val="clear" w:color="auto" w:fill="auto"/>
          </w:tcPr>
          <w:p w14:paraId="06ED2AAE" w14:textId="77777777" w:rsidR="00687245" w:rsidRPr="00687245" w:rsidRDefault="00687245" w:rsidP="00687245">
            <w:pPr>
              <w:spacing w:after="0"/>
              <w:rPr>
                <w:rFonts w:cs="Arial"/>
                <w:lang w:val="en-GB"/>
              </w:rPr>
            </w:pPr>
            <w:r w:rsidRPr="00687245">
              <w:rPr>
                <w:rFonts w:cs="Arial"/>
                <w:lang w:val="en-GB"/>
              </w:rPr>
              <w:t>CLUE small area</w:t>
            </w:r>
          </w:p>
        </w:tc>
        <w:tc>
          <w:tcPr>
            <w:tcW w:w="1417" w:type="dxa"/>
            <w:tcBorders>
              <w:top w:val="none" w:sz="0" w:space="0" w:color="auto"/>
              <w:left w:val="none" w:sz="0" w:space="0" w:color="auto"/>
              <w:bottom w:val="none" w:sz="0" w:space="0" w:color="auto"/>
            </w:tcBorders>
            <w:shd w:val="clear" w:color="auto" w:fill="auto"/>
          </w:tcPr>
          <w:p w14:paraId="538B1520" w14:textId="77777777" w:rsidR="00687245" w:rsidRPr="00687245" w:rsidRDefault="00687245" w:rsidP="00687245">
            <w:pPr>
              <w:spacing w:after="0"/>
              <w:cnfStyle w:val="100000000000" w:firstRow="1" w:lastRow="0" w:firstColumn="0" w:lastColumn="0" w:oddVBand="0" w:evenVBand="0" w:oddHBand="0" w:evenHBand="0" w:firstRowFirstColumn="0" w:firstRowLastColumn="0" w:lastRowFirstColumn="0" w:lastRowLastColumn="0"/>
              <w:rPr>
                <w:rFonts w:cs="Arial"/>
                <w:lang w:val="en-GB"/>
              </w:rPr>
            </w:pPr>
            <w:r w:rsidRPr="00687245">
              <w:rPr>
                <w:rFonts w:cs="Arial"/>
                <w:lang w:val="en-GB"/>
              </w:rPr>
              <w:t>Postcode</w:t>
            </w:r>
          </w:p>
        </w:tc>
      </w:tr>
      <w:tr w:rsidR="00687245" w:rsidRPr="00687245" w14:paraId="7FA0DDA3" w14:textId="77777777" w:rsidTr="006872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shd w:val="clear" w:color="auto" w:fill="auto"/>
          </w:tcPr>
          <w:p w14:paraId="0060F8EA" w14:textId="77777777" w:rsidR="00687245" w:rsidRPr="00687245" w:rsidRDefault="00687245" w:rsidP="00687245">
            <w:pPr>
              <w:spacing w:after="0"/>
              <w:rPr>
                <w:rFonts w:cs="Arial"/>
                <w:b w:val="0"/>
                <w:bCs w:val="0"/>
                <w:lang w:val="en-GB"/>
              </w:rPr>
            </w:pPr>
            <w:r w:rsidRPr="00687245">
              <w:rPr>
                <w:rFonts w:cs="Arial"/>
                <w:b w:val="0"/>
                <w:bCs w:val="0"/>
                <w:lang w:val="en-GB"/>
              </w:rPr>
              <w:t>Melbourne (CBD)</w:t>
            </w:r>
          </w:p>
        </w:tc>
        <w:tc>
          <w:tcPr>
            <w:tcW w:w="1417" w:type="dxa"/>
            <w:shd w:val="clear" w:color="auto" w:fill="auto"/>
          </w:tcPr>
          <w:p w14:paraId="2339E8B3" w14:textId="77777777" w:rsidR="00687245" w:rsidRPr="00687245" w:rsidRDefault="00687245" w:rsidP="003A6133">
            <w:pPr>
              <w:spacing w:after="0"/>
              <w:jc w:val="right"/>
              <w:cnfStyle w:val="000000100000" w:firstRow="0" w:lastRow="0" w:firstColumn="0" w:lastColumn="0" w:oddVBand="0" w:evenVBand="0" w:oddHBand="1" w:evenHBand="0" w:firstRowFirstColumn="0" w:firstRowLastColumn="0" w:lastRowFirstColumn="0" w:lastRowLastColumn="0"/>
              <w:rPr>
                <w:rFonts w:cs="Arial"/>
                <w:lang w:val="en-GB"/>
              </w:rPr>
            </w:pPr>
            <w:r w:rsidRPr="00687245">
              <w:rPr>
                <w:rFonts w:cs="Arial"/>
                <w:lang w:val="en-GB"/>
              </w:rPr>
              <w:t>3000</w:t>
            </w:r>
          </w:p>
        </w:tc>
      </w:tr>
      <w:tr w:rsidR="00687245" w:rsidRPr="00687245" w14:paraId="04FFC017" w14:textId="77777777" w:rsidTr="00687245">
        <w:tc>
          <w:tcPr>
            <w:cnfStyle w:val="001000000000" w:firstRow="0" w:lastRow="0" w:firstColumn="1" w:lastColumn="0" w:oddVBand="0" w:evenVBand="0" w:oddHBand="0" w:evenHBand="0" w:firstRowFirstColumn="0" w:firstRowLastColumn="0" w:lastRowFirstColumn="0" w:lastRowLastColumn="0"/>
            <w:tcW w:w="2122" w:type="dxa"/>
            <w:shd w:val="clear" w:color="auto" w:fill="auto"/>
          </w:tcPr>
          <w:p w14:paraId="5963B0CC" w14:textId="77777777" w:rsidR="00687245" w:rsidRPr="00687245" w:rsidRDefault="00687245" w:rsidP="00687245">
            <w:pPr>
              <w:spacing w:after="0"/>
              <w:rPr>
                <w:rFonts w:cs="Arial"/>
                <w:b w:val="0"/>
                <w:bCs w:val="0"/>
                <w:lang w:val="en-GB"/>
              </w:rPr>
            </w:pPr>
            <w:r w:rsidRPr="00687245">
              <w:rPr>
                <w:rFonts w:cs="Arial"/>
                <w:b w:val="0"/>
                <w:bCs w:val="0"/>
                <w:lang w:val="en-GB"/>
              </w:rPr>
              <w:t>East Melbourne</w:t>
            </w:r>
          </w:p>
        </w:tc>
        <w:tc>
          <w:tcPr>
            <w:tcW w:w="1417" w:type="dxa"/>
            <w:shd w:val="clear" w:color="auto" w:fill="auto"/>
          </w:tcPr>
          <w:p w14:paraId="6082623E" w14:textId="77777777" w:rsidR="00687245" w:rsidRPr="00687245" w:rsidRDefault="00687245" w:rsidP="003A6133">
            <w:pPr>
              <w:spacing w:after="0"/>
              <w:jc w:val="right"/>
              <w:cnfStyle w:val="000000000000" w:firstRow="0" w:lastRow="0" w:firstColumn="0" w:lastColumn="0" w:oddVBand="0" w:evenVBand="0" w:oddHBand="0" w:evenHBand="0" w:firstRowFirstColumn="0" w:firstRowLastColumn="0" w:lastRowFirstColumn="0" w:lastRowLastColumn="0"/>
              <w:rPr>
                <w:rFonts w:cs="Arial"/>
                <w:lang w:val="en-GB"/>
              </w:rPr>
            </w:pPr>
            <w:r w:rsidRPr="00687245">
              <w:rPr>
                <w:rFonts w:cs="Arial"/>
                <w:lang w:val="en-GB"/>
              </w:rPr>
              <w:t>3002</w:t>
            </w:r>
          </w:p>
        </w:tc>
      </w:tr>
      <w:tr w:rsidR="00687245" w:rsidRPr="00687245" w14:paraId="4A66D014" w14:textId="77777777" w:rsidTr="006872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shd w:val="clear" w:color="auto" w:fill="auto"/>
          </w:tcPr>
          <w:p w14:paraId="6278E47B" w14:textId="77777777" w:rsidR="00687245" w:rsidRPr="00687245" w:rsidRDefault="00687245" w:rsidP="00687245">
            <w:pPr>
              <w:spacing w:after="0"/>
              <w:rPr>
                <w:rFonts w:cs="Arial"/>
                <w:b w:val="0"/>
                <w:bCs w:val="0"/>
                <w:lang w:val="en-GB"/>
              </w:rPr>
            </w:pPr>
            <w:r w:rsidRPr="00687245">
              <w:rPr>
                <w:rFonts w:cs="Arial"/>
                <w:b w:val="0"/>
                <w:bCs w:val="0"/>
                <w:lang w:val="en-GB"/>
              </w:rPr>
              <w:t>West Melbourne</w:t>
            </w:r>
          </w:p>
        </w:tc>
        <w:tc>
          <w:tcPr>
            <w:tcW w:w="1417" w:type="dxa"/>
            <w:shd w:val="clear" w:color="auto" w:fill="auto"/>
          </w:tcPr>
          <w:p w14:paraId="52E23061" w14:textId="77777777" w:rsidR="00687245" w:rsidRPr="00687245" w:rsidRDefault="00687245" w:rsidP="003A6133">
            <w:pPr>
              <w:spacing w:after="0"/>
              <w:jc w:val="right"/>
              <w:cnfStyle w:val="000000100000" w:firstRow="0" w:lastRow="0" w:firstColumn="0" w:lastColumn="0" w:oddVBand="0" w:evenVBand="0" w:oddHBand="1" w:evenHBand="0" w:firstRowFirstColumn="0" w:firstRowLastColumn="0" w:lastRowFirstColumn="0" w:lastRowLastColumn="0"/>
              <w:rPr>
                <w:rFonts w:cs="Arial"/>
                <w:lang w:val="en-GB"/>
              </w:rPr>
            </w:pPr>
            <w:r w:rsidRPr="00687245">
              <w:rPr>
                <w:rFonts w:cs="Arial"/>
                <w:lang w:val="en-GB"/>
              </w:rPr>
              <w:t>3003</w:t>
            </w:r>
          </w:p>
        </w:tc>
      </w:tr>
      <w:tr w:rsidR="00687245" w:rsidRPr="00687245" w14:paraId="7D2D9A42" w14:textId="77777777" w:rsidTr="00687245">
        <w:tc>
          <w:tcPr>
            <w:cnfStyle w:val="001000000000" w:firstRow="0" w:lastRow="0" w:firstColumn="1" w:lastColumn="0" w:oddVBand="0" w:evenVBand="0" w:oddHBand="0" w:evenHBand="0" w:firstRowFirstColumn="0" w:firstRowLastColumn="0" w:lastRowFirstColumn="0" w:lastRowLastColumn="0"/>
            <w:tcW w:w="2122" w:type="dxa"/>
            <w:shd w:val="clear" w:color="auto" w:fill="auto"/>
          </w:tcPr>
          <w:p w14:paraId="65497D1C" w14:textId="77777777" w:rsidR="00687245" w:rsidRPr="00687245" w:rsidRDefault="00687245" w:rsidP="00687245">
            <w:pPr>
              <w:spacing w:after="0"/>
              <w:rPr>
                <w:rFonts w:cs="Arial"/>
                <w:b w:val="0"/>
                <w:bCs w:val="0"/>
                <w:lang w:val="en-GB"/>
              </w:rPr>
            </w:pPr>
            <w:r w:rsidRPr="00687245">
              <w:rPr>
                <w:rFonts w:cs="Arial"/>
                <w:b w:val="0"/>
                <w:bCs w:val="0"/>
                <w:lang w:val="en-GB"/>
              </w:rPr>
              <w:t>South Yarra</w:t>
            </w:r>
          </w:p>
        </w:tc>
        <w:tc>
          <w:tcPr>
            <w:tcW w:w="1417" w:type="dxa"/>
            <w:shd w:val="clear" w:color="auto" w:fill="auto"/>
          </w:tcPr>
          <w:p w14:paraId="4F517FF3" w14:textId="77777777" w:rsidR="00687245" w:rsidRPr="00687245" w:rsidRDefault="00687245" w:rsidP="003A6133">
            <w:pPr>
              <w:spacing w:after="0"/>
              <w:jc w:val="right"/>
              <w:cnfStyle w:val="000000000000" w:firstRow="0" w:lastRow="0" w:firstColumn="0" w:lastColumn="0" w:oddVBand="0" w:evenVBand="0" w:oddHBand="0" w:evenHBand="0" w:firstRowFirstColumn="0" w:firstRowLastColumn="0" w:lastRowFirstColumn="0" w:lastRowLastColumn="0"/>
              <w:rPr>
                <w:rFonts w:cs="Arial"/>
                <w:lang w:val="en-GB"/>
              </w:rPr>
            </w:pPr>
            <w:r w:rsidRPr="00687245">
              <w:rPr>
                <w:rFonts w:cs="Arial"/>
                <w:lang w:val="en-GB"/>
              </w:rPr>
              <w:t>3004</w:t>
            </w:r>
          </w:p>
          <w:p w14:paraId="04A672E2" w14:textId="77777777" w:rsidR="00687245" w:rsidRPr="00687245" w:rsidRDefault="00687245" w:rsidP="003A6133">
            <w:pPr>
              <w:spacing w:after="0"/>
              <w:jc w:val="right"/>
              <w:cnfStyle w:val="000000000000" w:firstRow="0" w:lastRow="0" w:firstColumn="0" w:lastColumn="0" w:oddVBand="0" w:evenVBand="0" w:oddHBand="0" w:evenHBand="0" w:firstRowFirstColumn="0" w:firstRowLastColumn="0" w:lastRowFirstColumn="0" w:lastRowLastColumn="0"/>
              <w:rPr>
                <w:rFonts w:cs="Arial"/>
                <w:lang w:val="en-GB"/>
              </w:rPr>
            </w:pPr>
            <w:r w:rsidRPr="00687245">
              <w:rPr>
                <w:rFonts w:cs="Arial"/>
                <w:lang w:val="en-GB"/>
              </w:rPr>
              <w:t>3141</w:t>
            </w:r>
          </w:p>
          <w:p w14:paraId="00920745" w14:textId="77777777" w:rsidR="00687245" w:rsidRPr="00687245" w:rsidRDefault="00687245" w:rsidP="003A6133">
            <w:pPr>
              <w:spacing w:after="0"/>
              <w:jc w:val="right"/>
              <w:cnfStyle w:val="000000000000" w:firstRow="0" w:lastRow="0" w:firstColumn="0" w:lastColumn="0" w:oddVBand="0" w:evenVBand="0" w:oddHBand="0" w:evenHBand="0" w:firstRowFirstColumn="0" w:firstRowLastColumn="0" w:lastRowFirstColumn="0" w:lastRowLastColumn="0"/>
              <w:rPr>
                <w:rFonts w:cs="Arial"/>
                <w:lang w:val="en-GB"/>
              </w:rPr>
            </w:pPr>
            <w:r w:rsidRPr="00687245">
              <w:rPr>
                <w:rFonts w:cs="Arial"/>
                <w:lang w:val="en-GB"/>
              </w:rPr>
              <w:t>3181</w:t>
            </w:r>
          </w:p>
        </w:tc>
      </w:tr>
      <w:tr w:rsidR="00687245" w:rsidRPr="00687245" w14:paraId="7BFC080A" w14:textId="77777777" w:rsidTr="006872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shd w:val="clear" w:color="auto" w:fill="auto"/>
          </w:tcPr>
          <w:p w14:paraId="5983DF05" w14:textId="77777777" w:rsidR="00687245" w:rsidRPr="00687245" w:rsidRDefault="00687245" w:rsidP="00687245">
            <w:pPr>
              <w:spacing w:after="0"/>
              <w:rPr>
                <w:rFonts w:cs="Arial"/>
                <w:b w:val="0"/>
                <w:bCs w:val="0"/>
                <w:lang w:val="en-GB"/>
              </w:rPr>
            </w:pPr>
            <w:r w:rsidRPr="00687245">
              <w:rPr>
                <w:rFonts w:cs="Arial"/>
                <w:b w:val="0"/>
                <w:bCs w:val="0"/>
                <w:lang w:val="en-GB"/>
              </w:rPr>
              <w:t>Southbank</w:t>
            </w:r>
          </w:p>
        </w:tc>
        <w:tc>
          <w:tcPr>
            <w:tcW w:w="1417" w:type="dxa"/>
            <w:shd w:val="clear" w:color="auto" w:fill="auto"/>
          </w:tcPr>
          <w:p w14:paraId="330FB0BD" w14:textId="77777777" w:rsidR="00687245" w:rsidRPr="00687245" w:rsidRDefault="00687245" w:rsidP="003A6133">
            <w:pPr>
              <w:spacing w:after="0"/>
              <w:jc w:val="right"/>
              <w:cnfStyle w:val="000000100000" w:firstRow="0" w:lastRow="0" w:firstColumn="0" w:lastColumn="0" w:oddVBand="0" w:evenVBand="0" w:oddHBand="1" w:evenHBand="0" w:firstRowFirstColumn="0" w:firstRowLastColumn="0" w:lastRowFirstColumn="0" w:lastRowLastColumn="0"/>
              <w:rPr>
                <w:rFonts w:cs="Arial"/>
                <w:lang w:val="en-GB"/>
              </w:rPr>
            </w:pPr>
            <w:r w:rsidRPr="00687245">
              <w:rPr>
                <w:rFonts w:cs="Arial"/>
                <w:lang w:val="en-GB"/>
              </w:rPr>
              <w:t>3006</w:t>
            </w:r>
          </w:p>
        </w:tc>
      </w:tr>
      <w:tr w:rsidR="00687245" w:rsidRPr="00687245" w14:paraId="317F229E" w14:textId="77777777" w:rsidTr="00687245">
        <w:tc>
          <w:tcPr>
            <w:cnfStyle w:val="001000000000" w:firstRow="0" w:lastRow="0" w:firstColumn="1" w:lastColumn="0" w:oddVBand="0" w:evenVBand="0" w:oddHBand="0" w:evenHBand="0" w:firstRowFirstColumn="0" w:firstRowLastColumn="0" w:lastRowFirstColumn="0" w:lastRowLastColumn="0"/>
            <w:tcW w:w="2122" w:type="dxa"/>
            <w:shd w:val="clear" w:color="auto" w:fill="auto"/>
          </w:tcPr>
          <w:p w14:paraId="0ECD6F7B" w14:textId="77777777" w:rsidR="00687245" w:rsidRPr="00687245" w:rsidRDefault="00687245" w:rsidP="00687245">
            <w:pPr>
              <w:spacing w:after="0"/>
              <w:rPr>
                <w:rFonts w:cs="Arial"/>
                <w:b w:val="0"/>
                <w:bCs w:val="0"/>
                <w:lang w:val="en-GB"/>
              </w:rPr>
            </w:pPr>
            <w:r w:rsidRPr="00687245">
              <w:rPr>
                <w:rFonts w:cs="Arial"/>
                <w:b w:val="0"/>
                <w:bCs w:val="0"/>
                <w:lang w:val="en-GB"/>
              </w:rPr>
              <w:t>Docklands</w:t>
            </w:r>
          </w:p>
        </w:tc>
        <w:tc>
          <w:tcPr>
            <w:tcW w:w="1417" w:type="dxa"/>
            <w:shd w:val="clear" w:color="auto" w:fill="auto"/>
          </w:tcPr>
          <w:p w14:paraId="7A3A814B" w14:textId="77777777" w:rsidR="00687245" w:rsidRPr="00687245" w:rsidRDefault="00687245" w:rsidP="003A6133">
            <w:pPr>
              <w:spacing w:after="0"/>
              <w:jc w:val="right"/>
              <w:cnfStyle w:val="000000000000" w:firstRow="0" w:lastRow="0" w:firstColumn="0" w:lastColumn="0" w:oddVBand="0" w:evenVBand="0" w:oddHBand="0" w:evenHBand="0" w:firstRowFirstColumn="0" w:firstRowLastColumn="0" w:lastRowFirstColumn="0" w:lastRowLastColumn="0"/>
              <w:rPr>
                <w:rFonts w:cs="Arial"/>
                <w:lang w:val="en-GB"/>
              </w:rPr>
            </w:pPr>
            <w:r w:rsidRPr="00687245">
              <w:rPr>
                <w:rFonts w:cs="Arial"/>
                <w:lang w:val="en-GB"/>
              </w:rPr>
              <w:t>3008</w:t>
            </w:r>
          </w:p>
        </w:tc>
      </w:tr>
      <w:tr w:rsidR="00687245" w:rsidRPr="00687245" w14:paraId="052DE89D" w14:textId="77777777" w:rsidTr="006872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shd w:val="clear" w:color="auto" w:fill="auto"/>
          </w:tcPr>
          <w:p w14:paraId="755FD15A" w14:textId="77777777" w:rsidR="00687245" w:rsidRPr="00687245" w:rsidRDefault="00687245" w:rsidP="00687245">
            <w:pPr>
              <w:spacing w:after="0"/>
              <w:rPr>
                <w:rFonts w:cs="Arial"/>
                <w:b w:val="0"/>
                <w:bCs w:val="0"/>
                <w:lang w:val="en-GB"/>
              </w:rPr>
            </w:pPr>
            <w:r w:rsidRPr="00687245">
              <w:rPr>
                <w:rFonts w:cs="Arial"/>
                <w:b w:val="0"/>
                <w:bCs w:val="0"/>
                <w:lang w:val="en-GB"/>
              </w:rPr>
              <w:t>Parkville</w:t>
            </w:r>
          </w:p>
          <w:p w14:paraId="77EF4E3F" w14:textId="77777777" w:rsidR="00687245" w:rsidRPr="00687245" w:rsidRDefault="00687245" w:rsidP="00687245">
            <w:pPr>
              <w:spacing w:after="0"/>
              <w:rPr>
                <w:rFonts w:cs="Arial"/>
                <w:b w:val="0"/>
                <w:bCs w:val="0"/>
                <w:lang w:val="en-GB"/>
              </w:rPr>
            </w:pPr>
          </w:p>
        </w:tc>
        <w:tc>
          <w:tcPr>
            <w:tcW w:w="1417" w:type="dxa"/>
            <w:shd w:val="clear" w:color="auto" w:fill="auto"/>
          </w:tcPr>
          <w:p w14:paraId="3299BE19" w14:textId="77777777" w:rsidR="00687245" w:rsidRPr="00687245" w:rsidRDefault="00687245" w:rsidP="003A6133">
            <w:pPr>
              <w:spacing w:after="0"/>
              <w:jc w:val="right"/>
              <w:cnfStyle w:val="000000100000" w:firstRow="0" w:lastRow="0" w:firstColumn="0" w:lastColumn="0" w:oddVBand="0" w:evenVBand="0" w:oddHBand="1" w:evenHBand="0" w:firstRowFirstColumn="0" w:firstRowLastColumn="0" w:lastRowFirstColumn="0" w:lastRowLastColumn="0"/>
              <w:rPr>
                <w:rFonts w:cs="Arial"/>
                <w:lang w:val="en-GB"/>
              </w:rPr>
            </w:pPr>
            <w:r w:rsidRPr="00687245">
              <w:rPr>
                <w:rFonts w:cs="Arial"/>
                <w:lang w:val="en-GB"/>
              </w:rPr>
              <w:t>3010</w:t>
            </w:r>
          </w:p>
          <w:p w14:paraId="4F1E9E9F" w14:textId="77777777" w:rsidR="00687245" w:rsidRPr="00687245" w:rsidRDefault="00687245" w:rsidP="003A6133">
            <w:pPr>
              <w:spacing w:after="0"/>
              <w:jc w:val="right"/>
              <w:cnfStyle w:val="000000100000" w:firstRow="0" w:lastRow="0" w:firstColumn="0" w:lastColumn="0" w:oddVBand="0" w:evenVBand="0" w:oddHBand="1" w:evenHBand="0" w:firstRowFirstColumn="0" w:firstRowLastColumn="0" w:lastRowFirstColumn="0" w:lastRowLastColumn="0"/>
              <w:rPr>
                <w:rFonts w:cs="Arial"/>
                <w:lang w:val="en-GB"/>
              </w:rPr>
            </w:pPr>
            <w:r w:rsidRPr="00687245">
              <w:rPr>
                <w:rFonts w:cs="Arial"/>
                <w:lang w:val="en-GB"/>
              </w:rPr>
              <w:t>3050</w:t>
            </w:r>
          </w:p>
          <w:p w14:paraId="64B815EC" w14:textId="77777777" w:rsidR="00687245" w:rsidRPr="00687245" w:rsidRDefault="00687245" w:rsidP="003A6133">
            <w:pPr>
              <w:spacing w:after="0"/>
              <w:jc w:val="right"/>
              <w:cnfStyle w:val="000000100000" w:firstRow="0" w:lastRow="0" w:firstColumn="0" w:lastColumn="0" w:oddVBand="0" w:evenVBand="0" w:oddHBand="1" w:evenHBand="0" w:firstRowFirstColumn="0" w:firstRowLastColumn="0" w:lastRowFirstColumn="0" w:lastRowLastColumn="0"/>
              <w:rPr>
                <w:rFonts w:cs="Arial"/>
                <w:lang w:val="en-GB"/>
              </w:rPr>
            </w:pPr>
            <w:r w:rsidRPr="00687245">
              <w:rPr>
                <w:rFonts w:cs="Arial"/>
                <w:lang w:val="en-GB"/>
              </w:rPr>
              <w:lastRenderedPageBreak/>
              <w:t>3052</w:t>
            </w:r>
          </w:p>
        </w:tc>
      </w:tr>
      <w:tr w:rsidR="00687245" w:rsidRPr="00687245" w14:paraId="603F5712" w14:textId="77777777" w:rsidTr="00687245">
        <w:tc>
          <w:tcPr>
            <w:cnfStyle w:val="001000000000" w:firstRow="0" w:lastRow="0" w:firstColumn="1" w:lastColumn="0" w:oddVBand="0" w:evenVBand="0" w:oddHBand="0" w:evenHBand="0" w:firstRowFirstColumn="0" w:firstRowLastColumn="0" w:lastRowFirstColumn="0" w:lastRowLastColumn="0"/>
            <w:tcW w:w="2122" w:type="dxa"/>
            <w:shd w:val="clear" w:color="auto" w:fill="auto"/>
          </w:tcPr>
          <w:p w14:paraId="4D417566" w14:textId="77777777" w:rsidR="00687245" w:rsidRPr="00687245" w:rsidRDefault="00687245" w:rsidP="00687245">
            <w:pPr>
              <w:spacing w:after="0"/>
              <w:rPr>
                <w:rFonts w:cs="Arial"/>
                <w:b w:val="0"/>
                <w:bCs w:val="0"/>
                <w:lang w:val="en-GB"/>
              </w:rPr>
            </w:pPr>
            <w:r w:rsidRPr="00687245">
              <w:rPr>
                <w:rFonts w:cs="Arial"/>
                <w:b w:val="0"/>
                <w:bCs w:val="0"/>
                <w:lang w:val="en-GB"/>
              </w:rPr>
              <w:lastRenderedPageBreak/>
              <w:t>Kensington</w:t>
            </w:r>
          </w:p>
          <w:p w14:paraId="6341A3E4" w14:textId="77777777" w:rsidR="00687245" w:rsidRPr="00687245" w:rsidRDefault="00687245" w:rsidP="00687245">
            <w:pPr>
              <w:spacing w:after="0"/>
              <w:rPr>
                <w:rFonts w:cs="Arial"/>
                <w:b w:val="0"/>
                <w:bCs w:val="0"/>
                <w:lang w:val="en-GB"/>
              </w:rPr>
            </w:pPr>
          </w:p>
        </w:tc>
        <w:tc>
          <w:tcPr>
            <w:tcW w:w="1417" w:type="dxa"/>
            <w:shd w:val="clear" w:color="auto" w:fill="auto"/>
          </w:tcPr>
          <w:p w14:paraId="683959DC" w14:textId="77777777" w:rsidR="00687245" w:rsidRPr="00687245" w:rsidRDefault="00687245" w:rsidP="003A6133">
            <w:pPr>
              <w:spacing w:after="0"/>
              <w:jc w:val="right"/>
              <w:cnfStyle w:val="000000000000" w:firstRow="0" w:lastRow="0" w:firstColumn="0" w:lastColumn="0" w:oddVBand="0" w:evenVBand="0" w:oddHBand="0" w:evenHBand="0" w:firstRowFirstColumn="0" w:firstRowLastColumn="0" w:lastRowFirstColumn="0" w:lastRowLastColumn="0"/>
              <w:rPr>
                <w:rFonts w:cs="Arial"/>
                <w:lang w:val="en-GB"/>
              </w:rPr>
            </w:pPr>
            <w:r w:rsidRPr="00687245">
              <w:rPr>
                <w:rFonts w:cs="Arial"/>
                <w:lang w:val="en-GB"/>
              </w:rPr>
              <w:t>3031</w:t>
            </w:r>
          </w:p>
          <w:p w14:paraId="7B394CAC" w14:textId="77777777" w:rsidR="00687245" w:rsidRPr="00687245" w:rsidRDefault="00687245" w:rsidP="003A6133">
            <w:pPr>
              <w:spacing w:after="0"/>
              <w:jc w:val="right"/>
              <w:cnfStyle w:val="000000000000" w:firstRow="0" w:lastRow="0" w:firstColumn="0" w:lastColumn="0" w:oddVBand="0" w:evenVBand="0" w:oddHBand="0" w:evenHBand="0" w:firstRowFirstColumn="0" w:firstRowLastColumn="0" w:lastRowFirstColumn="0" w:lastRowLastColumn="0"/>
              <w:rPr>
                <w:rFonts w:cs="Arial"/>
                <w:lang w:val="en-GB"/>
              </w:rPr>
            </w:pPr>
            <w:r w:rsidRPr="00687245">
              <w:rPr>
                <w:rFonts w:cs="Arial"/>
                <w:lang w:val="en-GB"/>
              </w:rPr>
              <w:t>3032</w:t>
            </w:r>
          </w:p>
        </w:tc>
      </w:tr>
      <w:tr w:rsidR="00687245" w:rsidRPr="00687245" w14:paraId="545F19C2" w14:textId="77777777" w:rsidTr="006872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shd w:val="clear" w:color="auto" w:fill="auto"/>
          </w:tcPr>
          <w:p w14:paraId="78FC3FA7" w14:textId="77777777" w:rsidR="00687245" w:rsidRPr="00687245" w:rsidRDefault="00687245" w:rsidP="00687245">
            <w:pPr>
              <w:spacing w:after="0"/>
              <w:rPr>
                <w:rFonts w:cs="Arial"/>
                <w:b w:val="0"/>
                <w:bCs w:val="0"/>
                <w:lang w:val="en-GB"/>
              </w:rPr>
            </w:pPr>
            <w:r w:rsidRPr="00687245">
              <w:rPr>
                <w:rFonts w:cs="Arial"/>
                <w:b w:val="0"/>
                <w:bCs w:val="0"/>
                <w:lang w:val="en-GB"/>
              </w:rPr>
              <w:t>North Melbourne</w:t>
            </w:r>
          </w:p>
        </w:tc>
        <w:tc>
          <w:tcPr>
            <w:tcW w:w="1417" w:type="dxa"/>
            <w:shd w:val="clear" w:color="auto" w:fill="auto"/>
          </w:tcPr>
          <w:p w14:paraId="0022DC03" w14:textId="77777777" w:rsidR="00687245" w:rsidRPr="00687245" w:rsidRDefault="00687245" w:rsidP="003A6133">
            <w:pPr>
              <w:spacing w:after="0"/>
              <w:jc w:val="right"/>
              <w:cnfStyle w:val="000000100000" w:firstRow="0" w:lastRow="0" w:firstColumn="0" w:lastColumn="0" w:oddVBand="0" w:evenVBand="0" w:oddHBand="1" w:evenHBand="0" w:firstRowFirstColumn="0" w:firstRowLastColumn="0" w:lastRowFirstColumn="0" w:lastRowLastColumn="0"/>
              <w:rPr>
                <w:rFonts w:cs="Arial"/>
                <w:lang w:val="en-GB"/>
              </w:rPr>
            </w:pPr>
            <w:r w:rsidRPr="00687245">
              <w:rPr>
                <w:rFonts w:cs="Arial"/>
                <w:lang w:val="en-GB"/>
              </w:rPr>
              <w:t>3051</w:t>
            </w:r>
          </w:p>
        </w:tc>
      </w:tr>
      <w:tr w:rsidR="00687245" w:rsidRPr="00687245" w14:paraId="5A25DF31" w14:textId="77777777" w:rsidTr="00687245">
        <w:tc>
          <w:tcPr>
            <w:cnfStyle w:val="001000000000" w:firstRow="0" w:lastRow="0" w:firstColumn="1" w:lastColumn="0" w:oddVBand="0" w:evenVBand="0" w:oddHBand="0" w:evenHBand="0" w:firstRowFirstColumn="0" w:firstRowLastColumn="0" w:lastRowFirstColumn="0" w:lastRowLastColumn="0"/>
            <w:tcW w:w="2122" w:type="dxa"/>
            <w:shd w:val="clear" w:color="auto" w:fill="auto"/>
          </w:tcPr>
          <w:p w14:paraId="5F6C09EF" w14:textId="77777777" w:rsidR="00687245" w:rsidRPr="00687245" w:rsidRDefault="00687245" w:rsidP="00687245">
            <w:pPr>
              <w:spacing w:after="0"/>
              <w:rPr>
                <w:rFonts w:cs="Arial"/>
                <w:b w:val="0"/>
                <w:bCs w:val="0"/>
                <w:lang w:val="en-GB"/>
              </w:rPr>
            </w:pPr>
            <w:r w:rsidRPr="00687245">
              <w:rPr>
                <w:rFonts w:cs="Arial"/>
                <w:b w:val="0"/>
                <w:bCs w:val="0"/>
                <w:lang w:val="en-GB"/>
              </w:rPr>
              <w:t>Carlton</w:t>
            </w:r>
          </w:p>
          <w:p w14:paraId="4EC5F19C" w14:textId="77777777" w:rsidR="00687245" w:rsidRPr="00687245" w:rsidRDefault="00687245" w:rsidP="00687245">
            <w:pPr>
              <w:spacing w:after="0"/>
              <w:rPr>
                <w:rFonts w:cs="Arial"/>
                <w:b w:val="0"/>
                <w:bCs w:val="0"/>
                <w:lang w:val="en-GB"/>
              </w:rPr>
            </w:pPr>
          </w:p>
        </w:tc>
        <w:tc>
          <w:tcPr>
            <w:tcW w:w="1417" w:type="dxa"/>
            <w:shd w:val="clear" w:color="auto" w:fill="auto"/>
          </w:tcPr>
          <w:p w14:paraId="1AD2DB12" w14:textId="77777777" w:rsidR="00687245" w:rsidRPr="00687245" w:rsidRDefault="00687245" w:rsidP="003A6133">
            <w:pPr>
              <w:spacing w:after="0"/>
              <w:jc w:val="right"/>
              <w:cnfStyle w:val="000000000000" w:firstRow="0" w:lastRow="0" w:firstColumn="0" w:lastColumn="0" w:oddVBand="0" w:evenVBand="0" w:oddHBand="0" w:evenHBand="0" w:firstRowFirstColumn="0" w:firstRowLastColumn="0" w:lastRowFirstColumn="0" w:lastRowLastColumn="0"/>
              <w:rPr>
                <w:rFonts w:cs="Arial"/>
                <w:lang w:val="en-GB"/>
              </w:rPr>
            </w:pPr>
            <w:r w:rsidRPr="00687245">
              <w:rPr>
                <w:rFonts w:cs="Arial"/>
                <w:lang w:val="en-GB"/>
              </w:rPr>
              <w:t>3053</w:t>
            </w:r>
          </w:p>
          <w:p w14:paraId="262AFC82" w14:textId="77777777" w:rsidR="00687245" w:rsidRPr="00687245" w:rsidRDefault="00687245" w:rsidP="003A6133">
            <w:pPr>
              <w:spacing w:after="0"/>
              <w:jc w:val="right"/>
              <w:cnfStyle w:val="000000000000" w:firstRow="0" w:lastRow="0" w:firstColumn="0" w:lastColumn="0" w:oddVBand="0" w:evenVBand="0" w:oddHBand="0" w:evenHBand="0" w:firstRowFirstColumn="0" w:firstRowLastColumn="0" w:lastRowFirstColumn="0" w:lastRowLastColumn="0"/>
              <w:rPr>
                <w:rFonts w:cs="Arial"/>
                <w:lang w:val="en-GB"/>
              </w:rPr>
            </w:pPr>
            <w:r w:rsidRPr="00687245">
              <w:rPr>
                <w:rFonts w:cs="Arial"/>
                <w:lang w:val="en-GB"/>
              </w:rPr>
              <w:t>3054</w:t>
            </w:r>
          </w:p>
        </w:tc>
      </w:tr>
      <w:tr w:rsidR="00687245" w:rsidRPr="00687245" w14:paraId="2B4F13DD" w14:textId="77777777" w:rsidTr="006872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shd w:val="clear" w:color="auto" w:fill="auto"/>
          </w:tcPr>
          <w:p w14:paraId="79F03E14" w14:textId="77777777" w:rsidR="00687245" w:rsidRPr="00687245" w:rsidRDefault="00687245" w:rsidP="00687245">
            <w:pPr>
              <w:spacing w:after="0"/>
              <w:rPr>
                <w:rFonts w:cs="Arial"/>
                <w:b w:val="0"/>
                <w:bCs w:val="0"/>
                <w:lang w:val="en-GB"/>
              </w:rPr>
            </w:pPr>
            <w:r w:rsidRPr="00687245">
              <w:rPr>
                <w:rFonts w:cs="Arial"/>
                <w:b w:val="0"/>
                <w:bCs w:val="0"/>
                <w:lang w:val="en-GB"/>
              </w:rPr>
              <w:t>Port Melbourne</w:t>
            </w:r>
          </w:p>
        </w:tc>
        <w:tc>
          <w:tcPr>
            <w:tcW w:w="1417" w:type="dxa"/>
            <w:shd w:val="clear" w:color="auto" w:fill="auto"/>
          </w:tcPr>
          <w:p w14:paraId="108A78F5" w14:textId="77777777" w:rsidR="00687245" w:rsidRPr="00687245" w:rsidRDefault="00687245" w:rsidP="003A6133">
            <w:pPr>
              <w:spacing w:after="0"/>
              <w:jc w:val="right"/>
              <w:cnfStyle w:val="000000100000" w:firstRow="0" w:lastRow="0" w:firstColumn="0" w:lastColumn="0" w:oddVBand="0" w:evenVBand="0" w:oddHBand="1" w:evenHBand="0" w:firstRowFirstColumn="0" w:firstRowLastColumn="0" w:lastRowFirstColumn="0" w:lastRowLastColumn="0"/>
              <w:rPr>
                <w:rFonts w:cs="Arial"/>
                <w:lang w:val="en-GB"/>
              </w:rPr>
            </w:pPr>
            <w:r w:rsidRPr="00687245">
              <w:rPr>
                <w:rFonts w:cs="Arial"/>
                <w:lang w:val="en-GB"/>
              </w:rPr>
              <w:t>3207</w:t>
            </w:r>
          </w:p>
        </w:tc>
      </w:tr>
    </w:tbl>
    <w:p w14:paraId="24FA02F0" w14:textId="709B8830" w:rsidR="00D65473" w:rsidRDefault="00D65473" w:rsidP="00D65473">
      <w:pPr>
        <w:pStyle w:val="Heading3"/>
        <w:rPr>
          <w:rFonts w:hint="eastAsia"/>
        </w:rPr>
      </w:pPr>
      <w:r>
        <w:t>2.4.4</w:t>
      </w:r>
      <w:r>
        <w:tab/>
        <w:t>Developing a Bottom-Up Understanding of Fuel Use in the City’s Buildings</w:t>
      </w:r>
    </w:p>
    <w:p w14:paraId="264F7753" w14:textId="1892F679" w:rsidR="00D65473" w:rsidRDefault="00D65473" w:rsidP="00687245">
      <w:pPr>
        <w:rPr>
          <w:lang w:val="en-GB"/>
        </w:rPr>
      </w:pPr>
      <w:r>
        <w:rPr>
          <w:lang w:val="en-GB"/>
        </w:rPr>
        <w:t xml:space="preserve">A range of data sources were required to develop a detailed understanding of the fuel-use intensities of the City’s major building archetypes. A detailed description of the intensities applied to archetypes, and the methodology used in their development, is included in </w:t>
      </w:r>
      <w:r>
        <w:rPr>
          <w:lang w:val="en-GB"/>
        </w:rPr>
        <w:fldChar w:fldCharType="begin"/>
      </w:r>
      <w:r>
        <w:rPr>
          <w:lang w:val="en-GB"/>
        </w:rPr>
        <w:instrText xml:space="preserve"> REF _Ref169271503 \h </w:instrText>
      </w:r>
      <w:r w:rsidR="00687245">
        <w:rPr>
          <w:lang w:val="en-GB"/>
        </w:rPr>
        <w:instrText xml:space="preserve"> \* MERGEFORMAT </w:instrText>
      </w:r>
      <w:r>
        <w:rPr>
          <w:lang w:val="en-GB"/>
        </w:rPr>
      </w:r>
      <w:r>
        <w:rPr>
          <w:lang w:val="en-GB"/>
        </w:rPr>
        <w:fldChar w:fldCharType="separate"/>
      </w:r>
      <w:r w:rsidRPr="00A225B1">
        <w:t xml:space="preserve">Table </w:t>
      </w:r>
      <w:r>
        <w:rPr>
          <w:noProof/>
        </w:rPr>
        <w:t>4</w:t>
      </w:r>
      <w:r>
        <w:rPr>
          <w:lang w:val="en-GB"/>
        </w:rPr>
        <w:fldChar w:fldCharType="end"/>
      </w:r>
      <w:r>
        <w:rPr>
          <w:lang w:val="en-GB"/>
        </w:rPr>
        <w:t xml:space="preserve"> below.</w:t>
      </w:r>
    </w:p>
    <w:p w14:paraId="67D7B7A0" w14:textId="77777777" w:rsidR="00687245" w:rsidRDefault="00687245" w:rsidP="00687245">
      <w:pPr>
        <w:pStyle w:val="Caption"/>
        <w:rPr>
          <w:rFonts w:hint="eastAsia"/>
        </w:rPr>
      </w:pPr>
      <w:bookmarkStart w:id="46" w:name="_Ref169271503"/>
      <w:bookmarkStart w:id="47" w:name="_Ref169601226"/>
      <w:bookmarkStart w:id="48" w:name="_Toc171951165"/>
      <w:r w:rsidRPr="00687245">
        <w:t xml:space="preserve">Table </w:t>
      </w:r>
      <w:r w:rsidRPr="00687245">
        <w:fldChar w:fldCharType="begin"/>
      </w:r>
      <w:r w:rsidRPr="00687245">
        <w:instrText xml:space="preserve"> SEQ Table \* ARABIC </w:instrText>
      </w:r>
      <w:r w:rsidRPr="00687245">
        <w:fldChar w:fldCharType="separate"/>
      </w:r>
      <w:r w:rsidRPr="00687245">
        <w:t>4</w:t>
      </w:r>
      <w:r w:rsidRPr="00687245">
        <w:fldChar w:fldCharType="end"/>
      </w:r>
      <w:bookmarkEnd w:id="46"/>
      <w:r w:rsidRPr="00687245">
        <w:t>:  Fuel Use by Archetype</w:t>
      </w:r>
      <w:bookmarkEnd w:id="47"/>
      <w:bookmarkEnd w:id="48"/>
    </w:p>
    <w:tbl>
      <w:tblPr>
        <w:tblStyle w:val="GridTable2-Accent52"/>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0"/>
        <w:gridCol w:w="2495"/>
        <w:gridCol w:w="2376"/>
        <w:gridCol w:w="2248"/>
      </w:tblGrid>
      <w:tr w:rsidR="00D516FC" w:rsidRPr="00D516FC" w14:paraId="4970F5BE" w14:textId="77777777" w:rsidTr="00D516F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414" w:type="dxa"/>
            <w:tcBorders>
              <w:top w:val="none" w:sz="0" w:space="0" w:color="auto"/>
              <w:bottom w:val="none" w:sz="0" w:space="0" w:color="auto"/>
              <w:right w:val="none" w:sz="0" w:space="0" w:color="auto"/>
            </w:tcBorders>
            <w:shd w:val="clear" w:color="auto" w:fill="auto"/>
          </w:tcPr>
          <w:p w14:paraId="717B1871" w14:textId="77777777" w:rsidR="00D516FC" w:rsidRPr="00D516FC" w:rsidRDefault="00D516FC" w:rsidP="00D516FC">
            <w:pPr>
              <w:spacing w:after="0"/>
              <w:rPr>
                <w:rFonts w:cs="Arial"/>
                <w:szCs w:val="20"/>
                <w:lang w:val="en-GB"/>
              </w:rPr>
            </w:pPr>
            <w:r w:rsidRPr="00D516FC">
              <w:rPr>
                <w:rFonts w:cs="Arial"/>
                <w:szCs w:val="20"/>
                <w:lang w:val="en-GB"/>
              </w:rPr>
              <w:t>Archetype/s</w:t>
            </w:r>
          </w:p>
        </w:tc>
        <w:tc>
          <w:tcPr>
            <w:tcW w:w="2548" w:type="dxa"/>
            <w:tcBorders>
              <w:top w:val="none" w:sz="0" w:space="0" w:color="auto"/>
              <w:left w:val="none" w:sz="0" w:space="0" w:color="auto"/>
              <w:bottom w:val="none" w:sz="0" w:space="0" w:color="auto"/>
              <w:right w:val="none" w:sz="0" w:space="0" w:color="auto"/>
            </w:tcBorders>
            <w:shd w:val="clear" w:color="auto" w:fill="auto"/>
          </w:tcPr>
          <w:p w14:paraId="1A659114" w14:textId="77777777" w:rsidR="00D516FC" w:rsidRPr="00D516FC" w:rsidRDefault="00D516FC" w:rsidP="00D516FC">
            <w:pPr>
              <w:spacing w:after="0"/>
              <w:cnfStyle w:val="100000000000" w:firstRow="1" w:lastRow="0" w:firstColumn="0" w:lastColumn="0" w:oddVBand="0" w:evenVBand="0" w:oddHBand="0" w:evenHBand="0" w:firstRowFirstColumn="0" w:firstRowLastColumn="0" w:lastRowFirstColumn="0" w:lastRowLastColumn="0"/>
              <w:rPr>
                <w:rFonts w:cs="Arial"/>
                <w:szCs w:val="20"/>
                <w:lang w:val="en-GB"/>
              </w:rPr>
            </w:pPr>
            <w:r w:rsidRPr="00D516FC">
              <w:rPr>
                <w:rFonts w:cs="Arial"/>
                <w:szCs w:val="20"/>
                <w:lang w:val="en-GB"/>
              </w:rPr>
              <w:t>Methodology</w:t>
            </w:r>
          </w:p>
        </w:tc>
        <w:tc>
          <w:tcPr>
            <w:tcW w:w="2409" w:type="dxa"/>
            <w:tcBorders>
              <w:top w:val="none" w:sz="0" w:space="0" w:color="auto"/>
              <w:left w:val="none" w:sz="0" w:space="0" w:color="auto"/>
              <w:bottom w:val="none" w:sz="0" w:space="0" w:color="auto"/>
              <w:right w:val="none" w:sz="0" w:space="0" w:color="auto"/>
            </w:tcBorders>
            <w:shd w:val="clear" w:color="auto" w:fill="auto"/>
          </w:tcPr>
          <w:p w14:paraId="457B60A4" w14:textId="77777777" w:rsidR="00D516FC" w:rsidRPr="00D516FC" w:rsidRDefault="00D516FC" w:rsidP="00D516FC">
            <w:pPr>
              <w:spacing w:after="0"/>
              <w:cnfStyle w:val="100000000000" w:firstRow="1" w:lastRow="0" w:firstColumn="0" w:lastColumn="0" w:oddVBand="0" w:evenVBand="0" w:oddHBand="0" w:evenHBand="0" w:firstRowFirstColumn="0" w:firstRowLastColumn="0" w:lastRowFirstColumn="0" w:lastRowLastColumn="0"/>
              <w:rPr>
                <w:rFonts w:cs="Arial"/>
                <w:szCs w:val="20"/>
                <w:lang w:val="en-GB"/>
              </w:rPr>
            </w:pPr>
            <w:r w:rsidRPr="00D516FC">
              <w:rPr>
                <w:rFonts w:cs="Arial"/>
                <w:szCs w:val="20"/>
                <w:lang w:val="en-GB"/>
              </w:rPr>
              <w:t>Intensities (electricity as kWh and gas as MJ)</w:t>
            </w:r>
          </w:p>
        </w:tc>
        <w:tc>
          <w:tcPr>
            <w:tcW w:w="2267" w:type="dxa"/>
            <w:tcBorders>
              <w:top w:val="none" w:sz="0" w:space="0" w:color="auto"/>
              <w:left w:val="none" w:sz="0" w:space="0" w:color="auto"/>
              <w:bottom w:val="none" w:sz="0" w:space="0" w:color="auto"/>
            </w:tcBorders>
            <w:shd w:val="clear" w:color="auto" w:fill="auto"/>
          </w:tcPr>
          <w:p w14:paraId="29374C25" w14:textId="77777777" w:rsidR="00D516FC" w:rsidRPr="00D516FC" w:rsidRDefault="00D516FC" w:rsidP="00D516FC">
            <w:pPr>
              <w:spacing w:after="0"/>
              <w:cnfStyle w:val="100000000000" w:firstRow="1" w:lastRow="0" w:firstColumn="0" w:lastColumn="0" w:oddVBand="0" w:evenVBand="0" w:oddHBand="0" w:evenHBand="0" w:firstRowFirstColumn="0" w:firstRowLastColumn="0" w:lastRowFirstColumn="0" w:lastRowLastColumn="0"/>
              <w:rPr>
                <w:rFonts w:cs="Arial"/>
                <w:szCs w:val="20"/>
                <w:lang w:val="en-GB"/>
              </w:rPr>
            </w:pPr>
            <w:r w:rsidRPr="00D516FC">
              <w:rPr>
                <w:rFonts w:cs="Arial"/>
                <w:szCs w:val="20"/>
                <w:lang w:val="en-GB"/>
              </w:rPr>
              <w:t>Notes/limitations</w:t>
            </w:r>
          </w:p>
        </w:tc>
      </w:tr>
      <w:tr w:rsidR="00D516FC" w:rsidRPr="00D516FC" w14:paraId="780803D0" w14:textId="77777777" w:rsidTr="00D516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4" w:type="dxa"/>
            <w:shd w:val="clear" w:color="auto" w:fill="auto"/>
          </w:tcPr>
          <w:p w14:paraId="0D904CBF" w14:textId="77777777" w:rsidR="00D516FC" w:rsidRPr="00D516FC" w:rsidRDefault="00D516FC" w:rsidP="00D516FC">
            <w:pPr>
              <w:spacing w:after="0"/>
              <w:rPr>
                <w:rFonts w:cs="Arial"/>
                <w:color w:val="000000"/>
                <w:szCs w:val="20"/>
              </w:rPr>
            </w:pPr>
            <w:r w:rsidRPr="00D516FC">
              <w:rPr>
                <w:rFonts w:cs="Arial"/>
                <w:szCs w:val="20"/>
                <w:lang w:val="en-GB"/>
              </w:rPr>
              <w:t>Office</w:t>
            </w:r>
          </w:p>
        </w:tc>
        <w:tc>
          <w:tcPr>
            <w:tcW w:w="2548" w:type="dxa"/>
            <w:shd w:val="clear" w:color="auto" w:fill="auto"/>
          </w:tcPr>
          <w:p w14:paraId="73DD033D" w14:textId="77777777" w:rsidR="00D516FC" w:rsidRPr="00D516FC" w:rsidRDefault="00D516FC" w:rsidP="00D516FC">
            <w:pPr>
              <w:spacing w:after="0"/>
              <w:cnfStyle w:val="000000100000" w:firstRow="0" w:lastRow="0" w:firstColumn="0" w:lastColumn="0" w:oddVBand="0" w:evenVBand="0" w:oddHBand="1" w:evenHBand="0" w:firstRowFirstColumn="0" w:firstRowLastColumn="0" w:lastRowFirstColumn="0" w:lastRowLastColumn="0"/>
              <w:rPr>
                <w:rFonts w:cs="Arial"/>
                <w:szCs w:val="20"/>
                <w:lang w:val="en-GB"/>
              </w:rPr>
            </w:pPr>
            <w:r w:rsidRPr="00D516FC">
              <w:rPr>
                <w:rFonts w:cs="Arial"/>
                <w:szCs w:val="20"/>
                <w:lang w:val="en-GB"/>
              </w:rPr>
              <w:t xml:space="preserve">Our model applies an energy intensity to each size segment of a building drawn from the Victorian NABERS for offices dataset. Energy consumption figures based on whole building, tenancy and base building ratings (combined or disaggregated as appropriate) drawn from the non-public NABERS dataset, divided area, were used in calculating intensities for each building size class. </w:t>
            </w:r>
          </w:p>
          <w:p w14:paraId="00D242C9" w14:textId="77777777" w:rsidR="00D516FC" w:rsidRPr="00D516FC" w:rsidRDefault="00D516FC" w:rsidP="00D516FC">
            <w:pPr>
              <w:spacing w:after="0"/>
              <w:cnfStyle w:val="000000100000" w:firstRow="0" w:lastRow="0" w:firstColumn="0" w:lastColumn="0" w:oddVBand="0" w:evenVBand="0" w:oddHBand="1" w:evenHBand="0" w:firstRowFirstColumn="0" w:firstRowLastColumn="0" w:lastRowFirstColumn="0" w:lastRowLastColumn="0"/>
              <w:rPr>
                <w:rFonts w:cs="Arial"/>
                <w:color w:val="000000"/>
                <w:szCs w:val="20"/>
                <w:lang w:eastAsia="en-AU"/>
              </w:rPr>
            </w:pPr>
            <w:r w:rsidRPr="00D516FC">
              <w:rPr>
                <w:rFonts w:cs="Arial"/>
                <w:szCs w:val="20"/>
                <w:lang w:val="en-GB"/>
              </w:rPr>
              <w:t xml:space="preserve">The resulting weighted average intensity across all office space in the city is </w:t>
            </w:r>
            <w:r w:rsidRPr="00D516FC">
              <w:rPr>
                <w:rFonts w:cs="Arial"/>
                <w:color w:val="000000"/>
                <w:szCs w:val="20"/>
              </w:rPr>
              <w:t xml:space="preserve">107 kWh/m2/year </w:t>
            </w:r>
            <w:r w:rsidRPr="00D516FC">
              <w:rPr>
                <w:rFonts w:cs="Arial"/>
                <w:szCs w:val="20"/>
                <w:lang w:val="en-GB"/>
              </w:rPr>
              <w:t>for electricity</w:t>
            </w:r>
            <w:r w:rsidRPr="00D516FC">
              <w:rPr>
                <w:rFonts w:cs="Arial"/>
                <w:color w:val="000000"/>
                <w:szCs w:val="20"/>
              </w:rPr>
              <w:t xml:space="preserve"> and 251 MJ/m2/year for gas. </w:t>
            </w:r>
          </w:p>
        </w:tc>
        <w:tc>
          <w:tcPr>
            <w:tcW w:w="2409" w:type="dxa"/>
            <w:shd w:val="clear" w:color="auto" w:fill="auto"/>
          </w:tcPr>
          <w:p w14:paraId="1D58C3CE" w14:textId="77777777" w:rsidR="00D516FC" w:rsidRPr="00D516FC" w:rsidRDefault="00D516FC" w:rsidP="00D516FC">
            <w:pPr>
              <w:spacing w:after="0"/>
              <w:cnfStyle w:val="000000100000" w:firstRow="0" w:lastRow="0" w:firstColumn="0" w:lastColumn="0" w:oddVBand="0" w:evenVBand="0" w:oddHBand="1" w:evenHBand="0" w:firstRowFirstColumn="0" w:firstRowLastColumn="0" w:lastRowFirstColumn="0" w:lastRowLastColumn="0"/>
              <w:rPr>
                <w:rFonts w:cs="Arial"/>
                <w:szCs w:val="20"/>
                <w:lang w:val="en-GB"/>
              </w:rPr>
            </w:pPr>
            <w:r w:rsidRPr="00D516FC">
              <w:rPr>
                <w:rFonts w:cs="Arial"/>
                <w:szCs w:val="20"/>
                <w:lang w:val="en-GB"/>
              </w:rPr>
              <w:t>For the portion of a building under 1,000 m2: 191 kWh/m2/year &amp; 356 MJ/m2/year</w:t>
            </w:r>
          </w:p>
          <w:p w14:paraId="39A4C4A7" w14:textId="77777777" w:rsidR="003A6133" w:rsidRDefault="003A6133" w:rsidP="00D516FC">
            <w:pPr>
              <w:spacing w:after="0"/>
              <w:cnfStyle w:val="000000100000" w:firstRow="0" w:lastRow="0" w:firstColumn="0" w:lastColumn="0" w:oddVBand="0" w:evenVBand="0" w:oddHBand="1" w:evenHBand="0" w:firstRowFirstColumn="0" w:firstRowLastColumn="0" w:lastRowFirstColumn="0" w:lastRowLastColumn="0"/>
              <w:rPr>
                <w:rFonts w:cs="Arial"/>
                <w:szCs w:val="20"/>
                <w:lang w:val="en-GB"/>
              </w:rPr>
            </w:pPr>
          </w:p>
          <w:p w14:paraId="715C84CF" w14:textId="2A4BD12F" w:rsidR="00D516FC" w:rsidRPr="00D516FC" w:rsidRDefault="00D516FC" w:rsidP="00D516FC">
            <w:pPr>
              <w:spacing w:after="0"/>
              <w:cnfStyle w:val="000000100000" w:firstRow="0" w:lastRow="0" w:firstColumn="0" w:lastColumn="0" w:oddVBand="0" w:evenVBand="0" w:oddHBand="1" w:evenHBand="0" w:firstRowFirstColumn="0" w:firstRowLastColumn="0" w:lastRowFirstColumn="0" w:lastRowLastColumn="0"/>
              <w:rPr>
                <w:rFonts w:cs="Arial"/>
                <w:szCs w:val="20"/>
                <w:lang w:val="en-GB"/>
              </w:rPr>
            </w:pPr>
            <w:r w:rsidRPr="00D516FC">
              <w:rPr>
                <w:rFonts w:cs="Arial"/>
                <w:szCs w:val="20"/>
                <w:lang w:val="en-GB"/>
              </w:rPr>
              <w:t>For the portion of a building 1,000 – 5,000 m2: 180 kWh/m2/year &amp; 308 MJ/m2/year</w:t>
            </w:r>
          </w:p>
          <w:p w14:paraId="381DE8F4" w14:textId="77777777" w:rsidR="003A6133" w:rsidRDefault="003A6133" w:rsidP="00D516FC">
            <w:pPr>
              <w:spacing w:after="0"/>
              <w:cnfStyle w:val="000000100000" w:firstRow="0" w:lastRow="0" w:firstColumn="0" w:lastColumn="0" w:oddVBand="0" w:evenVBand="0" w:oddHBand="1" w:evenHBand="0" w:firstRowFirstColumn="0" w:firstRowLastColumn="0" w:lastRowFirstColumn="0" w:lastRowLastColumn="0"/>
              <w:rPr>
                <w:rFonts w:cs="Arial"/>
                <w:szCs w:val="20"/>
                <w:lang w:val="en-GB"/>
              </w:rPr>
            </w:pPr>
          </w:p>
          <w:p w14:paraId="055FEFC7" w14:textId="01190693" w:rsidR="00D516FC" w:rsidRPr="00D516FC" w:rsidRDefault="00D516FC" w:rsidP="00D516FC">
            <w:pPr>
              <w:spacing w:after="0"/>
              <w:cnfStyle w:val="000000100000" w:firstRow="0" w:lastRow="0" w:firstColumn="0" w:lastColumn="0" w:oddVBand="0" w:evenVBand="0" w:oddHBand="1" w:evenHBand="0" w:firstRowFirstColumn="0" w:firstRowLastColumn="0" w:lastRowFirstColumn="0" w:lastRowLastColumn="0"/>
              <w:rPr>
                <w:rFonts w:cs="Arial"/>
                <w:szCs w:val="20"/>
                <w:lang w:val="en-GB"/>
              </w:rPr>
            </w:pPr>
            <w:r w:rsidRPr="00D516FC">
              <w:rPr>
                <w:rFonts w:cs="Arial"/>
                <w:szCs w:val="20"/>
                <w:lang w:val="en-GB"/>
              </w:rPr>
              <w:t>For the portion of a building 5,000 – 10,000 m2: 96 kWh/m2/year &amp; 337 MJ/m2/year</w:t>
            </w:r>
          </w:p>
          <w:p w14:paraId="0D63F7E4" w14:textId="77777777" w:rsidR="003A6133" w:rsidRDefault="003A6133" w:rsidP="00D516FC">
            <w:pPr>
              <w:spacing w:after="0"/>
              <w:cnfStyle w:val="000000100000" w:firstRow="0" w:lastRow="0" w:firstColumn="0" w:lastColumn="0" w:oddVBand="0" w:evenVBand="0" w:oddHBand="1" w:evenHBand="0" w:firstRowFirstColumn="0" w:firstRowLastColumn="0" w:lastRowFirstColumn="0" w:lastRowLastColumn="0"/>
              <w:rPr>
                <w:rFonts w:cs="Arial"/>
                <w:szCs w:val="20"/>
                <w:lang w:val="en-GB"/>
              </w:rPr>
            </w:pPr>
          </w:p>
          <w:p w14:paraId="4C7E56D2" w14:textId="6E7EB148" w:rsidR="00D516FC" w:rsidRPr="00D516FC" w:rsidRDefault="00D516FC" w:rsidP="00D516FC">
            <w:pPr>
              <w:spacing w:after="0"/>
              <w:cnfStyle w:val="000000100000" w:firstRow="0" w:lastRow="0" w:firstColumn="0" w:lastColumn="0" w:oddVBand="0" w:evenVBand="0" w:oddHBand="1" w:evenHBand="0" w:firstRowFirstColumn="0" w:firstRowLastColumn="0" w:lastRowFirstColumn="0" w:lastRowLastColumn="0"/>
              <w:rPr>
                <w:rFonts w:cs="Arial"/>
                <w:szCs w:val="20"/>
                <w:lang w:val="en-GB"/>
              </w:rPr>
            </w:pPr>
            <w:r w:rsidRPr="00D516FC">
              <w:rPr>
                <w:rFonts w:cs="Arial"/>
                <w:szCs w:val="20"/>
                <w:lang w:val="en-GB"/>
              </w:rPr>
              <w:t>For the portion of a building 10,000 – 20,000 m2: 79 kWh/m2/year &amp; 248 MJ/m2/year</w:t>
            </w:r>
          </w:p>
          <w:p w14:paraId="0CCAF5E7" w14:textId="77777777" w:rsidR="003A6133" w:rsidRDefault="003A6133" w:rsidP="00D516FC">
            <w:pPr>
              <w:spacing w:after="0"/>
              <w:cnfStyle w:val="000000100000" w:firstRow="0" w:lastRow="0" w:firstColumn="0" w:lastColumn="0" w:oddVBand="0" w:evenVBand="0" w:oddHBand="1" w:evenHBand="0" w:firstRowFirstColumn="0" w:firstRowLastColumn="0" w:lastRowFirstColumn="0" w:lastRowLastColumn="0"/>
              <w:rPr>
                <w:rFonts w:cs="Arial"/>
                <w:szCs w:val="20"/>
                <w:lang w:val="en-GB"/>
              </w:rPr>
            </w:pPr>
          </w:p>
          <w:p w14:paraId="25D5929A" w14:textId="4F29AC7C" w:rsidR="00D516FC" w:rsidRPr="00D516FC" w:rsidRDefault="00D516FC" w:rsidP="00D516FC">
            <w:pPr>
              <w:spacing w:after="0"/>
              <w:cnfStyle w:val="000000100000" w:firstRow="0" w:lastRow="0" w:firstColumn="0" w:lastColumn="0" w:oddVBand="0" w:evenVBand="0" w:oddHBand="1" w:evenHBand="0" w:firstRowFirstColumn="0" w:firstRowLastColumn="0" w:lastRowFirstColumn="0" w:lastRowLastColumn="0"/>
              <w:rPr>
                <w:rFonts w:cs="Arial"/>
                <w:szCs w:val="20"/>
                <w:lang w:val="en-GB"/>
              </w:rPr>
            </w:pPr>
            <w:r w:rsidRPr="00D516FC">
              <w:rPr>
                <w:rFonts w:cs="Arial"/>
                <w:szCs w:val="20"/>
                <w:lang w:val="en-GB"/>
              </w:rPr>
              <w:t>For the portion of a building 20,000 – 40,000 m2: 58 kWh/m2/year &amp; 166 MJ/m2/year</w:t>
            </w:r>
          </w:p>
          <w:p w14:paraId="315C5E08" w14:textId="77777777" w:rsidR="003A6133" w:rsidRDefault="003A6133" w:rsidP="00D516FC">
            <w:pPr>
              <w:spacing w:after="0"/>
              <w:cnfStyle w:val="000000100000" w:firstRow="0" w:lastRow="0" w:firstColumn="0" w:lastColumn="0" w:oddVBand="0" w:evenVBand="0" w:oddHBand="1" w:evenHBand="0" w:firstRowFirstColumn="0" w:firstRowLastColumn="0" w:lastRowFirstColumn="0" w:lastRowLastColumn="0"/>
              <w:rPr>
                <w:rFonts w:cs="Arial"/>
                <w:szCs w:val="20"/>
                <w:lang w:val="en-GB"/>
              </w:rPr>
            </w:pPr>
          </w:p>
          <w:p w14:paraId="0D65EF65" w14:textId="61486520" w:rsidR="00D516FC" w:rsidRPr="00D516FC" w:rsidRDefault="00D516FC" w:rsidP="00D516FC">
            <w:pPr>
              <w:spacing w:after="0"/>
              <w:cnfStyle w:val="000000100000" w:firstRow="0" w:lastRow="0" w:firstColumn="0" w:lastColumn="0" w:oddVBand="0" w:evenVBand="0" w:oddHBand="1" w:evenHBand="0" w:firstRowFirstColumn="0" w:firstRowLastColumn="0" w:lastRowFirstColumn="0" w:lastRowLastColumn="0"/>
              <w:rPr>
                <w:rFonts w:cs="Arial"/>
                <w:szCs w:val="20"/>
                <w:lang w:val="en-GB"/>
              </w:rPr>
            </w:pPr>
            <w:r w:rsidRPr="00D516FC">
              <w:rPr>
                <w:rFonts w:cs="Arial"/>
                <w:szCs w:val="20"/>
                <w:lang w:val="en-GB"/>
              </w:rPr>
              <w:t>For the portion of a building 40,000 – 60,000 m2: 60 kWh/m2/year &amp; 128 MJ/m2/year</w:t>
            </w:r>
          </w:p>
          <w:p w14:paraId="1A9DBA2E" w14:textId="77777777" w:rsidR="00D516FC" w:rsidRPr="00D516FC" w:rsidRDefault="00D516FC" w:rsidP="00D516FC">
            <w:pPr>
              <w:spacing w:after="0"/>
              <w:cnfStyle w:val="000000100000" w:firstRow="0" w:lastRow="0" w:firstColumn="0" w:lastColumn="0" w:oddVBand="0" w:evenVBand="0" w:oddHBand="1" w:evenHBand="0" w:firstRowFirstColumn="0" w:firstRowLastColumn="0" w:lastRowFirstColumn="0" w:lastRowLastColumn="0"/>
              <w:rPr>
                <w:rFonts w:cs="Arial"/>
                <w:szCs w:val="20"/>
                <w:lang w:val="en-GB"/>
              </w:rPr>
            </w:pPr>
            <w:r w:rsidRPr="00D516FC">
              <w:rPr>
                <w:rFonts w:cs="Arial"/>
                <w:szCs w:val="20"/>
                <w:lang w:val="en-GB"/>
              </w:rPr>
              <w:lastRenderedPageBreak/>
              <w:t>For the portion of a building over 60,000 m2: 58 kWh/m2/year &amp; 177 MJ/m2/year</w:t>
            </w:r>
          </w:p>
        </w:tc>
        <w:tc>
          <w:tcPr>
            <w:tcW w:w="2267" w:type="dxa"/>
            <w:shd w:val="clear" w:color="auto" w:fill="auto"/>
          </w:tcPr>
          <w:p w14:paraId="2FFC2AF0" w14:textId="77777777" w:rsidR="00D516FC" w:rsidRPr="00D516FC" w:rsidRDefault="00D516FC" w:rsidP="00D516FC">
            <w:pPr>
              <w:spacing w:after="0"/>
              <w:cnfStyle w:val="000000100000" w:firstRow="0" w:lastRow="0" w:firstColumn="0" w:lastColumn="0" w:oddVBand="0" w:evenVBand="0" w:oddHBand="1" w:evenHBand="0" w:firstRowFirstColumn="0" w:firstRowLastColumn="0" w:lastRowFirstColumn="0" w:lastRowLastColumn="0"/>
              <w:rPr>
                <w:rFonts w:cs="Arial"/>
                <w:szCs w:val="20"/>
                <w:lang w:val="en-GB"/>
              </w:rPr>
            </w:pPr>
            <w:r w:rsidRPr="00D516FC">
              <w:rPr>
                <w:rFonts w:cs="Arial"/>
                <w:szCs w:val="20"/>
                <w:lang w:val="en-GB"/>
              </w:rPr>
              <w:lastRenderedPageBreak/>
              <w:t>The coverage of the NABERS dataset is skewed towards larger buildings and larger portfolios, both because of mandatory disclosure and because larger commercial property owners are more likely to be actively monitoring energy efficiency in their portfolios. The result of this skew is that less efficient, smaller buildings are unlikely to appear in the dataset. To manage this challenge, our model applies a weighting to energy intensity numbers for smaller spaces drawn from the NABERS dataset. Further research on energy use in these buildings would allow for a fine-tuning of these weightings to improve accuracy.</w:t>
            </w:r>
          </w:p>
        </w:tc>
      </w:tr>
      <w:tr w:rsidR="00D516FC" w:rsidRPr="00D516FC" w14:paraId="346EDFBA" w14:textId="77777777" w:rsidTr="00D516FC">
        <w:tc>
          <w:tcPr>
            <w:cnfStyle w:val="001000000000" w:firstRow="0" w:lastRow="0" w:firstColumn="1" w:lastColumn="0" w:oddVBand="0" w:evenVBand="0" w:oddHBand="0" w:evenHBand="0" w:firstRowFirstColumn="0" w:firstRowLastColumn="0" w:lastRowFirstColumn="0" w:lastRowLastColumn="0"/>
            <w:tcW w:w="2414" w:type="dxa"/>
            <w:shd w:val="clear" w:color="auto" w:fill="auto"/>
          </w:tcPr>
          <w:p w14:paraId="66873F77" w14:textId="77777777" w:rsidR="00D516FC" w:rsidRPr="00D516FC" w:rsidRDefault="00D516FC" w:rsidP="00D516FC">
            <w:pPr>
              <w:spacing w:after="0"/>
              <w:rPr>
                <w:rFonts w:cs="Arial"/>
                <w:color w:val="000000"/>
                <w:szCs w:val="20"/>
              </w:rPr>
            </w:pPr>
            <w:r w:rsidRPr="00D516FC">
              <w:rPr>
                <w:rFonts w:cs="Arial"/>
                <w:szCs w:val="20"/>
                <w:lang w:val="en-GB"/>
              </w:rPr>
              <w:t>House/townhouse</w:t>
            </w:r>
          </w:p>
        </w:tc>
        <w:tc>
          <w:tcPr>
            <w:tcW w:w="2548" w:type="dxa"/>
            <w:shd w:val="clear" w:color="auto" w:fill="auto"/>
          </w:tcPr>
          <w:p w14:paraId="6D9AB0A3" w14:textId="77777777" w:rsidR="00D516FC" w:rsidRPr="00D516FC" w:rsidRDefault="00D516FC" w:rsidP="00D516FC">
            <w:pPr>
              <w:spacing w:after="0"/>
              <w:cnfStyle w:val="000000000000" w:firstRow="0" w:lastRow="0" w:firstColumn="0" w:lastColumn="0" w:oddVBand="0" w:evenVBand="0" w:oddHBand="0" w:evenHBand="0" w:firstRowFirstColumn="0" w:firstRowLastColumn="0" w:lastRowFirstColumn="0" w:lastRowLastColumn="0"/>
              <w:rPr>
                <w:rFonts w:cs="Arial"/>
                <w:szCs w:val="20"/>
                <w:lang w:val="en-GB"/>
              </w:rPr>
            </w:pPr>
            <w:r w:rsidRPr="00D516FC">
              <w:rPr>
                <w:rFonts w:cs="Arial"/>
                <w:szCs w:val="20"/>
                <w:lang w:val="en-GB"/>
              </w:rPr>
              <w:t>Model separates this space use into a townhouse/terrace and a standalone house archetype and applies average energy consumption figures drawn from the AER’s residential consumption benchmarks to the average floor areas drawn from CLUE data.</w:t>
            </w:r>
            <w:r w:rsidRPr="00D516FC">
              <w:rPr>
                <w:rStyle w:val="FootnoteReference"/>
                <w:rFonts w:cs="Arial"/>
                <w:szCs w:val="20"/>
                <w:lang w:val="en-GB"/>
              </w:rPr>
              <w:footnoteReference w:id="8"/>
            </w:r>
            <w:r w:rsidRPr="00D516FC">
              <w:rPr>
                <w:rFonts w:cs="Arial"/>
                <w:szCs w:val="20"/>
                <w:lang w:val="en-GB"/>
              </w:rPr>
              <w:t xml:space="preserve"> </w:t>
            </w:r>
          </w:p>
        </w:tc>
        <w:tc>
          <w:tcPr>
            <w:tcW w:w="2409" w:type="dxa"/>
            <w:shd w:val="clear" w:color="auto" w:fill="auto"/>
          </w:tcPr>
          <w:p w14:paraId="62775972" w14:textId="77777777" w:rsidR="00D516FC" w:rsidRPr="00D516FC" w:rsidRDefault="00D516FC" w:rsidP="00D516FC">
            <w:pPr>
              <w:spacing w:after="0"/>
              <w:cnfStyle w:val="000000000000" w:firstRow="0" w:lastRow="0" w:firstColumn="0" w:lastColumn="0" w:oddVBand="0" w:evenVBand="0" w:oddHBand="0" w:evenHBand="0" w:firstRowFirstColumn="0" w:firstRowLastColumn="0" w:lastRowFirstColumn="0" w:lastRowLastColumn="0"/>
              <w:rPr>
                <w:rFonts w:cs="Arial"/>
                <w:szCs w:val="20"/>
                <w:lang w:val="en-GB"/>
              </w:rPr>
            </w:pPr>
            <w:r w:rsidRPr="00D516FC">
              <w:rPr>
                <w:rFonts w:cs="Arial"/>
                <w:szCs w:val="20"/>
                <w:lang w:val="en-GB"/>
              </w:rPr>
              <w:t>Townhouse/terrace: 52 kWh/m2/year and 370 MJ/m2/year</w:t>
            </w:r>
          </w:p>
          <w:p w14:paraId="1ABB1244" w14:textId="77777777" w:rsidR="003A6133" w:rsidRDefault="003A6133" w:rsidP="00D516FC">
            <w:pPr>
              <w:spacing w:after="0"/>
              <w:cnfStyle w:val="000000000000" w:firstRow="0" w:lastRow="0" w:firstColumn="0" w:lastColumn="0" w:oddVBand="0" w:evenVBand="0" w:oddHBand="0" w:evenHBand="0" w:firstRowFirstColumn="0" w:firstRowLastColumn="0" w:lastRowFirstColumn="0" w:lastRowLastColumn="0"/>
              <w:rPr>
                <w:rFonts w:cs="Arial"/>
                <w:szCs w:val="20"/>
                <w:lang w:val="en-GB"/>
              </w:rPr>
            </w:pPr>
          </w:p>
          <w:p w14:paraId="17AF4A8D" w14:textId="3F9037D7" w:rsidR="00D516FC" w:rsidRPr="00D516FC" w:rsidRDefault="00D516FC" w:rsidP="00D516FC">
            <w:pPr>
              <w:spacing w:after="0"/>
              <w:cnfStyle w:val="000000000000" w:firstRow="0" w:lastRow="0" w:firstColumn="0" w:lastColumn="0" w:oddVBand="0" w:evenVBand="0" w:oddHBand="0" w:evenHBand="0" w:firstRowFirstColumn="0" w:firstRowLastColumn="0" w:lastRowFirstColumn="0" w:lastRowLastColumn="0"/>
              <w:rPr>
                <w:rFonts w:cs="Arial"/>
                <w:szCs w:val="20"/>
                <w:lang w:val="en-GB"/>
              </w:rPr>
            </w:pPr>
            <w:r w:rsidRPr="00D516FC">
              <w:rPr>
                <w:rFonts w:cs="Arial"/>
                <w:szCs w:val="20"/>
                <w:lang w:val="en-GB"/>
              </w:rPr>
              <w:t>Standalone house: 27 kWh/m2/year and 181 MJ/m2/year</w:t>
            </w:r>
          </w:p>
        </w:tc>
        <w:tc>
          <w:tcPr>
            <w:tcW w:w="2267" w:type="dxa"/>
            <w:shd w:val="clear" w:color="auto" w:fill="auto"/>
          </w:tcPr>
          <w:p w14:paraId="3ACBB86C" w14:textId="77777777" w:rsidR="00D516FC" w:rsidRPr="00D516FC" w:rsidRDefault="00D516FC" w:rsidP="00D516FC">
            <w:pPr>
              <w:spacing w:after="0"/>
              <w:cnfStyle w:val="000000000000" w:firstRow="0" w:lastRow="0" w:firstColumn="0" w:lastColumn="0" w:oddVBand="0" w:evenVBand="0" w:oddHBand="0" w:evenHBand="0" w:firstRowFirstColumn="0" w:firstRowLastColumn="0" w:lastRowFirstColumn="0" w:lastRowLastColumn="0"/>
              <w:rPr>
                <w:rFonts w:cs="Arial"/>
                <w:szCs w:val="20"/>
                <w:lang w:val="en-GB"/>
              </w:rPr>
            </w:pPr>
          </w:p>
        </w:tc>
      </w:tr>
      <w:tr w:rsidR="00D516FC" w:rsidRPr="00D516FC" w14:paraId="2BE3585A" w14:textId="77777777" w:rsidTr="00D516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4" w:type="dxa"/>
            <w:shd w:val="clear" w:color="auto" w:fill="auto"/>
          </w:tcPr>
          <w:p w14:paraId="1C89A9E8" w14:textId="77777777" w:rsidR="00D516FC" w:rsidRPr="00D516FC" w:rsidRDefault="00D516FC" w:rsidP="00D516FC">
            <w:pPr>
              <w:spacing w:after="0"/>
              <w:rPr>
                <w:rFonts w:cs="Arial"/>
                <w:color w:val="000000"/>
                <w:szCs w:val="20"/>
              </w:rPr>
            </w:pPr>
            <w:r w:rsidRPr="00D516FC">
              <w:rPr>
                <w:rFonts w:cs="Arial"/>
                <w:szCs w:val="20"/>
                <w:lang w:val="en-GB"/>
              </w:rPr>
              <w:t>Residential apartment</w:t>
            </w:r>
          </w:p>
        </w:tc>
        <w:tc>
          <w:tcPr>
            <w:tcW w:w="2548" w:type="dxa"/>
            <w:shd w:val="clear" w:color="auto" w:fill="auto"/>
          </w:tcPr>
          <w:p w14:paraId="6847D9C2" w14:textId="77777777" w:rsidR="00D516FC" w:rsidRPr="00D516FC" w:rsidRDefault="00D516FC" w:rsidP="00D516FC">
            <w:pPr>
              <w:spacing w:after="0"/>
              <w:cnfStyle w:val="000000100000" w:firstRow="0" w:lastRow="0" w:firstColumn="0" w:lastColumn="0" w:oddVBand="0" w:evenVBand="0" w:oddHBand="1" w:evenHBand="0" w:firstRowFirstColumn="0" w:firstRowLastColumn="0" w:lastRowFirstColumn="0" w:lastRowLastColumn="0"/>
              <w:rPr>
                <w:rFonts w:cs="Arial"/>
                <w:szCs w:val="20"/>
                <w:lang w:val="en-GB"/>
              </w:rPr>
            </w:pPr>
            <w:r w:rsidRPr="00D516FC">
              <w:rPr>
                <w:rFonts w:cs="Arial"/>
                <w:szCs w:val="20"/>
                <w:lang w:val="en-GB"/>
              </w:rPr>
              <w:t xml:space="preserve">Model separates this space into high, mid and low-rise apartment archetypes and applies energy intensities for each drawn from the CSIRO’s apartment emissions baseline project provided by the city. </w:t>
            </w:r>
          </w:p>
        </w:tc>
        <w:tc>
          <w:tcPr>
            <w:tcW w:w="2409" w:type="dxa"/>
            <w:shd w:val="clear" w:color="auto" w:fill="auto"/>
          </w:tcPr>
          <w:p w14:paraId="2779D553" w14:textId="77777777" w:rsidR="00D516FC" w:rsidRPr="00D516FC" w:rsidRDefault="00D516FC" w:rsidP="00D516FC">
            <w:pPr>
              <w:spacing w:after="0"/>
              <w:cnfStyle w:val="000000100000" w:firstRow="0" w:lastRow="0" w:firstColumn="0" w:lastColumn="0" w:oddVBand="0" w:evenVBand="0" w:oddHBand="1" w:evenHBand="0" w:firstRowFirstColumn="0" w:firstRowLastColumn="0" w:lastRowFirstColumn="0" w:lastRowLastColumn="0"/>
              <w:rPr>
                <w:rFonts w:cs="Arial"/>
                <w:szCs w:val="20"/>
                <w:lang w:val="en-GB"/>
              </w:rPr>
            </w:pPr>
            <w:r w:rsidRPr="00D516FC">
              <w:rPr>
                <w:rFonts w:cs="Arial"/>
                <w:szCs w:val="20"/>
                <w:lang w:val="en-GB"/>
              </w:rPr>
              <w:t>High-rise apartment: 50 kWh/m2/year &amp; 153 MJ/m2/year</w:t>
            </w:r>
          </w:p>
          <w:p w14:paraId="6355BF1E" w14:textId="77777777" w:rsidR="003A6133" w:rsidRDefault="003A6133" w:rsidP="00D516FC">
            <w:pPr>
              <w:spacing w:after="0"/>
              <w:cnfStyle w:val="000000100000" w:firstRow="0" w:lastRow="0" w:firstColumn="0" w:lastColumn="0" w:oddVBand="0" w:evenVBand="0" w:oddHBand="1" w:evenHBand="0" w:firstRowFirstColumn="0" w:firstRowLastColumn="0" w:lastRowFirstColumn="0" w:lastRowLastColumn="0"/>
              <w:rPr>
                <w:rFonts w:cs="Arial"/>
                <w:szCs w:val="20"/>
                <w:lang w:val="en-GB"/>
              </w:rPr>
            </w:pPr>
          </w:p>
          <w:p w14:paraId="07F98F92" w14:textId="15B88868" w:rsidR="00D516FC" w:rsidRPr="00D516FC" w:rsidRDefault="00D516FC" w:rsidP="00D516FC">
            <w:pPr>
              <w:spacing w:after="0"/>
              <w:cnfStyle w:val="000000100000" w:firstRow="0" w:lastRow="0" w:firstColumn="0" w:lastColumn="0" w:oddVBand="0" w:evenVBand="0" w:oddHBand="1" w:evenHBand="0" w:firstRowFirstColumn="0" w:firstRowLastColumn="0" w:lastRowFirstColumn="0" w:lastRowLastColumn="0"/>
              <w:rPr>
                <w:rFonts w:cs="Arial"/>
                <w:szCs w:val="20"/>
                <w:lang w:val="en-GB"/>
              </w:rPr>
            </w:pPr>
            <w:r w:rsidRPr="00D516FC">
              <w:rPr>
                <w:rFonts w:cs="Arial"/>
                <w:szCs w:val="20"/>
                <w:lang w:val="en-GB"/>
              </w:rPr>
              <w:t>Mid-rise apartment: 40 kWh/m2/year &amp; 204 MJ/m2/year</w:t>
            </w:r>
          </w:p>
          <w:p w14:paraId="531AF977" w14:textId="77777777" w:rsidR="003A6133" w:rsidRDefault="003A6133" w:rsidP="00D516FC">
            <w:pPr>
              <w:spacing w:after="0"/>
              <w:cnfStyle w:val="000000100000" w:firstRow="0" w:lastRow="0" w:firstColumn="0" w:lastColumn="0" w:oddVBand="0" w:evenVBand="0" w:oddHBand="1" w:evenHBand="0" w:firstRowFirstColumn="0" w:firstRowLastColumn="0" w:lastRowFirstColumn="0" w:lastRowLastColumn="0"/>
              <w:rPr>
                <w:rFonts w:cs="Arial"/>
                <w:szCs w:val="20"/>
                <w:lang w:val="en-GB"/>
              </w:rPr>
            </w:pPr>
          </w:p>
          <w:p w14:paraId="0C059348" w14:textId="6B91CAB9" w:rsidR="00D516FC" w:rsidRPr="00D516FC" w:rsidRDefault="00D516FC" w:rsidP="00D516FC">
            <w:pPr>
              <w:spacing w:after="0"/>
              <w:cnfStyle w:val="000000100000" w:firstRow="0" w:lastRow="0" w:firstColumn="0" w:lastColumn="0" w:oddVBand="0" w:evenVBand="0" w:oddHBand="1" w:evenHBand="0" w:firstRowFirstColumn="0" w:firstRowLastColumn="0" w:lastRowFirstColumn="0" w:lastRowLastColumn="0"/>
              <w:rPr>
                <w:rFonts w:cs="Arial"/>
                <w:szCs w:val="20"/>
                <w:lang w:val="en-GB"/>
              </w:rPr>
            </w:pPr>
            <w:r w:rsidRPr="00D516FC">
              <w:rPr>
                <w:rFonts w:cs="Arial"/>
                <w:szCs w:val="20"/>
                <w:lang w:val="en-GB"/>
              </w:rPr>
              <w:t>Low-rise apartment: 29 kWh/m2/year &amp; 208 MJ/m2/year</w:t>
            </w:r>
          </w:p>
        </w:tc>
        <w:tc>
          <w:tcPr>
            <w:tcW w:w="2267" w:type="dxa"/>
            <w:shd w:val="clear" w:color="auto" w:fill="auto"/>
          </w:tcPr>
          <w:p w14:paraId="4CEFF052" w14:textId="77777777" w:rsidR="00D516FC" w:rsidRPr="00D516FC" w:rsidRDefault="00D516FC" w:rsidP="00D516FC">
            <w:pPr>
              <w:spacing w:after="0"/>
              <w:cnfStyle w:val="000000100000" w:firstRow="0" w:lastRow="0" w:firstColumn="0" w:lastColumn="0" w:oddVBand="0" w:evenVBand="0" w:oddHBand="1" w:evenHBand="0" w:firstRowFirstColumn="0" w:firstRowLastColumn="0" w:lastRowFirstColumn="0" w:lastRowLastColumn="0"/>
              <w:rPr>
                <w:rFonts w:cs="Arial"/>
                <w:szCs w:val="20"/>
                <w:lang w:val="en-GB"/>
              </w:rPr>
            </w:pPr>
          </w:p>
        </w:tc>
      </w:tr>
      <w:tr w:rsidR="00D516FC" w:rsidRPr="00D516FC" w14:paraId="31B94CB3" w14:textId="77777777" w:rsidTr="00D516FC">
        <w:tc>
          <w:tcPr>
            <w:cnfStyle w:val="001000000000" w:firstRow="0" w:lastRow="0" w:firstColumn="1" w:lastColumn="0" w:oddVBand="0" w:evenVBand="0" w:oddHBand="0" w:evenHBand="0" w:firstRowFirstColumn="0" w:firstRowLastColumn="0" w:lastRowFirstColumn="0" w:lastRowLastColumn="0"/>
            <w:tcW w:w="2414" w:type="dxa"/>
            <w:shd w:val="clear" w:color="auto" w:fill="auto"/>
          </w:tcPr>
          <w:p w14:paraId="4BC13103" w14:textId="77777777" w:rsidR="00D516FC" w:rsidRPr="00D516FC" w:rsidRDefault="00D516FC" w:rsidP="00D516FC">
            <w:pPr>
              <w:spacing w:after="0"/>
              <w:rPr>
                <w:rFonts w:cs="Arial"/>
                <w:color w:val="000000"/>
                <w:szCs w:val="20"/>
              </w:rPr>
            </w:pPr>
            <w:r w:rsidRPr="00D516FC">
              <w:rPr>
                <w:rFonts w:cs="Arial"/>
                <w:szCs w:val="20"/>
                <w:lang w:val="en-GB"/>
              </w:rPr>
              <w:t>Hospital/Clinic</w:t>
            </w:r>
          </w:p>
        </w:tc>
        <w:tc>
          <w:tcPr>
            <w:tcW w:w="2548" w:type="dxa"/>
            <w:shd w:val="clear" w:color="auto" w:fill="auto"/>
          </w:tcPr>
          <w:p w14:paraId="4D822265" w14:textId="77777777" w:rsidR="00D516FC" w:rsidRPr="00D516FC" w:rsidRDefault="00D516FC" w:rsidP="00D516FC">
            <w:pPr>
              <w:spacing w:after="0"/>
              <w:cnfStyle w:val="000000000000" w:firstRow="0" w:lastRow="0" w:firstColumn="0" w:lastColumn="0" w:oddVBand="0" w:evenVBand="0" w:oddHBand="0" w:evenHBand="0" w:firstRowFirstColumn="0" w:firstRowLastColumn="0" w:lastRowFirstColumn="0" w:lastRowLastColumn="0"/>
              <w:rPr>
                <w:rFonts w:cs="Arial"/>
                <w:szCs w:val="20"/>
                <w:lang w:val="en-GB"/>
              </w:rPr>
            </w:pPr>
            <w:r w:rsidRPr="00D516FC">
              <w:rPr>
                <w:rFonts w:cs="Arial"/>
                <w:szCs w:val="20"/>
                <w:lang w:val="en-GB"/>
              </w:rPr>
              <w:t>Where available, the model applies actual energy consumption figures drawn from NABERS. If no public NABERS energy figures available, intensities drawn from Victorian government figures and the CBBS.</w:t>
            </w:r>
            <w:r w:rsidRPr="00D516FC">
              <w:rPr>
                <w:rStyle w:val="FootnoteReference"/>
                <w:rFonts w:cs="Arial"/>
                <w:szCs w:val="20"/>
                <w:lang w:val="en-GB"/>
              </w:rPr>
              <w:footnoteReference w:id="9"/>
            </w:r>
          </w:p>
        </w:tc>
        <w:tc>
          <w:tcPr>
            <w:tcW w:w="2409" w:type="dxa"/>
            <w:shd w:val="clear" w:color="auto" w:fill="auto"/>
          </w:tcPr>
          <w:p w14:paraId="146E6286" w14:textId="77777777" w:rsidR="00D516FC" w:rsidRPr="00D516FC" w:rsidRDefault="00D516FC" w:rsidP="00D516FC">
            <w:pPr>
              <w:spacing w:after="0"/>
              <w:cnfStyle w:val="000000000000" w:firstRow="0" w:lastRow="0" w:firstColumn="0" w:lastColumn="0" w:oddVBand="0" w:evenVBand="0" w:oddHBand="0" w:evenHBand="0" w:firstRowFirstColumn="0" w:firstRowLastColumn="0" w:lastRowFirstColumn="0" w:lastRowLastColumn="0"/>
              <w:rPr>
                <w:rFonts w:cs="Arial"/>
                <w:szCs w:val="20"/>
              </w:rPr>
            </w:pPr>
            <w:r w:rsidRPr="00D516FC">
              <w:rPr>
                <w:rFonts w:cs="Arial"/>
                <w:color w:val="000000"/>
                <w:szCs w:val="20"/>
              </w:rPr>
              <w:t xml:space="preserve">Sites over 5,000 m2: </w:t>
            </w:r>
            <w:r w:rsidRPr="00D516FC">
              <w:rPr>
                <w:rFonts w:cs="Arial"/>
                <w:szCs w:val="20"/>
                <w:lang w:val="en-GB"/>
              </w:rPr>
              <w:t xml:space="preserve">293 kWh/m2/year &amp; 306 MJ/m2/year </w:t>
            </w:r>
          </w:p>
          <w:p w14:paraId="771CF695" w14:textId="77777777" w:rsidR="003A6133" w:rsidRDefault="003A6133" w:rsidP="00D516FC">
            <w:pPr>
              <w:spacing w:after="0"/>
              <w:cnfStyle w:val="000000000000" w:firstRow="0" w:lastRow="0" w:firstColumn="0" w:lastColumn="0" w:oddVBand="0" w:evenVBand="0" w:oddHBand="0" w:evenHBand="0" w:firstRowFirstColumn="0" w:firstRowLastColumn="0" w:lastRowFirstColumn="0" w:lastRowLastColumn="0"/>
              <w:rPr>
                <w:rFonts w:cs="Arial"/>
                <w:szCs w:val="20"/>
              </w:rPr>
            </w:pPr>
          </w:p>
          <w:p w14:paraId="69C65C62" w14:textId="2D2CB495" w:rsidR="00D516FC" w:rsidRPr="00D516FC" w:rsidRDefault="00D516FC" w:rsidP="00D516FC">
            <w:pPr>
              <w:spacing w:after="0"/>
              <w:cnfStyle w:val="000000000000" w:firstRow="0" w:lastRow="0" w:firstColumn="0" w:lastColumn="0" w:oddVBand="0" w:evenVBand="0" w:oddHBand="0" w:evenHBand="0" w:firstRowFirstColumn="0" w:firstRowLastColumn="0" w:lastRowFirstColumn="0" w:lastRowLastColumn="0"/>
              <w:rPr>
                <w:rFonts w:cs="Arial"/>
                <w:szCs w:val="20"/>
                <w:lang w:val="en-GB"/>
              </w:rPr>
            </w:pPr>
            <w:r w:rsidRPr="00D516FC">
              <w:rPr>
                <w:rFonts w:cs="Arial"/>
                <w:szCs w:val="20"/>
              </w:rPr>
              <w:t>Sites under 5,000 m2: 220 kWh/m2/year and 269 MJ/m2/year</w:t>
            </w:r>
          </w:p>
        </w:tc>
        <w:tc>
          <w:tcPr>
            <w:tcW w:w="2267" w:type="dxa"/>
            <w:shd w:val="clear" w:color="auto" w:fill="auto"/>
          </w:tcPr>
          <w:p w14:paraId="79D31428" w14:textId="77777777" w:rsidR="00D516FC" w:rsidRPr="00D516FC" w:rsidRDefault="00D516FC" w:rsidP="00D516FC">
            <w:pPr>
              <w:spacing w:after="0"/>
              <w:cnfStyle w:val="000000000000" w:firstRow="0" w:lastRow="0" w:firstColumn="0" w:lastColumn="0" w:oddVBand="0" w:evenVBand="0" w:oddHBand="0" w:evenHBand="0" w:firstRowFirstColumn="0" w:firstRowLastColumn="0" w:lastRowFirstColumn="0" w:lastRowLastColumn="0"/>
              <w:rPr>
                <w:rFonts w:cs="Arial"/>
                <w:szCs w:val="20"/>
                <w:lang w:val="en-GB"/>
              </w:rPr>
            </w:pPr>
          </w:p>
        </w:tc>
      </w:tr>
      <w:tr w:rsidR="00D516FC" w:rsidRPr="00D516FC" w14:paraId="6B8BC5A7" w14:textId="77777777" w:rsidTr="00D516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4" w:type="dxa"/>
            <w:shd w:val="clear" w:color="auto" w:fill="auto"/>
          </w:tcPr>
          <w:p w14:paraId="2CC046C5" w14:textId="77777777" w:rsidR="00D516FC" w:rsidRPr="00D516FC" w:rsidRDefault="00D516FC" w:rsidP="00D516FC">
            <w:pPr>
              <w:spacing w:after="0"/>
              <w:rPr>
                <w:rFonts w:cs="Arial"/>
                <w:szCs w:val="20"/>
                <w:lang w:val="en-GB"/>
              </w:rPr>
            </w:pPr>
            <w:r w:rsidRPr="00D516FC">
              <w:rPr>
                <w:rFonts w:cs="Arial"/>
                <w:szCs w:val="20"/>
                <w:lang w:val="en-GB"/>
              </w:rPr>
              <w:t>Commercial Accommodation - low</w:t>
            </w:r>
          </w:p>
          <w:p w14:paraId="6767C1F0" w14:textId="77777777" w:rsidR="00D516FC" w:rsidRPr="00D516FC" w:rsidRDefault="00D516FC" w:rsidP="00D516FC">
            <w:pPr>
              <w:spacing w:after="0"/>
              <w:rPr>
                <w:rFonts w:cs="Arial"/>
                <w:szCs w:val="20"/>
                <w:lang w:val="en-GB"/>
              </w:rPr>
            </w:pPr>
            <w:r w:rsidRPr="00D516FC">
              <w:rPr>
                <w:rFonts w:cs="Arial"/>
                <w:szCs w:val="20"/>
                <w:lang w:val="en-GB"/>
              </w:rPr>
              <w:t>Commercial Accommodation - med</w:t>
            </w:r>
          </w:p>
          <w:p w14:paraId="1288143E" w14:textId="77777777" w:rsidR="00D516FC" w:rsidRPr="00D516FC" w:rsidRDefault="00D516FC" w:rsidP="00D516FC">
            <w:pPr>
              <w:spacing w:after="0"/>
              <w:rPr>
                <w:rFonts w:cs="Arial"/>
                <w:color w:val="000000"/>
                <w:szCs w:val="20"/>
              </w:rPr>
            </w:pPr>
            <w:r w:rsidRPr="00D516FC">
              <w:rPr>
                <w:rFonts w:cs="Arial"/>
                <w:szCs w:val="20"/>
                <w:lang w:val="en-GB"/>
              </w:rPr>
              <w:t>Commercial Accommodation - high</w:t>
            </w:r>
          </w:p>
        </w:tc>
        <w:tc>
          <w:tcPr>
            <w:tcW w:w="2548" w:type="dxa"/>
            <w:shd w:val="clear" w:color="auto" w:fill="auto"/>
          </w:tcPr>
          <w:p w14:paraId="097D5243" w14:textId="77777777" w:rsidR="00D516FC" w:rsidRPr="00D516FC" w:rsidRDefault="00D516FC" w:rsidP="00D516FC">
            <w:pPr>
              <w:spacing w:after="0"/>
              <w:cnfStyle w:val="000000100000" w:firstRow="0" w:lastRow="0" w:firstColumn="0" w:lastColumn="0" w:oddVBand="0" w:evenVBand="0" w:oddHBand="1" w:evenHBand="0" w:firstRowFirstColumn="0" w:firstRowLastColumn="0" w:lastRowFirstColumn="0" w:lastRowLastColumn="0"/>
              <w:rPr>
                <w:rFonts w:cs="Arial"/>
                <w:color w:val="000000"/>
                <w:szCs w:val="20"/>
              </w:rPr>
            </w:pPr>
            <w:r w:rsidRPr="00D516FC">
              <w:rPr>
                <w:rFonts w:cs="Arial"/>
                <w:szCs w:val="20"/>
                <w:lang w:val="en-GB"/>
              </w:rPr>
              <w:t xml:space="preserve">Model applies a set percentile of the NABERS Hotels data (which is weighted to larger tourist hotels) to the various accommodation types contained in “land-use </w:t>
            </w:r>
            <w:r w:rsidRPr="00D516FC">
              <w:rPr>
                <w:rFonts w:cs="Arial"/>
                <w:szCs w:val="20"/>
                <w:lang w:val="en-GB"/>
              </w:rPr>
              <w:lastRenderedPageBreak/>
              <w:t>type” data provided by the City.</w:t>
            </w:r>
          </w:p>
        </w:tc>
        <w:tc>
          <w:tcPr>
            <w:tcW w:w="2409" w:type="dxa"/>
            <w:shd w:val="clear" w:color="auto" w:fill="auto"/>
          </w:tcPr>
          <w:p w14:paraId="27C98F9C" w14:textId="77777777" w:rsidR="00D516FC" w:rsidRPr="00D516FC" w:rsidRDefault="00D516FC" w:rsidP="00D516FC">
            <w:pPr>
              <w:spacing w:after="0"/>
              <w:cnfStyle w:val="000000100000" w:firstRow="0" w:lastRow="0" w:firstColumn="0" w:lastColumn="0" w:oddVBand="0" w:evenVBand="0" w:oddHBand="1" w:evenHBand="0" w:firstRowFirstColumn="0" w:firstRowLastColumn="0" w:lastRowFirstColumn="0" w:lastRowLastColumn="0"/>
              <w:rPr>
                <w:rFonts w:cs="Arial"/>
                <w:szCs w:val="20"/>
                <w:lang w:val="en-GB"/>
              </w:rPr>
            </w:pPr>
            <w:r w:rsidRPr="00D516FC">
              <w:rPr>
                <w:rFonts w:cs="Arial"/>
                <w:szCs w:val="20"/>
                <w:lang w:val="en-GB"/>
              </w:rPr>
              <w:lastRenderedPageBreak/>
              <w:t>Commercial Accommodation 15th percentile: 93 kWh/m2/year &amp; 194 MJ/m2/year</w:t>
            </w:r>
          </w:p>
          <w:p w14:paraId="7A972125" w14:textId="77777777" w:rsidR="00D516FC" w:rsidRPr="00D516FC" w:rsidRDefault="00D516FC" w:rsidP="00D516FC">
            <w:pPr>
              <w:spacing w:after="0"/>
              <w:cnfStyle w:val="000000100000" w:firstRow="0" w:lastRow="0" w:firstColumn="0" w:lastColumn="0" w:oddVBand="0" w:evenVBand="0" w:oddHBand="1" w:evenHBand="0" w:firstRowFirstColumn="0" w:firstRowLastColumn="0" w:lastRowFirstColumn="0" w:lastRowLastColumn="0"/>
              <w:rPr>
                <w:rFonts w:cs="Arial"/>
                <w:szCs w:val="20"/>
                <w:lang w:val="en-GB"/>
              </w:rPr>
            </w:pPr>
          </w:p>
          <w:p w14:paraId="12DF819B" w14:textId="77777777" w:rsidR="00D516FC" w:rsidRPr="00D516FC" w:rsidRDefault="00D516FC" w:rsidP="00D516FC">
            <w:pPr>
              <w:spacing w:after="0"/>
              <w:cnfStyle w:val="000000100000" w:firstRow="0" w:lastRow="0" w:firstColumn="0" w:lastColumn="0" w:oddVBand="0" w:evenVBand="0" w:oddHBand="1" w:evenHBand="0" w:firstRowFirstColumn="0" w:firstRowLastColumn="0" w:lastRowFirstColumn="0" w:lastRowLastColumn="0"/>
              <w:rPr>
                <w:rFonts w:cs="Arial"/>
                <w:szCs w:val="20"/>
                <w:lang w:val="en-GB"/>
              </w:rPr>
            </w:pPr>
            <w:r w:rsidRPr="00D516FC">
              <w:rPr>
                <w:rFonts w:cs="Arial"/>
                <w:szCs w:val="20"/>
                <w:lang w:val="en-GB"/>
              </w:rPr>
              <w:t xml:space="preserve">Commercial Accommodation 30th percentile: 142 </w:t>
            </w:r>
            <w:r w:rsidRPr="00D516FC">
              <w:rPr>
                <w:rFonts w:cs="Arial"/>
                <w:szCs w:val="20"/>
                <w:lang w:val="en-GB"/>
              </w:rPr>
              <w:lastRenderedPageBreak/>
              <w:t>kWh/m2/year &amp; 220 MJ/m2/year</w:t>
            </w:r>
          </w:p>
          <w:p w14:paraId="70439B33" w14:textId="77777777" w:rsidR="003A6133" w:rsidRDefault="003A6133" w:rsidP="00D516FC">
            <w:pPr>
              <w:spacing w:after="0"/>
              <w:cnfStyle w:val="000000100000" w:firstRow="0" w:lastRow="0" w:firstColumn="0" w:lastColumn="0" w:oddVBand="0" w:evenVBand="0" w:oddHBand="1" w:evenHBand="0" w:firstRowFirstColumn="0" w:firstRowLastColumn="0" w:lastRowFirstColumn="0" w:lastRowLastColumn="0"/>
              <w:rPr>
                <w:rFonts w:cs="Arial"/>
                <w:szCs w:val="20"/>
                <w:lang w:val="en-GB"/>
              </w:rPr>
            </w:pPr>
          </w:p>
          <w:p w14:paraId="237BBFD9" w14:textId="271874BF" w:rsidR="00D516FC" w:rsidRPr="00D516FC" w:rsidRDefault="00D516FC" w:rsidP="00D516FC">
            <w:pPr>
              <w:spacing w:after="0"/>
              <w:cnfStyle w:val="000000100000" w:firstRow="0" w:lastRow="0" w:firstColumn="0" w:lastColumn="0" w:oddVBand="0" w:evenVBand="0" w:oddHBand="1" w:evenHBand="0" w:firstRowFirstColumn="0" w:firstRowLastColumn="0" w:lastRowFirstColumn="0" w:lastRowLastColumn="0"/>
              <w:rPr>
                <w:rFonts w:cs="Arial"/>
                <w:szCs w:val="20"/>
                <w:lang w:val="en-GB"/>
              </w:rPr>
            </w:pPr>
            <w:r w:rsidRPr="00D516FC">
              <w:rPr>
                <w:rFonts w:cs="Arial"/>
                <w:szCs w:val="20"/>
                <w:lang w:val="en-GB"/>
              </w:rPr>
              <w:t>Commercial Accommodation 50th percentile: 165 kwh/m2/year &amp; 399 MJ/m2/year</w:t>
            </w:r>
          </w:p>
        </w:tc>
        <w:tc>
          <w:tcPr>
            <w:tcW w:w="2267" w:type="dxa"/>
            <w:shd w:val="clear" w:color="auto" w:fill="auto"/>
          </w:tcPr>
          <w:p w14:paraId="5D7BA592" w14:textId="77777777" w:rsidR="00D516FC" w:rsidRPr="00D516FC" w:rsidRDefault="00D516FC" w:rsidP="00D516FC">
            <w:pPr>
              <w:spacing w:after="0"/>
              <w:cnfStyle w:val="000000100000" w:firstRow="0" w:lastRow="0" w:firstColumn="0" w:lastColumn="0" w:oddVBand="0" w:evenVBand="0" w:oddHBand="1" w:evenHBand="0" w:firstRowFirstColumn="0" w:firstRowLastColumn="0" w:lastRowFirstColumn="0" w:lastRowLastColumn="0"/>
              <w:rPr>
                <w:rFonts w:cs="Arial"/>
                <w:szCs w:val="20"/>
                <w:lang w:val="en-GB"/>
              </w:rPr>
            </w:pPr>
            <w:r w:rsidRPr="00D516FC">
              <w:rPr>
                <w:rFonts w:cs="Arial"/>
                <w:szCs w:val="20"/>
                <w:lang w:val="en-GB"/>
              </w:rPr>
              <w:lastRenderedPageBreak/>
              <w:t xml:space="preserve">Accommodation split was applied to actual buildings, not averaged, as such, this approach will capture the distinctions between buildings containing </w:t>
            </w:r>
            <w:r w:rsidRPr="00D516FC">
              <w:rPr>
                <w:rFonts w:cs="Arial"/>
                <w:szCs w:val="20"/>
                <w:lang w:val="en-GB"/>
              </w:rPr>
              <w:lastRenderedPageBreak/>
              <w:t>different accommodation types.</w:t>
            </w:r>
          </w:p>
        </w:tc>
      </w:tr>
      <w:tr w:rsidR="00D516FC" w:rsidRPr="00D516FC" w14:paraId="321A426B" w14:textId="77777777" w:rsidTr="00D516FC">
        <w:tc>
          <w:tcPr>
            <w:cnfStyle w:val="001000000000" w:firstRow="0" w:lastRow="0" w:firstColumn="1" w:lastColumn="0" w:oddVBand="0" w:evenVBand="0" w:oddHBand="0" w:evenHBand="0" w:firstRowFirstColumn="0" w:firstRowLastColumn="0" w:lastRowFirstColumn="0" w:lastRowLastColumn="0"/>
            <w:tcW w:w="2414" w:type="dxa"/>
            <w:shd w:val="clear" w:color="auto" w:fill="auto"/>
          </w:tcPr>
          <w:p w14:paraId="6C2A7BEB" w14:textId="77777777" w:rsidR="00D516FC" w:rsidRPr="00D516FC" w:rsidRDefault="00D516FC" w:rsidP="00D516FC">
            <w:pPr>
              <w:spacing w:after="0"/>
              <w:rPr>
                <w:rFonts w:cs="Arial"/>
                <w:szCs w:val="20"/>
                <w:lang w:val="en-GB"/>
              </w:rPr>
            </w:pPr>
            <w:r w:rsidRPr="00D516FC">
              <w:rPr>
                <w:rFonts w:cs="Arial"/>
                <w:szCs w:val="20"/>
                <w:lang w:val="en-GB"/>
              </w:rPr>
              <w:lastRenderedPageBreak/>
              <w:t>Educational/Research</w:t>
            </w:r>
          </w:p>
        </w:tc>
        <w:tc>
          <w:tcPr>
            <w:tcW w:w="2548" w:type="dxa"/>
            <w:shd w:val="clear" w:color="auto" w:fill="auto"/>
          </w:tcPr>
          <w:p w14:paraId="34E0E813" w14:textId="77777777" w:rsidR="00D516FC" w:rsidRPr="00D516FC" w:rsidRDefault="00D516FC" w:rsidP="00D516FC">
            <w:pPr>
              <w:spacing w:after="0"/>
              <w:cnfStyle w:val="000000000000" w:firstRow="0" w:lastRow="0" w:firstColumn="0" w:lastColumn="0" w:oddVBand="0" w:evenVBand="0" w:oddHBand="0" w:evenHBand="0" w:firstRowFirstColumn="0" w:firstRowLastColumn="0" w:lastRowFirstColumn="0" w:lastRowLastColumn="0"/>
              <w:rPr>
                <w:rFonts w:cs="Arial"/>
                <w:szCs w:val="20"/>
                <w:lang w:val="en-GB"/>
              </w:rPr>
            </w:pPr>
            <w:r w:rsidRPr="00D516FC">
              <w:rPr>
                <w:rFonts w:cs="Arial"/>
                <w:szCs w:val="20"/>
                <w:lang w:val="en-GB"/>
              </w:rPr>
              <w:t>Model modifies the standard education figures drawn from the CBBS to account for the 84% of education spaces in the city that is likely to have higher than average consumption.</w:t>
            </w:r>
          </w:p>
        </w:tc>
        <w:tc>
          <w:tcPr>
            <w:tcW w:w="2409" w:type="dxa"/>
            <w:shd w:val="clear" w:color="auto" w:fill="auto"/>
          </w:tcPr>
          <w:p w14:paraId="3333E490" w14:textId="77777777" w:rsidR="00D516FC" w:rsidRPr="00D516FC" w:rsidRDefault="00D516FC" w:rsidP="00D516FC">
            <w:pPr>
              <w:spacing w:after="0"/>
              <w:cnfStyle w:val="000000000000" w:firstRow="0" w:lastRow="0" w:firstColumn="0" w:lastColumn="0" w:oddVBand="0" w:evenVBand="0" w:oddHBand="0" w:evenHBand="0" w:firstRowFirstColumn="0" w:firstRowLastColumn="0" w:lastRowFirstColumn="0" w:lastRowLastColumn="0"/>
              <w:rPr>
                <w:rFonts w:cs="Arial"/>
                <w:szCs w:val="20"/>
                <w:lang w:val="en-GB"/>
              </w:rPr>
            </w:pPr>
            <w:r w:rsidRPr="00D516FC">
              <w:rPr>
                <w:rFonts w:cs="Arial"/>
                <w:szCs w:val="20"/>
                <w:lang w:val="en-GB"/>
              </w:rPr>
              <w:t>82 kWh/m2/year &amp; 102 MJ/m2/year</w:t>
            </w:r>
          </w:p>
        </w:tc>
        <w:tc>
          <w:tcPr>
            <w:tcW w:w="2267" w:type="dxa"/>
            <w:shd w:val="clear" w:color="auto" w:fill="auto"/>
          </w:tcPr>
          <w:p w14:paraId="68D442F9" w14:textId="77777777" w:rsidR="00D516FC" w:rsidRPr="00D516FC" w:rsidRDefault="00D516FC" w:rsidP="00D516FC">
            <w:pPr>
              <w:spacing w:after="0"/>
              <w:cnfStyle w:val="000000000000" w:firstRow="0" w:lastRow="0" w:firstColumn="0" w:lastColumn="0" w:oddVBand="0" w:evenVBand="0" w:oddHBand="0" w:evenHBand="0" w:firstRowFirstColumn="0" w:firstRowLastColumn="0" w:lastRowFirstColumn="0" w:lastRowLastColumn="0"/>
              <w:rPr>
                <w:rFonts w:cs="Arial"/>
                <w:szCs w:val="20"/>
                <w:lang w:val="en-GB"/>
              </w:rPr>
            </w:pPr>
            <w:r w:rsidRPr="00D516FC">
              <w:rPr>
                <w:rFonts w:cs="Arial"/>
                <w:szCs w:val="20"/>
                <w:lang w:val="en-GB"/>
              </w:rPr>
              <w:t>Universities and research institutions in the City represent a much higher share of educational space use than the average in the CBBS captures.</w:t>
            </w:r>
          </w:p>
        </w:tc>
      </w:tr>
      <w:tr w:rsidR="00D516FC" w:rsidRPr="00D516FC" w14:paraId="1368931A" w14:textId="77777777" w:rsidTr="00D516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4" w:type="dxa"/>
            <w:shd w:val="clear" w:color="auto" w:fill="auto"/>
          </w:tcPr>
          <w:p w14:paraId="3472D54B" w14:textId="77777777" w:rsidR="00D516FC" w:rsidRPr="00D516FC" w:rsidRDefault="00D516FC" w:rsidP="00D516FC">
            <w:pPr>
              <w:spacing w:after="0"/>
              <w:rPr>
                <w:rFonts w:cs="Arial"/>
                <w:szCs w:val="20"/>
                <w:lang w:val="en-GB"/>
              </w:rPr>
            </w:pPr>
            <w:r w:rsidRPr="00D516FC">
              <w:rPr>
                <w:rFonts w:cs="Arial"/>
                <w:szCs w:val="20"/>
                <w:lang w:val="en-GB"/>
              </w:rPr>
              <w:t>Retail - Stall</w:t>
            </w:r>
          </w:p>
          <w:p w14:paraId="346D7098" w14:textId="77777777" w:rsidR="00D516FC" w:rsidRPr="00D516FC" w:rsidRDefault="00D516FC" w:rsidP="00D516FC">
            <w:pPr>
              <w:spacing w:after="0"/>
              <w:rPr>
                <w:rFonts w:cs="Arial"/>
                <w:szCs w:val="20"/>
                <w:lang w:val="en-GB"/>
              </w:rPr>
            </w:pPr>
            <w:r w:rsidRPr="00D516FC">
              <w:rPr>
                <w:rFonts w:cs="Arial"/>
                <w:szCs w:val="20"/>
                <w:lang w:val="en-GB"/>
              </w:rPr>
              <w:t>Retail - Showroom</w:t>
            </w:r>
          </w:p>
          <w:p w14:paraId="65854298" w14:textId="77777777" w:rsidR="00D516FC" w:rsidRPr="00D516FC" w:rsidRDefault="00D516FC" w:rsidP="00D516FC">
            <w:pPr>
              <w:spacing w:after="0"/>
              <w:rPr>
                <w:rFonts w:cs="Arial"/>
                <w:szCs w:val="20"/>
                <w:lang w:val="en-GB"/>
              </w:rPr>
            </w:pPr>
            <w:r w:rsidRPr="00D516FC">
              <w:rPr>
                <w:rFonts w:cs="Arial"/>
                <w:szCs w:val="20"/>
                <w:lang w:val="en-GB"/>
              </w:rPr>
              <w:t>Retail - Cars</w:t>
            </w:r>
          </w:p>
          <w:p w14:paraId="4458B715" w14:textId="77777777" w:rsidR="00D516FC" w:rsidRPr="00D516FC" w:rsidRDefault="00D516FC" w:rsidP="00D516FC">
            <w:pPr>
              <w:spacing w:after="0"/>
              <w:rPr>
                <w:rFonts w:cs="Arial"/>
                <w:szCs w:val="20"/>
                <w:lang w:val="en-GB"/>
              </w:rPr>
            </w:pPr>
            <w:r w:rsidRPr="00D516FC">
              <w:rPr>
                <w:rFonts w:cs="Arial"/>
                <w:szCs w:val="20"/>
                <w:lang w:val="en-GB"/>
              </w:rPr>
              <w:t>Wholesale</w:t>
            </w:r>
          </w:p>
        </w:tc>
        <w:tc>
          <w:tcPr>
            <w:tcW w:w="2548" w:type="dxa"/>
            <w:shd w:val="clear" w:color="auto" w:fill="auto"/>
          </w:tcPr>
          <w:p w14:paraId="1A746FC1" w14:textId="77777777" w:rsidR="00D516FC" w:rsidRPr="00D516FC" w:rsidRDefault="00D516FC" w:rsidP="00D516FC">
            <w:pPr>
              <w:spacing w:after="0"/>
              <w:cnfStyle w:val="000000100000" w:firstRow="0" w:lastRow="0" w:firstColumn="0" w:lastColumn="0" w:oddVBand="0" w:evenVBand="0" w:oddHBand="1" w:evenHBand="0" w:firstRowFirstColumn="0" w:firstRowLastColumn="0" w:lastRowFirstColumn="0" w:lastRowLastColumn="0"/>
              <w:rPr>
                <w:rFonts w:cs="Arial"/>
                <w:szCs w:val="20"/>
                <w:lang w:val="en-GB"/>
              </w:rPr>
            </w:pPr>
            <w:r w:rsidRPr="00D516FC">
              <w:rPr>
                <w:rFonts w:cs="Arial"/>
                <w:szCs w:val="20"/>
                <w:lang w:val="en-GB"/>
              </w:rPr>
              <w:t>Model applies the standard retail figures drawn from the CBBS.</w:t>
            </w:r>
          </w:p>
        </w:tc>
        <w:tc>
          <w:tcPr>
            <w:tcW w:w="2409" w:type="dxa"/>
            <w:shd w:val="clear" w:color="auto" w:fill="auto"/>
          </w:tcPr>
          <w:p w14:paraId="7FF011C1" w14:textId="77777777" w:rsidR="00D516FC" w:rsidRPr="00D516FC" w:rsidRDefault="00D516FC" w:rsidP="00D516FC">
            <w:pPr>
              <w:spacing w:after="0"/>
              <w:cnfStyle w:val="000000100000" w:firstRow="0" w:lastRow="0" w:firstColumn="0" w:lastColumn="0" w:oddVBand="0" w:evenVBand="0" w:oddHBand="1" w:evenHBand="0" w:firstRowFirstColumn="0" w:firstRowLastColumn="0" w:lastRowFirstColumn="0" w:lastRowLastColumn="0"/>
              <w:rPr>
                <w:rFonts w:cs="Arial"/>
                <w:szCs w:val="20"/>
                <w:lang w:val="en-GB"/>
              </w:rPr>
            </w:pPr>
            <w:r w:rsidRPr="00D516FC">
              <w:rPr>
                <w:rFonts w:cs="Arial"/>
                <w:szCs w:val="20"/>
                <w:lang w:val="en-GB"/>
              </w:rPr>
              <w:t>137kWh/m2/year &amp; 167 MJ/m2/year</w:t>
            </w:r>
          </w:p>
        </w:tc>
        <w:tc>
          <w:tcPr>
            <w:tcW w:w="2267" w:type="dxa"/>
            <w:shd w:val="clear" w:color="auto" w:fill="auto"/>
          </w:tcPr>
          <w:p w14:paraId="37E626BB" w14:textId="77777777" w:rsidR="00D516FC" w:rsidRPr="00D516FC" w:rsidRDefault="00D516FC" w:rsidP="00D516FC">
            <w:pPr>
              <w:spacing w:after="0"/>
              <w:cnfStyle w:val="000000100000" w:firstRow="0" w:lastRow="0" w:firstColumn="0" w:lastColumn="0" w:oddVBand="0" w:evenVBand="0" w:oddHBand="1" w:evenHBand="0" w:firstRowFirstColumn="0" w:firstRowLastColumn="0" w:lastRowFirstColumn="0" w:lastRowLastColumn="0"/>
              <w:rPr>
                <w:rFonts w:cs="Arial"/>
                <w:szCs w:val="20"/>
                <w:lang w:val="en-GB"/>
              </w:rPr>
            </w:pPr>
          </w:p>
        </w:tc>
      </w:tr>
      <w:tr w:rsidR="00D516FC" w:rsidRPr="00D516FC" w14:paraId="694132B0" w14:textId="77777777" w:rsidTr="00D516FC">
        <w:tc>
          <w:tcPr>
            <w:cnfStyle w:val="001000000000" w:firstRow="0" w:lastRow="0" w:firstColumn="1" w:lastColumn="0" w:oddVBand="0" w:evenVBand="0" w:oddHBand="0" w:evenHBand="0" w:firstRowFirstColumn="0" w:firstRowLastColumn="0" w:lastRowFirstColumn="0" w:lastRowLastColumn="0"/>
            <w:tcW w:w="2414" w:type="dxa"/>
            <w:shd w:val="clear" w:color="auto" w:fill="auto"/>
          </w:tcPr>
          <w:p w14:paraId="2DE004A5" w14:textId="77777777" w:rsidR="00D516FC" w:rsidRPr="00D516FC" w:rsidRDefault="00D516FC" w:rsidP="00D516FC">
            <w:pPr>
              <w:spacing w:after="0"/>
              <w:rPr>
                <w:rFonts w:cs="Arial"/>
                <w:szCs w:val="20"/>
                <w:lang w:val="en-GB"/>
              </w:rPr>
            </w:pPr>
            <w:r w:rsidRPr="00D516FC">
              <w:rPr>
                <w:rFonts w:cs="Arial"/>
                <w:szCs w:val="20"/>
                <w:lang w:val="en-GB"/>
              </w:rPr>
              <w:t>Retail - Shop</w:t>
            </w:r>
          </w:p>
        </w:tc>
        <w:tc>
          <w:tcPr>
            <w:tcW w:w="2548" w:type="dxa"/>
            <w:shd w:val="clear" w:color="auto" w:fill="auto"/>
          </w:tcPr>
          <w:p w14:paraId="061EEA43" w14:textId="77777777" w:rsidR="00D516FC" w:rsidRPr="00D516FC" w:rsidRDefault="00D516FC" w:rsidP="00D516FC">
            <w:pPr>
              <w:spacing w:after="0"/>
              <w:cnfStyle w:val="000000000000" w:firstRow="0" w:lastRow="0" w:firstColumn="0" w:lastColumn="0" w:oddVBand="0" w:evenVBand="0" w:oddHBand="0" w:evenHBand="0" w:firstRowFirstColumn="0" w:firstRowLastColumn="0" w:lastRowFirstColumn="0" w:lastRowLastColumn="0"/>
              <w:rPr>
                <w:rFonts w:cs="Arial"/>
                <w:szCs w:val="20"/>
                <w:lang w:val="en-GB"/>
              </w:rPr>
            </w:pPr>
            <w:r w:rsidRPr="00D516FC">
              <w:rPr>
                <w:rFonts w:cs="Arial"/>
                <w:szCs w:val="20"/>
                <w:lang w:val="en-GB"/>
              </w:rPr>
              <w:t>Model modifies the standard retail figures drawn from the CBBS to account for the 18% of retail in the city that is likely to have higher than average consumption.</w:t>
            </w:r>
          </w:p>
        </w:tc>
        <w:tc>
          <w:tcPr>
            <w:tcW w:w="2409" w:type="dxa"/>
            <w:shd w:val="clear" w:color="auto" w:fill="auto"/>
          </w:tcPr>
          <w:p w14:paraId="6B0DC848" w14:textId="77777777" w:rsidR="00D516FC" w:rsidRPr="00D516FC" w:rsidRDefault="00D516FC" w:rsidP="00D516FC">
            <w:pPr>
              <w:spacing w:after="0"/>
              <w:cnfStyle w:val="000000000000" w:firstRow="0" w:lastRow="0" w:firstColumn="0" w:lastColumn="0" w:oddVBand="0" w:evenVBand="0" w:oddHBand="0" w:evenHBand="0" w:firstRowFirstColumn="0" w:firstRowLastColumn="0" w:lastRowFirstColumn="0" w:lastRowLastColumn="0"/>
              <w:rPr>
                <w:rFonts w:cs="Arial"/>
                <w:szCs w:val="20"/>
                <w:lang w:val="en-GB"/>
              </w:rPr>
            </w:pPr>
            <w:r w:rsidRPr="00D516FC">
              <w:rPr>
                <w:rFonts w:cs="Arial"/>
                <w:szCs w:val="20"/>
                <w:lang w:val="en-GB"/>
              </w:rPr>
              <w:t>162 kWh/m2/year &amp; 197 MJ/m2/year</w:t>
            </w:r>
          </w:p>
        </w:tc>
        <w:tc>
          <w:tcPr>
            <w:tcW w:w="2267" w:type="dxa"/>
            <w:shd w:val="clear" w:color="auto" w:fill="auto"/>
          </w:tcPr>
          <w:p w14:paraId="0AC957FD" w14:textId="77777777" w:rsidR="00D516FC" w:rsidRPr="00D516FC" w:rsidRDefault="00D516FC" w:rsidP="00D516FC">
            <w:pPr>
              <w:spacing w:after="0"/>
              <w:cnfStyle w:val="000000000000" w:firstRow="0" w:lastRow="0" w:firstColumn="0" w:lastColumn="0" w:oddVBand="0" w:evenVBand="0" w:oddHBand="0" w:evenHBand="0" w:firstRowFirstColumn="0" w:firstRowLastColumn="0" w:lastRowFirstColumn="0" w:lastRowLastColumn="0"/>
              <w:rPr>
                <w:rFonts w:cs="Arial"/>
                <w:szCs w:val="20"/>
                <w:lang w:val="en-GB"/>
              </w:rPr>
            </w:pPr>
            <w:r w:rsidRPr="00D516FC">
              <w:rPr>
                <w:rFonts w:cs="Arial"/>
                <w:szCs w:val="20"/>
                <w:lang w:val="en-GB"/>
              </w:rPr>
              <w:t xml:space="preserve">This averaged approach does not capture the concentration of higher intensity retail space uses in contexts such as food courts. </w:t>
            </w:r>
          </w:p>
        </w:tc>
      </w:tr>
      <w:tr w:rsidR="00D516FC" w:rsidRPr="00D516FC" w14:paraId="164ACE0C" w14:textId="77777777" w:rsidTr="00D516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4" w:type="dxa"/>
            <w:shd w:val="clear" w:color="auto" w:fill="auto"/>
          </w:tcPr>
          <w:p w14:paraId="05428978" w14:textId="77777777" w:rsidR="00D516FC" w:rsidRPr="00D516FC" w:rsidRDefault="00D516FC" w:rsidP="00D516FC">
            <w:pPr>
              <w:spacing w:after="0"/>
              <w:rPr>
                <w:rFonts w:cs="Arial"/>
                <w:szCs w:val="20"/>
                <w:lang w:val="en-GB"/>
              </w:rPr>
            </w:pPr>
            <w:r w:rsidRPr="00D516FC">
              <w:rPr>
                <w:rFonts w:cs="Arial"/>
                <w:szCs w:val="20"/>
                <w:lang w:val="en-GB"/>
              </w:rPr>
              <w:t>Supermarkets</w:t>
            </w:r>
          </w:p>
          <w:p w14:paraId="64A079E9" w14:textId="77777777" w:rsidR="00D516FC" w:rsidRPr="00D516FC" w:rsidRDefault="00D516FC" w:rsidP="00D516FC">
            <w:pPr>
              <w:spacing w:after="0"/>
              <w:rPr>
                <w:rFonts w:cs="Arial"/>
                <w:szCs w:val="20"/>
                <w:lang w:val="en-GB"/>
              </w:rPr>
            </w:pPr>
          </w:p>
        </w:tc>
        <w:tc>
          <w:tcPr>
            <w:tcW w:w="2548" w:type="dxa"/>
            <w:shd w:val="clear" w:color="auto" w:fill="auto"/>
          </w:tcPr>
          <w:p w14:paraId="7B71DE1F" w14:textId="77777777" w:rsidR="00D516FC" w:rsidRPr="00D516FC" w:rsidRDefault="00D516FC" w:rsidP="00D516FC">
            <w:pPr>
              <w:spacing w:after="0"/>
              <w:cnfStyle w:val="000000100000" w:firstRow="0" w:lastRow="0" w:firstColumn="0" w:lastColumn="0" w:oddVBand="0" w:evenVBand="0" w:oddHBand="1" w:evenHBand="0" w:firstRowFirstColumn="0" w:firstRowLastColumn="0" w:lastRowFirstColumn="0" w:lastRowLastColumn="0"/>
              <w:rPr>
                <w:rFonts w:cs="Arial"/>
                <w:szCs w:val="20"/>
                <w:lang w:val="en-GB"/>
              </w:rPr>
            </w:pPr>
            <w:r w:rsidRPr="00D516FC">
              <w:rPr>
                <w:rFonts w:cs="Arial"/>
                <w:szCs w:val="20"/>
                <w:lang w:val="en-GB"/>
              </w:rPr>
              <w:t>The model separates supermarkets from general retail using “land-use type” data provided by the City and applies figures drawn from work done by SPR for the Commonwealth Government.</w:t>
            </w:r>
            <w:r w:rsidRPr="00D516FC">
              <w:rPr>
                <w:rStyle w:val="FootnoteReference"/>
                <w:rFonts w:cs="Arial"/>
                <w:szCs w:val="20"/>
                <w:lang w:val="en-GB"/>
              </w:rPr>
              <w:footnoteReference w:id="10"/>
            </w:r>
          </w:p>
        </w:tc>
        <w:tc>
          <w:tcPr>
            <w:tcW w:w="2409" w:type="dxa"/>
            <w:shd w:val="clear" w:color="auto" w:fill="auto"/>
          </w:tcPr>
          <w:p w14:paraId="5A633C7A" w14:textId="77777777" w:rsidR="00D516FC" w:rsidRPr="00D516FC" w:rsidRDefault="00D516FC" w:rsidP="00D516FC">
            <w:pPr>
              <w:spacing w:after="0"/>
              <w:cnfStyle w:val="000000100000" w:firstRow="0" w:lastRow="0" w:firstColumn="0" w:lastColumn="0" w:oddVBand="0" w:evenVBand="0" w:oddHBand="1" w:evenHBand="0" w:firstRowFirstColumn="0" w:firstRowLastColumn="0" w:lastRowFirstColumn="0" w:lastRowLastColumn="0"/>
              <w:rPr>
                <w:rFonts w:cs="Arial"/>
                <w:szCs w:val="20"/>
                <w:lang w:val="en-GB"/>
              </w:rPr>
            </w:pPr>
            <w:r w:rsidRPr="00D516FC">
              <w:rPr>
                <w:rFonts w:cs="Arial"/>
                <w:szCs w:val="20"/>
                <w:lang w:val="en-GB"/>
              </w:rPr>
              <w:t>356 kWh/m2/year &amp; 68 MJ/m2/year</w:t>
            </w:r>
          </w:p>
        </w:tc>
        <w:tc>
          <w:tcPr>
            <w:tcW w:w="2267" w:type="dxa"/>
            <w:shd w:val="clear" w:color="auto" w:fill="auto"/>
          </w:tcPr>
          <w:p w14:paraId="2C13FFD8" w14:textId="77777777" w:rsidR="00D516FC" w:rsidRPr="00D516FC" w:rsidRDefault="00D516FC" w:rsidP="00D516FC">
            <w:pPr>
              <w:spacing w:after="0"/>
              <w:cnfStyle w:val="000000100000" w:firstRow="0" w:lastRow="0" w:firstColumn="0" w:lastColumn="0" w:oddVBand="0" w:evenVBand="0" w:oddHBand="1" w:evenHBand="0" w:firstRowFirstColumn="0" w:firstRowLastColumn="0" w:lastRowFirstColumn="0" w:lastRowLastColumn="0"/>
              <w:rPr>
                <w:rFonts w:cs="Arial"/>
                <w:szCs w:val="20"/>
                <w:lang w:val="en-GB"/>
              </w:rPr>
            </w:pPr>
          </w:p>
        </w:tc>
      </w:tr>
      <w:tr w:rsidR="00D516FC" w:rsidRPr="00D516FC" w14:paraId="760A875C" w14:textId="77777777" w:rsidTr="00D516FC">
        <w:tc>
          <w:tcPr>
            <w:cnfStyle w:val="001000000000" w:firstRow="0" w:lastRow="0" w:firstColumn="1" w:lastColumn="0" w:oddVBand="0" w:evenVBand="0" w:oddHBand="0" w:evenHBand="0" w:firstRowFirstColumn="0" w:firstRowLastColumn="0" w:lastRowFirstColumn="0" w:lastRowLastColumn="0"/>
            <w:tcW w:w="2414" w:type="dxa"/>
            <w:shd w:val="clear" w:color="auto" w:fill="auto"/>
          </w:tcPr>
          <w:p w14:paraId="4ECF6E43" w14:textId="77777777" w:rsidR="00D516FC" w:rsidRPr="00D516FC" w:rsidRDefault="00D516FC" w:rsidP="00D516FC">
            <w:pPr>
              <w:spacing w:after="0"/>
              <w:rPr>
                <w:rFonts w:cs="Arial"/>
                <w:szCs w:val="20"/>
                <w:lang w:val="en-GB"/>
              </w:rPr>
            </w:pPr>
            <w:r w:rsidRPr="00D516FC">
              <w:rPr>
                <w:rFonts w:cs="Arial"/>
                <w:szCs w:val="20"/>
                <w:lang w:val="en-GB"/>
              </w:rPr>
              <w:t>Institutional Accommodation</w:t>
            </w:r>
          </w:p>
          <w:p w14:paraId="06C5DA42" w14:textId="77777777" w:rsidR="00D516FC" w:rsidRPr="00D516FC" w:rsidRDefault="00D516FC" w:rsidP="00D516FC">
            <w:pPr>
              <w:spacing w:after="0"/>
              <w:rPr>
                <w:rFonts w:cs="Arial"/>
                <w:szCs w:val="20"/>
                <w:lang w:val="en-GB"/>
              </w:rPr>
            </w:pPr>
            <w:r w:rsidRPr="00D516FC">
              <w:rPr>
                <w:rFonts w:cs="Arial"/>
                <w:szCs w:val="20"/>
                <w:lang w:val="en-GB"/>
              </w:rPr>
              <w:t>Student Accommodation</w:t>
            </w:r>
          </w:p>
        </w:tc>
        <w:tc>
          <w:tcPr>
            <w:tcW w:w="2548" w:type="dxa"/>
            <w:shd w:val="clear" w:color="auto" w:fill="auto"/>
          </w:tcPr>
          <w:p w14:paraId="6F52C840" w14:textId="77777777" w:rsidR="00D516FC" w:rsidRPr="00D516FC" w:rsidRDefault="00D516FC" w:rsidP="00D516FC">
            <w:pPr>
              <w:spacing w:after="0"/>
              <w:cnfStyle w:val="000000000000" w:firstRow="0" w:lastRow="0" w:firstColumn="0" w:lastColumn="0" w:oddVBand="0" w:evenVBand="0" w:oddHBand="0" w:evenHBand="0" w:firstRowFirstColumn="0" w:firstRowLastColumn="0" w:lastRowFirstColumn="0" w:lastRowLastColumn="0"/>
              <w:rPr>
                <w:rFonts w:cs="Arial"/>
                <w:szCs w:val="20"/>
                <w:lang w:val="en-GB"/>
              </w:rPr>
            </w:pPr>
            <w:r w:rsidRPr="00D516FC">
              <w:rPr>
                <w:rFonts w:cs="Arial"/>
                <w:szCs w:val="20"/>
                <w:lang w:val="en-GB"/>
              </w:rPr>
              <w:t>Model applies the energy intensity figures calculated for low-rise apartments.</w:t>
            </w:r>
          </w:p>
        </w:tc>
        <w:tc>
          <w:tcPr>
            <w:tcW w:w="2409" w:type="dxa"/>
            <w:shd w:val="clear" w:color="auto" w:fill="auto"/>
          </w:tcPr>
          <w:p w14:paraId="55D93AE1" w14:textId="77777777" w:rsidR="00D516FC" w:rsidRPr="00D516FC" w:rsidRDefault="00D516FC" w:rsidP="00D516FC">
            <w:pPr>
              <w:spacing w:after="0"/>
              <w:cnfStyle w:val="000000000000" w:firstRow="0" w:lastRow="0" w:firstColumn="0" w:lastColumn="0" w:oddVBand="0" w:evenVBand="0" w:oddHBand="0" w:evenHBand="0" w:firstRowFirstColumn="0" w:firstRowLastColumn="0" w:lastRowFirstColumn="0" w:lastRowLastColumn="0"/>
              <w:rPr>
                <w:rFonts w:cs="Arial"/>
                <w:szCs w:val="20"/>
                <w:lang w:val="en-GB"/>
              </w:rPr>
            </w:pPr>
            <w:r w:rsidRPr="00D516FC">
              <w:rPr>
                <w:rFonts w:cs="Arial"/>
                <w:szCs w:val="20"/>
                <w:lang w:val="en-GB"/>
              </w:rPr>
              <w:t>29 kWh/m2/year &amp; 208 MJ/m2/year</w:t>
            </w:r>
          </w:p>
        </w:tc>
        <w:tc>
          <w:tcPr>
            <w:tcW w:w="2267" w:type="dxa"/>
            <w:shd w:val="clear" w:color="auto" w:fill="auto"/>
          </w:tcPr>
          <w:p w14:paraId="09B4BEDB" w14:textId="77777777" w:rsidR="00D516FC" w:rsidRPr="00D516FC" w:rsidRDefault="00D516FC" w:rsidP="00D516FC">
            <w:pPr>
              <w:spacing w:after="0"/>
              <w:cnfStyle w:val="000000000000" w:firstRow="0" w:lastRow="0" w:firstColumn="0" w:lastColumn="0" w:oddVBand="0" w:evenVBand="0" w:oddHBand="0" w:evenHBand="0" w:firstRowFirstColumn="0" w:firstRowLastColumn="0" w:lastRowFirstColumn="0" w:lastRowLastColumn="0"/>
              <w:rPr>
                <w:rFonts w:cs="Arial"/>
                <w:szCs w:val="20"/>
                <w:lang w:val="en-GB"/>
              </w:rPr>
            </w:pPr>
            <w:r w:rsidRPr="00D516FC">
              <w:rPr>
                <w:rFonts w:cs="Arial"/>
                <w:szCs w:val="20"/>
                <w:lang w:val="en-GB"/>
              </w:rPr>
              <w:t>The wide range of “institutional accommodation” types means this average will not capture distinctions between buildings (i.e. prisons and convents)</w:t>
            </w:r>
          </w:p>
        </w:tc>
      </w:tr>
      <w:tr w:rsidR="00D516FC" w:rsidRPr="00D516FC" w14:paraId="5410CA1F" w14:textId="77777777" w:rsidTr="00D516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4" w:type="dxa"/>
            <w:shd w:val="clear" w:color="auto" w:fill="auto"/>
          </w:tcPr>
          <w:p w14:paraId="0CF7D048" w14:textId="77777777" w:rsidR="00D516FC" w:rsidRPr="00D516FC" w:rsidRDefault="00D516FC" w:rsidP="00D516FC">
            <w:pPr>
              <w:spacing w:after="0"/>
              <w:rPr>
                <w:rFonts w:cs="Arial"/>
                <w:szCs w:val="20"/>
                <w:lang w:val="en-GB"/>
              </w:rPr>
            </w:pPr>
            <w:r w:rsidRPr="00D516FC">
              <w:rPr>
                <w:rFonts w:cs="Arial"/>
                <w:szCs w:val="20"/>
                <w:lang w:val="en-GB"/>
              </w:rPr>
              <w:t>Storage</w:t>
            </w:r>
          </w:p>
        </w:tc>
        <w:tc>
          <w:tcPr>
            <w:tcW w:w="2548" w:type="dxa"/>
            <w:shd w:val="clear" w:color="auto" w:fill="auto"/>
          </w:tcPr>
          <w:p w14:paraId="19FE1760" w14:textId="77777777" w:rsidR="00D516FC" w:rsidRPr="00D516FC" w:rsidRDefault="00D516FC" w:rsidP="00D516FC">
            <w:pPr>
              <w:spacing w:after="0"/>
              <w:cnfStyle w:val="000000100000" w:firstRow="0" w:lastRow="0" w:firstColumn="0" w:lastColumn="0" w:oddVBand="0" w:evenVBand="0" w:oddHBand="1" w:evenHBand="0" w:firstRowFirstColumn="0" w:firstRowLastColumn="0" w:lastRowFirstColumn="0" w:lastRowLastColumn="0"/>
              <w:rPr>
                <w:rFonts w:cs="Arial"/>
                <w:szCs w:val="20"/>
                <w:lang w:val="en-GB"/>
              </w:rPr>
            </w:pPr>
            <w:r w:rsidRPr="00D516FC">
              <w:rPr>
                <w:rFonts w:cs="Arial"/>
                <w:szCs w:val="20"/>
                <w:lang w:val="en-GB"/>
              </w:rPr>
              <w:t xml:space="preserve">Model applies the standard warehouse </w:t>
            </w:r>
            <w:r w:rsidRPr="00D516FC">
              <w:rPr>
                <w:rFonts w:cs="Arial"/>
                <w:szCs w:val="20"/>
                <w:lang w:val="en-GB"/>
              </w:rPr>
              <w:lastRenderedPageBreak/>
              <w:t>figures drawn from the CBBS.</w:t>
            </w:r>
          </w:p>
        </w:tc>
        <w:tc>
          <w:tcPr>
            <w:tcW w:w="2409" w:type="dxa"/>
            <w:shd w:val="clear" w:color="auto" w:fill="auto"/>
          </w:tcPr>
          <w:p w14:paraId="43D380B6" w14:textId="77777777" w:rsidR="00D516FC" w:rsidRPr="00D516FC" w:rsidRDefault="00D516FC" w:rsidP="00D516FC">
            <w:pPr>
              <w:spacing w:after="0"/>
              <w:cnfStyle w:val="000000100000" w:firstRow="0" w:lastRow="0" w:firstColumn="0" w:lastColumn="0" w:oddVBand="0" w:evenVBand="0" w:oddHBand="1" w:evenHBand="0" w:firstRowFirstColumn="0" w:firstRowLastColumn="0" w:lastRowFirstColumn="0" w:lastRowLastColumn="0"/>
              <w:rPr>
                <w:rFonts w:cs="Arial"/>
                <w:szCs w:val="20"/>
                <w:lang w:val="en-GB"/>
              </w:rPr>
            </w:pPr>
            <w:r w:rsidRPr="00D516FC">
              <w:rPr>
                <w:rFonts w:cs="Arial"/>
                <w:szCs w:val="20"/>
                <w:lang w:val="en-GB"/>
              </w:rPr>
              <w:lastRenderedPageBreak/>
              <w:t>33 kWh/m2/year &amp; 41 MJ/m2/year</w:t>
            </w:r>
          </w:p>
        </w:tc>
        <w:tc>
          <w:tcPr>
            <w:tcW w:w="2267" w:type="dxa"/>
            <w:shd w:val="clear" w:color="auto" w:fill="auto"/>
          </w:tcPr>
          <w:p w14:paraId="23FDA0DB" w14:textId="77777777" w:rsidR="00D516FC" w:rsidRPr="00D516FC" w:rsidRDefault="00D516FC" w:rsidP="00D516FC">
            <w:pPr>
              <w:spacing w:after="0"/>
              <w:cnfStyle w:val="000000100000" w:firstRow="0" w:lastRow="0" w:firstColumn="0" w:lastColumn="0" w:oddVBand="0" w:evenVBand="0" w:oddHBand="1" w:evenHBand="0" w:firstRowFirstColumn="0" w:firstRowLastColumn="0" w:lastRowFirstColumn="0" w:lastRowLastColumn="0"/>
              <w:rPr>
                <w:rFonts w:cs="Arial"/>
                <w:szCs w:val="20"/>
                <w:lang w:val="en-GB"/>
              </w:rPr>
            </w:pPr>
          </w:p>
        </w:tc>
      </w:tr>
      <w:tr w:rsidR="00D516FC" w:rsidRPr="00D516FC" w14:paraId="5CD0B906" w14:textId="77777777" w:rsidTr="00D516FC">
        <w:tc>
          <w:tcPr>
            <w:cnfStyle w:val="001000000000" w:firstRow="0" w:lastRow="0" w:firstColumn="1" w:lastColumn="0" w:oddVBand="0" w:evenVBand="0" w:oddHBand="0" w:evenHBand="0" w:firstRowFirstColumn="0" w:firstRowLastColumn="0" w:lastRowFirstColumn="0" w:lastRowLastColumn="0"/>
            <w:tcW w:w="2414" w:type="dxa"/>
            <w:shd w:val="clear" w:color="auto" w:fill="auto"/>
          </w:tcPr>
          <w:p w14:paraId="2326FBED" w14:textId="77777777" w:rsidR="00D516FC" w:rsidRPr="00D516FC" w:rsidRDefault="00D516FC" w:rsidP="00D516FC">
            <w:pPr>
              <w:spacing w:after="0"/>
              <w:rPr>
                <w:rFonts w:cs="Arial"/>
                <w:szCs w:val="20"/>
                <w:lang w:val="en-GB"/>
              </w:rPr>
            </w:pPr>
            <w:r w:rsidRPr="00D516FC">
              <w:rPr>
                <w:rFonts w:cs="Arial"/>
                <w:szCs w:val="20"/>
                <w:lang w:val="en-GB"/>
              </w:rPr>
              <w:t>Community Use</w:t>
            </w:r>
          </w:p>
        </w:tc>
        <w:tc>
          <w:tcPr>
            <w:tcW w:w="2548" w:type="dxa"/>
            <w:shd w:val="clear" w:color="auto" w:fill="auto"/>
          </w:tcPr>
          <w:p w14:paraId="299B85D2" w14:textId="77777777" w:rsidR="00D516FC" w:rsidRPr="00D516FC" w:rsidRDefault="00D516FC" w:rsidP="00D516FC">
            <w:pPr>
              <w:spacing w:after="0"/>
              <w:cnfStyle w:val="000000000000" w:firstRow="0" w:lastRow="0" w:firstColumn="0" w:lastColumn="0" w:oddVBand="0" w:evenVBand="0" w:oddHBand="0" w:evenHBand="0" w:firstRowFirstColumn="0" w:firstRowLastColumn="0" w:lastRowFirstColumn="0" w:lastRowLastColumn="0"/>
              <w:rPr>
                <w:rFonts w:cs="Arial"/>
                <w:szCs w:val="20"/>
                <w:lang w:val="en-GB"/>
              </w:rPr>
            </w:pPr>
            <w:r w:rsidRPr="00D516FC">
              <w:rPr>
                <w:rFonts w:cs="Arial"/>
                <w:szCs w:val="20"/>
                <w:lang w:val="en-GB"/>
              </w:rPr>
              <w:t>Model applies the standard religion building figures drawn from the CBBS.</w:t>
            </w:r>
          </w:p>
        </w:tc>
        <w:tc>
          <w:tcPr>
            <w:tcW w:w="2409" w:type="dxa"/>
            <w:shd w:val="clear" w:color="auto" w:fill="auto"/>
          </w:tcPr>
          <w:p w14:paraId="4E699125" w14:textId="77777777" w:rsidR="00D516FC" w:rsidRPr="00D516FC" w:rsidRDefault="00D516FC" w:rsidP="00D516FC">
            <w:pPr>
              <w:spacing w:after="0"/>
              <w:cnfStyle w:val="000000000000" w:firstRow="0" w:lastRow="0" w:firstColumn="0" w:lastColumn="0" w:oddVBand="0" w:evenVBand="0" w:oddHBand="0" w:evenHBand="0" w:firstRowFirstColumn="0" w:firstRowLastColumn="0" w:lastRowFirstColumn="0" w:lastRowLastColumn="0"/>
              <w:rPr>
                <w:rFonts w:cs="Arial"/>
                <w:szCs w:val="20"/>
                <w:lang w:val="en-GB"/>
              </w:rPr>
            </w:pPr>
            <w:r w:rsidRPr="00D516FC">
              <w:rPr>
                <w:rFonts w:cs="Arial"/>
                <w:szCs w:val="20"/>
                <w:lang w:val="en-GB"/>
              </w:rPr>
              <w:t>50 kWh/m2/year &amp; 61 MJ/m2/year</w:t>
            </w:r>
          </w:p>
        </w:tc>
        <w:tc>
          <w:tcPr>
            <w:tcW w:w="2267" w:type="dxa"/>
            <w:shd w:val="clear" w:color="auto" w:fill="auto"/>
          </w:tcPr>
          <w:p w14:paraId="42F219B3" w14:textId="77777777" w:rsidR="00D516FC" w:rsidRPr="00D516FC" w:rsidRDefault="00D516FC" w:rsidP="00D516FC">
            <w:pPr>
              <w:spacing w:after="0"/>
              <w:cnfStyle w:val="000000000000" w:firstRow="0" w:lastRow="0" w:firstColumn="0" w:lastColumn="0" w:oddVBand="0" w:evenVBand="0" w:oddHBand="0" w:evenHBand="0" w:firstRowFirstColumn="0" w:firstRowLastColumn="0" w:lastRowFirstColumn="0" w:lastRowLastColumn="0"/>
              <w:rPr>
                <w:rFonts w:cs="Arial"/>
                <w:szCs w:val="20"/>
                <w:lang w:val="en-GB"/>
              </w:rPr>
            </w:pPr>
          </w:p>
        </w:tc>
      </w:tr>
      <w:tr w:rsidR="00D516FC" w:rsidRPr="00D516FC" w14:paraId="4D428218" w14:textId="77777777" w:rsidTr="00D516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4" w:type="dxa"/>
            <w:shd w:val="clear" w:color="auto" w:fill="auto"/>
          </w:tcPr>
          <w:p w14:paraId="4E570295" w14:textId="77777777" w:rsidR="00D516FC" w:rsidRPr="00D516FC" w:rsidRDefault="00D516FC" w:rsidP="00D516FC">
            <w:pPr>
              <w:spacing w:after="0"/>
              <w:rPr>
                <w:rFonts w:cs="Arial"/>
                <w:b w:val="0"/>
                <w:bCs w:val="0"/>
                <w:szCs w:val="20"/>
                <w:lang w:val="en-GB"/>
              </w:rPr>
            </w:pPr>
            <w:r w:rsidRPr="00D516FC">
              <w:rPr>
                <w:rFonts w:cs="Arial"/>
                <w:szCs w:val="20"/>
                <w:lang w:val="en-GB"/>
              </w:rPr>
              <w:t>Entertainment/Recreation – Indoor</w:t>
            </w:r>
          </w:p>
          <w:p w14:paraId="7B0ADB14" w14:textId="77777777" w:rsidR="00D516FC" w:rsidRPr="00D516FC" w:rsidRDefault="00D516FC" w:rsidP="00D516FC">
            <w:pPr>
              <w:spacing w:after="0"/>
              <w:rPr>
                <w:rFonts w:cs="Arial"/>
                <w:b w:val="0"/>
                <w:bCs w:val="0"/>
                <w:szCs w:val="20"/>
                <w:lang w:val="en-GB"/>
              </w:rPr>
            </w:pPr>
            <w:r w:rsidRPr="00D516FC">
              <w:rPr>
                <w:rFonts w:cs="Arial"/>
                <w:szCs w:val="20"/>
                <w:lang w:val="en-GB"/>
              </w:rPr>
              <w:t>Performances, Conferences, Ceremonies</w:t>
            </w:r>
          </w:p>
          <w:p w14:paraId="6A837D02" w14:textId="77777777" w:rsidR="00D516FC" w:rsidRPr="00D516FC" w:rsidRDefault="00D516FC" w:rsidP="00D516FC">
            <w:pPr>
              <w:spacing w:after="0"/>
              <w:rPr>
                <w:rFonts w:cs="Arial"/>
                <w:szCs w:val="20"/>
                <w:lang w:val="en-GB"/>
              </w:rPr>
            </w:pPr>
            <w:r w:rsidRPr="00D516FC">
              <w:rPr>
                <w:rFonts w:cs="Arial"/>
                <w:szCs w:val="20"/>
                <w:lang w:val="en-GB"/>
              </w:rPr>
              <w:t>Public Display Area</w:t>
            </w:r>
          </w:p>
        </w:tc>
        <w:tc>
          <w:tcPr>
            <w:tcW w:w="2548" w:type="dxa"/>
            <w:shd w:val="clear" w:color="auto" w:fill="auto"/>
          </w:tcPr>
          <w:p w14:paraId="515FA18C" w14:textId="77777777" w:rsidR="00D516FC" w:rsidRPr="00D516FC" w:rsidRDefault="00D516FC" w:rsidP="00D516FC">
            <w:pPr>
              <w:spacing w:after="0"/>
              <w:cnfStyle w:val="000000100000" w:firstRow="0" w:lastRow="0" w:firstColumn="0" w:lastColumn="0" w:oddVBand="0" w:evenVBand="0" w:oddHBand="1" w:evenHBand="0" w:firstRowFirstColumn="0" w:firstRowLastColumn="0" w:lastRowFirstColumn="0" w:lastRowLastColumn="0"/>
              <w:rPr>
                <w:rFonts w:cs="Arial"/>
                <w:szCs w:val="20"/>
                <w:lang w:val="en-GB"/>
              </w:rPr>
            </w:pPr>
            <w:r w:rsidRPr="00D516FC">
              <w:rPr>
                <w:rFonts w:cs="Arial"/>
                <w:szCs w:val="20"/>
                <w:lang w:val="en-GB"/>
              </w:rPr>
              <w:t>Model applies the standard entertainment and recreation building figures drawn from the CBBS.</w:t>
            </w:r>
          </w:p>
        </w:tc>
        <w:tc>
          <w:tcPr>
            <w:tcW w:w="2409" w:type="dxa"/>
            <w:shd w:val="clear" w:color="auto" w:fill="auto"/>
          </w:tcPr>
          <w:p w14:paraId="5CC5604F" w14:textId="77777777" w:rsidR="00D516FC" w:rsidRPr="00D516FC" w:rsidRDefault="00D516FC" w:rsidP="00D516FC">
            <w:pPr>
              <w:spacing w:after="0"/>
              <w:cnfStyle w:val="000000100000" w:firstRow="0" w:lastRow="0" w:firstColumn="0" w:lastColumn="0" w:oddVBand="0" w:evenVBand="0" w:oddHBand="1" w:evenHBand="0" w:firstRowFirstColumn="0" w:firstRowLastColumn="0" w:lastRowFirstColumn="0" w:lastRowLastColumn="0"/>
              <w:rPr>
                <w:rFonts w:cs="Arial"/>
                <w:szCs w:val="20"/>
                <w:lang w:val="en-GB"/>
              </w:rPr>
            </w:pPr>
            <w:r w:rsidRPr="00D516FC">
              <w:rPr>
                <w:rFonts w:cs="Arial"/>
                <w:szCs w:val="20"/>
                <w:lang w:val="en-GB"/>
              </w:rPr>
              <w:t>89 kWh/m2/year &amp; 108 MJ/m2/year</w:t>
            </w:r>
          </w:p>
        </w:tc>
        <w:tc>
          <w:tcPr>
            <w:tcW w:w="2267" w:type="dxa"/>
            <w:shd w:val="clear" w:color="auto" w:fill="auto"/>
          </w:tcPr>
          <w:p w14:paraId="1B0C987C" w14:textId="77777777" w:rsidR="00D516FC" w:rsidRPr="00D516FC" w:rsidRDefault="00D516FC" w:rsidP="00D516FC">
            <w:pPr>
              <w:spacing w:after="0"/>
              <w:cnfStyle w:val="000000100000" w:firstRow="0" w:lastRow="0" w:firstColumn="0" w:lastColumn="0" w:oddVBand="0" w:evenVBand="0" w:oddHBand="1" w:evenHBand="0" w:firstRowFirstColumn="0" w:firstRowLastColumn="0" w:lastRowFirstColumn="0" w:lastRowLastColumn="0"/>
              <w:rPr>
                <w:rFonts w:cs="Arial"/>
                <w:szCs w:val="20"/>
                <w:lang w:val="en-GB"/>
              </w:rPr>
            </w:pPr>
            <w:r w:rsidRPr="00D516FC">
              <w:rPr>
                <w:rFonts w:cs="Arial"/>
                <w:szCs w:val="20"/>
                <w:lang w:val="en-GB"/>
              </w:rPr>
              <w:t>Some “public display areas”, such as the showgrounds, may have non-standard usage patterns that mean modelled results are not representative of actual consumption. Any overestimation as a result of these usage patterns will be trivial in the context of the City’s total energy use.</w:t>
            </w:r>
          </w:p>
        </w:tc>
      </w:tr>
      <w:tr w:rsidR="00D516FC" w:rsidRPr="00D516FC" w14:paraId="66103893" w14:textId="77777777" w:rsidTr="00D516FC">
        <w:tc>
          <w:tcPr>
            <w:cnfStyle w:val="001000000000" w:firstRow="0" w:lastRow="0" w:firstColumn="1" w:lastColumn="0" w:oddVBand="0" w:evenVBand="0" w:oddHBand="0" w:evenHBand="0" w:firstRowFirstColumn="0" w:firstRowLastColumn="0" w:lastRowFirstColumn="0" w:lastRowLastColumn="0"/>
            <w:tcW w:w="2414" w:type="dxa"/>
            <w:shd w:val="clear" w:color="auto" w:fill="auto"/>
          </w:tcPr>
          <w:p w14:paraId="0B85C3A4" w14:textId="77777777" w:rsidR="00D516FC" w:rsidRPr="00D516FC" w:rsidRDefault="00D516FC" w:rsidP="00D516FC">
            <w:pPr>
              <w:spacing w:after="0"/>
              <w:rPr>
                <w:rFonts w:cs="Arial"/>
                <w:szCs w:val="20"/>
                <w:lang w:val="en-GB"/>
              </w:rPr>
            </w:pPr>
            <w:r w:rsidRPr="00D516FC">
              <w:rPr>
                <w:rFonts w:cs="Arial"/>
                <w:szCs w:val="20"/>
                <w:lang w:val="en-GB"/>
              </w:rPr>
              <w:t>Manufacturing</w:t>
            </w:r>
          </w:p>
          <w:p w14:paraId="25AF13CA" w14:textId="77777777" w:rsidR="00D516FC" w:rsidRPr="00D516FC" w:rsidRDefault="00D516FC" w:rsidP="00D516FC">
            <w:pPr>
              <w:spacing w:after="0"/>
              <w:rPr>
                <w:rFonts w:cs="Arial"/>
                <w:szCs w:val="20"/>
                <w:lang w:val="en-GB"/>
              </w:rPr>
            </w:pPr>
            <w:r w:rsidRPr="00D516FC">
              <w:rPr>
                <w:rFonts w:cs="Arial"/>
                <w:szCs w:val="20"/>
                <w:lang w:val="en-GB"/>
              </w:rPr>
              <w:t>Workshop/Studio</w:t>
            </w:r>
          </w:p>
        </w:tc>
        <w:tc>
          <w:tcPr>
            <w:tcW w:w="2548" w:type="dxa"/>
            <w:shd w:val="clear" w:color="auto" w:fill="auto"/>
          </w:tcPr>
          <w:p w14:paraId="4897027A" w14:textId="77777777" w:rsidR="00D516FC" w:rsidRPr="00D516FC" w:rsidRDefault="00D516FC" w:rsidP="00D516FC">
            <w:pPr>
              <w:spacing w:after="0"/>
              <w:cnfStyle w:val="000000000000" w:firstRow="0" w:lastRow="0" w:firstColumn="0" w:lastColumn="0" w:oddVBand="0" w:evenVBand="0" w:oddHBand="0" w:evenHBand="0" w:firstRowFirstColumn="0" w:firstRowLastColumn="0" w:lastRowFirstColumn="0" w:lastRowLastColumn="0"/>
              <w:rPr>
                <w:rFonts w:cs="Arial"/>
                <w:szCs w:val="20"/>
                <w:lang w:val="en-GB"/>
              </w:rPr>
            </w:pPr>
            <w:r w:rsidRPr="00D516FC">
              <w:rPr>
                <w:rFonts w:cs="Arial"/>
                <w:szCs w:val="20"/>
                <w:lang w:val="en-GB"/>
              </w:rPr>
              <w:t>Model increases the standard factories and other secondary production buildings figures drawn from the CBBS to account for the limited number of large, low-intensity manufacturing buildings in the City.</w:t>
            </w:r>
          </w:p>
        </w:tc>
        <w:tc>
          <w:tcPr>
            <w:tcW w:w="2409" w:type="dxa"/>
            <w:shd w:val="clear" w:color="auto" w:fill="auto"/>
          </w:tcPr>
          <w:p w14:paraId="6446D0D8" w14:textId="77777777" w:rsidR="00D516FC" w:rsidRPr="00D516FC" w:rsidRDefault="00D516FC" w:rsidP="00D516FC">
            <w:pPr>
              <w:spacing w:after="0"/>
              <w:cnfStyle w:val="000000000000" w:firstRow="0" w:lastRow="0" w:firstColumn="0" w:lastColumn="0" w:oddVBand="0" w:evenVBand="0" w:oddHBand="0" w:evenHBand="0" w:firstRowFirstColumn="0" w:firstRowLastColumn="0" w:lastRowFirstColumn="0" w:lastRowLastColumn="0"/>
              <w:rPr>
                <w:rFonts w:cs="Arial"/>
                <w:szCs w:val="20"/>
                <w:lang w:val="en-GB"/>
              </w:rPr>
            </w:pPr>
            <w:r w:rsidRPr="00D516FC">
              <w:rPr>
                <w:rFonts w:cs="Arial"/>
                <w:szCs w:val="20"/>
                <w:lang w:val="en-GB"/>
              </w:rPr>
              <w:t>137kWh/m2/year &amp; 167 MJ/m2/year</w:t>
            </w:r>
          </w:p>
        </w:tc>
        <w:tc>
          <w:tcPr>
            <w:tcW w:w="2267" w:type="dxa"/>
            <w:shd w:val="clear" w:color="auto" w:fill="auto"/>
          </w:tcPr>
          <w:p w14:paraId="0BC6D619" w14:textId="77777777" w:rsidR="00D516FC" w:rsidRPr="00D516FC" w:rsidRDefault="00D516FC" w:rsidP="00D516FC">
            <w:pPr>
              <w:spacing w:after="0"/>
              <w:cnfStyle w:val="000000000000" w:firstRow="0" w:lastRow="0" w:firstColumn="0" w:lastColumn="0" w:oddVBand="0" w:evenVBand="0" w:oddHBand="0" w:evenHBand="0" w:firstRowFirstColumn="0" w:firstRowLastColumn="0" w:lastRowFirstColumn="0" w:lastRowLastColumn="0"/>
              <w:rPr>
                <w:rFonts w:cs="Arial"/>
                <w:szCs w:val="20"/>
                <w:lang w:val="en-GB"/>
              </w:rPr>
            </w:pPr>
            <w:r w:rsidRPr="00D516FC">
              <w:rPr>
                <w:rFonts w:cs="Arial"/>
                <w:szCs w:val="20"/>
                <w:lang w:val="en-GB"/>
              </w:rPr>
              <w:t>The very wide range of manufacturing intensities likely to be present in the City is not captured in these numbers – see Section 2.4.6.</w:t>
            </w:r>
          </w:p>
        </w:tc>
      </w:tr>
      <w:tr w:rsidR="00D516FC" w:rsidRPr="00D516FC" w14:paraId="6AD346CF" w14:textId="77777777" w:rsidTr="00D516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4" w:type="dxa"/>
            <w:shd w:val="clear" w:color="auto" w:fill="auto"/>
          </w:tcPr>
          <w:p w14:paraId="175741C9" w14:textId="77777777" w:rsidR="00D516FC" w:rsidRPr="00D516FC" w:rsidRDefault="00D516FC" w:rsidP="00D516FC">
            <w:pPr>
              <w:spacing w:after="0"/>
              <w:rPr>
                <w:rFonts w:cs="Arial"/>
                <w:b w:val="0"/>
                <w:bCs w:val="0"/>
                <w:szCs w:val="20"/>
                <w:lang w:val="en-GB"/>
              </w:rPr>
            </w:pPr>
            <w:r w:rsidRPr="00D516FC">
              <w:rPr>
                <w:rFonts w:cs="Arial"/>
                <w:szCs w:val="20"/>
                <w:lang w:val="en-GB"/>
              </w:rPr>
              <w:t>Transport</w:t>
            </w:r>
          </w:p>
          <w:p w14:paraId="09838275" w14:textId="77777777" w:rsidR="00D516FC" w:rsidRPr="00D516FC" w:rsidRDefault="00D516FC" w:rsidP="00D516FC">
            <w:pPr>
              <w:spacing w:after="0"/>
              <w:rPr>
                <w:rFonts w:cs="Arial"/>
                <w:szCs w:val="20"/>
                <w:lang w:val="en-GB"/>
              </w:rPr>
            </w:pPr>
          </w:p>
        </w:tc>
        <w:tc>
          <w:tcPr>
            <w:tcW w:w="2548" w:type="dxa"/>
            <w:shd w:val="clear" w:color="auto" w:fill="auto"/>
          </w:tcPr>
          <w:p w14:paraId="15306C18" w14:textId="77777777" w:rsidR="00D516FC" w:rsidRPr="00D516FC" w:rsidRDefault="00D516FC" w:rsidP="00D516FC">
            <w:pPr>
              <w:spacing w:after="0"/>
              <w:cnfStyle w:val="000000100000" w:firstRow="0" w:lastRow="0" w:firstColumn="0" w:lastColumn="0" w:oddVBand="0" w:evenVBand="0" w:oddHBand="1" w:evenHBand="0" w:firstRowFirstColumn="0" w:firstRowLastColumn="0" w:lastRowFirstColumn="0" w:lastRowLastColumn="0"/>
              <w:rPr>
                <w:rFonts w:cs="Arial"/>
                <w:szCs w:val="20"/>
                <w:lang w:val="en-GB"/>
              </w:rPr>
            </w:pPr>
            <w:r w:rsidRPr="00D516FC">
              <w:rPr>
                <w:rFonts w:cs="Arial"/>
                <w:szCs w:val="20"/>
                <w:lang w:val="en-GB"/>
              </w:rPr>
              <w:t>Model applies the standard transport building figures drawn from the CBBS.</w:t>
            </w:r>
          </w:p>
        </w:tc>
        <w:tc>
          <w:tcPr>
            <w:tcW w:w="2409" w:type="dxa"/>
            <w:shd w:val="clear" w:color="auto" w:fill="auto"/>
          </w:tcPr>
          <w:p w14:paraId="7DAF80EC" w14:textId="77777777" w:rsidR="00D516FC" w:rsidRPr="00D516FC" w:rsidRDefault="00D516FC" w:rsidP="00D516FC">
            <w:pPr>
              <w:spacing w:after="0"/>
              <w:cnfStyle w:val="000000100000" w:firstRow="0" w:lastRow="0" w:firstColumn="0" w:lastColumn="0" w:oddVBand="0" w:evenVBand="0" w:oddHBand="1" w:evenHBand="0" w:firstRowFirstColumn="0" w:firstRowLastColumn="0" w:lastRowFirstColumn="0" w:lastRowLastColumn="0"/>
              <w:rPr>
                <w:rFonts w:cs="Arial"/>
                <w:szCs w:val="20"/>
                <w:lang w:val="en-GB"/>
              </w:rPr>
            </w:pPr>
            <w:r w:rsidRPr="00D516FC">
              <w:rPr>
                <w:rFonts w:cs="Arial"/>
                <w:szCs w:val="20"/>
                <w:lang w:val="en-GB"/>
              </w:rPr>
              <w:t>21 kWh/m2/year &amp; 26 MJ/m2/year</w:t>
            </w:r>
          </w:p>
        </w:tc>
        <w:tc>
          <w:tcPr>
            <w:tcW w:w="2267" w:type="dxa"/>
            <w:shd w:val="clear" w:color="auto" w:fill="auto"/>
          </w:tcPr>
          <w:p w14:paraId="50F1E461" w14:textId="77777777" w:rsidR="00D516FC" w:rsidRPr="00D516FC" w:rsidRDefault="00D516FC" w:rsidP="00D516FC">
            <w:pPr>
              <w:spacing w:after="0"/>
              <w:cnfStyle w:val="000000100000" w:firstRow="0" w:lastRow="0" w:firstColumn="0" w:lastColumn="0" w:oddVBand="0" w:evenVBand="0" w:oddHBand="1" w:evenHBand="0" w:firstRowFirstColumn="0" w:firstRowLastColumn="0" w:lastRowFirstColumn="0" w:lastRowLastColumn="0"/>
              <w:rPr>
                <w:rFonts w:cs="Arial"/>
                <w:szCs w:val="20"/>
                <w:lang w:val="en-GB"/>
              </w:rPr>
            </w:pPr>
            <w:r w:rsidRPr="00D516FC">
              <w:rPr>
                <w:rFonts w:cs="Arial"/>
                <w:szCs w:val="20"/>
                <w:lang w:val="en-GB"/>
              </w:rPr>
              <w:t>Given the nature of transport buildings in the City (i.e. underground and heavily ventilated), this figure may be an undercount, though not a meaningful one in relation to the City’s overall demand.</w:t>
            </w:r>
          </w:p>
        </w:tc>
      </w:tr>
      <w:tr w:rsidR="00D516FC" w:rsidRPr="00D516FC" w14:paraId="46D384F3" w14:textId="77777777" w:rsidTr="00D516FC">
        <w:tc>
          <w:tcPr>
            <w:cnfStyle w:val="001000000000" w:firstRow="0" w:lastRow="0" w:firstColumn="1" w:lastColumn="0" w:oddVBand="0" w:evenVBand="0" w:oddHBand="0" w:evenHBand="0" w:firstRowFirstColumn="0" w:firstRowLastColumn="0" w:lastRowFirstColumn="0" w:lastRowLastColumn="0"/>
            <w:tcW w:w="2414" w:type="dxa"/>
            <w:shd w:val="clear" w:color="auto" w:fill="auto"/>
          </w:tcPr>
          <w:p w14:paraId="465070C7" w14:textId="77777777" w:rsidR="00D516FC" w:rsidRPr="00D516FC" w:rsidRDefault="00D516FC" w:rsidP="00D516FC">
            <w:pPr>
              <w:spacing w:after="0"/>
              <w:rPr>
                <w:rFonts w:cs="Arial"/>
                <w:szCs w:val="20"/>
                <w:lang w:val="en-GB"/>
              </w:rPr>
            </w:pPr>
            <w:r w:rsidRPr="00D516FC">
              <w:rPr>
                <w:rFonts w:cs="Arial"/>
                <w:szCs w:val="20"/>
                <w:lang w:val="en-GB"/>
              </w:rPr>
              <w:t>Parking - Commercial Covered</w:t>
            </w:r>
          </w:p>
        </w:tc>
        <w:tc>
          <w:tcPr>
            <w:tcW w:w="2548" w:type="dxa"/>
            <w:shd w:val="clear" w:color="auto" w:fill="auto"/>
          </w:tcPr>
          <w:p w14:paraId="17036C9E" w14:textId="77777777" w:rsidR="00D516FC" w:rsidRPr="00D516FC" w:rsidRDefault="00D516FC" w:rsidP="00D516FC">
            <w:pPr>
              <w:spacing w:after="0"/>
              <w:cnfStyle w:val="000000000000" w:firstRow="0" w:lastRow="0" w:firstColumn="0" w:lastColumn="0" w:oddVBand="0" w:evenVBand="0" w:oddHBand="0" w:evenHBand="0" w:firstRowFirstColumn="0" w:firstRowLastColumn="0" w:lastRowFirstColumn="0" w:lastRowLastColumn="0"/>
              <w:rPr>
                <w:rFonts w:cs="Arial"/>
                <w:szCs w:val="20"/>
                <w:lang w:val="en-GB"/>
              </w:rPr>
            </w:pPr>
            <w:r w:rsidRPr="00D516FC">
              <w:rPr>
                <w:rFonts w:cs="Arial"/>
                <w:szCs w:val="20"/>
                <w:lang w:val="en-GB"/>
              </w:rPr>
              <w:t>Model applies the standard transport building electricity figures drawn from the CBBS. The model assumes this space consumes no gas.</w:t>
            </w:r>
          </w:p>
        </w:tc>
        <w:tc>
          <w:tcPr>
            <w:tcW w:w="2409" w:type="dxa"/>
            <w:shd w:val="clear" w:color="auto" w:fill="auto"/>
          </w:tcPr>
          <w:p w14:paraId="796AB992" w14:textId="77777777" w:rsidR="00D516FC" w:rsidRPr="00D516FC" w:rsidRDefault="00D516FC" w:rsidP="00D516FC">
            <w:pPr>
              <w:spacing w:after="0"/>
              <w:cnfStyle w:val="000000000000" w:firstRow="0" w:lastRow="0" w:firstColumn="0" w:lastColumn="0" w:oddVBand="0" w:evenVBand="0" w:oddHBand="0" w:evenHBand="0" w:firstRowFirstColumn="0" w:firstRowLastColumn="0" w:lastRowFirstColumn="0" w:lastRowLastColumn="0"/>
              <w:rPr>
                <w:rFonts w:cs="Arial"/>
                <w:szCs w:val="20"/>
                <w:lang w:val="en-GB"/>
              </w:rPr>
            </w:pPr>
            <w:r w:rsidRPr="00D516FC">
              <w:rPr>
                <w:rFonts w:cs="Arial"/>
                <w:szCs w:val="20"/>
                <w:lang w:val="en-GB"/>
              </w:rPr>
              <w:t>17 kWh/m2/year</w:t>
            </w:r>
          </w:p>
        </w:tc>
        <w:tc>
          <w:tcPr>
            <w:tcW w:w="2267" w:type="dxa"/>
            <w:shd w:val="clear" w:color="auto" w:fill="auto"/>
          </w:tcPr>
          <w:p w14:paraId="0E5DFD85" w14:textId="77777777" w:rsidR="00D516FC" w:rsidRPr="00D516FC" w:rsidRDefault="00D516FC" w:rsidP="00D516FC">
            <w:pPr>
              <w:spacing w:after="0"/>
              <w:cnfStyle w:val="000000000000" w:firstRow="0" w:lastRow="0" w:firstColumn="0" w:lastColumn="0" w:oddVBand="0" w:evenVBand="0" w:oddHBand="0" w:evenHBand="0" w:firstRowFirstColumn="0" w:firstRowLastColumn="0" w:lastRowFirstColumn="0" w:lastRowLastColumn="0"/>
              <w:rPr>
                <w:rFonts w:cs="Arial"/>
                <w:szCs w:val="20"/>
                <w:lang w:val="en-GB"/>
              </w:rPr>
            </w:pPr>
          </w:p>
        </w:tc>
      </w:tr>
      <w:tr w:rsidR="00D516FC" w:rsidRPr="00D516FC" w14:paraId="5F7551DC" w14:textId="77777777" w:rsidTr="00D516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4" w:type="dxa"/>
            <w:shd w:val="clear" w:color="auto" w:fill="auto"/>
          </w:tcPr>
          <w:p w14:paraId="3BA02982" w14:textId="77777777" w:rsidR="00D516FC" w:rsidRPr="00D516FC" w:rsidRDefault="00D516FC" w:rsidP="00D516FC">
            <w:pPr>
              <w:spacing w:after="0"/>
              <w:rPr>
                <w:rFonts w:cs="Arial"/>
                <w:szCs w:val="20"/>
                <w:lang w:val="en-GB"/>
              </w:rPr>
            </w:pPr>
            <w:r w:rsidRPr="00D516FC">
              <w:rPr>
                <w:rFonts w:cs="Arial"/>
                <w:szCs w:val="20"/>
                <w:lang w:val="en-GB"/>
              </w:rPr>
              <w:t>Parking - Private Uncovered</w:t>
            </w:r>
          </w:p>
          <w:p w14:paraId="0A6521CB" w14:textId="77777777" w:rsidR="00D516FC" w:rsidRPr="00D516FC" w:rsidRDefault="00D516FC" w:rsidP="00D516FC">
            <w:pPr>
              <w:spacing w:after="0"/>
              <w:rPr>
                <w:rFonts w:cs="Arial"/>
                <w:szCs w:val="20"/>
                <w:lang w:val="en-GB"/>
              </w:rPr>
            </w:pPr>
            <w:r w:rsidRPr="00D516FC">
              <w:rPr>
                <w:rFonts w:cs="Arial"/>
                <w:szCs w:val="20"/>
                <w:lang w:val="en-GB"/>
              </w:rPr>
              <w:t>Parking - Commercial Uncovered</w:t>
            </w:r>
          </w:p>
          <w:p w14:paraId="64CE19BF" w14:textId="77777777" w:rsidR="00D516FC" w:rsidRPr="00D516FC" w:rsidRDefault="00D516FC" w:rsidP="00D516FC">
            <w:pPr>
              <w:spacing w:after="0"/>
              <w:rPr>
                <w:rFonts w:cs="Arial"/>
                <w:szCs w:val="20"/>
                <w:lang w:val="en-GB"/>
              </w:rPr>
            </w:pPr>
            <w:r w:rsidRPr="00D516FC">
              <w:rPr>
                <w:rFonts w:cs="Arial"/>
                <w:szCs w:val="20"/>
                <w:lang w:val="en-GB"/>
              </w:rPr>
              <w:lastRenderedPageBreak/>
              <w:t>Transport/Storage – Uncovered</w:t>
            </w:r>
          </w:p>
          <w:p w14:paraId="51BEACA5" w14:textId="77777777" w:rsidR="00D516FC" w:rsidRPr="00D516FC" w:rsidRDefault="00D516FC" w:rsidP="00D516FC">
            <w:pPr>
              <w:spacing w:after="0"/>
              <w:rPr>
                <w:rFonts w:cs="Arial"/>
                <w:szCs w:val="20"/>
                <w:lang w:val="en-GB"/>
              </w:rPr>
            </w:pPr>
            <w:r w:rsidRPr="00D516FC">
              <w:rPr>
                <w:rFonts w:cs="Arial"/>
                <w:szCs w:val="20"/>
                <w:lang w:val="en-GB"/>
              </w:rPr>
              <w:t>Private Outdoor Space</w:t>
            </w:r>
          </w:p>
        </w:tc>
        <w:tc>
          <w:tcPr>
            <w:tcW w:w="2548" w:type="dxa"/>
            <w:shd w:val="clear" w:color="auto" w:fill="auto"/>
          </w:tcPr>
          <w:p w14:paraId="1AF2243D" w14:textId="77777777" w:rsidR="00D516FC" w:rsidRPr="00D516FC" w:rsidRDefault="00D516FC" w:rsidP="00D516FC">
            <w:pPr>
              <w:spacing w:after="0"/>
              <w:cnfStyle w:val="000000100000" w:firstRow="0" w:lastRow="0" w:firstColumn="0" w:lastColumn="0" w:oddVBand="0" w:evenVBand="0" w:oddHBand="1" w:evenHBand="0" w:firstRowFirstColumn="0" w:firstRowLastColumn="0" w:lastRowFirstColumn="0" w:lastRowLastColumn="0"/>
              <w:rPr>
                <w:rFonts w:cs="Arial"/>
                <w:szCs w:val="20"/>
                <w:lang w:val="en-GB"/>
              </w:rPr>
            </w:pPr>
            <w:r w:rsidRPr="00D516FC">
              <w:rPr>
                <w:rFonts w:cs="Arial"/>
                <w:szCs w:val="20"/>
                <w:lang w:val="en-GB"/>
              </w:rPr>
              <w:lastRenderedPageBreak/>
              <w:t xml:space="preserve">Model applies a standard electrical demand assumption for outside lighting drawn from the </w:t>
            </w:r>
            <w:r w:rsidRPr="00D516FC">
              <w:rPr>
                <w:rFonts w:cs="Arial"/>
                <w:szCs w:val="20"/>
                <w:lang w:val="en-GB"/>
              </w:rPr>
              <w:lastRenderedPageBreak/>
              <w:t>Green Building Council.</w:t>
            </w:r>
            <w:r w:rsidRPr="00D516FC">
              <w:rPr>
                <w:rFonts w:cs="Arial"/>
                <w:szCs w:val="20"/>
              </w:rPr>
              <w:footnoteReference w:id="11"/>
            </w:r>
          </w:p>
        </w:tc>
        <w:tc>
          <w:tcPr>
            <w:tcW w:w="2409" w:type="dxa"/>
            <w:shd w:val="clear" w:color="auto" w:fill="auto"/>
          </w:tcPr>
          <w:p w14:paraId="5664FA05" w14:textId="77777777" w:rsidR="00D516FC" w:rsidRPr="00D516FC" w:rsidRDefault="00D516FC" w:rsidP="00D516FC">
            <w:pPr>
              <w:spacing w:after="0"/>
              <w:cnfStyle w:val="000000100000" w:firstRow="0" w:lastRow="0" w:firstColumn="0" w:lastColumn="0" w:oddVBand="0" w:evenVBand="0" w:oddHBand="1" w:evenHBand="0" w:firstRowFirstColumn="0" w:firstRowLastColumn="0" w:lastRowFirstColumn="0" w:lastRowLastColumn="0"/>
              <w:rPr>
                <w:rFonts w:cs="Arial"/>
                <w:szCs w:val="20"/>
                <w:lang w:val="en-GB"/>
              </w:rPr>
            </w:pPr>
            <w:r w:rsidRPr="00D516FC">
              <w:rPr>
                <w:rFonts w:cs="Arial"/>
                <w:szCs w:val="20"/>
                <w:lang w:val="en-GB"/>
              </w:rPr>
              <w:lastRenderedPageBreak/>
              <w:t>13.4 kWh/m2/year</w:t>
            </w:r>
          </w:p>
        </w:tc>
        <w:tc>
          <w:tcPr>
            <w:tcW w:w="2267" w:type="dxa"/>
            <w:shd w:val="clear" w:color="auto" w:fill="auto"/>
          </w:tcPr>
          <w:p w14:paraId="7AD8850E" w14:textId="77777777" w:rsidR="00D516FC" w:rsidRPr="00D516FC" w:rsidRDefault="00D516FC" w:rsidP="00D516FC">
            <w:pPr>
              <w:spacing w:after="0"/>
              <w:cnfStyle w:val="000000100000" w:firstRow="0" w:lastRow="0" w:firstColumn="0" w:lastColumn="0" w:oddVBand="0" w:evenVBand="0" w:oddHBand="1" w:evenHBand="0" w:firstRowFirstColumn="0" w:firstRowLastColumn="0" w:lastRowFirstColumn="0" w:lastRowLastColumn="0"/>
              <w:rPr>
                <w:rFonts w:cs="Arial"/>
                <w:szCs w:val="20"/>
                <w:lang w:val="en-GB"/>
              </w:rPr>
            </w:pPr>
            <w:r w:rsidRPr="00D516FC">
              <w:rPr>
                <w:rFonts w:cs="Arial"/>
                <w:szCs w:val="20"/>
                <w:lang w:val="en-GB"/>
              </w:rPr>
              <w:t xml:space="preserve">As this standard figure is derived from the Green Building Council, it represents </w:t>
            </w:r>
            <w:r w:rsidRPr="00D516FC">
              <w:rPr>
                <w:rFonts w:cs="Arial"/>
                <w:szCs w:val="20"/>
                <w:lang w:val="en-GB"/>
              </w:rPr>
              <w:lastRenderedPageBreak/>
              <w:t>a higher standard which may not be representative.</w:t>
            </w:r>
          </w:p>
        </w:tc>
      </w:tr>
      <w:tr w:rsidR="00D516FC" w:rsidRPr="00D516FC" w14:paraId="32B3ADA0" w14:textId="77777777" w:rsidTr="00D516FC">
        <w:tc>
          <w:tcPr>
            <w:cnfStyle w:val="001000000000" w:firstRow="0" w:lastRow="0" w:firstColumn="1" w:lastColumn="0" w:oddVBand="0" w:evenVBand="0" w:oddHBand="0" w:evenHBand="0" w:firstRowFirstColumn="0" w:firstRowLastColumn="0" w:lastRowFirstColumn="0" w:lastRowLastColumn="0"/>
            <w:tcW w:w="2414" w:type="dxa"/>
            <w:shd w:val="clear" w:color="auto" w:fill="auto"/>
          </w:tcPr>
          <w:p w14:paraId="32D254CA" w14:textId="77777777" w:rsidR="00D516FC" w:rsidRPr="00D516FC" w:rsidRDefault="00D516FC" w:rsidP="00D516FC">
            <w:pPr>
              <w:spacing w:after="0"/>
              <w:rPr>
                <w:rFonts w:cs="Arial"/>
                <w:szCs w:val="20"/>
                <w:lang w:val="en-GB"/>
              </w:rPr>
            </w:pPr>
            <w:r w:rsidRPr="00D516FC">
              <w:rPr>
                <w:rFonts w:cs="Arial"/>
                <w:szCs w:val="20"/>
                <w:lang w:val="en-GB"/>
              </w:rPr>
              <w:lastRenderedPageBreak/>
              <w:t>Unoccupied - Under Construction</w:t>
            </w:r>
          </w:p>
          <w:p w14:paraId="4A0BAA7D" w14:textId="77777777" w:rsidR="00D516FC" w:rsidRPr="00D516FC" w:rsidRDefault="00D516FC" w:rsidP="00D516FC">
            <w:pPr>
              <w:spacing w:after="0"/>
              <w:rPr>
                <w:rFonts w:cs="Arial"/>
                <w:szCs w:val="20"/>
                <w:lang w:val="en-GB"/>
              </w:rPr>
            </w:pPr>
            <w:r w:rsidRPr="00D516FC">
              <w:rPr>
                <w:rFonts w:cs="Arial"/>
                <w:szCs w:val="20"/>
                <w:lang w:val="en-GB"/>
              </w:rPr>
              <w:t>Unoccupied - Under Renovation</w:t>
            </w:r>
          </w:p>
          <w:p w14:paraId="3C9866D6" w14:textId="77777777" w:rsidR="00D516FC" w:rsidRPr="00D516FC" w:rsidRDefault="00D516FC" w:rsidP="00D516FC">
            <w:pPr>
              <w:spacing w:after="0"/>
              <w:rPr>
                <w:rFonts w:cs="Arial"/>
                <w:szCs w:val="20"/>
                <w:lang w:val="en-GB"/>
              </w:rPr>
            </w:pPr>
            <w:r w:rsidRPr="00D516FC">
              <w:rPr>
                <w:rFonts w:cs="Arial"/>
                <w:szCs w:val="20"/>
                <w:lang w:val="en-GB"/>
              </w:rPr>
              <w:t>Unoccupied - Under Demolition/Condemned</w:t>
            </w:r>
          </w:p>
          <w:p w14:paraId="3DADE906" w14:textId="77777777" w:rsidR="00D516FC" w:rsidRPr="00D516FC" w:rsidRDefault="00D516FC" w:rsidP="00D516FC">
            <w:pPr>
              <w:spacing w:after="0"/>
              <w:rPr>
                <w:rFonts w:cs="Arial"/>
                <w:szCs w:val="20"/>
                <w:lang w:val="en-GB"/>
              </w:rPr>
            </w:pPr>
            <w:r w:rsidRPr="00D516FC">
              <w:rPr>
                <w:rFonts w:cs="Arial"/>
                <w:szCs w:val="20"/>
                <w:lang w:val="en-GB"/>
              </w:rPr>
              <w:t>Unoccupied - Unused</w:t>
            </w:r>
          </w:p>
          <w:p w14:paraId="53D15762" w14:textId="77777777" w:rsidR="00D516FC" w:rsidRPr="00D516FC" w:rsidRDefault="00D516FC" w:rsidP="00D516FC">
            <w:pPr>
              <w:spacing w:after="0"/>
              <w:rPr>
                <w:rFonts w:cs="Arial"/>
                <w:szCs w:val="20"/>
                <w:lang w:val="en-GB"/>
              </w:rPr>
            </w:pPr>
            <w:r w:rsidRPr="00D516FC">
              <w:rPr>
                <w:rFonts w:cs="Arial"/>
                <w:szCs w:val="20"/>
                <w:lang w:val="en-GB"/>
              </w:rPr>
              <w:t>Unoccupied - Undeveloped Site</w:t>
            </w:r>
          </w:p>
        </w:tc>
        <w:tc>
          <w:tcPr>
            <w:tcW w:w="2548" w:type="dxa"/>
            <w:shd w:val="clear" w:color="auto" w:fill="auto"/>
          </w:tcPr>
          <w:p w14:paraId="21121A07" w14:textId="77777777" w:rsidR="00D516FC" w:rsidRPr="00D516FC" w:rsidRDefault="00D516FC" w:rsidP="00D516FC">
            <w:pPr>
              <w:spacing w:after="0"/>
              <w:cnfStyle w:val="000000000000" w:firstRow="0" w:lastRow="0" w:firstColumn="0" w:lastColumn="0" w:oddVBand="0" w:evenVBand="0" w:oddHBand="0" w:evenHBand="0" w:firstRowFirstColumn="0" w:firstRowLastColumn="0" w:lastRowFirstColumn="0" w:lastRowLastColumn="0"/>
              <w:rPr>
                <w:rFonts w:cs="Arial"/>
                <w:szCs w:val="20"/>
                <w:lang w:val="en-GB"/>
              </w:rPr>
            </w:pPr>
            <w:r w:rsidRPr="00D516FC">
              <w:rPr>
                <w:rFonts w:cs="Arial"/>
                <w:szCs w:val="20"/>
                <w:lang w:val="en-GB"/>
              </w:rPr>
              <w:t>Model applies a small standard electrical demand to construction and renovation sites to reflect limited lighting and plug load. Other unoccupied spaces have no energy use associated with them in our model.</w:t>
            </w:r>
          </w:p>
        </w:tc>
        <w:tc>
          <w:tcPr>
            <w:tcW w:w="2409" w:type="dxa"/>
            <w:shd w:val="clear" w:color="auto" w:fill="auto"/>
          </w:tcPr>
          <w:p w14:paraId="4E7D46B3" w14:textId="77777777" w:rsidR="00D516FC" w:rsidRPr="00D516FC" w:rsidRDefault="00D516FC" w:rsidP="00D516FC">
            <w:pPr>
              <w:spacing w:after="0"/>
              <w:cnfStyle w:val="000000000000" w:firstRow="0" w:lastRow="0" w:firstColumn="0" w:lastColumn="0" w:oddVBand="0" w:evenVBand="0" w:oddHBand="0" w:evenHBand="0" w:firstRowFirstColumn="0" w:firstRowLastColumn="0" w:lastRowFirstColumn="0" w:lastRowLastColumn="0"/>
              <w:rPr>
                <w:rFonts w:cs="Arial"/>
                <w:szCs w:val="20"/>
                <w:lang w:val="en-GB"/>
              </w:rPr>
            </w:pPr>
            <w:r w:rsidRPr="00D516FC">
              <w:rPr>
                <w:rFonts w:cs="Arial"/>
                <w:szCs w:val="20"/>
                <w:lang w:val="en-GB"/>
              </w:rPr>
              <w:t>13.4 kWh/m2/year</w:t>
            </w:r>
          </w:p>
        </w:tc>
        <w:tc>
          <w:tcPr>
            <w:tcW w:w="2267" w:type="dxa"/>
            <w:shd w:val="clear" w:color="auto" w:fill="auto"/>
          </w:tcPr>
          <w:p w14:paraId="370E17CC" w14:textId="77777777" w:rsidR="00D516FC" w:rsidRPr="00D516FC" w:rsidRDefault="00D516FC" w:rsidP="00D516FC">
            <w:pPr>
              <w:spacing w:after="0"/>
              <w:cnfStyle w:val="000000000000" w:firstRow="0" w:lastRow="0" w:firstColumn="0" w:lastColumn="0" w:oddVBand="0" w:evenVBand="0" w:oddHBand="0" w:evenHBand="0" w:firstRowFirstColumn="0" w:firstRowLastColumn="0" w:lastRowFirstColumn="0" w:lastRowLastColumn="0"/>
              <w:rPr>
                <w:rFonts w:cs="Arial"/>
                <w:szCs w:val="20"/>
                <w:lang w:val="en-GB"/>
              </w:rPr>
            </w:pPr>
            <w:r w:rsidRPr="00D516FC">
              <w:rPr>
                <w:rFonts w:cs="Arial"/>
                <w:szCs w:val="20"/>
                <w:lang w:val="en-GB"/>
              </w:rPr>
              <w:t>Construction sites can consume significant energy depending on the nature of the development/activity (though much of this consumption is diesel, and outside the scope of this report) – the standard figure applied in our model will not capture the diversity of energy use across these spaces.</w:t>
            </w:r>
          </w:p>
        </w:tc>
      </w:tr>
      <w:tr w:rsidR="00D516FC" w:rsidRPr="00D516FC" w14:paraId="4D7ACCBC" w14:textId="77777777" w:rsidTr="00D516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4" w:type="dxa"/>
            <w:shd w:val="clear" w:color="auto" w:fill="auto"/>
          </w:tcPr>
          <w:p w14:paraId="321895AA" w14:textId="77777777" w:rsidR="00D516FC" w:rsidRPr="00D516FC" w:rsidRDefault="00D516FC" w:rsidP="00D516FC">
            <w:pPr>
              <w:spacing w:after="0"/>
              <w:rPr>
                <w:rFonts w:cs="Arial"/>
                <w:szCs w:val="20"/>
                <w:lang w:val="en-GB"/>
              </w:rPr>
            </w:pPr>
            <w:r w:rsidRPr="00D516FC">
              <w:rPr>
                <w:rFonts w:cs="Arial"/>
                <w:szCs w:val="20"/>
                <w:lang w:val="en-GB"/>
              </w:rPr>
              <w:t>Square/Promenade</w:t>
            </w:r>
          </w:p>
          <w:p w14:paraId="7432599F" w14:textId="77777777" w:rsidR="00D516FC" w:rsidRPr="00D516FC" w:rsidRDefault="00D516FC" w:rsidP="00D516FC">
            <w:pPr>
              <w:spacing w:after="0"/>
              <w:rPr>
                <w:rFonts w:cs="Arial"/>
                <w:szCs w:val="20"/>
                <w:lang w:val="en-GB"/>
              </w:rPr>
            </w:pPr>
            <w:r w:rsidRPr="00D516FC">
              <w:rPr>
                <w:rFonts w:cs="Arial"/>
                <w:szCs w:val="20"/>
                <w:lang w:val="en-GB"/>
              </w:rPr>
              <w:t>Park/Reserve</w:t>
            </w:r>
          </w:p>
          <w:p w14:paraId="4AA511D0" w14:textId="77777777" w:rsidR="00D516FC" w:rsidRPr="00D516FC" w:rsidRDefault="00D516FC" w:rsidP="00D516FC">
            <w:pPr>
              <w:spacing w:after="0"/>
              <w:rPr>
                <w:rFonts w:cs="Arial"/>
                <w:szCs w:val="20"/>
                <w:lang w:val="en-GB"/>
              </w:rPr>
            </w:pPr>
            <w:r w:rsidRPr="00D516FC">
              <w:rPr>
                <w:rFonts w:cs="Arial"/>
                <w:szCs w:val="20"/>
                <w:lang w:val="en-GB"/>
              </w:rPr>
              <w:t>Sports and Recreation - Outdoor</w:t>
            </w:r>
          </w:p>
        </w:tc>
        <w:tc>
          <w:tcPr>
            <w:tcW w:w="2548" w:type="dxa"/>
            <w:shd w:val="clear" w:color="auto" w:fill="auto"/>
          </w:tcPr>
          <w:p w14:paraId="39A92584" w14:textId="77777777" w:rsidR="00D516FC" w:rsidRPr="00D516FC" w:rsidRDefault="00D516FC" w:rsidP="00D516FC">
            <w:pPr>
              <w:spacing w:after="0"/>
              <w:cnfStyle w:val="000000100000" w:firstRow="0" w:lastRow="0" w:firstColumn="0" w:lastColumn="0" w:oddVBand="0" w:evenVBand="0" w:oddHBand="1" w:evenHBand="0" w:firstRowFirstColumn="0" w:firstRowLastColumn="0" w:lastRowFirstColumn="0" w:lastRowLastColumn="0"/>
              <w:rPr>
                <w:rFonts w:cs="Arial"/>
                <w:szCs w:val="20"/>
                <w:lang w:val="en-GB"/>
              </w:rPr>
            </w:pPr>
            <w:r w:rsidRPr="00D516FC">
              <w:rPr>
                <w:rFonts w:cs="Arial"/>
                <w:szCs w:val="20"/>
                <w:lang w:val="en-GB"/>
              </w:rPr>
              <w:t>No electricity or gas use is applied to these space uses in the model.</w:t>
            </w:r>
          </w:p>
        </w:tc>
        <w:tc>
          <w:tcPr>
            <w:tcW w:w="2409" w:type="dxa"/>
            <w:shd w:val="clear" w:color="auto" w:fill="auto"/>
          </w:tcPr>
          <w:p w14:paraId="29110156" w14:textId="77777777" w:rsidR="00D516FC" w:rsidRPr="00D516FC" w:rsidRDefault="00D516FC" w:rsidP="00D516FC">
            <w:pPr>
              <w:spacing w:after="0"/>
              <w:cnfStyle w:val="000000100000" w:firstRow="0" w:lastRow="0" w:firstColumn="0" w:lastColumn="0" w:oddVBand="0" w:evenVBand="0" w:oddHBand="1" w:evenHBand="0" w:firstRowFirstColumn="0" w:firstRowLastColumn="0" w:lastRowFirstColumn="0" w:lastRowLastColumn="0"/>
              <w:rPr>
                <w:rFonts w:cs="Arial"/>
                <w:szCs w:val="20"/>
                <w:lang w:val="en-GB"/>
              </w:rPr>
            </w:pPr>
          </w:p>
        </w:tc>
        <w:tc>
          <w:tcPr>
            <w:tcW w:w="2267" w:type="dxa"/>
            <w:shd w:val="clear" w:color="auto" w:fill="auto"/>
          </w:tcPr>
          <w:p w14:paraId="0C6D058E" w14:textId="77777777" w:rsidR="00D516FC" w:rsidRPr="00D516FC" w:rsidRDefault="00D516FC" w:rsidP="00D516FC">
            <w:pPr>
              <w:spacing w:after="0"/>
              <w:cnfStyle w:val="000000100000" w:firstRow="0" w:lastRow="0" w:firstColumn="0" w:lastColumn="0" w:oddVBand="0" w:evenVBand="0" w:oddHBand="1" w:evenHBand="0" w:firstRowFirstColumn="0" w:firstRowLastColumn="0" w:lastRowFirstColumn="0" w:lastRowLastColumn="0"/>
              <w:rPr>
                <w:rFonts w:cs="Arial"/>
                <w:szCs w:val="20"/>
                <w:lang w:val="en-GB"/>
              </w:rPr>
            </w:pPr>
            <w:r w:rsidRPr="00D516FC">
              <w:rPr>
                <w:rFonts w:cs="Arial"/>
                <w:szCs w:val="20"/>
                <w:lang w:val="en-GB"/>
              </w:rPr>
              <w:t>Energy use is likely to be unmetered and omitted in the distributor data provided.</w:t>
            </w:r>
          </w:p>
        </w:tc>
      </w:tr>
      <w:tr w:rsidR="00D516FC" w:rsidRPr="00D516FC" w14:paraId="2141579B" w14:textId="77777777" w:rsidTr="00D516FC">
        <w:tc>
          <w:tcPr>
            <w:cnfStyle w:val="001000000000" w:firstRow="0" w:lastRow="0" w:firstColumn="1" w:lastColumn="0" w:oddVBand="0" w:evenVBand="0" w:oddHBand="0" w:evenHBand="0" w:firstRowFirstColumn="0" w:firstRowLastColumn="0" w:lastRowFirstColumn="0" w:lastRowLastColumn="0"/>
            <w:tcW w:w="2414" w:type="dxa"/>
            <w:shd w:val="clear" w:color="auto" w:fill="auto"/>
          </w:tcPr>
          <w:p w14:paraId="7B0D3251" w14:textId="77777777" w:rsidR="00D516FC" w:rsidRPr="00D516FC" w:rsidRDefault="00D516FC" w:rsidP="00D516FC">
            <w:pPr>
              <w:spacing w:after="0"/>
              <w:rPr>
                <w:rFonts w:cs="Arial"/>
                <w:szCs w:val="20"/>
                <w:lang w:val="en-GB"/>
              </w:rPr>
            </w:pPr>
            <w:r w:rsidRPr="00D516FC">
              <w:rPr>
                <w:rFonts w:cs="Arial"/>
                <w:szCs w:val="20"/>
                <w:lang w:val="en-GB"/>
              </w:rPr>
              <w:t>Shared spaces not associated with primary space use</w:t>
            </w:r>
          </w:p>
          <w:p w14:paraId="44504E74" w14:textId="77777777" w:rsidR="00D516FC" w:rsidRPr="00D516FC" w:rsidRDefault="00D516FC" w:rsidP="00D516FC">
            <w:pPr>
              <w:spacing w:after="0"/>
              <w:rPr>
                <w:rFonts w:cs="Arial"/>
                <w:szCs w:val="20"/>
                <w:lang w:val="en-GB"/>
              </w:rPr>
            </w:pPr>
          </w:p>
        </w:tc>
        <w:tc>
          <w:tcPr>
            <w:tcW w:w="2548" w:type="dxa"/>
            <w:shd w:val="clear" w:color="auto" w:fill="auto"/>
          </w:tcPr>
          <w:p w14:paraId="57DE89E3" w14:textId="77777777" w:rsidR="00D516FC" w:rsidRPr="00D516FC" w:rsidRDefault="00D516FC" w:rsidP="00D516FC">
            <w:pPr>
              <w:spacing w:after="0"/>
              <w:cnfStyle w:val="000000000000" w:firstRow="0" w:lastRow="0" w:firstColumn="0" w:lastColumn="0" w:oddVBand="0" w:evenVBand="0" w:oddHBand="0" w:evenHBand="0" w:firstRowFirstColumn="0" w:firstRowLastColumn="0" w:lastRowFirstColumn="0" w:lastRowLastColumn="0"/>
              <w:rPr>
                <w:rFonts w:cs="Arial"/>
                <w:szCs w:val="20"/>
                <w:lang w:val="en-GB"/>
              </w:rPr>
            </w:pPr>
            <w:r w:rsidRPr="00D516FC">
              <w:rPr>
                <w:rFonts w:cs="Arial"/>
                <w:szCs w:val="20"/>
                <w:lang w:val="en-GB"/>
              </w:rPr>
              <w:t xml:space="preserve">The small area of shared spaces not able to be associated with a primary space use (which appear to primarily be small equipment installation sites) were allocated an energy intensity based on the  other industrial building CBBS category </w:t>
            </w:r>
          </w:p>
        </w:tc>
        <w:tc>
          <w:tcPr>
            <w:tcW w:w="2409" w:type="dxa"/>
            <w:shd w:val="clear" w:color="auto" w:fill="auto"/>
          </w:tcPr>
          <w:p w14:paraId="0F5CA9D3" w14:textId="77777777" w:rsidR="00D516FC" w:rsidRPr="00D516FC" w:rsidRDefault="00D516FC" w:rsidP="00D516FC">
            <w:pPr>
              <w:spacing w:after="0"/>
              <w:cnfStyle w:val="000000000000" w:firstRow="0" w:lastRow="0" w:firstColumn="0" w:lastColumn="0" w:oddVBand="0" w:evenVBand="0" w:oddHBand="0" w:evenHBand="0" w:firstRowFirstColumn="0" w:firstRowLastColumn="0" w:lastRowFirstColumn="0" w:lastRowLastColumn="0"/>
              <w:rPr>
                <w:rFonts w:cs="Arial"/>
                <w:szCs w:val="20"/>
                <w:lang w:val="en-GB"/>
              </w:rPr>
            </w:pPr>
            <w:r w:rsidRPr="00D516FC">
              <w:rPr>
                <w:rFonts w:cs="Arial"/>
                <w:szCs w:val="20"/>
                <w:lang w:val="en-GB"/>
              </w:rPr>
              <w:t>17 kWh/m2/year &amp; 20 MJ/m2/year</w:t>
            </w:r>
          </w:p>
        </w:tc>
        <w:tc>
          <w:tcPr>
            <w:tcW w:w="2267" w:type="dxa"/>
            <w:shd w:val="clear" w:color="auto" w:fill="auto"/>
          </w:tcPr>
          <w:p w14:paraId="70EBCDC1" w14:textId="77777777" w:rsidR="00D516FC" w:rsidRPr="00D516FC" w:rsidRDefault="00D516FC" w:rsidP="00D516FC">
            <w:pPr>
              <w:spacing w:after="0"/>
              <w:cnfStyle w:val="000000000000" w:firstRow="0" w:lastRow="0" w:firstColumn="0" w:lastColumn="0" w:oddVBand="0" w:evenVBand="0" w:oddHBand="0" w:evenHBand="0" w:firstRowFirstColumn="0" w:firstRowLastColumn="0" w:lastRowFirstColumn="0" w:lastRowLastColumn="0"/>
              <w:rPr>
                <w:rFonts w:cs="Arial"/>
                <w:szCs w:val="20"/>
                <w:lang w:val="en-GB"/>
              </w:rPr>
            </w:pPr>
          </w:p>
        </w:tc>
      </w:tr>
    </w:tbl>
    <w:p w14:paraId="4FA9B816" w14:textId="450E0719" w:rsidR="00D65473" w:rsidRDefault="00D65473" w:rsidP="00D65473">
      <w:pPr>
        <w:pStyle w:val="Heading3"/>
        <w:rPr>
          <w:rFonts w:hint="eastAsia"/>
        </w:rPr>
      </w:pPr>
      <w:r>
        <w:t>2.4.5</w:t>
      </w:r>
      <w:r>
        <w:tab/>
        <w:t>Combining Fuel-Use and Space-Use Data</w:t>
      </w:r>
    </w:p>
    <w:p w14:paraId="3D080B78" w14:textId="77777777" w:rsidR="00D65473" w:rsidRDefault="00D65473" w:rsidP="00687245">
      <w:pPr>
        <w:rPr>
          <w:lang w:val="en-GB"/>
        </w:rPr>
      </w:pPr>
      <w:r>
        <w:rPr>
          <w:lang w:val="en-GB"/>
        </w:rPr>
        <w:t xml:space="preserve">The study results, set out in Chapter 4, were developed by applying the fuel-use figures above with a refined space-use database. This approach ensures building fuel-use and emission totals reflect the diversity of space-uses within a given building. </w:t>
      </w:r>
    </w:p>
    <w:p w14:paraId="6B5C93D8" w14:textId="59A0C751" w:rsidR="003A6133" w:rsidRDefault="00D65473" w:rsidP="00687245">
      <w:pPr>
        <w:rPr>
          <w:lang w:val="en-GB"/>
        </w:rPr>
      </w:pPr>
      <w:r>
        <w:rPr>
          <w:lang w:val="en-GB"/>
        </w:rPr>
        <w:t>For smaller and low fuel-use space-use categories the modified CLUE database was linked with a simple lookup table derived from th</w:t>
      </w:r>
      <w:r w:rsidRPr="004B7FE2">
        <w:rPr>
          <w:lang w:val="en-GB"/>
        </w:rPr>
        <w:t>e CBBS with 2022 fuel-use intensities. For higher priority space uses where more complex fuel-use calculations were warranted, the CLUE database was linked with individual calculators, which drew on a range of data inputs, such as NABERS, the AER, CSIRO and academic sources.</w:t>
      </w:r>
    </w:p>
    <w:p w14:paraId="1A332E6E" w14:textId="33710C25" w:rsidR="00D65473" w:rsidRPr="006C13BA" w:rsidRDefault="00D65473" w:rsidP="00D65473">
      <w:pPr>
        <w:pStyle w:val="Heading3"/>
        <w:rPr>
          <w:rFonts w:hint="eastAsia"/>
        </w:rPr>
      </w:pPr>
      <w:r>
        <w:t>2.4.6</w:t>
      </w:r>
      <w:r>
        <w:tab/>
      </w:r>
      <w:r w:rsidRPr="006C13BA">
        <w:t xml:space="preserve">Solar </w:t>
      </w:r>
      <w:r>
        <w:t>G</w:t>
      </w:r>
      <w:r w:rsidRPr="006C13BA">
        <w:t>eneration</w:t>
      </w:r>
    </w:p>
    <w:p w14:paraId="3888E6F0" w14:textId="77777777" w:rsidR="00D65473" w:rsidRDefault="00D65473" w:rsidP="00687245">
      <w:pPr>
        <w:rPr>
          <w:lang w:val="en-GB"/>
        </w:rPr>
      </w:pPr>
      <w:r w:rsidRPr="006C13BA">
        <w:rPr>
          <w:lang w:val="en-GB"/>
        </w:rPr>
        <w:lastRenderedPageBreak/>
        <w:t>Our model calculates behind-the-meter energy generation using APVI installed capacity data and a standard production factor of 3.6 k</w:t>
      </w:r>
      <w:r>
        <w:rPr>
          <w:lang w:val="en-GB"/>
        </w:rPr>
        <w:t>Wh/kW/</w:t>
      </w:r>
      <w:r w:rsidRPr="006C13BA">
        <w:rPr>
          <w:lang w:val="en-GB"/>
        </w:rPr>
        <w:t>day.</w:t>
      </w:r>
      <w:r w:rsidRPr="006C13BA">
        <w:rPr>
          <w:rStyle w:val="FootnoteReference"/>
          <w:lang w:val="en-GB"/>
        </w:rPr>
        <w:footnoteReference w:id="12"/>
      </w:r>
      <w:r w:rsidRPr="006C13BA">
        <w:rPr>
          <w:lang w:val="en-GB"/>
        </w:rPr>
        <w:t xml:space="preserve"> We then subtract solar export data provided by distributors to produce a figure that represents “obscured” consumption not captured in provided total</w:t>
      </w:r>
      <w:r>
        <w:rPr>
          <w:lang w:val="en-GB"/>
        </w:rPr>
        <w:t>s</w:t>
      </w:r>
      <w:r w:rsidRPr="006C13BA">
        <w:rPr>
          <w:lang w:val="en-GB"/>
        </w:rPr>
        <w:t xml:space="preserve">. </w:t>
      </w:r>
      <w:r>
        <w:rPr>
          <w:lang w:val="en-GB"/>
        </w:rPr>
        <w:t>This behind-the-meter consumption is subtracted from total electricity consumption in our emission calculations.</w:t>
      </w:r>
    </w:p>
    <w:p w14:paraId="771048C5" w14:textId="77777777" w:rsidR="00D65473" w:rsidRDefault="00D65473" w:rsidP="00687245">
      <w:pPr>
        <w:rPr>
          <w:lang w:val="en-GB"/>
        </w:rPr>
      </w:pPr>
      <w:r w:rsidRPr="006C13BA">
        <w:rPr>
          <w:lang w:val="en-GB"/>
        </w:rPr>
        <w:t>Exported generation is not counted in our calculations, or otherwise netted off wider energy consumption in the LGA, as this renewable generation is already reflected in statewide electricity emission factors.</w:t>
      </w:r>
    </w:p>
    <w:p w14:paraId="46C4A7A0" w14:textId="18094C1E" w:rsidR="00D65473" w:rsidRDefault="00D65473" w:rsidP="00D65473">
      <w:pPr>
        <w:pStyle w:val="Heading3"/>
        <w:rPr>
          <w:rFonts w:hint="eastAsia"/>
        </w:rPr>
      </w:pPr>
      <w:r>
        <w:t>2.4.7</w:t>
      </w:r>
      <w:r>
        <w:tab/>
        <w:t>Outliers</w:t>
      </w:r>
    </w:p>
    <w:p w14:paraId="015F7AEC" w14:textId="77777777" w:rsidR="00D65473" w:rsidRDefault="00D65473" w:rsidP="00687245">
      <w:r w:rsidRPr="007B3C79">
        <w:t>Capturing outlier sites, with significantly above average fuel-intensity, is a challenge when determining representative fuel-use by space-use type. Without site-specific fuel-use data, balancing bottom-up fuel-use factors with top-down data for the postcodes containing these high-intensity sites, such as data centres and certain manufacturers, would throw off the average of the space-use categories with which they are associated. We have incorporated publicly available data, where it could be located, for identified high-intensity sites in the combined space-use model. We were not able to locate relevant data for several possible high-intensity sites and have applied the same fuel-use intensity to these sites as has been applied to the broader space-use. As such, modelled results for these sites will not be an accurate representation of their fuel-use.</w:t>
      </w:r>
    </w:p>
    <w:p w14:paraId="46FB6263" w14:textId="5FD0C028" w:rsidR="00D65473" w:rsidRDefault="00D65473" w:rsidP="00D65473">
      <w:pPr>
        <w:pStyle w:val="Heading3"/>
        <w:rPr>
          <w:rFonts w:hint="eastAsia"/>
        </w:rPr>
      </w:pPr>
      <w:r>
        <w:t>2.4.8</w:t>
      </w:r>
      <w:r>
        <w:tab/>
        <w:t>Emission factors</w:t>
      </w:r>
    </w:p>
    <w:p w14:paraId="34FA41B7" w14:textId="77777777" w:rsidR="00D65473" w:rsidRDefault="00D65473" w:rsidP="00687245">
      <w:r>
        <w:t>To align our calculations with the City’s existing emission reporting, our model uses emission factors provided by council staff. These emission factors are:</w:t>
      </w:r>
    </w:p>
    <w:p w14:paraId="7FB7CEEF" w14:textId="77777777" w:rsidR="00D65473" w:rsidRDefault="00D65473" w:rsidP="00907604">
      <w:pPr>
        <w:pStyle w:val="ListParagraph"/>
        <w:numPr>
          <w:ilvl w:val="0"/>
          <w:numId w:val="16"/>
        </w:numPr>
      </w:pPr>
      <w:r>
        <w:t>Electricity: 1.07 kg CO</w:t>
      </w:r>
      <w:r w:rsidRPr="00687245">
        <w:rPr>
          <w:vertAlign w:val="subscript"/>
        </w:rPr>
        <w:t>2</w:t>
      </w:r>
      <w:r>
        <w:t>-e/kWh</w:t>
      </w:r>
    </w:p>
    <w:p w14:paraId="498AB5A3" w14:textId="77777777" w:rsidR="00D65473" w:rsidRDefault="00D65473" w:rsidP="00907604">
      <w:pPr>
        <w:pStyle w:val="ListParagraph"/>
        <w:numPr>
          <w:ilvl w:val="0"/>
          <w:numId w:val="16"/>
        </w:numPr>
      </w:pPr>
      <w:r>
        <w:t>Fossil gas: 55.53 kg</w:t>
      </w:r>
      <w:r w:rsidRPr="008A4C98">
        <w:t xml:space="preserve"> </w:t>
      </w:r>
      <w:r>
        <w:t>CO</w:t>
      </w:r>
      <w:r w:rsidRPr="00687245">
        <w:rPr>
          <w:vertAlign w:val="subscript"/>
        </w:rPr>
        <w:t>2</w:t>
      </w:r>
      <w:r>
        <w:t>-e/GJ</w:t>
      </w:r>
    </w:p>
    <w:p w14:paraId="69671025" w14:textId="77777777" w:rsidR="00D65473" w:rsidRDefault="00D65473" w:rsidP="00687245">
      <w:r w:rsidRPr="00053229">
        <w:t xml:space="preserve">Given the outsized contribution stationary electricity consumption makes to the City’s total emissions, the </w:t>
      </w:r>
      <w:r>
        <w:t xml:space="preserve">LGA </w:t>
      </w:r>
      <w:r w:rsidRPr="00053229">
        <w:t xml:space="preserve">emission </w:t>
      </w:r>
      <w:r>
        <w:t>totals</w:t>
      </w:r>
      <w:r w:rsidRPr="00053229">
        <w:t xml:space="preserve"> listed in this report are closely linked to the factors used in calculations. </w:t>
      </w:r>
      <w:r>
        <w:t>The share of Victoria’s total electricity produced using zero-carbon renewable sources has increased rapidly in recent years, which has led to a corresponding decline in grid emission intensity. This decline is reflected in the falling Victorian grid emission factors provided by the Clean Energy Regulator to participants in the National Greenhouse and Energy Reporting (NGER) scheme.</w:t>
      </w:r>
      <w:r>
        <w:rPr>
          <w:rStyle w:val="FootnoteReference"/>
        </w:rPr>
        <w:footnoteReference w:id="13"/>
      </w:r>
      <w:r>
        <w:t xml:space="preserve"> </w:t>
      </w:r>
      <w:r w:rsidRPr="00053229">
        <w:t>A</w:t>
      </w:r>
      <w:r>
        <w:t xml:space="preserve"> brief analysis of </w:t>
      </w:r>
      <w:r w:rsidRPr="00053229">
        <w:t>CO</w:t>
      </w:r>
      <w:r w:rsidRPr="00AF3749">
        <w:rPr>
          <w:vertAlign w:val="subscript"/>
        </w:rPr>
        <w:t>2</w:t>
      </w:r>
      <w:r>
        <w:t xml:space="preserve"> intensity for the Victorian NEM region for the first half of 2024 implies an emission intensity closer to 0.8 </w:t>
      </w:r>
      <w:r w:rsidRPr="00053229">
        <w:t>kg CO</w:t>
      </w:r>
      <w:r w:rsidRPr="00AF3749">
        <w:rPr>
          <w:vertAlign w:val="subscript"/>
        </w:rPr>
        <w:t>2</w:t>
      </w:r>
      <w:r w:rsidRPr="00053229">
        <w:t>-e/kWh</w:t>
      </w:r>
      <w:r>
        <w:t>.</w:t>
      </w:r>
      <w:r w:rsidRPr="00053229">
        <w:rPr>
          <w:rStyle w:val="FootnoteReference"/>
          <w:lang w:val="en-GB"/>
        </w:rPr>
        <w:footnoteReference w:id="14"/>
      </w:r>
      <w:r>
        <w:t xml:space="preserve"> </w:t>
      </w:r>
      <w:r>
        <w:fldChar w:fldCharType="begin"/>
      </w:r>
      <w:r>
        <w:instrText xml:space="preserve"> REF _Ref170666974 \h  \* MERGEFORMAT </w:instrText>
      </w:r>
      <w:r>
        <w:fldChar w:fldCharType="separate"/>
      </w:r>
      <w:r w:rsidRPr="00D65815">
        <w:t>Figure 49</w:t>
      </w:r>
      <w:r>
        <w:fldChar w:fldCharType="end"/>
      </w:r>
      <w:r>
        <w:t xml:space="preserve"> demonstrates at a high-level the impact falling emission intensity of grid electricity on the City’s emissions.</w:t>
      </w:r>
    </w:p>
    <w:p w14:paraId="31E344CB" w14:textId="77777777" w:rsidR="00D65473" w:rsidRPr="00053229" w:rsidRDefault="00D65473" w:rsidP="00D65473">
      <w:pPr>
        <w:rPr>
          <w:rFonts w:ascii="Helvetica Light" w:hAnsi="Helvetica Light" w:cstheme="minorBidi"/>
          <w:szCs w:val="20"/>
        </w:rPr>
      </w:pPr>
      <w:r>
        <w:rPr>
          <w:rFonts w:ascii="Helvetica Light" w:hAnsi="Helvetica Light" w:cstheme="minorBidi"/>
          <w:szCs w:val="20"/>
        </w:rPr>
        <w:br w:type="page"/>
      </w:r>
    </w:p>
    <w:p w14:paraId="4251CD19" w14:textId="297B7EEB" w:rsidR="00D65473" w:rsidRDefault="00D65473" w:rsidP="003A6133">
      <w:pPr>
        <w:pStyle w:val="Heading1"/>
        <w:numPr>
          <w:ilvl w:val="0"/>
          <w:numId w:val="8"/>
        </w:numPr>
        <w:ind w:hanging="720"/>
        <w:rPr>
          <w:rFonts w:hint="eastAsia"/>
        </w:rPr>
      </w:pPr>
      <w:bookmarkStart w:id="49" w:name="_Toc173876031"/>
      <w:bookmarkStart w:id="50" w:name="_Toc181219284"/>
      <w:r w:rsidRPr="00053229">
        <w:lastRenderedPageBreak/>
        <w:t xml:space="preserve">Melbourne’s </w:t>
      </w:r>
      <w:r>
        <w:t>Buildings</w:t>
      </w:r>
      <w:bookmarkEnd w:id="49"/>
      <w:bookmarkEnd w:id="50"/>
    </w:p>
    <w:p w14:paraId="57360BA0" w14:textId="5EABCF06" w:rsidR="00D65473" w:rsidRPr="009B3AFD" w:rsidRDefault="00D65473" w:rsidP="00D65473">
      <w:pPr>
        <w:pStyle w:val="Heading2"/>
        <w:rPr>
          <w:rFonts w:hint="eastAsia"/>
        </w:rPr>
      </w:pPr>
      <w:bookmarkStart w:id="51" w:name="_3.1_Overview_of"/>
      <w:bookmarkStart w:id="52" w:name="_Toc173876032"/>
      <w:bookmarkStart w:id="53" w:name="_Toc181219285"/>
      <w:bookmarkEnd w:id="51"/>
      <w:r>
        <w:t>3.1</w:t>
      </w:r>
      <w:r>
        <w:tab/>
        <w:t>Overview of Total Floor Space</w:t>
      </w:r>
      <w:bookmarkEnd w:id="52"/>
      <w:bookmarkEnd w:id="53"/>
    </w:p>
    <w:p w14:paraId="4F68E745" w14:textId="77777777" w:rsidR="00D65473" w:rsidRDefault="00D65473" w:rsidP="002A18F2">
      <w:r w:rsidRPr="00A4433A">
        <w:t>Melbourne’s total floorspace, excluding public outdoor space, but including open-air carparks and transport facilities, total</w:t>
      </w:r>
      <w:r>
        <w:t>led</w:t>
      </w:r>
      <w:r w:rsidRPr="00A4433A">
        <w:t xml:space="preserve"> </w:t>
      </w:r>
      <w:r w:rsidRPr="006E5B06">
        <w:t>42</w:t>
      </w:r>
      <w:r>
        <w:t>.</w:t>
      </w:r>
      <w:r w:rsidRPr="006E5B06">
        <w:t>24</w:t>
      </w:r>
      <w:r>
        <w:t xml:space="preserve"> million sqm gross floor area (GFA) at the end of 2022</w:t>
      </w:r>
      <w:r w:rsidRPr="00A4433A">
        <w:t xml:space="preserve">. </w:t>
      </w:r>
      <w:r>
        <w:t xml:space="preserve"> </w:t>
      </w:r>
      <w:r w:rsidRPr="00A4433A">
        <w:t xml:space="preserve">The three largest space-uses in the LGA are residential, at </w:t>
      </w:r>
      <w:r>
        <w:t>13.85 million</w:t>
      </w:r>
      <w:r w:rsidRPr="00A4433A">
        <w:t xml:space="preserve"> </w:t>
      </w:r>
      <w:r>
        <w:t>sqm</w:t>
      </w:r>
      <w:r w:rsidRPr="00A4433A">
        <w:t xml:space="preserve">, office space, at </w:t>
      </w:r>
      <w:r>
        <w:t xml:space="preserve">8.03 million sqm, and unoccupied space, including construction sites, at </w:t>
      </w:r>
      <w:r w:rsidRPr="006E5B06">
        <w:rPr>
          <w:lang w:val="en-US"/>
        </w:rPr>
        <w:t>4</w:t>
      </w:r>
      <w:r>
        <w:rPr>
          <w:lang w:val="en-US"/>
        </w:rPr>
        <w:t>.94 million</w:t>
      </w:r>
      <w:r w:rsidRPr="006E5B06">
        <w:rPr>
          <w:lang w:val="en-US"/>
        </w:rPr>
        <w:t xml:space="preserve"> </w:t>
      </w:r>
      <w:r>
        <w:t>sqm</w:t>
      </w:r>
      <w:r w:rsidRPr="00A4433A">
        <w:t>.</w:t>
      </w:r>
      <w:r>
        <w:t xml:space="preserve"> </w:t>
      </w:r>
    </w:p>
    <w:p w14:paraId="27D6FFD5" w14:textId="77777777" w:rsidR="002A18F2" w:rsidRDefault="002A18F2" w:rsidP="002A18F2">
      <w:pPr>
        <w:pStyle w:val="BodyText"/>
        <w:keepNext/>
      </w:pPr>
      <w:r>
        <w:rPr>
          <w:noProof/>
        </w:rPr>
        <w:drawing>
          <wp:inline distT="0" distB="0" distL="0" distR="0" wp14:anchorId="5F2CE61B" wp14:editId="3561D7FF">
            <wp:extent cx="6143625" cy="3426751"/>
            <wp:effectExtent l="0" t="0" r="0" b="2540"/>
            <wp:docPr id="2127511724" name="Chart 1" descr="Pie chart, see Appendix A4 for data information.">
              <a:extLst xmlns:a="http://schemas.openxmlformats.org/drawingml/2006/main">
                <a:ext uri="{FF2B5EF4-FFF2-40B4-BE49-F238E27FC236}">
                  <a16:creationId xmlns:a16="http://schemas.microsoft.com/office/drawing/2014/main" id="{7282CF0D-63E2-1F99-EE77-8DB33DBBBE8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E2150FD" w14:textId="77777777" w:rsidR="002A18F2" w:rsidRPr="002A18F2" w:rsidRDefault="002A18F2" w:rsidP="002A18F2">
      <w:pPr>
        <w:pStyle w:val="Caption"/>
        <w:rPr>
          <w:rFonts w:hint="eastAsia"/>
        </w:rPr>
      </w:pPr>
      <w:bookmarkStart w:id="54" w:name="_Ref171871225"/>
      <w:bookmarkStart w:id="55" w:name="_Toc171951111"/>
      <w:r w:rsidRPr="002A18F2">
        <w:t xml:space="preserve">Figure </w:t>
      </w:r>
      <w:r w:rsidRPr="002A18F2">
        <w:fldChar w:fldCharType="begin"/>
      </w:r>
      <w:r w:rsidRPr="002A18F2">
        <w:instrText xml:space="preserve"> SEQ Figure \* ARABIC </w:instrText>
      </w:r>
      <w:r w:rsidRPr="002A18F2">
        <w:fldChar w:fldCharType="separate"/>
      </w:r>
      <w:r w:rsidRPr="002A18F2">
        <w:t>5</w:t>
      </w:r>
      <w:r w:rsidRPr="002A18F2">
        <w:fldChar w:fldCharType="end"/>
      </w:r>
      <w:bookmarkEnd w:id="54"/>
      <w:r w:rsidRPr="002A18F2">
        <w:t>: Gross Floor Area (sqm) of Space-Use (excluding public outdoor space), City of Melbourne FY2022</w:t>
      </w:r>
      <w:bookmarkEnd w:id="55"/>
    </w:p>
    <w:p w14:paraId="76280319" w14:textId="02CE3456" w:rsidR="002523CC" w:rsidRPr="007B3C79" w:rsidRDefault="002523CC" w:rsidP="002523CC">
      <w:pPr>
        <w:pStyle w:val="BodyText"/>
        <w:rPr>
          <w:b/>
          <w:bCs/>
          <w:color w:val="004E5D"/>
        </w:rPr>
      </w:pPr>
      <w:r w:rsidRPr="00A12C95">
        <w:rPr>
          <w:lang w:val="en-US"/>
        </w:rPr>
        <w:t>View</w:t>
      </w:r>
      <w:r w:rsidRPr="00A12C95">
        <w:t xml:space="preserve"> </w:t>
      </w:r>
      <w:hyperlink w:anchor="_Gross_Floor_Area" w:history="1">
        <w:r w:rsidR="009546F6" w:rsidRPr="009546F6">
          <w:rPr>
            <w:rStyle w:val="Hyperlink"/>
          </w:rPr>
          <w:t>Gross Floor Area (sqm) of Space-Use (excluding public outdoor space), City of Melbourne FY2022</w:t>
        </w:r>
      </w:hyperlink>
      <w:r w:rsidR="009546F6">
        <w:t xml:space="preserve"> </w:t>
      </w:r>
      <w:r w:rsidRPr="00A12C95">
        <w:rPr>
          <w:lang w:val="en-US"/>
        </w:rPr>
        <w:t>data table</w:t>
      </w:r>
      <w:r w:rsidR="001901CF">
        <w:rPr>
          <w:lang w:val="en-US"/>
        </w:rPr>
        <w:t xml:space="preserve"> A.4</w:t>
      </w:r>
      <w:r w:rsidRPr="00A12C95">
        <w:rPr>
          <w:lang w:val="en-US"/>
        </w:rPr>
        <w:t xml:space="preserve"> in appendix</w:t>
      </w:r>
      <w:r w:rsidR="009546F6">
        <w:rPr>
          <w:lang w:val="en-US"/>
        </w:rPr>
        <w:t>.</w:t>
      </w:r>
    </w:p>
    <w:p w14:paraId="59AF57BF" w14:textId="2B6C043E" w:rsidR="00D65473" w:rsidRDefault="00D65473" w:rsidP="009546F6">
      <w:r>
        <w:t xml:space="preserve">As would be expected, postcode 3000, covering the CBD, contributes the largest share of total floorspace in the LGA – almost three times the next largest postcode – see </w:t>
      </w:r>
      <w:r>
        <w:fldChar w:fldCharType="begin"/>
      </w:r>
      <w:r>
        <w:instrText xml:space="preserve"> REF _Ref171951368 \h </w:instrText>
      </w:r>
      <w:r w:rsidR="009546F6">
        <w:instrText xml:space="preserve"> \* MERGEFORMAT </w:instrText>
      </w:r>
      <w:r>
        <w:fldChar w:fldCharType="separate"/>
      </w:r>
      <w:r w:rsidRPr="00E3073F">
        <w:t xml:space="preserve">Figure </w:t>
      </w:r>
      <w:r>
        <w:rPr>
          <w:noProof/>
        </w:rPr>
        <w:t>6</w:t>
      </w:r>
      <w:r>
        <w:fldChar w:fldCharType="end"/>
      </w:r>
      <w:r>
        <w:t xml:space="preserve">. Other significant postcodes by floorspace include 3006 and 3008, covering Docklands and Southbank. The significant scale of these postcodes highlights the contribution high and medium-rise residential apartments make to total floorspace in these areas, which can also be seen in the high average number of floors above ground in these postcodes – see </w:t>
      </w:r>
      <w:r>
        <w:fldChar w:fldCharType="begin"/>
      </w:r>
      <w:r>
        <w:instrText xml:space="preserve"> REF _Ref169172425 \h </w:instrText>
      </w:r>
      <w:r w:rsidR="009546F6">
        <w:instrText xml:space="preserve"> \* MERGEFORMAT </w:instrText>
      </w:r>
      <w:r>
        <w:fldChar w:fldCharType="separate"/>
      </w:r>
      <w:r w:rsidRPr="002D2399">
        <w:t xml:space="preserve">Figure </w:t>
      </w:r>
      <w:r>
        <w:rPr>
          <w:noProof/>
        </w:rPr>
        <w:t>7</w:t>
      </w:r>
      <w:r>
        <w:fldChar w:fldCharType="end"/>
      </w:r>
      <w:r>
        <w:t>.</w:t>
      </w:r>
    </w:p>
    <w:p w14:paraId="27327929" w14:textId="77777777" w:rsidR="009546F6" w:rsidRDefault="009546F6" w:rsidP="009546F6">
      <w:pPr>
        <w:pStyle w:val="Caption"/>
        <w:rPr>
          <w:rFonts w:hint="eastAsia"/>
        </w:rPr>
      </w:pPr>
      <w:r>
        <w:rPr>
          <w:noProof/>
        </w:rPr>
        <w:lastRenderedPageBreak/>
        <w:drawing>
          <wp:inline distT="0" distB="0" distL="0" distR="0" wp14:anchorId="0E7AE15E" wp14:editId="0B616BC8">
            <wp:extent cx="6143625" cy="3695700"/>
            <wp:effectExtent l="0" t="0" r="0" b="0"/>
            <wp:docPr id="1614729463" name="Chart 1" descr="Pie chart, see Appendix A5  for data information.">
              <a:extLst xmlns:a="http://schemas.openxmlformats.org/drawingml/2006/main">
                <a:ext uri="{FF2B5EF4-FFF2-40B4-BE49-F238E27FC236}">
                  <a16:creationId xmlns:a16="http://schemas.microsoft.com/office/drawing/2014/main" id="{E4A73E03-9E7F-928E-CC07-E7876C89943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65ED0BE" w14:textId="77777777" w:rsidR="009546F6" w:rsidRPr="009546F6" w:rsidRDefault="009546F6" w:rsidP="009546F6">
      <w:pPr>
        <w:pStyle w:val="Caption"/>
        <w:rPr>
          <w:rFonts w:hint="eastAsia"/>
        </w:rPr>
      </w:pPr>
      <w:bookmarkStart w:id="56" w:name="_Ref171951368"/>
      <w:bookmarkStart w:id="57" w:name="_Toc171951112"/>
      <w:r w:rsidRPr="009546F6">
        <w:t xml:space="preserve">Figure </w:t>
      </w:r>
      <w:r w:rsidRPr="009546F6">
        <w:fldChar w:fldCharType="begin"/>
      </w:r>
      <w:r w:rsidRPr="009546F6">
        <w:instrText xml:space="preserve"> SEQ Figure \* ARABIC </w:instrText>
      </w:r>
      <w:r w:rsidRPr="009546F6">
        <w:fldChar w:fldCharType="separate"/>
      </w:r>
      <w:r w:rsidRPr="009546F6">
        <w:t>6</w:t>
      </w:r>
      <w:r w:rsidRPr="009546F6">
        <w:fldChar w:fldCharType="end"/>
      </w:r>
      <w:bookmarkEnd w:id="56"/>
      <w:r w:rsidRPr="009546F6">
        <w:t>: Total Floorspace (sqm) by Postcode, City of Melbourne, FY2022</w:t>
      </w:r>
      <w:bookmarkEnd w:id="57"/>
    </w:p>
    <w:p w14:paraId="44495046" w14:textId="0F1CF317" w:rsidR="002523CC" w:rsidRPr="007B3C79" w:rsidRDefault="002523CC" w:rsidP="002523CC">
      <w:pPr>
        <w:pStyle w:val="BodyText"/>
        <w:rPr>
          <w:b/>
          <w:bCs/>
          <w:color w:val="004E5D"/>
        </w:rPr>
      </w:pPr>
      <w:r w:rsidRPr="00A12C95">
        <w:rPr>
          <w:lang w:val="en-US"/>
        </w:rPr>
        <w:t>View</w:t>
      </w:r>
      <w:r w:rsidRPr="00A12C95">
        <w:t xml:space="preserve"> </w:t>
      </w:r>
      <w:hyperlink w:anchor="_Figure_6:_Total" w:history="1">
        <w:r>
          <w:rPr>
            <w:rStyle w:val="Hyperlink"/>
            <w:color w:val="0070C0"/>
            <w:lang w:val="en-US"/>
          </w:rPr>
          <w:t>Total Floorspace (sqm) by Postcode, City of Melbourne, FY2022</w:t>
        </w:r>
      </w:hyperlink>
      <w:r w:rsidRPr="00A12C95">
        <w:rPr>
          <w:lang w:val="en-US"/>
        </w:rPr>
        <w:t xml:space="preserve"> data table</w:t>
      </w:r>
      <w:r w:rsidR="001901CF">
        <w:rPr>
          <w:lang w:val="en-US"/>
        </w:rPr>
        <w:t xml:space="preserve"> A.5</w:t>
      </w:r>
      <w:r w:rsidRPr="00A12C95">
        <w:rPr>
          <w:lang w:val="en-US"/>
        </w:rPr>
        <w:t xml:space="preserve"> in appendix</w:t>
      </w:r>
      <w:r w:rsidR="009546F6">
        <w:rPr>
          <w:lang w:val="en-US"/>
        </w:rPr>
        <w:t>.</w:t>
      </w:r>
    </w:p>
    <w:p w14:paraId="180ECFED" w14:textId="77777777" w:rsidR="00D516FC" w:rsidRDefault="00D516FC" w:rsidP="00D516FC">
      <w:pPr>
        <w:pStyle w:val="BodyText"/>
      </w:pPr>
      <w:r>
        <w:rPr>
          <w:noProof/>
        </w:rPr>
        <w:drawing>
          <wp:inline distT="0" distB="0" distL="0" distR="0" wp14:anchorId="6997604D" wp14:editId="7D35F2E0">
            <wp:extent cx="6120130" cy="3286125"/>
            <wp:effectExtent l="0" t="0" r="0" b="0"/>
            <wp:docPr id="1259706774" name="Chart 1" descr="Bar Graph see Appendix A6  for data information.">
              <a:extLst xmlns:a="http://schemas.openxmlformats.org/drawingml/2006/main">
                <a:ext uri="{FF2B5EF4-FFF2-40B4-BE49-F238E27FC236}">
                  <a16:creationId xmlns:a16="http://schemas.microsoft.com/office/drawing/2014/main" id="{77CFFB44-AD07-4DED-1010-CFD6FC314C6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B4B7A16" w14:textId="77777777" w:rsidR="00D516FC" w:rsidRPr="00D516FC" w:rsidRDefault="00D516FC" w:rsidP="00D516FC">
      <w:pPr>
        <w:pStyle w:val="Caption"/>
        <w:rPr>
          <w:rFonts w:hint="eastAsia"/>
        </w:rPr>
      </w:pPr>
      <w:bookmarkStart w:id="58" w:name="_Ref169172425"/>
      <w:bookmarkStart w:id="59" w:name="_Toc171951113"/>
      <w:r w:rsidRPr="00D516FC">
        <w:t xml:space="preserve">Figure </w:t>
      </w:r>
      <w:r w:rsidRPr="00D516FC">
        <w:fldChar w:fldCharType="begin"/>
      </w:r>
      <w:r w:rsidRPr="00D516FC">
        <w:instrText xml:space="preserve"> SEQ Figure \* ARABIC </w:instrText>
      </w:r>
      <w:r w:rsidRPr="00D516FC">
        <w:fldChar w:fldCharType="separate"/>
      </w:r>
      <w:r w:rsidRPr="00D516FC">
        <w:t>7</w:t>
      </w:r>
      <w:r w:rsidRPr="00D516FC">
        <w:fldChar w:fldCharType="end"/>
      </w:r>
      <w:bookmarkEnd w:id="58"/>
      <w:r w:rsidRPr="00D516FC">
        <w:t>:  Average Number of Floors by Postcode</w:t>
      </w:r>
      <w:bookmarkEnd w:id="59"/>
    </w:p>
    <w:p w14:paraId="030A3841" w14:textId="4FE0C5E5" w:rsidR="002523CC" w:rsidRPr="007B3C79" w:rsidRDefault="002523CC" w:rsidP="002523CC">
      <w:pPr>
        <w:pStyle w:val="BodyText"/>
        <w:rPr>
          <w:b/>
          <w:bCs/>
          <w:color w:val="004E5D"/>
        </w:rPr>
      </w:pPr>
      <w:r w:rsidRPr="00A12C95">
        <w:rPr>
          <w:lang w:val="en-US"/>
        </w:rPr>
        <w:t>View</w:t>
      </w:r>
      <w:r w:rsidRPr="00A12C95">
        <w:t xml:space="preserve"> </w:t>
      </w:r>
      <w:hyperlink w:anchor="_Average_Number_of" w:history="1">
        <w:r>
          <w:rPr>
            <w:rStyle w:val="Hyperlink"/>
            <w:color w:val="0070C0"/>
            <w:lang w:val="en-US"/>
          </w:rPr>
          <w:t>Average Number of Floors by Postcode</w:t>
        </w:r>
      </w:hyperlink>
      <w:r w:rsidRPr="00A12C95">
        <w:rPr>
          <w:lang w:val="en-US"/>
        </w:rPr>
        <w:t xml:space="preserve"> data table</w:t>
      </w:r>
      <w:r w:rsidR="00835883">
        <w:rPr>
          <w:lang w:val="en-US"/>
        </w:rPr>
        <w:t xml:space="preserve"> A.6</w:t>
      </w:r>
      <w:r w:rsidRPr="00A12C95">
        <w:rPr>
          <w:lang w:val="en-US"/>
        </w:rPr>
        <w:t xml:space="preserve"> in appendix</w:t>
      </w:r>
      <w:r w:rsidR="00907604">
        <w:rPr>
          <w:lang w:val="en-US"/>
        </w:rPr>
        <w:t>.</w:t>
      </w:r>
    </w:p>
    <w:p w14:paraId="014A7FC5" w14:textId="77777777" w:rsidR="00907604" w:rsidRDefault="00907604" w:rsidP="00D65473">
      <w:pPr>
        <w:pStyle w:val="Heading2"/>
        <w:rPr>
          <w:rFonts w:hint="eastAsia"/>
        </w:rPr>
      </w:pPr>
      <w:bookmarkStart w:id="60" w:name="_3.2_Space_Use"/>
      <w:bookmarkStart w:id="61" w:name="_Toc173876033"/>
      <w:bookmarkStart w:id="62" w:name="_Toc181219286"/>
      <w:bookmarkEnd w:id="60"/>
    </w:p>
    <w:p w14:paraId="4D27F614" w14:textId="6381B004" w:rsidR="00D65473" w:rsidRDefault="00D65473" w:rsidP="00D65473">
      <w:pPr>
        <w:pStyle w:val="Heading2"/>
        <w:rPr>
          <w:rFonts w:hint="eastAsia"/>
        </w:rPr>
      </w:pPr>
      <w:r>
        <w:lastRenderedPageBreak/>
        <w:t>3.2</w:t>
      </w:r>
      <w:r>
        <w:tab/>
        <w:t>Space Use by Type</w:t>
      </w:r>
      <w:bookmarkEnd w:id="61"/>
      <w:bookmarkEnd w:id="62"/>
    </w:p>
    <w:p w14:paraId="11184173" w14:textId="0265E0AC" w:rsidR="00D65473" w:rsidRDefault="00D65473" w:rsidP="00D65473">
      <w:pPr>
        <w:pStyle w:val="Heading3"/>
        <w:rPr>
          <w:rFonts w:hint="eastAsia"/>
        </w:rPr>
      </w:pPr>
      <w:r>
        <w:t>3.2.1</w:t>
      </w:r>
      <w:r>
        <w:tab/>
        <w:t>Office Space</w:t>
      </w:r>
    </w:p>
    <w:p w14:paraId="6A9386A2" w14:textId="77777777" w:rsidR="00D65473" w:rsidRDefault="00D65473" w:rsidP="00D65473">
      <w:pPr>
        <w:pStyle w:val="BodyText"/>
        <w:rPr>
          <w:lang w:val="en-GB"/>
        </w:rPr>
      </w:pPr>
      <w:r>
        <w:rPr>
          <w:lang w:val="en-GB"/>
        </w:rPr>
        <w:t xml:space="preserve">As might be expected, the majority of office space in the Melbourne LGA occurs in postcode 3000, covering the CBD – see </w:t>
      </w:r>
      <w:r>
        <w:rPr>
          <w:lang w:val="en-GB"/>
        </w:rPr>
        <w:fldChar w:fldCharType="begin"/>
      </w:r>
      <w:r>
        <w:rPr>
          <w:lang w:val="en-GB"/>
        </w:rPr>
        <w:instrText xml:space="preserve"> REF _Ref171871858 \h </w:instrText>
      </w:r>
      <w:r>
        <w:rPr>
          <w:lang w:val="en-GB"/>
        </w:rPr>
      </w:r>
      <w:r>
        <w:rPr>
          <w:lang w:val="en-GB"/>
        </w:rPr>
        <w:fldChar w:fldCharType="separate"/>
      </w:r>
      <w:r w:rsidRPr="00E3073F">
        <w:t xml:space="preserve">Figure </w:t>
      </w:r>
      <w:r>
        <w:rPr>
          <w:noProof/>
        </w:rPr>
        <w:t>8</w:t>
      </w:r>
      <w:r>
        <w:rPr>
          <w:lang w:val="en-GB"/>
        </w:rPr>
        <w:fldChar w:fldCharType="end"/>
      </w:r>
      <w:r>
        <w:rPr>
          <w:lang w:val="en-GB"/>
        </w:rPr>
        <w:t>. The other significant concentration of office space occurs in postcode 3008, which extends west from Spencer St to encompass Docklands and the growing cluster of office buildings surrounding Docklands Stadium and lower Bourke St.</w:t>
      </w:r>
    </w:p>
    <w:p w14:paraId="61ABA8AD" w14:textId="77777777" w:rsidR="00D516FC" w:rsidRDefault="00D516FC" w:rsidP="00D516FC">
      <w:pPr>
        <w:pStyle w:val="BodyText"/>
        <w:keepNext/>
      </w:pPr>
      <w:r>
        <w:rPr>
          <w:noProof/>
        </w:rPr>
        <w:drawing>
          <wp:inline distT="0" distB="0" distL="0" distR="0" wp14:anchorId="01720DEF" wp14:editId="0C355CEB">
            <wp:extent cx="6067425" cy="3429000"/>
            <wp:effectExtent l="0" t="0" r="0" b="0"/>
            <wp:docPr id="619945418" name="Chart 1" descr="Pie chart, see Appendix A7  for data information.">
              <a:extLst xmlns:a="http://schemas.openxmlformats.org/drawingml/2006/main">
                <a:ext uri="{FF2B5EF4-FFF2-40B4-BE49-F238E27FC236}">
                  <a16:creationId xmlns:a16="http://schemas.microsoft.com/office/drawing/2014/main" id="{5ED64CEF-AFFF-9464-1ECC-9D69293E130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172F01C" w14:textId="77777777" w:rsidR="00D516FC" w:rsidRPr="00D516FC" w:rsidRDefault="00D516FC" w:rsidP="00D516FC">
      <w:pPr>
        <w:pStyle w:val="Caption"/>
        <w:rPr>
          <w:rFonts w:hint="eastAsia"/>
        </w:rPr>
      </w:pPr>
      <w:bookmarkStart w:id="63" w:name="_Ref171871858"/>
      <w:bookmarkStart w:id="64" w:name="_Toc171951114"/>
      <w:r w:rsidRPr="00D516FC">
        <w:t xml:space="preserve">Figure </w:t>
      </w:r>
      <w:r w:rsidRPr="00D516FC">
        <w:fldChar w:fldCharType="begin"/>
      </w:r>
      <w:r w:rsidRPr="00D516FC">
        <w:instrText xml:space="preserve"> SEQ Figure \* ARABIC </w:instrText>
      </w:r>
      <w:r w:rsidRPr="00D516FC">
        <w:fldChar w:fldCharType="separate"/>
      </w:r>
      <w:r w:rsidRPr="00D516FC">
        <w:t>8</w:t>
      </w:r>
      <w:r w:rsidRPr="00D516FC">
        <w:fldChar w:fldCharType="end"/>
      </w:r>
      <w:bookmarkEnd w:id="63"/>
      <w:r w:rsidRPr="00D516FC">
        <w:t>: Distribution of Office Floor Space (sqm) by Postcode</w:t>
      </w:r>
      <w:r w:rsidRPr="00D516FC">
        <w:rPr>
          <w:vertAlign w:val="superscript"/>
        </w:rPr>
        <w:footnoteReference w:id="15"/>
      </w:r>
      <w:bookmarkEnd w:id="64"/>
    </w:p>
    <w:p w14:paraId="00DEB101" w14:textId="633CF150" w:rsidR="002523CC" w:rsidRPr="007B3C79" w:rsidRDefault="002523CC" w:rsidP="002523CC">
      <w:pPr>
        <w:pStyle w:val="BodyText"/>
        <w:rPr>
          <w:b/>
          <w:bCs/>
          <w:color w:val="004E5D"/>
        </w:rPr>
      </w:pPr>
      <w:r w:rsidRPr="00A12C95">
        <w:rPr>
          <w:lang w:val="en-US"/>
        </w:rPr>
        <w:t>View</w:t>
      </w:r>
      <w:r w:rsidRPr="00A12C95">
        <w:t xml:space="preserve"> </w:t>
      </w:r>
      <w:hyperlink w:anchor="_Figure_8:_Distribution" w:history="1">
        <w:r>
          <w:rPr>
            <w:rStyle w:val="Hyperlink"/>
            <w:color w:val="0070C0"/>
            <w:lang w:val="en-US"/>
          </w:rPr>
          <w:t>Distribution of Office Floor Space by Postcode</w:t>
        </w:r>
      </w:hyperlink>
      <w:r w:rsidRPr="00A12C95">
        <w:rPr>
          <w:lang w:val="en-US"/>
        </w:rPr>
        <w:t xml:space="preserve"> data table</w:t>
      </w:r>
      <w:r w:rsidR="00835883">
        <w:rPr>
          <w:lang w:val="en-US"/>
        </w:rPr>
        <w:t xml:space="preserve"> A.7</w:t>
      </w:r>
      <w:r w:rsidRPr="00A12C95">
        <w:rPr>
          <w:lang w:val="en-US"/>
        </w:rPr>
        <w:t xml:space="preserve"> in appendix</w:t>
      </w:r>
    </w:p>
    <w:p w14:paraId="0A2C1283" w14:textId="77777777" w:rsidR="00D65473" w:rsidRPr="00A13AE8" w:rsidRDefault="00D65473" w:rsidP="00D65473">
      <w:pPr>
        <w:pStyle w:val="BodyText"/>
        <w:rPr>
          <w:lang w:val="en-GB"/>
        </w:rPr>
      </w:pPr>
      <w:r>
        <w:rPr>
          <w:lang w:val="en-GB"/>
        </w:rPr>
        <w:t xml:space="preserve">Total office space within the LGA is highly concentrated in a relatively small number of buildings. Although there are 1,594 buildings containing office space in the LGA, 65% of total office space and associated shared space occurs in the 107 buildings with over 20,000 m2 of this space-use – see </w:t>
      </w:r>
      <w:r>
        <w:rPr>
          <w:lang w:val="en-GB"/>
        </w:rPr>
        <w:fldChar w:fldCharType="begin"/>
      </w:r>
      <w:r>
        <w:rPr>
          <w:lang w:val="en-GB"/>
        </w:rPr>
        <w:instrText xml:space="preserve"> REF _Ref171872006 \h </w:instrText>
      </w:r>
      <w:r>
        <w:rPr>
          <w:lang w:val="en-GB"/>
        </w:rPr>
      </w:r>
      <w:r>
        <w:rPr>
          <w:lang w:val="en-GB"/>
        </w:rPr>
        <w:fldChar w:fldCharType="separate"/>
      </w:r>
      <w:r w:rsidRPr="00E3073F">
        <w:t xml:space="preserve">Figure </w:t>
      </w:r>
      <w:r>
        <w:rPr>
          <w:noProof/>
        </w:rPr>
        <w:t>9</w:t>
      </w:r>
      <w:r>
        <w:rPr>
          <w:lang w:val="en-GB"/>
        </w:rPr>
        <w:fldChar w:fldCharType="end"/>
      </w:r>
      <w:r>
        <w:rPr>
          <w:lang w:val="en-GB"/>
        </w:rPr>
        <w:t>.  This value rises to 70% in the CBD.  The implication of this concentration of space-use in a relatively small number of buildings on energy use are discussed in more detail in Chapter 4.</w:t>
      </w:r>
    </w:p>
    <w:p w14:paraId="44484985" w14:textId="77777777" w:rsidR="008F51FF" w:rsidRDefault="008F51FF" w:rsidP="008F51FF">
      <w:pPr>
        <w:pStyle w:val="BodyText"/>
        <w:keepNext/>
      </w:pPr>
      <w:r>
        <w:rPr>
          <w:noProof/>
        </w:rPr>
        <w:lastRenderedPageBreak/>
        <w:drawing>
          <wp:inline distT="0" distB="0" distL="0" distR="0" wp14:anchorId="457447A7" wp14:editId="138DBD74">
            <wp:extent cx="5538159" cy="3372929"/>
            <wp:effectExtent l="0" t="0" r="5715" b="0"/>
            <wp:docPr id="910477584" name="Chart 1" descr="Bar graph with a single line graph of data. See Appendix A8  for data information.">
              <a:extLst xmlns:a="http://schemas.openxmlformats.org/drawingml/2006/main">
                <a:ext uri="{FF2B5EF4-FFF2-40B4-BE49-F238E27FC236}">
                  <a16:creationId xmlns:a16="http://schemas.microsoft.com/office/drawing/2014/main" id="{A16DDFA5-23F1-B1B2-47B2-BD14DB1B2D9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4394E0E" w14:textId="77777777" w:rsidR="008F51FF" w:rsidRPr="008F51FF" w:rsidRDefault="008F51FF" w:rsidP="008F51FF">
      <w:pPr>
        <w:pStyle w:val="Caption"/>
        <w:rPr>
          <w:rFonts w:hint="eastAsia"/>
        </w:rPr>
      </w:pPr>
      <w:bookmarkStart w:id="65" w:name="_Ref171872006"/>
      <w:bookmarkStart w:id="66" w:name="_Toc171951115"/>
      <w:r w:rsidRPr="008F51FF">
        <w:t xml:space="preserve">Figure </w:t>
      </w:r>
      <w:r w:rsidRPr="008F51FF">
        <w:fldChar w:fldCharType="begin"/>
      </w:r>
      <w:r w:rsidRPr="008F51FF">
        <w:instrText xml:space="preserve"> SEQ Figure \* ARABIC </w:instrText>
      </w:r>
      <w:r w:rsidRPr="008F51FF">
        <w:fldChar w:fldCharType="separate"/>
      </w:r>
      <w:r w:rsidRPr="008F51FF">
        <w:t>9</w:t>
      </w:r>
      <w:r w:rsidRPr="008F51FF">
        <w:fldChar w:fldCharType="end"/>
      </w:r>
      <w:bookmarkEnd w:id="65"/>
      <w:r w:rsidRPr="008F51FF">
        <w:t>: Total Floorspace (sqm) of Office Buildings by Size</w:t>
      </w:r>
      <w:bookmarkEnd w:id="66"/>
    </w:p>
    <w:p w14:paraId="719BD8D1" w14:textId="4CAC75EF" w:rsidR="002523CC" w:rsidRPr="007B3C79" w:rsidRDefault="002523CC" w:rsidP="008F51FF">
      <w:pPr>
        <w:rPr>
          <w:b/>
          <w:bCs/>
          <w:color w:val="004E5D"/>
        </w:rPr>
      </w:pPr>
      <w:r w:rsidRPr="00A12C95">
        <w:rPr>
          <w:lang w:val="en-US"/>
        </w:rPr>
        <w:t>View</w:t>
      </w:r>
      <w:r w:rsidRPr="00A12C95">
        <w:t xml:space="preserve"> </w:t>
      </w:r>
      <w:hyperlink w:anchor="_Total_Floorspace_of" w:history="1">
        <w:r>
          <w:rPr>
            <w:rStyle w:val="Hyperlink"/>
            <w:color w:val="0070C0"/>
            <w:lang w:val="en-US"/>
          </w:rPr>
          <w:t>Total Floorspace of Office Buildings by Size</w:t>
        </w:r>
      </w:hyperlink>
      <w:r w:rsidRPr="00A12C95">
        <w:rPr>
          <w:lang w:val="en-US"/>
        </w:rPr>
        <w:t xml:space="preserve"> data table</w:t>
      </w:r>
      <w:r w:rsidR="00835883">
        <w:rPr>
          <w:lang w:val="en-US"/>
        </w:rPr>
        <w:t xml:space="preserve"> A.8</w:t>
      </w:r>
      <w:r w:rsidRPr="00A12C95">
        <w:rPr>
          <w:lang w:val="en-US"/>
        </w:rPr>
        <w:t xml:space="preserve"> in appendix</w:t>
      </w:r>
      <w:r w:rsidR="008F51FF">
        <w:rPr>
          <w:lang w:val="en-US"/>
        </w:rPr>
        <w:t>.</w:t>
      </w:r>
    </w:p>
    <w:p w14:paraId="535243D1" w14:textId="77777777" w:rsidR="00D65473" w:rsidRDefault="00D65473" w:rsidP="00D65473">
      <w:pPr>
        <w:pStyle w:val="Heading4"/>
        <w:rPr>
          <w:rFonts w:hint="eastAsia"/>
        </w:rPr>
      </w:pPr>
      <w:r>
        <w:t>CBD/NABERS rated buildings in CLUE</w:t>
      </w:r>
    </w:p>
    <w:p w14:paraId="16008A09" w14:textId="2E59CFFD" w:rsidR="00D65473" w:rsidRDefault="00D65473" w:rsidP="008F51FF">
      <w:pPr>
        <w:rPr>
          <w:lang w:val="en-GB"/>
        </w:rPr>
      </w:pPr>
      <w:r w:rsidRPr="0091464A">
        <w:rPr>
          <w:lang w:val="en-GB"/>
        </w:rPr>
        <w:t>Although matching the full</w:t>
      </w:r>
      <w:r>
        <w:rPr>
          <w:lang w:val="en-GB"/>
        </w:rPr>
        <w:t xml:space="preserve">, non-public </w:t>
      </w:r>
      <w:r w:rsidRPr="0091464A">
        <w:rPr>
          <w:lang w:val="en-GB"/>
        </w:rPr>
        <w:t>NABERS</w:t>
      </w:r>
      <w:r>
        <w:rPr>
          <w:lang w:val="en-GB"/>
        </w:rPr>
        <w:t xml:space="preserve"> for offices</w:t>
      </w:r>
      <w:r w:rsidRPr="0091464A">
        <w:rPr>
          <w:lang w:val="en-GB"/>
        </w:rPr>
        <w:t xml:space="preserve"> dataset to the CLUE database was not possible, the publicly available CBD dataset includes XY coordinates, which could be matching to polygons</w:t>
      </w:r>
      <w:r>
        <w:rPr>
          <w:lang w:val="en-GB"/>
        </w:rPr>
        <w:t xml:space="preserve"> and associated property IDs</w:t>
      </w:r>
      <w:r w:rsidRPr="0091464A">
        <w:rPr>
          <w:lang w:val="en-GB"/>
        </w:rPr>
        <w:t xml:space="preserve"> </w:t>
      </w:r>
      <w:r>
        <w:rPr>
          <w:lang w:val="en-GB"/>
        </w:rPr>
        <w:t xml:space="preserve">in GIS files provided by the City. Using this approach, 162 ratings were matched with entries in the CLUE database. This number represents 42.7% of the 379 buildings to ever receive a NABERS rating of any type in the City, see </w:t>
      </w:r>
      <w:r>
        <w:rPr>
          <w:lang w:val="en-GB"/>
        </w:rPr>
        <w:fldChar w:fldCharType="begin"/>
      </w:r>
      <w:r>
        <w:rPr>
          <w:lang w:val="en-GB"/>
        </w:rPr>
        <w:instrText xml:space="preserve"> REF _Ref171011405 \h </w:instrText>
      </w:r>
      <w:r w:rsidR="008F51FF">
        <w:rPr>
          <w:lang w:val="en-GB"/>
        </w:rPr>
        <w:instrText xml:space="preserve"> \* MERGEFORMAT </w:instrText>
      </w:r>
      <w:r>
        <w:rPr>
          <w:lang w:val="en-GB"/>
        </w:rPr>
      </w:r>
      <w:r>
        <w:rPr>
          <w:lang w:val="en-GB"/>
        </w:rPr>
        <w:fldChar w:fldCharType="separate"/>
      </w:r>
      <w:r w:rsidRPr="008958CD">
        <w:t xml:space="preserve">Figure </w:t>
      </w:r>
      <w:r>
        <w:rPr>
          <w:noProof/>
        </w:rPr>
        <w:t>10</w:t>
      </w:r>
      <w:r>
        <w:rPr>
          <w:lang w:val="en-GB"/>
        </w:rPr>
        <w:fldChar w:fldCharType="end"/>
      </w:r>
      <w:r>
        <w:rPr>
          <w:lang w:val="en-GB"/>
        </w:rPr>
        <w:t>.</w:t>
      </w:r>
    </w:p>
    <w:p w14:paraId="4D5BD7DE" w14:textId="77777777" w:rsidR="008F51FF" w:rsidRDefault="008F51FF" w:rsidP="008F51FF">
      <w:pPr>
        <w:pStyle w:val="BodyText"/>
        <w:keepNext/>
      </w:pPr>
      <w:r>
        <w:rPr>
          <w:noProof/>
        </w:rPr>
        <w:drawing>
          <wp:inline distT="0" distB="0" distL="0" distR="0" wp14:anchorId="457C157B" wp14:editId="3C90DD63">
            <wp:extent cx="6223000" cy="2598821"/>
            <wp:effectExtent l="0" t="0" r="6350" b="0"/>
            <wp:docPr id="1075801151" name="Chart 1" descr="Bar graph,, see Appendix A9  for data information.">
              <a:extLst xmlns:a="http://schemas.openxmlformats.org/drawingml/2006/main">
                <a:ext uri="{FF2B5EF4-FFF2-40B4-BE49-F238E27FC236}">
                  <a16:creationId xmlns:a16="http://schemas.microsoft.com/office/drawing/2014/main" id="{8BD4C9B5-8F0A-2897-D08A-7B78FF4957B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7752E3F" w14:textId="77777777" w:rsidR="008F51FF" w:rsidRPr="005922A0" w:rsidRDefault="008F51FF" w:rsidP="008F51FF">
      <w:pPr>
        <w:pStyle w:val="Caption"/>
        <w:rPr>
          <w:rFonts w:hint="eastAsia"/>
        </w:rPr>
      </w:pPr>
      <w:bookmarkStart w:id="67" w:name="_Ref171011405"/>
      <w:bookmarkStart w:id="68" w:name="_Toc171951116"/>
      <w:r w:rsidRPr="005922A0">
        <w:t xml:space="preserve">Figure </w:t>
      </w:r>
      <w:r w:rsidRPr="005922A0">
        <w:fldChar w:fldCharType="begin"/>
      </w:r>
      <w:r w:rsidRPr="005922A0">
        <w:instrText xml:space="preserve"> SEQ Figure \* ARABIC </w:instrText>
      </w:r>
      <w:r w:rsidRPr="005922A0">
        <w:fldChar w:fldCharType="separate"/>
      </w:r>
      <w:r w:rsidRPr="005922A0">
        <w:t>10</w:t>
      </w:r>
      <w:r w:rsidRPr="005922A0">
        <w:fldChar w:fldCharType="end"/>
      </w:r>
      <w:bookmarkEnd w:id="67"/>
      <w:r w:rsidRPr="005922A0">
        <w:t>: All Office Buildings to Have Ever Had a NABERS Rating Compared with Buildings Currently Disclosed Through CBD</w:t>
      </w:r>
      <w:bookmarkEnd w:id="68"/>
    </w:p>
    <w:p w14:paraId="40A205F6" w14:textId="44D8F1B6" w:rsidR="002523CC" w:rsidRPr="007B3C79" w:rsidRDefault="002523CC" w:rsidP="008F51FF">
      <w:pPr>
        <w:rPr>
          <w:b/>
          <w:bCs/>
          <w:color w:val="004E5D"/>
        </w:rPr>
      </w:pPr>
      <w:r w:rsidRPr="00A12C95">
        <w:rPr>
          <w:lang w:val="en-US"/>
        </w:rPr>
        <w:lastRenderedPageBreak/>
        <w:t>View</w:t>
      </w:r>
      <w:r w:rsidRPr="00A12C95">
        <w:t xml:space="preserve"> </w:t>
      </w:r>
      <w:hyperlink w:anchor="_All_Office_Buildings" w:history="1">
        <w:r>
          <w:rPr>
            <w:rStyle w:val="Hyperlink"/>
            <w:color w:val="0070C0"/>
            <w:lang w:val="en-US"/>
          </w:rPr>
          <w:t>All Office Buildings to Have Ever Had a NABERS Rating Compared with Buildings Currently Disclosed Through CBD</w:t>
        </w:r>
      </w:hyperlink>
      <w:r w:rsidRPr="00A12C95">
        <w:rPr>
          <w:lang w:val="en-US"/>
        </w:rPr>
        <w:t xml:space="preserve"> data table</w:t>
      </w:r>
      <w:r w:rsidR="00835883">
        <w:rPr>
          <w:lang w:val="en-US"/>
        </w:rPr>
        <w:t xml:space="preserve"> A.9 </w:t>
      </w:r>
      <w:r w:rsidRPr="00A12C95">
        <w:rPr>
          <w:lang w:val="en-US"/>
        </w:rPr>
        <w:t xml:space="preserve"> in appendix</w:t>
      </w:r>
      <w:r w:rsidR="008F51FF">
        <w:rPr>
          <w:lang w:val="en-US"/>
        </w:rPr>
        <w:t>.</w:t>
      </w:r>
    </w:p>
    <w:p w14:paraId="14BB5B58" w14:textId="7EB6B81B" w:rsidR="00D65473" w:rsidRDefault="00D65473" w:rsidP="008F51FF">
      <w:pPr>
        <w:rPr>
          <w:lang w:val="en-GB"/>
        </w:rPr>
      </w:pPr>
      <w:r>
        <w:rPr>
          <w:lang w:val="en-GB"/>
        </w:rPr>
        <w:t xml:space="preserve">Analysing the relationship between this data and additional information derived from building data provided by the City, it is clear that newer, higher grade office buildings have higher ratings. </w:t>
      </w:r>
      <w:r>
        <w:rPr>
          <w:lang w:val="en-GB"/>
        </w:rPr>
        <w:fldChar w:fldCharType="begin"/>
      </w:r>
      <w:r>
        <w:rPr>
          <w:lang w:val="en-GB"/>
        </w:rPr>
        <w:instrText xml:space="preserve"> REF _Ref170665013 \h </w:instrText>
      </w:r>
      <w:r w:rsidR="008F51FF">
        <w:rPr>
          <w:lang w:val="en-GB"/>
        </w:rPr>
        <w:instrText xml:space="preserve"> \* MERGEFORMAT </w:instrText>
      </w:r>
      <w:r>
        <w:rPr>
          <w:lang w:val="en-GB"/>
        </w:rPr>
      </w:r>
      <w:r>
        <w:rPr>
          <w:lang w:val="en-GB"/>
        </w:rPr>
        <w:fldChar w:fldCharType="separate"/>
      </w:r>
      <w:r w:rsidRPr="009E5869">
        <w:t xml:space="preserve">Figure </w:t>
      </w:r>
      <w:r>
        <w:rPr>
          <w:noProof/>
        </w:rPr>
        <w:t>11</w:t>
      </w:r>
      <w:r>
        <w:rPr>
          <w:lang w:val="en-GB"/>
        </w:rPr>
        <w:fldChar w:fldCharType="end"/>
      </w:r>
      <w:r>
        <w:rPr>
          <w:lang w:val="en-GB"/>
        </w:rPr>
        <w:t xml:space="preserve"> shows the average NABERS rating in the CBD dataset by office grade, as recorded by the City. Premium office buildings had the highest average NABERS rating, at 5.2, while the average rating of D Grade buildings was 3.5</w:t>
      </w:r>
      <w:r w:rsidR="005922A0">
        <w:rPr>
          <w:lang w:val="en-GB"/>
        </w:rPr>
        <w:t>.</w:t>
      </w:r>
    </w:p>
    <w:p w14:paraId="5FC3D138" w14:textId="77777777" w:rsidR="005922A0" w:rsidRDefault="005922A0" w:rsidP="005922A0">
      <w:pPr>
        <w:keepNext/>
      </w:pPr>
      <w:r>
        <w:rPr>
          <w:noProof/>
        </w:rPr>
        <w:drawing>
          <wp:inline distT="0" distB="0" distL="0" distR="0" wp14:anchorId="4B3F0DE8" wp14:editId="35F5EC87">
            <wp:extent cx="5632450" cy="2705100"/>
            <wp:effectExtent l="0" t="0" r="6350" b="0"/>
            <wp:docPr id="117651893" name="Chart 1" descr="Bar graph, see Appendix A10 for data information.">
              <a:extLst xmlns:a="http://schemas.openxmlformats.org/drawingml/2006/main">
                <a:ext uri="{FF2B5EF4-FFF2-40B4-BE49-F238E27FC236}">
                  <a16:creationId xmlns:a16="http://schemas.microsoft.com/office/drawing/2014/main" id="{1418C513-021B-31E4-5612-825DF86E48B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63E3332" w14:textId="77777777" w:rsidR="005922A0" w:rsidRPr="005922A0" w:rsidRDefault="005922A0" w:rsidP="005922A0">
      <w:pPr>
        <w:pStyle w:val="Caption"/>
        <w:rPr>
          <w:rFonts w:hint="eastAsia"/>
        </w:rPr>
      </w:pPr>
      <w:bookmarkStart w:id="69" w:name="_Ref170665013"/>
      <w:bookmarkStart w:id="70" w:name="_Toc171951117"/>
      <w:r w:rsidRPr="005922A0">
        <w:t xml:space="preserve">Figure </w:t>
      </w:r>
      <w:r w:rsidRPr="005922A0">
        <w:fldChar w:fldCharType="begin"/>
      </w:r>
      <w:r w:rsidRPr="005922A0">
        <w:instrText xml:space="preserve"> SEQ Figure \* ARABIC </w:instrText>
      </w:r>
      <w:r w:rsidRPr="005922A0">
        <w:fldChar w:fldCharType="separate"/>
      </w:r>
      <w:r w:rsidRPr="005922A0">
        <w:t>11</w:t>
      </w:r>
      <w:r w:rsidRPr="005922A0">
        <w:fldChar w:fldCharType="end"/>
      </w:r>
      <w:bookmarkEnd w:id="69"/>
      <w:r w:rsidRPr="005922A0">
        <w:t>: CBD/NABERS Rating by Office Grade</w:t>
      </w:r>
      <w:bookmarkEnd w:id="70"/>
    </w:p>
    <w:p w14:paraId="1A19A175" w14:textId="7FDBF52B" w:rsidR="002523CC" w:rsidRPr="007B3C79" w:rsidRDefault="002523CC" w:rsidP="005922A0">
      <w:pPr>
        <w:rPr>
          <w:b/>
          <w:bCs/>
          <w:color w:val="004E5D"/>
        </w:rPr>
      </w:pPr>
      <w:r w:rsidRPr="00A12C95">
        <w:rPr>
          <w:lang w:val="en-US"/>
        </w:rPr>
        <w:t>View</w:t>
      </w:r>
      <w:r w:rsidRPr="00A12C95">
        <w:t xml:space="preserve"> </w:t>
      </w:r>
      <w:hyperlink w:anchor="_CBD/NABERS_Rating_by" w:history="1">
        <w:r>
          <w:rPr>
            <w:rStyle w:val="Hyperlink"/>
            <w:color w:val="0070C0"/>
            <w:lang w:val="en-US"/>
          </w:rPr>
          <w:t>CBD/NABERS Rating by Office Grade</w:t>
        </w:r>
      </w:hyperlink>
      <w:r w:rsidRPr="00A12C95">
        <w:rPr>
          <w:lang w:val="en-US"/>
        </w:rPr>
        <w:t xml:space="preserve"> data table</w:t>
      </w:r>
      <w:r w:rsidR="00835883">
        <w:rPr>
          <w:lang w:val="en-US"/>
        </w:rPr>
        <w:t xml:space="preserve"> A.10</w:t>
      </w:r>
      <w:r w:rsidRPr="00A12C95">
        <w:rPr>
          <w:lang w:val="en-US"/>
        </w:rPr>
        <w:t xml:space="preserve"> in appendix</w:t>
      </w:r>
    </w:p>
    <w:p w14:paraId="72914E4D" w14:textId="33DD77C5" w:rsidR="00D65473" w:rsidRDefault="00D65473" w:rsidP="005922A0">
      <w:r w:rsidRPr="00C56403">
        <w:t xml:space="preserve">As shown in </w:t>
      </w:r>
      <w:r w:rsidRPr="00C56403">
        <w:fldChar w:fldCharType="begin"/>
      </w:r>
      <w:r w:rsidRPr="00C56403">
        <w:instrText xml:space="preserve"> REF _Ref170663847 \h  \* MERGEFORMAT </w:instrText>
      </w:r>
      <w:r w:rsidRPr="00C56403">
        <w:fldChar w:fldCharType="separate"/>
      </w:r>
      <w:r w:rsidRPr="00D65815">
        <w:t>Figure 12</w:t>
      </w:r>
      <w:r w:rsidRPr="00C56403">
        <w:fldChar w:fldCharType="end"/>
      </w:r>
      <w:r w:rsidRPr="00C56403">
        <w:t>, there is a clear relationship between the age of a building (or the age of its most recent major refurbishment), and its NABERS rating. The average year of construction/refurbishment for the highest rated buildings is 2010, while the lowest rated buildings constructed/refurbished in 1988. Although the relationship between age and rating is less glaring among the mid-ranked buildings, it is nonetheless evident.</w:t>
      </w:r>
    </w:p>
    <w:p w14:paraId="0582D061" w14:textId="77777777" w:rsidR="005922A0" w:rsidRPr="005922A0" w:rsidRDefault="005922A0" w:rsidP="005922A0">
      <w:pPr>
        <w:pStyle w:val="BodyText"/>
        <w:rPr>
          <w:rFonts w:ascii="Arial Bold" w:hAnsi="Arial Bold" w:hint="eastAsia"/>
          <w:b/>
          <w:bCs/>
          <w:szCs w:val="18"/>
        </w:rPr>
      </w:pPr>
      <w:bookmarkStart w:id="71" w:name="_Toc171951118"/>
      <w:r>
        <w:rPr>
          <w:noProof/>
        </w:rPr>
        <w:lastRenderedPageBreak/>
        <w:drawing>
          <wp:inline distT="0" distB="0" distL="0" distR="0" wp14:anchorId="0680C4C7" wp14:editId="183C45BB">
            <wp:extent cx="6071235" cy="2791326"/>
            <wp:effectExtent l="0" t="0" r="5715" b="0"/>
            <wp:docPr id="1525550289" name="Chart 1" descr="Bar graph see Appendix A11 for data information.">
              <a:extLst xmlns:a="http://schemas.openxmlformats.org/drawingml/2006/main">
                <a:ext uri="{FF2B5EF4-FFF2-40B4-BE49-F238E27FC236}">
                  <a16:creationId xmlns:a16="http://schemas.microsoft.com/office/drawing/2014/main" id="{B495ABC9-1DE1-60F5-6876-D1E5E3B2644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bookmarkStart w:id="72" w:name="_Ref170663847"/>
      <w:r w:rsidRPr="005922A0">
        <w:rPr>
          <w:rFonts w:ascii="Arial Bold" w:hAnsi="Arial Bold"/>
          <w:b/>
          <w:bCs/>
          <w:szCs w:val="18"/>
        </w:rPr>
        <w:t xml:space="preserve">Figure </w:t>
      </w:r>
      <w:r w:rsidRPr="005922A0">
        <w:rPr>
          <w:rFonts w:ascii="Arial Bold" w:hAnsi="Arial Bold"/>
          <w:b/>
          <w:bCs/>
          <w:szCs w:val="18"/>
        </w:rPr>
        <w:fldChar w:fldCharType="begin"/>
      </w:r>
      <w:r w:rsidRPr="005922A0">
        <w:rPr>
          <w:rFonts w:ascii="Arial Bold" w:hAnsi="Arial Bold"/>
          <w:b/>
          <w:bCs/>
          <w:szCs w:val="18"/>
        </w:rPr>
        <w:instrText xml:space="preserve"> SEQ Figure \* ARABIC </w:instrText>
      </w:r>
      <w:r w:rsidRPr="005922A0">
        <w:rPr>
          <w:rFonts w:ascii="Arial Bold" w:hAnsi="Arial Bold"/>
          <w:b/>
          <w:bCs/>
          <w:szCs w:val="18"/>
        </w:rPr>
        <w:fldChar w:fldCharType="separate"/>
      </w:r>
      <w:r w:rsidRPr="005922A0">
        <w:rPr>
          <w:rFonts w:ascii="Arial Bold" w:hAnsi="Arial Bold"/>
          <w:b/>
          <w:bCs/>
          <w:szCs w:val="18"/>
        </w:rPr>
        <w:t>12</w:t>
      </w:r>
      <w:r w:rsidRPr="005922A0">
        <w:rPr>
          <w:rFonts w:ascii="Arial Bold" w:hAnsi="Arial Bold"/>
          <w:b/>
          <w:bCs/>
          <w:szCs w:val="18"/>
        </w:rPr>
        <w:fldChar w:fldCharType="end"/>
      </w:r>
      <w:bookmarkEnd w:id="72"/>
      <w:r w:rsidRPr="005922A0">
        <w:rPr>
          <w:rFonts w:ascii="Arial Bold" w:hAnsi="Arial Bold"/>
          <w:b/>
          <w:bCs/>
          <w:szCs w:val="18"/>
        </w:rPr>
        <w:t>: Year of Construction or Major Refurbishment by CBD/NABERS rating</w:t>
      </w:r>
      <w:r w:rsidRPr="005922A0">
        <w:rPr>
          <w:rFonts w:ascii="Arial Bold" w:hAnsi="Arial Bold"/>
          <w:b/>
          <w:bCs/>
          <w:szCs w:val="18"/>
          <w:vertAlign w:val="superscript"/>
        </w:rPr>
        <w:footnoteReference w:id="16"/>
      </w:r>
      <w:bookmarkEnd w:id="71"/>
    </w:p>
    <w:p w14:paraId="6879B9FA" w14:textId="1E1350D8" w:rsidR="002523CC" w:rsidRPr="005922A0" w:rsidRDefault="002523CC" w:rsidP="005922A0">
      <w:r w:rsidRPr="00A12C95">
        <w:rPr>
          <w:lang w:val="en-US"/>
        </w:rPr>
        <w:t>View</w:t>
      </w:r>
      <w:r w:rsidRPr="00A12C95">
        <w:t xml:space="preserve"> </w:t>
      </w:r>
      <w:hyperlink w:anchor="_Year_of_Construction" w:history="1">
        <w:r>
          <w:rPr>
            <w:rStyle w:val="Hyperlink"/>
            <w:color w:val="0070C0"/>
            <w:lang w:val="en-US"/>
          </w:rPr>
          <w:t xml:space="preserve">Year of Construction or Major Refurbishment by CBD/NABERS rating </w:t>
        </w:r>
      </w:hyperlink>
      <w:r w:rsidRPr="00A12C95">
        <w:rPr>
          <w:lang w:val="en-US"/>
        </w:rPr>
        <w:t xml:space="preserve"> data table </w:t>
      </w:r>
      <w:r w:rsidR="00835883">
        <w:rPr>
          <w:lang w:val="en-US"/>
        </w:rPr>
        <w:t xml:space="preserve">A.11 </w:t>
      </w:r>
      <w:r w:rsidRPr="00A12C95">
        <w:rPr>
          <w:lang w:val="en-US"/>
        </w:rPr>
        <w:t xml:space="preserve">in </w:t>
      </w:r>
      <w:r w:rsidRPr="005922A0">
        <w:t>appendix</w:t>
      </w:r>
      <w:r w:rsidR="005922A0">
        <w:t>.</w:t>
      </w:r>
    </w:p>
    <w:p w14:paraId="2F6E06E4" w14:textId="5F661EED" w:rsidR="008B72FA" w:rsidRDefault="008B72FA" w:rsidP="005922A0">
      <w:pPr>
        <w:rPr>
          <w:lang w:val="en-GB"/>
        </w:rPr>
      </w:pPr>
      <w:r w:rsidRPr="006C4E43">
        <w:rPr>
          <w:lang w:val="en-GB"/>
        </w:rPr>
        <w:t>As described in Section 2, there is a relationship between the size of a building and it</w:t>
      </w:r>
      <w:r>
        <w:rPr>
          <w:lang w:val="en-GB"/>
        </w:rPr>
        <w:t>s</w:t>
      </w:r>
      <w:r w:rsidRPr="006C4E43">
        <w:rPr>
          <w:lang w:val="en-GB"/>
        </w:rPr>
        <w:t xml:space="preserve"> energy intensity. This relationship can be seen in</w:t>
      </w:r>
      <w:r>
        <w:rPr>
          <w:lang w:val="en-GB"/>
        </w:rPr>
        <w:fldChar w:fldCharType="begin"/>
      </w:r>
      <w:r>
        <w:rPr>
          <w:lang w:val="en-GB"/>
        </w:rPr>
        <w:instrText xml:space="preserve"> REF _Ref171872368 \h </w:instrText>
      </w:r>
      <w:r w:rsidR="005922A0">
        <w:rPr>
          <w:lang w:val="en-GB"/>
        </w:rPr>
        <w:instrText xml:space="preserve"> \* MERGEFORMAT </w:instrText>
      </w:r>
      <w:r>
        <w:rPr>
          <w:lang w:val="en-GB"/>
        </w:rPr>
      </w:r>
      <w:r>
        <w:rPr>
          <w:lang w:val="en-GB"/>
        </w:rPr>
        <w:fldChar w:fldCharType="separate"/>
      </w:r>
      <w:r w:rsidRPr="00877D67">
        <w:t xml:space="preserve">Figure </w:t>
      </w:r>
      <w:r>
        <w:rPr>
          <w:noProof/>
        </w:rPr>
        <w:t>13</w:t>
      </w:r>
      <w:r>
        <w:rPr>
          <w:lang w:val="en-GB"/>
        </w:rPr>
        <w:fldChar w:fldCharType="end"/>
      </w:r>
      <w:r>
        <w:rPr>
          <w:lang w:val="en-GB"/>
        </w:rPr>
        <w:t xml:space="preserve">, in which the largest office buildings with which a NABERS rating could be associated in the CLUE database have an average rating of 5.3, while the smallest buildings, those under 5,000 m2 have an average rating of 3.7. Only 22 out of 1,315 buildings in the LGA with under 5,000 m2 of office space were matched with NABERS ratings. Between this small dataset and both the relative absence of very low-rated buildings in the City’s CBD dataset and the improbability of the smallest, least efficient, buildings being rated, it is highly likely this average rating overestimates the energy efficiency of these spaces. Conversely, 76 of the 107 buildings with over 20,000 m2 of office space were able to be matched with a NABERS rating, giving a much greater degree of confidence averages shown in </w:t>
      </w:r>
      <w:r>
        <w:rPr>
          <w:lang w:val="en-GB"/>
        </w:rPr>
        <w:fldChar w:fldCharType="begin"/>
      </w:r>
      <w:r>
        <w:rPr>
          <w:lang w:val="en-GB"/>
        </w:rPr>
        <w:instrText xml:space="preserve"> REF _Ref171872368 \h </w:instrText>
      </w:r>
      <w:r w:rsidR="005922A0">
        <w:rPr>
          <w:lang w:val="en-GB"/>
        </w:rPr>
        <w:instrText xml:space="preserve"> \* MERGEFORMAT </w:instrText>
      </w:r>
      <w:r>
        <w:rPr>
          <w:lang w:val="en-GB"/>
        </w:rPr>
      </w:r>
      <w:r>
        <w:rPr>
          <w:lang w:val="en-GB"/>
        </w:rPr>
        <w:fldChar w:fldCharType="separate"/>
      </w:r>
      <w:r w:rsidRPr="00877D67">
        <w:t xml:space="preserve">Figure </w:t>
      </w:r>
      <w:r>
        <w:rPr>
          <w:noProof/>
        </w:rPr>
        <w:t>13</w:t>
      </w:r>
      <w:r>
        <w:rPr>
          <w:lang w:val="en-GB"/>
        </w:rPr>
        <w:fldChar w:fldCharType="end"/>
      </w:r>
      <w:r>
        <w:rPr>
          <w:lang w:val="en-GB"/>
        </w:rPr>
        <w:t xml:space="preserve"> are likely to be representative of buildings in those size ranges.</w:t>
      </w:r>
    </w:p>
    <w:p w14:paraId="3DE74183" w14:textId="77777777" w:rsidR="005922A0" w:rsidRDefault="005922A0" w:rsidP="005922A0">
      <w:pPr>
        <w:keepNext/>
      </w:pPr>
      <w:r>
        <w:rPr>
          <w:noProof/>
        </w:rPr>
        <w:drawing>
          <wp:inline distT="0" distB="0" distL="0" distR="0" wp14:anchorId="1DE31851" wp14:editId="5BE08336">
            <wp:extent cx="5981700" cy="2971800"/>
            <wp:effectExtent l="0" t="0" r="0" b="0"/>
            <wp:docPr id="600086053" name="Chart 1" descr="Bar graph, see Appendix A12 for data information.">
              <a:extLst xmlns:a="http://schemas.openxmlformats.org/drawingml/2006/main">
                <a:ext uri="{FF2B5EF4-FFF2-40B4-BE49-F238E27FC236}">
                  <a16:creationId xmlns:a16="http://schemas.microsoft.com/office/drawing/2014/main" id="{07090493-40BB-9223-5811-5B878826D92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6BC92025" w14:textId="77777777" w:rsidR="005922A0" w:rsidRPr="005922A0" w:rsidRDefault="005922A0" w:rsidP="005922A0">
      <w:pPr>
        <w:pStyle w:val="BodyText"/>
        <w:rPr>
          <w:rFonts w:ascii="Arial Bold" w:hAnsi="Arial Bold" w:hint="eastAsia"/>
          <w:b/>
          <w:bCs/>
          <w:szCs w:val="18"/>
        </w:rPr>
      </w:pPr>
      <w:bookmarkStart w:id="73" w:name="_Ref171872368"/>
      <w:bookmarkStart w:id="74" w:name="_Toc171951119"/>
      <w:r w:rsidRPr="005922A0">
        <w:rPr>
          <w:rFonts w:ascii="Arial Bold" w:hAnsi="Arial Bold"/>
          <w:b/>
          <w:bCs/>
          <w:szCs w:val="18"/>
        </w:rPr>
        <w:t xml:space="preserve">Figure </w:t>
      </w:r>
      <w:r w:rsidRPr="005922A0">
        <w:rPr>
          <w:rFonts w:ascii="Arial Bold" w:hAnsi="Arial Bold"/>
          <w:b/>
          <w:bCs/>
          <w:szCs w:val="18"/>
        </w:rPr>
        <w:fldChar w:fldCharType="begin"/>
      </w:r>
      <w:r w:rsidRPr="005922A0">
        <w:rPr>
          <w:rFonts w:ascii="Arial Bold" w:hAnsi="Arial Bold"/>
          <w:b/>
          <w:bCs/>
          <w:szCs w:val="18"/>
        </w:rPr>
        <w:instrText xml:space="preserve"> SEQ Figure \* ARABIC </w:instrText>
      </w:r>
      <w:r w:rsidRPr="005922A0">
        <w:rPr>
          <w:rFonts w:ascii="Arial Bold" w:hAnsi="Arial Bold"/>
          <w:b/>
          <w:bCs/>
          <w:szCs w:val="18"/>
        </w:rPr>
        <w:fldChar w:fldCharType="separate"/>
      </w:r>
      <w:r w:rsidRPr="005922A0">
        <w:rPr>
          <w:rFonts w:ascii="Arial Bold" w:hAnsi="Arial Bold"/>
          <w:b/>
          <w:bCs/>
          <w:szCs w:val="18"/>
        </w:rPr>
        <w:t>13</w:t>
      </w:r>
      <w:r w:rsidRPr="005922A0">
        <w:rPr>
          <w:rFonts w:ascii="Arial Bold" w:hAnsi="Arial Bold"/>
          <w:b/>
          <w:bCs/>
          <w:szCs w:val="18"/>
        </w:rPr>
        <w:fldChar w:fldCharType="end"/>
      </w:r>
      <w:bookmarkEnd w:id="73"/>
      <w:r w:rsidRPr="005922A0">
        <w:rPr>
          <w:rFonts w:ascii="Arial Bold" w:hAnsi="Arial Bold"/>
          <w:b/>
          <w:bCs/>
          <w:szCs w:val="18"/>
        </w:rPr>
        <w:t>: Average NABERS Rating by Building Office Floor Area</w:t>
      </w:r>
      <w:bookmarkEnd w:id="74"/>
    </w:p>
    <w:p w14:paraId="5C424DFA" w14:textId="194F3A39" w:rsidR="002523CC" w:rsidRPr="007B3C79" w:rsidRDefault="002523CC" w:rsidP="002523CC">
      <w:pPr>
        <w:pStyle w:val="BodyText"/>
        <w:rPr>
          <w:b/>
          <w:bCs/>
          <w:color w:val="004E5D"/>
        </w:rPr>
      </w:pPr>
      <w:r w:rsidRPr="00A12C95">
        <w:rPr>
          <w:lang w:val="en-US"/>
        </w:rPr>
        <w:lastRenderedPageBreak/>
        <w:t>View</w:t>
      </w:r>
      <w:r w:rsidRPr="00A12C95">
        <w:t xml:space="preserve"> </w:t>
      </w:r>
      <w:hyperlink w:anchor="_Average_NABERS_Rating" w:history="1">
        <w:r>
          <w:rPr>
            <w:rStyle w:val="Hyperlink"/>
            <w:color w:val="0070C0"/>
            <w:lang w:val="en-US"/>
          </w:rPr>
          <w:t>Average NABERS Rating by Building Office Floor Area</w:t>
        </w:r>
      </w:hyperlink>
      <w:r w:rsidRPr="00A12C95">
        <w:rPr>
          <w:lang w:val="en-US"/>
        </w:rPr>
        <w:t xml:space="preserve"> data table</w:t>
      </w:r>
      <w:r w:rsidR="00835883">
        <w:rPr>
          <w:lang w:val="en-US"/>
        </w:rPr>
        <w:t xml:space="preserve"> A.12</w:t>
      </w:r>
      <w:r w:rsidRPr="00A12C95">
        <w:rPr>
          <w:lang w:val="en-US"/>
        </w:rPr>
        <w:t xml:space="preserve"> in appendix</w:t>
      </w:r>
      <w:r w:rsidR="00104913">
        <w:rPr>
          <w:lang w:val="en-US"/>
        </w:rPr>
        <w:t>.</w:t>
      </w:r>
    </w:p>
    <w:p w14:paraId="38182A54" w14:textId="27B8E7E9" w:rsidR="008B72FA" w:rsidRDefault="008B72FA" w:rsidP="008B72FA">
      <w:pPr>
        <w:pStyle w:val="Heading3"/>
        <w:rPr>
          <w:rFonts w:hint="eastAsia"/>
        </w:rPr>
      </w:pPr>
      <w:bookmarkStart w:id="75" w:name="_3.2.2_Residential"/>
      <w:bookmarkEnd w:id="75"/>
      <w:r>
        <w:t>3.2.2</w:t>
      </w:r>
      <w:r>
        <w:tab/>
        <w:t>Residential</w:t>
      </w:r>
    </w:p>
    <w:p w14:paraId="121CA997" w14:textId="77777777" w:rsidR="008B72FA" w:rsidRDefault="008B72FA" w:rsidP="008B72FA">
      <w:pPr>
        <w:pStyle w:val="BodyText"/>
        <w:rPr>
          <w:lang w:val="en-GB"/>
        </w:rPr>
      </w:pPr>
      <w:r>
        <w:rPr>
          <w:lang w:val="en-GB"/>
        </w:rPr>
        <w:t xml:space="preserve">To capture the range of energy intensities associated with residential dwellings in the LGA, the CLUE database was adjusted using land-use and apartment count data provided by the City to break the total residential stock into five archetypes. The </w:t>
      </w:r>
      <w:r w:rsidRPr="00E41DB8">
        <w:rPr>
          <w:lang w:val="en-GB"/>
        </w:rPr>
        <w:t>characteristic</w:t>
      </w:r>
      <w:r>
        <w:rPr>
          <w:lang w:val="en-GB"/>
        </w:rPr>
        <w:t xml:space="preserve">s used to define these archetypes in the model are set out in </w:t>
      </w:r>
      <w:r>
        <w:rPr>
          <w:lang w:val="en-GB"/>
        </w:rPr>
        <w:fldChar w:fldCharType="begin"/>
      </w:r>
      <w:r>
        <w:rPr>
          <w:lang w:val="en-GB"/>
        </w:rPr>
        <w:instrText xml:space="preserve"> REF _Ref170222423 \h </w:instrText>
      </w:r>
      <w:r>
        <w:rPr>
          <w:lang w:val="en-GB"/>
        </w:rPr>
      </w:r>
      <w:r>
        <w:rPr>
          <w:lang w:val="en-GB"/>
        </w:rPr>
        <w:fldChar w:fldCharType="separate"/>
      </w:r>
      <w:r w:rsidRPr="00E41DB8">
        <w:t xml:space="preserve">Table </w:t>
      </w:r>
      <w:r>
        <w:rPr>
          <w:noProof/>
        </w:rPr>
        <w:t>5</w:t>
      </w:r>
      <w:r>
        <w:rPr>
          <w:lang w:val="en-GB"/>
        </w:rPr>
        <w:fldChar w:fldCharType="end"/>
      </w:r>
      <w:r>
        <w:rPr>
          <w:lang w:val="en-GB"/>
        </w:rPr>
        <w:t>.</w:t>
      </w:r>
    </w:p>
    <w:p w14:paraId="39A4DC42" w14:textId="77777777" w:rsidR="005922A0" w:rsidRPr="005922A0" w:rsidRDefault="005922A0" w:rsidP="005922A0">
      <w:pPr>
        <w:pStyle w:val="BodyText"/>
        <w:rPr>
          <w:rFonts w:ascii="Arial Bold" w:hAnsi="Arial Bold" w:hint="eastAsia"/>
          <w:b/>
          <w:bCs/>
          <w:szCs w:val="18"/>
        </w:rPr>
      </w:pPr>
      <w:bookmarkStart w:id="76" w:name="_Ref170222423"/>
      <w:bookmarkStart w:id="77" w:name="_Toc171951166"/>
      <w:r w:rsidRPr="005922A0">
        <w:rPr>
          <w:rFonts w:ascii="Arial Bold" w:hAnsi="Arial Bold"/>
          <w:b/>
          <w:bCs/>
          <w:szCs w:val="18"/>
        </w:rPr>
        <w:t xml:space="preserve">Table </w:t>
      </w:r>
      <w:r w:rsidRPr="005922A0">
        <w:rPr>
          <w:rFonts w:ascii="Arial Bold" w:hAnsi="Arial Bold"/>
          <w:b/>
          <w:bCs/>
          <w:szCs w:val="18"/>
        </w:rPr>
        <w:fldChar w:fldCharType="begin"/>
      </w:r>
      <w:r w:rsidRPr="005922A0">
        <w:rPr>
          <w:rFonts w:ascii="Arial Bold" w:hAnsi="Arial Bold"/>
          <w:b/>
          <w:bCs/>
          <w:szCs w:val="18"/>
        </w:rPr>
        <w:instrText xml:space="preserve"> SEQ Table \* ARABIC </w:instrText>
      </w:r>
      <w:r w:rsidRPr="005922A0">
        <w:rPr>
          <w:rFonts w:ascii="Arial Bold" w:hAnsi="Arial Bold"/>
          <w:b/>
          <w:bCs/>
          <w:szCs w:val="18"/>
        </w:rPr>
        <w:fldChar w:fldCharType="separate"/>
      </w:r>
      <w:r w:rsidRPr="005922A0">
        <w:rPr>
          <w:rFonts w:ascii="Arial Bold" w:hAnsi="Arial Bold"/>
          <w:b/>
          <w:bCs/>
          <w:szCs w:val="18"/>
        </w:rPr>
        <w:t>5</w:t>
      </w:r>
      <w:r w:rsidRPr="005922A0">
        <w:rPr>
          <w:rFonts w:ascii="Arial Bold" w:hAnsi="Arial Bold"/>
          <w:b/>
          <w:bCs/>
          <w:szCs w:val="18"/>
        </w:rPr>
        <w:fldChar w:fldCharType="end"/>
      </w:r>
      <w:bookmarkEnd w:id="76"/>
      <w:r w:rsidRPr="005922A0">
        <w:rPr>
          <w:rFonts w:ascii="Arial Bold" w:hAnsi="Arial Bold"/>
          <w:b/>
          <w:bCs/>
          <w:szCs w:val="18"/>
        </w:rPr>
        <w:t>: Residential Dwelling Archetype Characteristics</w:t>
      </w:r>
      <w:bookmarkEnd w:id="77"/>
    </w:p>
    <w:tbl>
      <w:tblPr>
        <w:tblStyle w:val="GridTable2-Accent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977"/>
        <w:gridCol w:w="3969"/>
      </w:tblGrid>
      <w:tr w:rsidR="005922A0" w:rsidRPr="005922A0" w14:paraId="40E74D54" w14:textId="77777777" w:rsidTr="005922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top w:val="none" w:sz="0" w:space="0" w:color="auto"/>
              <w:bottom w:val="none" w:sz="0" w:space="0" w:color="auto"/>
              <w:right w:val="none" w:sz="0" w:space="0" w:color="auto"/>
            </w:tcBorders>
            <w:shd w:val="clear" w:color="auto" w:fill="auto"/>
          </w:tcPr>
          <w:p w14:paraId="04A2955D" w14:textId="77777777" w:rsidR="005922A0" w:rsidRPr="005922A0" w:rsidRDefault="005922A0" w:rsidP="005922A0">
            <w:pPr>
              <w:spacing w:after="0"/>
              <w:rPr>
                <w:lang w:val="en-GB"/>
              </w:rPr>
            </w:pPr>
            <w:r w:rsidRPr="005922A0">
              <w:rPr>
                <w:lang w:val="en-GB"/>
              </w:rPr>
              <w:t>Residential Space-Use Type</w:t>
            </w:r>
          </w:p>
        </w:tc>
        <w:tc>
          <w:tcPr>
            <w:tcW w:w="2977" w:type="dxa"/>
            <w:tcBorders>
              <w:top w:val="none" w:sz="0" w:space="0" w:color="auto"/>
              <w:left w:val="none" w:sz="0" w:space="0" w:color="auto"/>
              <w:bottom w:val="none" w:sz="0" w:space="0" w:color="auto"/>
              <w:right w:val="none" w:sz="0" w:space="0" w:color="auto"/>
            </w:tcBorders>
            <w:shd w:val="clear" w:color="auto" w:fill="auto"/>
          </w:tcPr>
          <w:p w14:paraId="6C48CBE7" w14:textId="77777777" w:rsidR="005922A0" w:rsidRPr="005922A0" w:rsidRDefault="005922A0" w:rsidP="005922A0">
            <w:pPr>
              <w:spacing w:after="0"/>
              <w:cnfStyle w:val="100000000000" w:firstRow="1" w:lastRow="0" w:firstColumn="0" w:lastColumn="0" w:oddVBand="0" w:evenVBand="0" w:oddHBand="0" w:evenHBand="0" w:firstRowFirstColumn="0" w:firstRowLastColumn="0" w:lastRowFirstColumn="0" w:lastRowLastColumn="0"/>
              <w:rPr>
                <w:lang w:val="en-GB"/>
              </w:rPr>
            </w:pPr>
            <w:r w:rsidRPr="005922A0">
              <w:rPr>
                <w:lang w:val="en-GB"/>
              </w:rPr>
              <w:t>Defining characteristic one</w:t>
            </w:r>
          </w:p>
        </w:tc>
        <w:tc>
          <w:tcPr>
            <w:tcW w:w="3969" w:type="dxa"/>
            <w:tcBorders>
              <w:top w:val="none" w:sz="0" w:space="0" w:color="auto"/>
              <w:left w:val="none" w:sz="0" w:space="0" w:color="auto"/>
              <w:bottom w:val="none" w:sz="0" w:space="0" w:color="auto"/>
            </w:tcBorders>
            <w:shd w:val="clear" w:color="auto" w:fill="auto"/>
          </w:tcPr>
          <w:p w14:paraId="3FC342D2" w14:textId="77777777" w:rsidR="005922A0" w:rsidRPr="005922A0" w:rsidRDefault="005922A0" w:rsidP="005922A0">
            <w:pPr>
              <w:spacing w:after="0"/>
              <w:cnfStyle w:val="100000000000" w:firstRow="1" w:lastRow="0" w:firstColumn="0" w:lastColumn="0" w:oddVBand="0" w:evenVBand="0" w:oddHBand="0" w:evenHBand="0" w:firstRowFirstColumn="0" w:firstRowLastColumn="0" w:lastRowFirstColumn="0" w:lastRowLastColumn="0"/>
              <w:rPr>
                <w:lang w:val="en-GB"/>
              </w:rPr>
            </w:pPr>
            <w:r w:rsidRPr="005922A0">
              <w:rPr>
                <w:lang w:val="en-GB"/>
              </w:rPr>
              <w:t>Defining characteristic two</w:t>
            </w:r>
          </w:p>
        </w:tc>
      </w:tr>
      <w:tr w:rsidR="005922A0" w:rsidRPr="005922A0" w14:paraId="4378328B" w14:textId="77777777" w:rsidTr="005922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auto"/>
          </w:tcPr>
          <w:p w14:paraId="048E5D98" w14:textId="77777777" w:rsidR="005922A0" w:rsidRPr="005922A0" w:rsidRDefault="005922A0" w:rsidP="005922A0">
            <w:pPr>
              <w:spacing w:after="0"/>
              <w:rPr>
                <w:b w:val="0"/>
                <w:bCs w:val="0"/>
                <w:lang w:val="en-GB"/>
              </w:rPr>
            </w:pPr>
            <w:r w:rsidRPr="005922A0">
              <w:rPr>
                <w:b w:val="0"/>
                <w:bCs w:val="0"/>
                <w:lang w:val="en-GB"/>
              </w:rPr>
              <w:t>High-rise apartment</w:t>
            </w:r>
          </w:p>
        </w:tc>
        <w:tc>
          <w:tcPr>
            <w:tcW w:w="2977" w:type="dxa"/>
            <w:shd w:val="clear" w:color="auto" w:fill="auto"/>
          </w:tcPr>
          <w:p w14:paraId="64A94E08" w14:textId="77777777" w:rsidR="005922A0" w:rsidRPr="005922A0" w:rsidRDefault="005922A0" w:rsidP="005922A0">
            <w:pPr>
              <w:spacing w:after="0"/>
              <w:cnfStyle w:val="000000100000" w:firstRow="0" w:lastRow="0" w:firstColumn="0" w:lastColumn="0" w:oddVBand="0" w:evenVBand="0" w:oddHBand="1" w:evenHBand="0" w:firstRowFirstColumn="0" w:firstRowLastColumn="0" w:lastRowFirstColumn="0" w:lastRowLastColumn="0"/>
              <w:rPr>
                <w:lang w:val="en-GB"/>
              </w:rPr>
            </w:pPr>
            <w:r w:rsidRPr="005922A0">
              <w:rPr>
                <w:lang w:val="en-GB"/>
              </w:rPr>
              <w:t>Residential Apartment predominant space-use</w:t>
            </w:r>
          </w:p>
        </w:tc>
        <w:tc>
          <w:tcPr>
            <w:tcW w:w="3969" w:type="dxa"/>
            <w:shd w:val="clear" w:color="auto" w:fill="auto"/>
          </w:tcPr>
          <w:p w14:paraId="4E23837D" w14:textId="77777777" w:rsidR="005922A0" w:rsidRPr="005922A0" w:rsidRDefault="005922A0" w:rsidP="005922A0">
            <w:pPr>
              <w:spacing w:after="0"/>
              <w:cnfStyle w:val="000000100000" w:firstRow="0" w:lastRow="0" w:firstColumn="0" w:lastColumn="0" w:oddVBand="0" w:evenVBand="0" w:oddHBand="1" w:evenHBand="0" w:firstRowFirstColumn="0" w:firstRowLastColumn="0" w:lastRowFirstColumn="0" w:lastRowLastColumn="0"/>
              <w:rPr>
                <w:lang w:val="en-GB"/>
              </w:rPr>
            </w:pPr>
            <w:r w:rsidRPr="005922A0">
              <w:rPr>
                <w:lang w:val="en-GB"/>
              </w:rPr>
              <w:t>&gt;10 floors</w:t>
            </w:r>
          </w:p>
        </w:tc>
      </w:tr>
      <w:tr w:rsidR="005922A0" w:rsidRPr="005922A0" w14:paraId="6407B9E3" w14:textId="77777777" w:rsidTr="005922A0">
        <w:tc>
          <w:tcPr>
            <w:cnfStyle w:val="001000000000" w:firstRow="0" w:lastRow="0" w:firstColumn="1" w:lastColumn="0" w:oddVBand="0" w:evenVBand="0" w:oddHBand="0" w:evenHBand="0" w:firstRowFirstColumn="0" w:firstRowLastColumn="0" w:lastRowFirstColumn="0" w:lastRowLastColumn="0"/>
            <w:tcW w:w="2547" w:type="dxa"/>
            <w:shd w:val="clear" w:color="auto" w:fill="auto"/>
          </w:tcPr>
          <w:p w14:paraId="7537DA0E" w14:textId="77777777" w:rsidR="005922A0" w:rsidRPr="005922A0" w:rsidRDefault="005922A0" w:rsidP="005922A0">
            <w:pPr>
              <w:spacing w:after="0"/>
              <w:rPr>
                <w:b w:val="0"/>
                <w:bCs w:val="0"/>
                <w:lang w:val="en-GB"/>
              </w:rPr>
            </w:pPr>
            <w:r w:rsidRPr="005922A0">
              <w:rPr>
                <w:b w:val="0"/>
                <w:bCs w:val="0"/>
                <w:lang w:val="en-GB"/>
              </w:rPr>
              <w:t xml:space="preserve">Medium-rise apartment </w:t>
            </w:r>
          </w:p>
        </w:tc>
        <w:tc>
          <w:tcPr>
            <w:tcW w:w="2977" w:type="dxa"/>
            <w:shd w:val="clear" w:color="auto" w:fill="auto"/>
          </w:tcPr>
          <w:p w14:paraId="7AB549F0" w14:textId="77777777" w:rsidR="005922A0" w:rsidRPr="005922A0" w:rsidRDefault="005922A0" w:rsidP="005922A0">
            <w:pPr>
              <w:spacing w:after="0"/>
              <w:cnfStyle w:val="000000000000" w:firstRow="0" w:lastRow="0" w:firstColumn="0" w:lastColumn="0" w:oddVBand="0" w:evenVBand="0" w:oddHBand="0" w:evenHBand="0" w:firstRowFirstColumn="0" w:firstRowLastColumn="0" w:lastRowFirstColumn="0" w:lastRowLastColumn="0"/>
              <w:rPr>
                <w:lang w:val="en-GB"/>
              </w:rPr>
            </w:pPr>
            <w:r w:rsidRPr="005922A0">
              <w:rPr>
                <w:lang w:val="en-GB"/>
              </w:rPr>
              <w:t>Residential Apartment predominant space-use</w:t>
            </w:r>
          </w:p>
        </w:tc>
        <w:tc>
          <w:tcPr>
            <w:tcW w:w="3969" w:type="dxa"/>
            <w:shd w:val="clear" w:color="auto" w:fill="auto"/>
          </w:tcPr>
          <w:p w14:paraId="17E269F6" w14:textId="77777777" w:rsidR="005922A0" w:rsidRPr="005922A0" w:rsidRDefault="005922A0" w:rsidP="005922A0">
            <w:pPr>
              <w:spacing w:after="0"/>
              <w:cnfStyle w:val="000000000000" w:firstRow="0" w:lastRow="0" w:firstColumn="0" w:lastColumn="0" w:oddVBand="0" w:evenVBand="0" w:oddHBand="0" w:evenHBand="0" w:firstRowFirstColumn="0" w:firstRowLastColumn="0" w:lastRowFirstColumn="0" w:lastRowLastColumn="0"/>
              <w:rPr>
                <w:lang w:val="en-GB"/>
              </w:rPr>
            </w:pPr>
            <w:r w:rsidRPr="005922A0">
              <w:rPr>
                <w:lang w:val="en-GB"/>
              </w:rPr>
              <w:t>5-10 floors</w:t>
            </w:r>
          </w:p>
        </w:tc>
      </w:tr>
      <w:tr w:rsidR="005922A0" w:rsidRPr="005922A0" w14:paraId="31B719F8" w14:textId="77777777" w:rsidTr="005922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auto"/>
          </w:tcPr>
          <w:p w14:paraId="17732A29" w14:textId="77777777" w:rsidR="005922A0" w:rsidRPr="005922A0" w:rsidRDefault="005922A0" w:rsidP="005922A0">
            <w:pPr>
              <w:spacing w:after="0"/>
              <w:rPr>
                <w:b w:val="0"/>
                <w:bCs w:val="0"/>
                <w:lang w:val="en-GB"/>
              </w:rPr>
            </w:pPr>
            <w:r w:rsidRPr="005922A0">
              <w:rPr>
                <w:b w:val="0"/>
                <w:bCs w:val="0"/>
                <w:lang w:val="en-GB"/>
              </w:rPr>
              <w:t>Low-rise apartment</w:t>
            </w:r>
          </w:p>
        </w:tc>
        <w:tc>
          <w:tcPr>
            <w:tcW w:w="2977" w:type="dxa"/>
            <w:shd w:val="clear" w:color="auto" w:fill="auto"/>
          </w:tcPr>
          <w:p w14:paraId="38252190" w14:textId="77777777" w:rsidR="005922A0" w:rsidRPr="005922A0" w:rsidRDefault="005922A0" w:rsidP="005922A0">
            <w:pPr>
              <w:spacing w:after="0"/>
              <w:cnfStyle w:val="000000100000" w:firstRow="0" w:lastRow="0" w:firstColumn="0" w:lastColumn="0" w:oddVBand="0" w:evenVBand="0" w:oddHBand="1" w:evenHBand="0" w:firstRowFirstColumn="0" w:firstRowLastColumn="0" w:lastRowFirstColumn="0" w:lastRowLastColumn="0"/>
              <w:rPr>
                <w:lang w:val="en-GB"/>
              </w:rPr>
            </w:pPr>
            <w:r w:rsidRPr="005922A0">
              <w:rPr>
                <w:lang w:val="en-GB"/>
              </w:rPr>
              <w:t>Residential Apartment predominant space-use</w:t>
            </w:r>
          </w:p>
        </w:tc>
        <w:tc>
          <w:tcPr>
            <w:tcW w:w="3969" w:type="dxa"/>
            <w:shd w:val="clear" w:color="auto" w:fill="auto"/>
          </w:tcPr>
          <w:p w14:paraId="038573C6" w14:textId="77777777" w:rsidR="005922A0" w:rsidRPr="005922A0" w:rsidRDefault="005922A0" w:rsidP="005922A0">
            <w:pPr>
              <w:spacing w:after="0"/>
              <w:cnfStyle w:val="000000100000" w:firstRow="0" w:lastRow="0" w:firstColumn="0" w:lastColumn="0" w:oddVBand="0" w:evenVBand="0" w:oddHBand="1" w:evenHBand="0" w:firstRowFirstColumn="0" w:firstRowLastColumn="0" w:lastRowFirstColumn="0" w:lastRowLastColumn="0"/>
              <w:rPr>
                <w:lang w:val="en-GB"/>
              </w:rPr>
            </w:pPr>
            <w:r w:rsidRPr="005922A0">
              <w:rPr>
                <w:lang w:val="en-GB"/>
              </w:rPr>
              <w:t>1-4 floors</w:t>
            </w:r>
          </w:p>
        </w:tc>
      </w:tr>
      <w:tr w:rsidR="005922A0" w:rsidRPr="005922A0" w14:paraId="747F80D0" w14:textId="77777777" w:rsidTr="005922A0">
        <w:tc>
          <w:tcPr>
            <w:cnfStyle w:val="001000000000" w:firstRow="0" w:lastRow="0" w:firstColumn="1" w:lastColumn="0" w:oddVBand="0" w:evenVBand="0" w:oddHBand="0" w:evenHBand="0" w:firstRowFirstColumn="0" w:firstRowLastColumn="0" w:lastRowFirstColumn="0" w:lastRowLastColumn="0"/>
            <w:tcW w:w="2547" w:type="dxa"/>
            <w:shd w:val="clear" w:color="auto" w:fill="auto"/>
          </w:tcPr>
          <w:p w14:paraId="586C0AEC" w14:textId="77777777" w:rsidR="005922A0" w:rsidRPr="005922A0" w:rsidRDefault="005922A0" w:rsidP="005922A0">
            <w:pPr>
              <w:spacing w:after="0"/>
              <w:rPr>
                <w:b w:val="0"/>
                <w:bCs w:val="0"/>
                <w:lang w:val="en-GB"/>
              </w:rPr>
            </w:pPr>
            <w:r w:rsidRPr="005922A0">
              <w:rPr>
                <w:b w:val="0"/>
                <w:bCs w:val="0"/>
                <w:lang w:val="en-GB"/>
              </w:rPr>
              <w:t>Townhouse/terrace</w:t>
            </w:r>
          </w:p>
        </w:tc>
        <w:tc>
          <w:tcPr>
            <w:tcW w:w="2977" w:type="dxa"/>
            <w:shd w:val="clear" w:color="auto" w:fill="auto"/>
          </w:tcPr>
          <w:p w14:paraId="43EBD2AE" w14:textId="77777777" w:rsidR="005922A0" w:rsidRPr="005922A0" w:rsidRDefault="005922A0" w:rsidP="005922A0">
            <w:pPr>
              <w:spacing w:after="0"/>
              <w:cnfStyle w:val="000000000000" w:firstRow="0" w:lastRow="0" w:firstColumn="0" w:lastColumn="0" w:oddVBand="0" w:evenVBand="0" w:oddHBand="0" w:evenHBand="0" w:firstRowFirstColumn="0" w:firstRowLastColumn="0" w:lastRowFirstColumn="0" w:lastRowLastColumn="0"/>
              <w:rPr>
                <w:lang w:val="en-GB"/>
              </w:rPr>
            </w:pPr>
            <w:r w:rsidRPr="005922A0">
              <w:rPr>
                <w:lang w:val="en-GB"/>
              </w:rPr>
              <w:t>House/Townhouse predominant space-use</w:t>
            </w:r>
          </w:p>
        </w:tc>
        <w:tc>
          <w:tcPr>
            <w:tcW w:w="3969" w:type="dxa"/>
            <w:shd w:val="clear" w:color="auto" w:fill="auto"/>
          </w:tcPr>
          <w:p w14:paraId="48FE39F9" w14:textId="77777777" w:rsidR="005922A0" w:rsidRPr="005922A0" w:rsidRDefault="005922A0" w:rsidP="005922A0">
            <w:pPr>
              <w:spacing w:after="0"/>
              <w:cnfStyle w:val="000000000000" w:firstRow="0" w:lastRow="0" w:firstColumn="0" w:lastColumn="0" w:oddVBand="0" w:evenVBand="0" w:oddHBand="0" w:evenHBand="0" w:firstRowFirstColumn="0" w:firstRowLastColumn="0" w:lastRowFirstColumn="0" w:lastRowLastColumn="0"/>
              <w:rPr>
                <w:lang w:val="en-GB"/>
              </w:rPr>
            </w:pPr>
            <w:r w:rsidRPr="005922A0">
              <w:rPr>
                <w:lang w:val="en-GB"/>
              </w:rPr>
              <w:t>200 m2 max floor area</w:t>
            </w:r>
          </w:p>
          <w:p w14:paraId="5C02DA59" w14:textId="77777777" w:rsidR="005922A0" w:rsidRPr="005922A0" w:rsidRDefault="005922A0" w:rsidP="005922A0">
            <w:pPr>
              <w:spacing w:after="0"/>
              <w:cnfStyle w:val="000000000000" w:firstRow="0" w:lastRow="0" w:firstColumn="0" w:lastColumn="0" w:oddVBand="0" w:evenVBand="0" w:oddHBand="0" w:evenHBand="0" w:firstRowFirstColumn="0" w:firstRowLastColumn="0" w:lastRowFirstColumn="0" w:lastRowLastColumn="0"/>
              <w:rPr>
                <w:lang w:val="en-GB"/>
              </w:rPr>
            </w:pPr>
            <w:r w:rsidRPr="005922A0">
              <w:rPr>
                <w:lang w:val="en-GB"/>
              </w:rPr>
              <w:t>Multiple units associated with property</w:t>
            </w:r>
          </w:p>
        </w:tc>
      </w:tr>
      <w:tr w:rsidR="005922A0" w14:paraId="7D91A86D" w14:textId="77777777" w:rsidTr="005922A0">
        <w:trPr>
          <w:cnfStyle w:val="000000100000" w:firstRow="0" w:lastRow="0" w:firstColumn="0" w:lastColumn="0" w:oddVBand="0" w:evenVBand="0" w:oddHBand="1" w:evenHBand="0"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2547" w:type="dxa"/>
            <w:shd w:val="clear" w:color="auto" w:fill="auto"/>
          </w:tcPr>
          <w:p w14:paraId="5A7DAEC3" w14:textId="77777777" w:rsidR="005922A0" w:rsidRPr="005922A0" w:rsidRDefault="005922A0" w:rsidP="005922A0">
            <w:pPr>
              <w:spacing w:after="0"/>
              <w:rPr>
                <w:b w:val="0"/>
                <w:bCs w:val="0"/>
                <w:lang w:val="en-GB"/>
              </w:rPr>
            </w:pPr>
            <w:r w:rsidRPr="005922A0">
              <w:rPr>
                <w:b w:val="0"/>
                <w:bCs w:val="0"/>
                <w:lang w:val="en-GB"/>
              </w:rPr>
              <w:t>Standalone house</w:t>
            </w:r>
          </w:p>
        </w:tc>
        <w:tc>
          <w:tcPr>
            <w:tcW w:w="2977" w:type="dxa"/>
            <w:shd w:val="clear" w:color="auto" w:fill="auto"/>
          </w:tcPr>
          <w:p w14:paraId="22A64AC7" w14:textId="77777777" w:rsidR="005922A0" w:rsidRPr="005922A0" w:rsidRDefault="005922A0" w:rsidP="005922A0">
            <w:pPr>
              <w:spacing w:after="0"/>
              <w:cnfStyle w:val="000000100000" w:firstRow="0" w:lastRow="0" w:firstColumn="0" w:lastColumn="0" w:oddVBand="0" w:evenVBand="0" w:oddHBand="1" w:evenHBand="0" w:firstRowFirstColumn="0" w:firstRowLastColumn="0" w:lastRowFirstColumn="0" w:lastRowLastColumn="0"/>
              <w:rPr>
                <w:lang w:val="en-GB"/>
              </w:rPr>
            </w:pPr>
            <w:r w:rsidRPr="005922A0">
              <w:rPr>
                <w:lang w:val="en-GB"/>
              </w:rPr>
              <w:t>House/Townhouse predominant space-use</w:t>
            </w:r>
          </w:p>
        </w:tc>
        <w:tc>
          <w:tcPr>
            <w:tcW w:w="3969" w:type="dxa"/>
            <w:shd w:val="clear" w:color="auto" w:fill="auto"/>
          </w:tcPr>
          <w:p w14:paraId="608F8943" w14:textId="77777777" w:rsidR="005922A0" w:rsidRPr="00E41DB8" w:rsidRDefault="005922A0" w:rsidP="005922A0">
            <w:pPr>
              <w:spacing w:after="0"/>
              <w:cnfStyle w:val="000000100000" w:firstRow="0" w:lastRow="0" w:firstColumn="0" w:lastColumn="0" w:oddVBand="0" w:evenVBand="0" w:oddHBand="1" w:evenHBand="0" w:firstRowFirstColumn="0" w:firstRowLastColumn="0" w:lastRowFirstColumn="0" w:lastRowLastColumn="0"/>
              <w:rPr>
                <w:lang w:val="en-GB"/>
              </w:rPr>
            </w:pPr>
            <w:r w:rsidRPr="005922A0">
              <w:rPr>
                <w:lang w:val="en-GB"/>
              </w:rPr>
              <w:t>N/A (all “house/townhouse” not captured by above)</w:t>
            </w:r>
          </w:p>
        </w:tc>
      </w:tr>
    </w:tbl>
    <w:p w14:paraId="57F75CAD" w14:textId="77777777" w:rsidR="005922A0" w:rsidRDefault="005922A0" w:rsidP="005922A0">
      <w:pPr>
        <w:pStyle w:val="BodyText"/>
        <w:rPr>
          <w:lang w:val="en-GB"/>
        </w:rPr>
      </w:pPr>
    </w:p>
    <w:p w14:paraId="6843F991" w14:textId="01051038" w:rsidR="008B72FA" w:rsidRDefault="008B72FA" w:rsidP="005922A0">
      <w:pPr>
        <w:rPr>
          <w:lang w:val="en-GB"/>
        </w:rPr>
      </w:pPr>
      <w:r>
        <w:rPr>
          <w:lang w:val="en-GB"/>
        </w:rPr>
        <w:t>Our modelling suggests the City contained 106,074 dwellings in 2022, including student accommodation.</w:t>
      </w:r>
      <w:r>
        <w:rPr>
          <w:rStyle w:val="FootnoteReference"/>
          <w:lang w:val="en-GB"/>
        </w:rPr>
        <w:footnoteReference w:id="17"/>
      </w:r>
      <w:r>
        <w:rPr>
          <w:lang w:val="en-GB"/>
        </w:rPr>
        <w:t xml:space="preserve"> Census 2021 counts </w:t>
      </w:r>
      <w:r w:rsidRPr="00F82B04">
        <w:rPr>
          <w:lang w:val="en-GB"/>
        </w:rPr>
        <w:t>103,029</w:t>
      </w:r>
      <w:r>
        <w:rPr>
          <w:lang w:val="en-GB"/>
        </w:rPr>
        <w:t xml:space="preserve"> dwellings in the City of Melbourne LGA, which validates the accuracy of our estimate. </w:t>
      </w:r>
      <w:r w:rsidRPr="000A08F8">
        <w:rPr>
          <w:lang w:val="en-GB"/>
        </w:rPr>
        <w:t xml:space="preserve">Though a longitudinal analysis of Melbourne’s building stock is outside the scope of this study, it is clear there has been significant construction of residential apartments in the LGA in recent years, particularly high-rise developments of over ten stories. </w:t>
      </w:r>
      <w:r>
        <w:rPr>
          <w:lang w:val="en-GB"/>
        </w:rPr>
        <w:t xml:space="preserve"> </w:t>
      </w:r>
      <w:r w:rsidRPr="000A08F8">
        <w:rPr>
          <w:lang w:val="en-GB"/>
        </w:rPr>
        <w:t>CLUE data indicates 121 apartment buildings with over 100 apartments were completed in the decade between 2012 and 2022, 40 of which contained over 400 apartments</w:t>
      </w:r>
      <w:r>
        <w:rPr>
          <w:lang w:val="en-GB"/>
        </w:rPr>
        <w:t xml:space="preserve">. The impact of this rapid increase in the number of high-rise apartments buildings can be seen in </w:t>
      </w:r>
      <w:r>
        <w:rPr>
          <w:lang w:val="en-GB"/>
        </w:rPr>
        <w:fldChar w:fldCharType="begin"/>
      </w:r>
      <w:r>
        <w:rPr>
          <w:lang w:val="en-GB"/>
        </w:rPr>
        <w:instrText xml:space="preserve"> REF _Ref171022444 \h </w:instrText>
      </w:r>
      <w:r w:rsidR="005922A0">
        <w:rPr>
          <w:lang w:val="en-GB"/>
        </w:rPr>
        <w:instrText xml:space="preserve"> \* MERGEFORMAT </w:instrText>
      </w:r>
      <w:r>
        <w:rPr>
          <w:lang w:val="en-GB"/>
        </w:rPr>
      </w:r>
      <w:r>
        <w:rPr>
          <w:lang w:val="en-GB"/>
        </w:rPr>
        <w:fldChar w:fldCharType="separate"/>
      </w:r>
      <w:r w:rsidRPr="00F82B04">
        <w:t xml:space="preserve">Figure </w:t>
      </w:r>
      <w:r>
        <w:rPr>
          <w:noProof/>
        </w:rPr>
        <w:t>14</w:t>
      </w:r>
      <w:r>
        <w:rPr>
          <w:lang w:val="en-GB"/>
        </w:rPr>
        <w:fldChar w:fldCharType="end"/>
      </w:r>
      <w:r>
        <w:rPr>
          <w:lang w:val="en-GB"/>
        </w:rPr>
        <w:t>, which shows these apartments now dominate the City’s stock of residential dwellings</w:t>
      </w:r>
      <w:r w:rsidR="00907604">
        <w:rPr>
          <w:lang w:val="en-GB"/>
        </w:rPr>
        <w:t>.</w:t>
      </w:r>
    </w:p>
    <w:p w14:paraId="12CA2684" w14:textId="5DE0D6DF" w:rsidR="008B72FA" w:rsidRDefault="008B72FA" w:rsidP="005922A0">
      <w:pPr>
        <w:rPr>
          <w:lang w:val="en-GB"/>
        </w:rPr>
      </w:pPr>
      <w:r w:rsidRPr="000A08F8">
        <w:rPr>
          <w:lang w:val="en-GB"/>
        </w:rPr>
        <w:t xml:space="preserve">The result of this significant growth in high-rise apartments is that these dwellings now represent the largest single space-use category in the city, at </w:t>
      </w:r>
      <w:r w:rsidRPr="006B111D">
        <w:rPr>
          <w:lang w:val="en-GB"/>
        </w:rPr>
        <w:t xml:space="preserve">8,239,495 </w:t>
      </w:r>
      <w:r w:rsidRPr="000A08F8">
        <w:rPr>
          <w:lang w:val="en-GB"/>
        </w:rPr>
        <w:t>m2 (including associated shared areas), and dominate both the count of dwellings and the total floor area by dwelling type</w:t>
      </w:r>
      <w:r>
        <w:rPr>
          <w:lang w:val="en-GB"/>
        </w:rPr>
        <w:t xml:space="preserve"> – see </w:t>
      </w:r>
      <w:r>
        <w:rPr>
          <w:lang w:val="en-GB"/>
        </w:rPr>
        <w:fldChar w:fldCharType="begin"/>
      </w:r>
      <w:r>
        <w:rPr>
          <w:lang w:val="en-GB"/>
        </w:rPr>
        <w:instrText xml:space="preserve"> REF _Ref171422488 \h </w:instrText>
      </w:r>
      <w:r w:rsidR="005922A0">
        <w:rPr>
          <w:lang w:val="en-GB"/>
        </w:rPr>
        <w:instrText xml:space="preserve"> \* MERGEFORMAT </w:instrText>
      </w:r>
      <w:r>
        <w:rPr>
          <w:lang w:val="en-GB"/>
        </w:rPr>
      </w:r>
      <w:r>
        <w:rPr>
          <w:lang w:val="en-GB"/>
        </w:rPr>
        <w:fldChar w:fldCharType="separate"/>
      </w:r>
      <w:r w:rsidRPr="00B404FA">
        <w:t xml:space="preserve">Figure </w:t>
      </w:r>
      <w:r>
        <w:rPr>
          <w:noProof/>
        </w:rPr>
        <w:t>15</w:t>
      </w:r>
      <w:r>
        <w:rPr>
          <w:lang w:val="en-GB"/>
        </w:rPr>
        <w:fldChar w:fldCharType="end"/>
      </w:r>
      <w:r>
        <w:rPr>
          <w:lang w:val="en-GB"/>
        </w:rPr>
        <w:t>.</w:t>
      </w:r>
    </w:p>
    <w:p w14:paraId="21BE9C2B" w14:textId="77777777" w:rsidR="005922A0" w:rsidRDefault="005922A0" w:rsidP="005922A0">
      <w:pPr>
        <w:pStyle w:val="BodyText"/>
        <w:keepNext/>
      </w:pPr>
      <w:r>
        <w:rPr>
          <w:noProof/>
        </w:rPr>
        <w:lastRenderedPageBreak/>
        <w:drawing>
          <wp:inline distT="0" distB="0" distL="0" distR="0" wp14:anchorId="6981C243" wp14:editId="10F079FA">
            <wp:extent cx="5714365" cy="3400425"/>
            <wp:effectExtent l="0" t="0" r="635" b="0"/>
            <wp:docPr id="1686213792" name="Chart 1" descr="Bar graph,  see Appendix A13  for data information.">
              <a:extLst xmlns:a="http://schemas.openxmlformats.org/drawingml/2006/main">
                <a:ext uri="{FF2B5EF4-FFF2-40B4-BE49-F238E27FC236}">
                  <a16:creationId xmlns:a16="http://schemas.microsoft.com/office/drawing/2014/main" id="{C1726490-45EE-3A23-AEE7-3BDB08B55A4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2879F391" w14:textId="77777777" w:rsidR="005922A0" w:rsidRPr="005922A0" w:rsidRDefault="005922A0" w:rsidP="005922A0">
      <w:pPr>
        <w:pStyle w:val="BodyText"/>
        <w:rPr>
          <w:rFonts w:ascii="Arial Bold" w:hAnsi="Arial Bold" w:hint="eastAsia"/>
          <w:b/>
          <w:bCs/>
          <w:szCs w:val="18"/>
        </w:rPr>
      </w:pPr>
      <w:bookmarkStart w:id="78" w:name="_Ref171022444"/>
      <w:bookmarkStart w:id="79" w:name="_Toc171951120"/>
      <w:r w:rsidRPr="005922A0">
        <w:rPr>
          <w:rFonts w:ascii="Arial Bold" w:hAnsi="Arial Bold"/>
          <w:b/>
          <w:bCs/>
          <w:szCs w:val="18"/>
        </w:rPr>
        <w:t xml:space="preserve">Figure </w:t>
      </w:r>
      <w:r w:rsidRPr="005922A0">
        <w:rPr>
          <w:rFonts w:ascii="Arial Bold" w:hAnsi="Arial Bold"/>
          <w:b/>
          <w:bCs/>
          <w:szCs w:val="18"/>
        </w:rPr>
        <w:fldChar w:fldCharType="begin"/>
      </w:r>
      <w:r w:rsidRPr="005922A0">
        <w:rPr>
          <w:rFonts w:ascii="Arial Bold" w:hAnsi="Arial Bold"/>
          <w:b/>
          <w:bCs/>
          <w:szCs w:val="18"/>
        </w:rPr>
        <w:instrText xml:space="preserve"> SEQ Figure \* ARABIC </w:instrText>
      </w:r>
      <w:r w:rsidRPr="005922A0">
        <w:rPr>
          <w:rFonts w:ascii="Arial Bold" w:hAnsi="Arial Bold"/>
          <w:b/>
          <w:bCs/>
          <w:szCs w:val="18"/>
        </w:rPr>
        <w:fldChar w:fldCharType="separate"/>
      </w:r>
      <w:r w:rsidRPr="005922A0">
        <w:rPr>
          <w:rFonts w:ascii="Arial Bold" w:hAnsi="Arial Bold"/>
          <w:b/>
          <w:bCs/>
          <w:szCs w:val="18"/>
        </w:rPr>
        <w:t>14</w:t>
      </w:r>
      <w:r w:rsidRPr="005922A0">
        <w:rPr>
          <w:rFonts w:ascii="Arial Bold" w:hAnsi="Arial Bold"/>
          <w:b/>
          <w:bCs/>
          <w:szCs w:val="18"/>
        </w:rPr>
        <w:fldChar w:fldCharType="end"/>
      </w:r>
      <w:bookmarkEnd w:id="78"/>
      <w:r w:rsidRPr="005922A0">
        <w:rPr>
          <w:rFonts w:ascii="Arial Bold" w:hAnsi="Arial Bold"/>
          <w:b/>
          <w:bCs/>
          <w:szCs w:val="18"/>
        </w:rPr>
        <w:t>: Count of Dwellings by Residential Space-Use Type, City of Melbourne, FY2022</w:t>
      </w:r>
      <w:bookmarkEnd w:id="79"/>
    </w:p>
    <w:p w14:paraId="70344C93" w14:textId="02855A60" w:rsidR="008B72FA" w:rsidRDefault="00A564FF" w:rsidP="005922A0">
      <w:pPr>
        <w:rPr>
          <w:lang w:val="en-GB"/>
        </w:rPr>
      </w:pPr>
      <w:r w:rsidRPr="00A12C95">
        <w:rPr>
          <w:lang w:val="en-US"/>
        </w:rPr>
        <w:t>View</w:t>
      </w:r>
      <w:r w:rsidRPr="00A12C95">
        <w:t xml:space="preserve"> </w:t>
      </w:r>
      <w:hyperlink w:anchor="_Figure_14:_Count" w:history="1">
        <w:r>
          <w:rPr>
            <w:rStyle w:val="Hyperlink"/>
            <w:color w:val="0070C0"/>
            <w:lang w:val="en-US"/>
          </w:rPr>
          <w:t>Count of Dwellings by Residential Space-Use Type, City of Melbourne, FY2022</w:t>
        </w:r>
      </w:hyperlink>
      <w:r w:rsidRPr="00A12C95">
        <w:rPr>
          <w:lang w:val="en-US"/>
        </w:rPr>
        <w:t xml:space="preserve"> data table </w:t>
      </w:r>
      <w:r w:rsidR="00835883">
        <w:rPr>
          <w:lang w:val="en-US"/>
        </w:rPr>
        <w:t xml:space="preserve">A.13 </w:t>
      </w:r>
      <w:r w:rsidRPr="00A12C95">
        <w:rPr>
          <w:lang w:val="en-US"/>
        </w:rPr>
        <w:t>in appendix</w:t>
      </w:r>
      <w:r w:rsidR="00104913">
        <w:rPr>
          <w:lang w:val="en-US"/>
        </w:rPr>
        <w:t>.</w:t>
      </w:r>
    </w:p>
    <w:p w14:paraId="27BE3CFC" w14:textId="77777777" w:rsidR="00104913" w:rsidRDefault="00104913" w:rsidP="00104913">
      <w:pPr>
        <w:pStyle w:val="Caption"/>
        <w:rPr>
          <w:rFonts w:hint="eastAsia"/>
        </w:rPr>
      </w:pPr>
      <w:r>
        <w:rPr>
          <w:noProof/>
        </w:rPr>
        <w:drawing>
          <wp:inline distT="0" distB="0" distL="0" distR="0" wp14:anchorId="6728BE28" wp14:editId="6DA28436">
            <wp:extent cx="6096000" cy="3543300"/>
            <wp:effectExtent l="0" t="0" r="0" b="0"/>
            <wp:docPr id="913861745" name="Chart 1" descr="Pie chart, see Appendix A14 for data information.">
              <a:extLst xmlns:a="http://schemas.openxmlformats.org/drawingml/2006/main">
                <a:ext uri="{FF2B5EF4-FFF2-40B4-BE49-F238E27FC236}">
                  <a16:creationId xmlns:a16="http://schemas.microsoft.com/office/drawing/2014/main" id="{E5DD8C6A-D779-89C2-9AC4-B42E41D2511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4836535C" w14:textId="77777777" w:rsidR="00104913" w:rsidRPr="00104913" w:rsidRDefault="00104913" w:rsidP="00104913">
      <w:pPr>
        <w:pStyle w:val="BodyText"/>
        <w:rPr>
          <w:rFonts w:ascii="Arial Bold" w:hAnsi="Arial Bold" w:hint="eastAsia"/>
          <w:b/>
          <w:bCs/>
          <w:szCs w:val="18"/>
        </w:rPr>
      </w:pPr>
      <w:bookmarkStart w:id="80" w:name="_Ref171422488"/>
      <w:bookmarkStart w:id="81" w:name="_Toc171951121"/>
      <w:r w:rsidRPr="00104913">
        <w:rPr>
          <w:rFonts w:ascii="Arial Bold" w:hAnsi="Arial Bold"/>
          <w:b/>
          <w:bCs/>
          <w:szCs w:val="18"/>
        </w:rPr>
        <w:t xml:space="preserve">Figure </w:t>
      </w:r>
      <w:r w:rsidRPr="00104913">
        <w:rPr>
          <w:rFonts w:ascii="Arial Bold" w:hAnsi="Arial Bold"/>
          <w:b/>
          <w:bCs/>
          <w:szCs w:val="18"/>
        </w:rPr>
        <w:fldChar w:fldCharType="begin"/>
      </w:r>
      <w:r w:rsidRPr="00104913">
        <w:rPr>
          <w:rFonts w:ascii="Arial Bold" w:hAnsi="Arial Bold"/>
          <w:b/>
          <w:bCs/>
          <w:szCs w:val="18"/>
        </w:rPr>
        <w:instrText xml:space="preserve"> SEQ Figure \* ARABIC </w:instrText>
      </w:r>
      <w:r w:rsidRPr="00104913">
        <w:rPr>
          <w:rFonts w:ascii="Arial Bold" w:hAnsi="Arial Bold"/>
          <w:b/>
          <w:bCs/>
          <w:szCs w:val="18"/>
        </w:rPr>
        <w:fldChar w:fldCharType="separate"/>
      </w:r>
      <w:r w:rsidRPr="00104913">
        <w:rPr>
          <w:rFonts w:ascii="Arial Bold" w:hAnsi="Arial Bold"/>
          <w:b/>
          <w:bCs/>
          <w:szCs w:val="18"/>
        </w:rPr>
        <w:t>15</w:t>
      </w:r>
      <w:r w:rsidRPr="00104913">
        <w:rPr>
          <w:rFonts w:ascii="Arial Bold" w:hAnsi="Arial Bold"/>
          <w:b/>
          <w:bCs/>
          <w:szCs w:val="18"/>
        </w:rPr>
        <w:fldChar w:fldCharType="end"/>
      </w:r>
      <w:bookmarkEnd w:id="80"/>
      <w:r w:rsidRPr="00104913">
        <w:rPr>
          <w:rFonts w:ascii="Arial Bold" w:hAnsi="Arial Bold"/>
          <w:b/>
          <w:bCs/>
          <w:szCs w:val="18"/>
        </w:rPr>
        <w:t>: Total Residential Floorspace by Residential Space-Use Type, City of Melbourne, FY2022</w:t>
      </w:r>
      <w:bookmarkEnd w:id="81"/>
    </w:p>
    <w:p w14:paraId="622B702F" w14:textId="11B2975E" w:rsidR="00A564FF" w:rsidRPr="001006A3" w:rsidRDefault="00A564FF" w:rsidP="001006A3">
      <w:r w:rsidRPr="00A12C95">
        <w:rPr>
          <w:lang w:val="en-US"/>
        </w:rPr>
        <w:t>View</w:t>
      </w:r>
      <w:r w:rsidRPr="00A12C95">
        <w:t xml:space="preserve"> </w:t>
      </w:r>
      <w:hyperlink w:anchor="_Total_Residential_Floorspace" w:history="1">
        <w:r>
          <w:rPr>
            <w:rStyle w:val="Hyperlink"/>
            <w:color w:val="0070C0"/>
            <w:lang w:val="en-US"/>
          </w:rPr>
          <w:t>Total Residential Floorspace by Residential Space-Use Type, City of Melbourne, FY2022</w:t>
        </w:r>
      </w:hyperlink>
      <w:r w:rsidRPr="00A12C95">
        <w:rPr>
          <w:lang w:val="en-US"/>
        </w:rPr>
        <w:t xml:space="preserve"> data table</w:t>
      </w:r>
      <w:r w:rsidR="00835883">
        <w:rPr>
          <w:lang w:val="en-US"/>
        </w:rPr>
        <w:t xml:space="preserve"> A.14</w:t>
      </w:r>
      <w:r w:rsidRPr="00A12C95">
        <w:rPr>
          <w:lang w:val="en-US"/>
        </w:rPr>
        <w:t xml:space="preserve"> in appendix</w:t>
      </w:r>
      <w:r w:rsidR="00104913">
        <w:rPr>
          <w:lang w:val="en-US"/>
        </w:rPr>
        <w:t>.</w:t>
      </w:r>
    </w:p>
    <w:p w14:paraId="1174D488" w14:textId="7250F3C2" w:rsidR="008B72FA" w:rsidRDefault="008B72FA" w:rsidP="00104913">
      <w:pPr>
        <w:rPr>
          <w:lang w:val="en-GB"/>
        </w:rPr>
      </w:pPr>
      <w:r w:rsidRPr="000A08F8">
        <w:rPr>
          <w:lang w:val="en-GB"/>
        </w:rPr>
        <w:lastRenderedPageBreak/>
        <w:t xml:space="preserve">The effect of this move towards high-rise apartments as the predominant dwelling type in the LGA is that </w:t>
      </w:r>
      <w:r>
        <w:rPr>
          <w:lang w:val="en-GB"/>
        </w:rPr>
        <w:t>31%</w:t>
      </w:r>
      <w:r w:rsidRPr="000A08F8">
        <w:rPr>
          <w:lang w:val="en-GB"/>
        </w:rPr>
        <w:t xml:space="preserve"> of floorspace in the innermost postcodes (300X) is now associated with residential space-uses. This cluster of apartment-heavy postcodes can be seen in</w:t>
      </w:r>
      <w:r>
        <w:rPr>
          <w:lang w:val="en-GB"/>
        </w:rPr>
        <w:t xml:space="preserve"> </w:t>
      </w:r>
      <w:r>
        <w:rPr>
          <w:lang w:val="en-GB"/>
        </w:rPr>
        <w:fldChar w:fldCharType="begin"/>
      </w:r>
      <w:r>
        <w:rPr>
          <w:lang w:val="en-GB"/>
        </w:rPr>
        <w:instrText xml:space="preserve"> REF _Ref170747942 \h </w:instrText>
      </w:r>
      <w:r w:rsidR="00104913">
        <w:rPr>
          <w:lang w:val="en-GB"/>
        </w:rPr>
        <w:instrText xml:space="preserve"> \* MERGEFORMAT </w:instrText>
      </w:r>
      <w:r>
        <w:rPr>
          <w:lang w:val="en-GB"/>
        </w:rPr>
      </w:r>
      <w:r>
        <w:rPr>
          <w:lang w:val="en-GB"/>
        </w:rPr>
        <w:fldChar w:fldCharType="separate"/>
      </w:r>
      <w:r w:rsidRPr="006B111D">
        <w:t xml:space="preserve">Figure </w:t>
      </w:r>
      <w:r>
        <w:rPr>
          <w:noProof/>
        </w:rPr>
        <w:t>16</w:t>
      </w:r>
      <w:r>
        <w:rPr>
          <w:lang w:val="en-GB"/>
        </w:rPr>
        <w:fldChar w:fldCharType="end"/>
      </w:r>
      <w:r w:rsidRPr="000A08F8">
        <w:rPr>
          <w:lang w:val="en-GB"/>
        </w:rPr>
        <w:t>, which also includes the more traditional residential areas in the north of the LGA (postcodes 3031, 3051, 3052, 3053).</w:t>
      </w:r>
      <w:r w:rsidRPr="000A08F8">
        <w:rPr>
          <w:lang w:val="en-GB"/>
        </w:rPr>
        <w:footnoteReference w:id="18"/>
      </w:r>
      <w:r w:rsidRPr="000A08F8">
        <w:rPr>
          <w:lang w:val="en-GB"/>
        </w:rPr>
        <w:t xml:space="preserve"> The share of space in postcode 3006, which covers Southbank, associated with residential space is comparable to these established residential neighbourhoods. Notably, the average height of residential building in postcode 3006 is almost 30 store</w:t>
      </w:r>
      <w:r>
        <w:rPr>
          <w:lang w:val="en-GB"/>
        </w:rPr>
        <w:t>y</w:t>
      </w:r>
      <w:r w:rsidRPr="000A08F8">
        <w:rPr>
          <w:lang w:val="en-GB"/>
        </w:rPr>
        <w:t>s</w:t>
      </w:r>
      <w:r>
        <w:rPr>
          <w:lang w:val="en-GB"/>
        </w:rPr>
        <w:t xml:space="preserve"> – see </w:t>
      </w:r>
      <w:r>
        <w:rPr>
          <w:lang w:val="en-GB"/>
        </w:rPr>
        <w:fldChar w:fldCharType="begin"/>
      </w:r>
      <w:r>
        <w:rPr>
          <w:lang w:val="en-GB"/>
        </w:rPr>
        <w:instrText xml:space="preserve"> REF _Ref169276429 \h </w:instrText>
      </w:r>
      <w:r w:rsidR="00104913">
        <w:rPr>
          <w:lang w:val="en-GB"/>
        </w:rPr>
        <w:instrText xml:space="preserve"> \* MERGEFORMAT </w:instrText>
      </w:r>
      <w:r>
        <w:rPr>
          <w:lang w:val="en-GB"/>
        </w:rPr>
      </w:r>
      <w:r>
        <w:rPr>
          <w:lang w:val="en-GB"/>
        </w:rPr>
        <w:fldChar w:fldCharType="separate"/>
      </w:r>
      <w:r w:rsidRPr="000C42AF">
        <w:t xml:space="preserve">Figure </w:t>
      </w:r>
      <w:r>
        <w:rPr>
          <w:noProof/>
        </w:rPr>
        <w:t>17</w:t>
      </w:r>
      <w:r>
        <w:rPr>
          <w:lang w:val="en-GB"/>
        </w:rPr>
        <w:fldChar w:fldCharType="end"/>
      </w:r>
      <w:r w:rsidRPr="000A08F8">
        <w:rPr>
          <w:lang w:val="en-GB"/>
        </w:rPr>
        <w:t>.</w:t>
      </w:r>
    </w:p>
    <w:p w14:paraId="0F0987DD" w14:textId="77777777" w:rsidR="00104913" w:rsidRDefault="00104913" w:rsidP="00104913">
      <w:pPr>
        <w:pStyle w:val="BodyText"/>
        <w:keepNext/>
      </w:pPr>
      <w:r>
        <w:rPr>
          <w:noProof/>
        </w:rPr>
        <w:drawing>
          <wp:inline distT="0" distB="0" distL="0" distR="0" wp14:anchorId="571DA078" wp14:editId="340119A0">
            <wp:extent cx="6120130" cy="3669665"/>
            <wp:effectExtent l="0" t="0" r="0" b="6985"/>
            <wp:docPr id="80092698" name="Chart 1" descr="Bar graph, see Appendix A15  for data information.">
              <a:extLst xmlns:a="http://schemas.openxmlformats.org/drawingml/2006/main">
                <a:ext uri="{FF2B5EF4-FFF2-40B4-BE49-F238E27FC236}">
                  <a16:creationId xmlns:a16="http://schemas.microsoft.com/office/drawing/2014/main" id="{CAFEDFCC-BB72-6053-3970-9B329F816EC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7BADD6FD" w14:textId="77777777" w:rsidR="00104913" w:rsidRPr="00104913" w:rsidRDefault="00104913" w:rsidP="00104913">
      <w:pPr>
        <w:pStyle w:val="BodyText"/>
        <w:rPr>
          <w:rFonts w:ascii="Arial Bold" w:hAnsi="Arial Bold" w:hint="eastAsia"/>
          <w:b/>
          <w:bCs/>
          <w:szCs w:val="18"/>
        </w:rPr>
      </w:pPr>
      <w:bookmarkStart w:id="82" w:name="_Ref170747942"/>
      <w:bookmarkStart w:id="83" w:name="_Toc171951122"/>
      <w:r w:rsidRPr="00104913">
        <w:rPr>
          <w:rFonts w:ascii="Arial Bold" w:hAnsi="Arial Bold"/>
          <w:b/>
          <w:bCs/>
          <w:szCs w:val="18"/>
        </w:rPr>
        <w:t xml:space="preserve">Figure </w:t>
      </w:r>
      <w:r w:rsidRPr="00104913">
        <w:rPr>
          <w:rFonts w:ascii="Arial Bold" w:hAnsi="Arial Bold"/>
          <w:b/>
          <w:bCs/>
          <w:szCs w:val="18"/>
        </w:rPr>
        <w:fldChar w:fldCharType="begin"/>
      </w:r>
      <w:r w:rsidRPr="00104913">
        <w:rPr>
          <w:rFonts w:ascii="Arial Bold" w:hAnsi="Arial Bold"/>
          <w:b/>
          <w:bCs/>
          <w:szCs w:val="18"/>
        </w:rPr>
        <w:instrText xml:space="preserve"> SEQ Figure \* ARABIC </w:instrText>
      </w:r>
      <w:r w:rsidRPr="00104913">
        <w:rPr>
          <w:rFonts w:ascii="Arial Bold" w:hAnsi="Arial Bold"/>
          <w:b/>
          <w:bCs/>
          <w:szCs w:val="18"/>
        </w:rPr>
        <w:fldChar w:fldCharType="separate"/>
      </w:r>
      <w:r w:rsidRPr="00104913">
        <w:rPr>
          <w:rFonts w:ascii="Arial Bold" w:hAnsi="Arial Bold"/>
          <w:b/>
          <w:bCs/>
          <w:szCs w:val="18"/>
        </w:rPr>
        <w:t>16</w:t>
      </w:r>
      <w:r w:rsidRPr="00104913">
        <w:rPr>
          <w:rFonts w:ascii="Arial Bold" w:hAnsi="Arial Bold"/>
          <w:b/>
          <w:bCs/>
          <w:szCs w:val="18"/>
        </w:rPr>
        <w:fldChar w:fldCharType="end"/>
      </w:r>
      <w:bookmarkEnd w:id="82"/>
      <w:r w:rsidRPr="00104913">
        <w:rPr>
          <w:rFonts w:ascii="Arial Bold" w:hAnsi="Arial Bold"/>
          <w:b/>
          <w:bCs/>
          <w:szCs w:val="18"/>
        </w:rPr>
        <w:t>:  Residential Floorspace as a Percentage of Total Floorspace by Postcode (excludes postcodes with no residential space)</w:t>
      </w:r>
      <w:bookmarkEnd w:id="83"/>
    </w:p>
    <w:p w14:paraId="7E788026" w14:textId="22FE4D1F" w:rsidR="00A564FF" w:rsidRPr="001006A3" w:rsidRDefault="00A564FF" w:rsidP="00A564FF">
      <w:r w:rsidRPr="00A12C95">
        <w:rPr>
          <w:lang w:val="en-US"/>
        </w:rPr>
        <w:t>View</w:t>
      </w:r>
      <w:r w:rsidRPr="00A12C95">
        <w:t xml:space="preserve"> </w:t>
      </w:r>
      <w:hyperlink w:anchor="_Residential_Floorspace_as" w:history="1">
        <w:r>
          <w:rPr>
            <w:rStyle w:val="Hyperlink"/>
            <w:color w:val="0070C0"/>
            <w:lang w:val="en-US"/>
          </w:rPr>
          <w:t>Residential Floorspace as a Percentage of Total Floorspace by Postcode (excludes postcodes with no residential space)</w:t>
        </w:r>
      </w:hyperlink>
      <w:r w:rsidRPr="00A12C95">
        <w:rPr>
          <w:lang w:val="en-US"/>
        </w:rPr>
        <w:t xml:space="preserve"> data table</w:t>
      </w:r>
      <w:r w:rsidR="00835883">
        <w:rPr>
          <w:lang w:val="en-US"/>
        </w:rPr>
        <w:t xml:space="preserve"> A.15</w:t>
      </w:r>
      <w:r w:rsidRPr="00A12C95">
        <w:rPr>
          <w:lang w:val="en-US"/>
        </w:rPr>
        <w:t xml:space="preserve"> in appendix</w:t>
      </w:r>
      <w:r w:rsidR="00104913">
        <w:rPr>
          <w:lang w:val="en-US"/>
        </w:rPr>
        <w:t>.</w:t>
      </w:r>
    </w:p>
    <w:p w14:paraId="35317F81" w14:textId="77777777" w:rsidR="00104913" w:rsidRDefault="00104913" w:rsidP="00104913">
      <w:pPr>
        <w:keepNext/>
      </w:pPr>
      <w:r>
        <w:rPr>
          <w:noProof/>
        </w:rPr>
        <w:lastRenderedPageBreak/>
        <w:drawing>
          <wp:inline distT="0" distB="0" distL="0" distR="0" wp14:anchorId="492A3C25" wp14:editId="1910E70D">
            <wp:extent cx="6120130" cy="2911642"/>
            <wp:effectExtent l="0" t="0" r="0" b="3175"/>
            <wp:docPr id="1336343212" name="Chart 1" descr="Bar graph, see Appendix A16 for data information.">
              <a:extLst xmlns:a="http://schemas.openxmlformats.org/drawingml/2006/main">
                <a:ext uri="{FF2B5EF4-FFF2-40B4-BE49-F238E27FC236}">
                  <a16:creationId xmlns:a16="http://schemas.microsoft.com/office/drawing/2014/main" id="{07574FD7-DB11-9A80-385F-6AE30945460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46F53CCC" w14:textId="77777777" w:rsidR="00104913" w:rsidRPr="00104913" w:rsidRDefault="00104913" w:rsidP="00104913">
      <w:pPr>
        <w:pStyle w:val="BodyText"/>
        <w:rPr>
          <w:rFonts w:ascii="Arial Bold" w:hAnsi="Arial Bold" w:hint="eastAsia"/>
          <w:b/>
          <w:bCs/>
          <w:szCs w:val="18"/>
        </w:rPr>
      </w:pPr>
      <w:bookmarkStart w:id="84" w:name="_Ref169276429"/>
      <w:bookmarkStart w:id="85" w:name="_Toc171951123"/>
      <w:r w:rsidRPr="00104913">
        <w:rPr>
          <w:rFonts w:ascii="Arial Bold" w:hAnsi="Arial Bold"/>
          <w:b/>
          <w:bCs/>
          <w:szCs w:val="18"/>
        </w:rPr>
        <w:t xml:space="preserve">Figure </w:t>
      </w:r>
      <w:r w:rsidRPr="00104913">
        <w:rPr>
          <w:rFonts w:ascii="Arial Bold" w:hAnsi="Arial Bold"/>
          <w:b/>
          <w:bCs/>
          <w:szCs w:val="18"/>
        </w:rPr>
        <w:fldChar w:fldCharType="begin"/>
      </w:r>
      <w:r w:rsidRPr="00104913">
        <w:rPr>
          <w:rFonts w:ascii="Arial Bold" w:hAnsi="Arial Bold"/>
          <w:b/>
          <w:bCs/>
          <w:szCs w:val="18"/>
        </w:rPr>
        <w:instrText xml:space="preserve"> SEQ Figure \* ARABIC </w:instrText>
      </w:r>
      <w:r w:rsidRPr="00104913">
        <w:rPr>
          <w:rFonts w:ascii="Arial Bold" w:hAnsi="Arial Bold"/>
          <w:b/>
          <w:bCs/>
          <w:szCs w:val="18"/>
        </w:rPr>
        <w:fldChar w:fldCharType="separate"/>
      </w:r>
      <w:r w:rsidRPr="00104913">
        <w:rPr>
          <w:rFonts w:ascii="Arial Bold" w:hAnsi="Arial Bold"/>
          <w:b/>
          <w:bCs/>
          <w:szCs w:val="18"/>
        </w:rPr>
        <w:t>17</w:t>
      </w:r>
      <w:r w:rsidRPr="00104913">
        <w:rPr>
          <w:rFonts w:ascii="Arial Bold" w:hAnsi="Arial Bold"/>
          <w:b/>
          <w:bCs/>
          <w:szCs w:val="18"/>
        </w:rPr>
        <w:fldChar w:fldCharType="end"/>
      </w:r>
      <w:bookmarkEnd w:id="84"/>
      <w:r w:rsidRPr="00104913">
        <w:rPr>
          <w:rFonts w:ascii="Arial Bold" w:hAnsi="Arial Bold"/>
          <w:b/>
          <w:bCs/>
          <w:szCs w:val="18"/>
        </w:rPr>
        <w:t>: Average Number of Apartment Building Floors Above Ground</w:t>
      </w:r>
      <w:bookmarkEnd w:id="85"/>
    </w:p>
    <w:p w14:paraId="1438FE7C" w14:textId="02E6835A" w:rsidR="00A564FF" w:rsidRPr="001006A3" w:rsidRDefault="00A564FF" w:rsidP="00A564FF">
      <w:r w:rsidRPr="00A12C95">
        <w:rPr>
          <w:lang w:val="en-US"/>
        </w:rPr>
        <w:t>View</w:t>
      </w:r>
      <w:r w:rsidRPr="00A12C95">
        <w:t xml:space="preserve"> </w:t>
      </w:r>
      <w:hyperlink w:anchor="_Average_Number_of_1" w:history="1">
        <w:r>
          <w:rPr>
            <w:rStyle w:val="Hyperlink"/>
            <w:color w:val="0070C0"/>
            <w:lang w:val="en-US"/>
          </w:rPr>
          <w:t>Average Number of Apartment Building Floors Above Ground</w:t>
        </w:r>
      </w:hyperlink>
      <w:r w:rsidRPr="00A12C95">
        <w:rPr>
          <w:lang w:val="en-US"/>
        </w:rPr>
        <w:t xml:space="preserve"> data table</w:t>
      </w:r>
      <w:r w:rsidR="00835883">
        <w:rPr>
          <w:lang w:val="en-US"/>
        </w:rPr>
        <w:t xml:space="preserve"> A.16 </w:t>
      </w:r>
      <w:r w:rsidRPr="00A12C95">
        <w:rPr>
          <w:lang w:val="en-US"/>
        </w:rPr>
        <w:t>in appendix</w:t>
      </w:r>
      <w:r w:rsidR="00A75648">
        <w:rPr>
          <w:lang w:val="en-US"/>
        </w:rPr>
        <w:t>.</w:t>
      </w:r>
    </w:p>
    <w:p w14:paraId="42E52298" w14:textId="6E57FAF6" w:rsidR="008B72FA" w:rsidRDefault="008B72FA" w:rsidP="008B72FA">
      <w:pPr>
        <w:pStyle w:val="Heading3"/>
        <w:rPr>
          <w:rFonts w:hint="eastAsia"/>
        </w:rPr>
      </w:pPr>
      <w:bookmarkStart w:id="86" w:name="_3.2.3_Education_and"/>
      <w:bookmarkEnd w:id="86"/>
      <w:r>
        <w:t>3.2.3</w:t>
      </w:r>
      <w:r>
        <w:tab/>
        <w:t>Education and Healthcare</w:t>
      </w:r>
    </w:p>
    <w:p w14:paraId="5B7C9963" w14:textId="2F747254" w:rsidR="00A75648" w:rsidRDefault="008B72FA" w:rsidP="00A75648">
      <w:pPr>
        <w:rPr>
          <w:lang w:val="en-GB"/>
        </w:rPr>
      </w:pPr>
      <w:r>
        <w:rPr>
          <w:lang w:val="en-GB"/>
        </w:rPr>
        <w:t xml:space="preserve">Despite education and healthcare making up a relatively small portion of the total floor-space in the LGA, 4.2% and 2% respectively, these spaces are overrepresented in particular postcodes, as can be seen in </w:t>
      </w:r>
      <w:bookmarkStart w:id="87" w:name="_Toc171951124"/>
      <w:r w:rsidR="00A75648">
        <w:rPr>
          <w:lang w:val="en-GB"/>
        </w:rPr>
        <w:fldChar w:fldCharType="begin"/>
      </w:r>
      <w:r w:rsidR="00A75648">
        <w:rPr>
          <w:lang w:val="en-GB"/>
        </w:rPr>
        <w:instrText xml:space="preserve"> REF _Ref170748669 \h  \* MERGEFORMAT </w:instrText>
      </w:r>
      <w:r w:rsidR="00A75648">
        <w:rPr>
          <w:lang w:val="en-GB"/>
        </w:rPr>
      </w:r>
      <w:r w:rsidR="00A75648">
        <w:rPr>
          <w:lang w:val="en-GB"/>
        </w:rPr>
        <w:fldChar w:fldCharType="separate"/>
      </w:r>
      <w:r w:rsidR="00A75648" w:rsidRPr="00D65815">
        <w:rPr>
          <w:lang w:val="en-GB"/>
        </w:rPr>
        <w:t>Figure 18</w:t>
      </w:r>
      <w:r w:rsidR="00A75648">
        <w:rPr>
          <w:lang w:val="en-GB"/>
        </w:rPr>
        <w:fldChar w:fldCharType="end"/>
      </w:r>
      <w:r w:rsidR="00A75648">
        <w:rPr>
          <w:lang w:val="en-GB"/>
        </w:rPr>
        <w:t>. These space-uses are also more fuel-intensive than the LGA-wide average, as will be discussed in more detail below.</w:t>
      </w:r>
    </w:p>
    <w:p w14:paraId="45DFF818" w14:textId="561557E9" w:rsidR="00A75648" w:rsidRDefault="00A75648" w:rsidP="00A75648">
      <w:pPr>
        <w:pStyle w:val="BodyText"/>
        <w:rPr>
          <w:rFonts w:ascii="Calibri" w:hAnsi="Calibri"/>
          <w:b/>
          <w:bCs/>
          <w:color w:val="004E5D"/>
        </w:rPr>
      </w:pPr>
      <w:r>
        <w:rPr>
          <w:noProof/>
        </w:rPr>
        <w:drawing>
          <wp:inline distT="0" distB="0" distL="0" distR="0" wp14:anchorId="20E7F6E4" wp14:editId="701C9793">
            <wp:extent cx="6120130" cy="2959768"/>
            <wp:effectExtent l="0" t="0" r="0" b="0"/>
            <wp:docPr id="1395346250" name="Chart 1" descr="Bar graph,, see Appendix A17 for data information.">
              <a:extLst xmlns:a="http://schemas.openxmlformats.org/drawingml/2006/main">
                <a:ext uri="{FF2B5EF4-FFF2-40B4-BE49-F238E27FC236}">
                  <a16:creationId xmlns:a16="http://schemas.microsoft.com/office/drawing/2014/main" id="{897488C6-0073-B6A2-9703-B1748FD458F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bookmarkStart w:id="88" w:name="_Ref170748669"/>
      <w:r w:rsidRPr="00A75648">
        <w:rPr>
          <w:rFonts w:ascii="Arial Bold" w:hAnsi="Arial Bold"/>
          <w:b/>
          <w:bCs/>
          <w:szCs w:val="18"/>
        </w:rPr>
        <w:t xml:space="preserve">Figure </w:t>
      </w:r>
      <w:r w:rsidRPr="00A75648">
        <w:rPr>
          <w:rFonts w:ascii="Arial Bold" w:hAnsi="Arial Bold"/>
          <w:b/>
          <w:bCs/>
          <w:szCs w:val="18"/>
        </w:rPr>
        <w:fldChar w:fldCharType="begin"/>
      </w:r>
      <w:r w:rsidRPr="00A75648">
        <w:rPr>
          <w:rFonts w:ascii="Arial Bold" w:hAnsi="Arial Bold"/>
          <w:b/>
          <w:bCs/>
          <w:szCs w:val="18"/>
        </w:rPr>
        <w:instrText xml:space="preserve"> SEQ Figure \* ARABIC </w:instrText>
      </w:r>
      <w:r w:rsidRPr="00A75648">
        <w:rPr>
          <w:rFonts w:ascii="Arial Bold" w:hAnsi="Arial Bold"/>
          <w:b/>
          <w:bCs/>
          <w:szCs w:val="18"/>
        </w:rPr>
        <w:fldChar w:fldCharType="separate"/>
      </w:r>
      <w:r w:rsidRPr="00A75648">
        <w:rPr>
          <w:rFonts w:ascii="Arial Bold" w:hAnsi="Arial Bold"/>
          <w:b/>
          <w:bCs/>
          <w:szCs w:val="18"/>
        </w:rPr>
        <w:t>18</w:t>
      </w:r>
      <w:r w:rsidRPr="00A75648">
        <w:rPr>
          <w:rFonts w:ascii="Arial Bold" w:hAnsi="Arial Bold"/>
          <w:b/>
          <w:bCs/>
          <w:szCs w:val="18"/>
        </w:rPr>
        <w:fldChar w:fldCharType="end"/>
      </w:r>
      <w:bookmarkEnd w:id="88"/>
      <w:r w:rsidRPr="00A75648">
        <w:rPr>
          <w:rFonts w:ascii="Arial Bold" w:hAnsi="Arial Bold"/>
          <w:b/>
          <w:bCs/>
          <w:szCs w:val="18"/>
        </w:rPr>
        <w:t>: Distribution of Education and Healthcare Floorspace by Postcode, City of Melbourne, FY2022</w:t>
      </w:r>
      <w:bookmarkEnd w:id="87"/>
    </w:p>
    <w:p w14:paraId="04DE04C9" w14:textId="62D8D53D" w:rsidR="00A564FF" w:rsidRPr="001006A3" w:rsidRDefault="00A564FF" w:rsidP="00A564FF">
      <w:r w:rsidRPr="00A12C95">
        <w:rPr>
          <w:lang w:val="en-US"/>
        </w:rPr>
        <w:t>View</w:t>
      </w:r>
      <w:r w:rsidRPr="00A12C95">
        <w:t xml:space="preserve"> </w:t>
      </w:r>
      <w:hyperlink w:anchor="_Figure_18:_Distribution" w:history="1">
        <w:r>
          <w:rPr>
            <w:rStyle w:val="Hyperlink"/>
            <w:color w:val="0070C0"/>
            <w:lang w:val="en-US"/>
          </w:rPr>
          <w:t>Distribution of Education and Healthcare Floorspace by Postcode, City of Melbourne, FY2022</w:t>
        </w:r>
      </w:hyperlink>
      <w:r w:rsidRPr="00A12C95">
        <w:rPr>
          <w:lang w:val="en-US"/>
        </w:rPr>
        <w:t xml:space="preserve"> data table </w:t>
      </w:r>
      <w:r w:rsidR="00835883">
        <w:rPr>
          <w:lang w:val="en-US"/>
        </w:rPr>
        <w:t xml:space="preserve">A.17 </w:t>
      </w:r>
      <w:r w:rsidRPr="00A12C95">
        <w:rPr>
          <w:lang w:val="en-US"/>
        </w:rPr>
        <w:t>in appendix</w:t>
      </w:r>
      <w:r w:rsidR="00A75648">
        <w:rPr>
          <w:lang w:val="en-US"/>
        </w:rPr>
        <w:t>.</w:t>
      </w:r>
    </w:p>
    <w:p w14:paraId="0B5B784D" w14:textId="77777777" w:rsidR="00907604" w:rsidRDefault="00907604" w:rsidP="008B72FA">
      <w:pPr>
        <w:pStyle w:val="Heading3"/>
        <w:rPr>
          <w:rFonts w:hint="eastAsia"/>
        </w:rPr>
      </w:pPr>
      <w:bookmarkStart w:id="89" w:name="_3.2.4_Unused_Space"/>
      <w:bookmarkEnd w:id="89"/>
    </w:p>
    <w:p w14:paraId="567A4637" w14:textId="3A4BDC9E" w:rsidR="008B72FA" w:rsidRDefault="008B72FA" w:rsidP="008B72FA">
      <w:pPr>
        <w:pStyle w:val="Heading3"/>
        <w:rPr>
          <w:rFonts w:hint="eastAsia"/>
        </w:rPr>
      </w:pPr>
      <w:r>
        <w:lastRenderedPageBreak/>
        <w:t>3.2.4</w:t>
      </w:r>
      <w:r>
        <w:tab/>
        <w:t>Unused Space</w:t>
      </w:r>
    </w:p>
    <w:p w14:paraId="2BE486A5" w14:textId="77777777" w:rsidR="008B72FA" w:rsidRDefault="008B72FA" w:rsidP="008B72FA">
      <w:pPr>
        <w:pStyle w:val="BodyText"/>
        <w:rPr>
          <w:lang w:val="en-GB"/>
        </w:rPr>
      </w:pPr>
      <w:r w:rsidRPr="000C42AF">
        <w:rPr>
          <w:lang w:val="en-GB"/>
        </w:rPr>
        <w:t xml:space="preserve">Unused space is a major space-use (or space-unuse) in the LGA, </w:t>
      </w:r>
      <w:r>
        <w:rPr>
          <w:lang w:val="en-GB"/>
        </w:rPr>
        <w:t xml:space="preserve">indeed it is </w:t>
      </w:r>
      <w:r w:rsidRPr="000C42AF">
        <w:rPr>
          <w:lang w:val="en-GB"/>
        </w:rPr>
        <w:t xml:space="preserve">the </w:t>
      </w:r>
      <w:r>
        <w:rPr>
          <w:lang w:val="en-GB"/>
        </w:rPr>
        <w:t xml:space="preserve">third </w:t>
      </w:r>
      <w:r w:rsidRPr="000C42AF">
        <w:rPr>
          <w:lang w:val="en-GB"/>
        </w:rPr>
        <w:t>largest</w:t>
      </w:r>
      <w:r>
        <w:rPr>
          <w:lang w:val="en-GB"/>
        </w:rPr>
        <w:t xml:space="preserve"> – see </w:t>
      </w:r>
      <w:r>
        <w:rPr>
          <w:lang w:val="en-GB"/>
        </w:rPr>
        <w:fldChar w:fldCharType="begin"/>
      </w:r>
      <w:r>
        <w:rPr>
          <w:lang w:val="en-GB"/>
        </w:rPr>
        <w:instrText xml:space="preserve"> REF _Ref170748702 \h </w:instrText>
      </w:r>
      <w:r>
        <w:rPr>
          <w:lang w:val="en-GB"/>
        </w:rPr>
      </w:r>
      <w:r>
        <w:rPr>
          <w:lang w:val="en-GB"/>
        </w:rPr>
        <w:fldChar w:fldCharType="separate"/>
      </w:r>
      <w:r w:rsidRPr="006E5B06">
        <w:t xml:space="preserve">Figure </w:t>
      </w:r>
      <w:r>
        <w:rPr>
          <w:noProof/>
        </w:rPr>
        <w:t>19</w:t>
      </w:r>
      <w:r>
        <w:rPr>
          <w:lang w:val="en-GB"/>
        </w:rPr>
        <w:fldChar w:fldCharType="end"/>
      </w:r>
      <w:r>
        <w:rPr>
          <w:lang w:val="en-GB"/>
        </w:rPr>
        <w:t>.  We assume that this space is largely unpowered, and therefore this space use – if it can be considered as such, is not modelled in Chapter 4</w:t>
      </w:r>
      <w:r w:rsidRPr="000C42AF">
        <w:rPr>
          <w:lang w:val="en-GB"/>
        </w:rPr>
        <w:t>.</w:t>
      </w:r>
      <w:r>
        <w:rPr>
          <w:rStyle w:val="FootnoteReference"/>
          <w:lang w:val="en-GB"/>
        </w:rPr>
        <w:footnoteReference w:id="19"/>
      </w:r>
      <w:r w:rsidRPr="000C42AF">
        <w:rPr>
          <w:lang w:val="en-GB"/>
        </w:rPr>
        <w:t xml:space="preserve"> </w:t>
      </w:r>
      <w:r>
        <w:rPr>
          <w:lang w:val="en-GB"/>
        </w:rPr>
        <w:t xml:space="preserve"> </w:t>
      </w:r>
      <w:r w:rsidRPr="000C42AF">
        <w:rPr>
          <w:lang w:val="en-GB"/>
        </w:rPr>
        <w:t>While roughly a fifth, or 1</w:t>
      </w:r>
      <w:r>
        <w:rPr>
          <w:lang w:val="en-GB"/>
        </w:rPr>
        <w:t>.08 million</w:t>
      </w:r>
      <w:r w:rsidRPr="000C42AF">
        <w:rPr>
          <w:lang w:val="en-GB"/>
        </w:rPr>
        <w:t xml:space="preserve"> </w:t>
      </w:r>
      <w:r>
        <w:rPr>
          <w:lang w:val="en-GB"/>
        </w:rPr>
        <w:t>sqm</w:t>
      </w:r>
      <w:r w:rsidRPr="000C42AF">
        <w:rPr>
          <w:lang w:val="en-GB"/>
        </w:rPr>
        <w:t>, of the total unused area is associated with construction or renovation site</w:t>
      </w:r>
      <w:r>
        <w:rPr>
          <w:lang w:val="en-GB"/>
        </w:rPr>
        <w:t>s</w:t>
      </w:r>
      <w:r w:rsidRPr="000C42AF">
        <w:rPr>
          <w:lang w:val="en-GB"/>
        </w:rPr>
        <w:t>, a much larger area, 3</w:t>
      </w:r>
      <w:r>
        <w:rPr>
          <w:lang w:val="en-GB"/>
        </w:rPr>
        <w:t>.86 million sqm</w:t>
      </w:r>
      <w:r w:rsidRPr="000C42AF">
        <w:rPr>
          <w:lang w:val="en-GB"/>
        </w:rPr>
        <w:t>, was identified as being unused and not under development</w:t>
      </w:r>
      <w:r>
        <w:rPr>
          <w:lang w:val="en-GB"/>
        </w:rPr>
        <w:t xml:space="preserve"> at the time of the last CLUE census.</w:t>
      </w:r>
    </w:p>
    <w:p w14:paraId="39979CD0" w14:textId="77777777" w:rsidR="00B33DB1" w:rsidRDefault="00B33DB1" w:rsidP="00B33DB1">
      <w:pPr>
        <w:keepNext/>
      </w:pPr>
      <w:r>
        <w:rPr>
          <w:noProof/>
        </w:rPr>
        <w:drawing>
          <wp:inline distT="0" distB="0" distL="0" distR="0" wp14:anchorId="0E71FE0F" wp14:editId="57F54D63">
            <wp:extent cx="6120130" cy="3051544"/>
            <wp:effectExtent l="0" t="0" r="0" b="0"/>
            <wp:docPr id="832098797" name="Chart 1" descr="Pie chart, see Appendix A18  for data information.">
              <a:extLst xmlns:a="http://schemas.openxmlformats.org/drawingml/2006/main">
                <a:ext uri="{FF2B5EF4-FFF2-40B4-BE49-F238E27FC236}">
                  <a16:creationId xmlns:a16="http://schemas.microsoft.com/office/drawing/2014/main" id="{073DAEDD-8418-7EC4-CCC4-ADEB585FF26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0867BAB2" w14:textId="77777777" w:rsidR="00B33DB1" w:rsidRPr="00B33DB1" w:rsidRDefault="00B33DB1" w:rsidP="00B33DB1">
      <w:pPr>
        <w:pStyle w:val="BodyText"/>
        <w:rPr>
          <w:rFonts w:ascii="Arial Bold" w:hAnsi="Arial Bold" w:hint="eastAsia"/>
          <w:b/>
          <w:bCs/>
          <w:szCs w:val="18"/>
        </w:rPr>
      </w:pPr>
      <w:bookmarkStart w:id="90" w:name="_Ref170748702"/>
      <w:bookmarkStart w:id="91" w:name="_Toc171951125"/>
      <w:r w:rsidRPr="00B33DB1">
        <w:rPr>
          <w:rFonts w:ascii="Arial Bold" w:hAnsi="Arial Bold"/>
          <w:b/>
          <w:bCs/>
          <w:szCs w:val="18"/>
        </w:rPr>
        <w:t xml:space="preserve">Figure </w:t>
      </w:r>
      <w:r w:rsidRPr="00B33DB1">
        <w:rPr>
          <w:rFonts w:ascii="Arial Bold" w:hAnsi="Arial Bold"/>
          <w:b/>
          <w:bCs/>
          <w:szCs w:val="18"/>
        </w:rPr>
        <w:fldChar w:fldCharType="begin"/>
      </w:r>
      <w:r w:rsidRPr="00B33DB1">
        <w:rPr>
          <w:rFonts w:ascii="Arial Bold" w:hAnsi="Arial Bold"/>
          <w:b/>
          <w:bCs/>
          <w:szCs w:val="18"/>
        </w:rPr>
        <w:instrText xml:space="preserve"> SEQ Figure \* ARABIC </w:instrText>
      </w:r>
      <w:r w:rsidRPr="00B33DB1">
        <w:rPr>
          <w:rFonts w:ascii="Arial Bold" w:hAnsi="Arial Bold"/>
          <w:b/>
          <w:bCs/>
          <w:szCs w:val="18"/>
        </w:rPr>
        <w:fldChar w:fldCharType="separate"/>
      </w:r>
      <w:r w:rsidRPr="00B33DB1">
        <w:rPr>
          <w:rFonts w:ascii="Arial Bold" w:hAnsi="Arial Bold"/>
          <w:b/>
          <w:bCs/>
          <w:szCs w:val="18"/>
        </w:rPr>
        <w:t>19</w:t>
      </w:r>
      <w:r w:rsidRPr="00B33DB1">
        <w:rPr>
          <w:rFonts w:ascii="Arial Bold" w:hAnsi="Arial Bold"/>
          <w:b/>
          <w:bCs/>
          <w:szCs w:val="18"/>
        </w:rPr>
        <w:fldChar w:fldCharType="end"/>
      </w:r>
      <w:bookmarkEnd w:id="90"/>
      <w:r w:rsidRPr="00B33DB1">
        <w:rPr>
          <w:rFonts w:ascii="Arial Bold" w:hAnsi="Arial Bold"/>
          <w:b/>
          <w:bCs/>
          <w:szCs w:val="18"/>
        </w:rPr>
        <w:t>: Unused Floorspace by Category, City of Melbourne, FY2022</w:t>
      </w:r>
      <w:bookmarkEnd w:id="91"/>
    </w:p>
    <w:p w14:paraId="6ACC91CD" w14:textId="426834CB" w:rsidR="00A564FF" w:rsidRPr="00B33DB1" w:rsidRDefault="00A564FF" w:rsidP="00A564FF">
      <w:pPr>
        <w:rPr>
          <w:lang w:val="en-US"/>
        </w:rPr>
      </w:pPr>
      <w:r w:rsidRPr="00A12C95">
        <w:rPr>
          <w:lang w:val="en-US"/>
        </w:rPr>
        <w:t>View</w:t>
      </w:r>
      <w:r w:rsidRPr="00B33DB1">
        <w:rPr>
          <w:lang w:val="en-US"/>
        </w:rPr>
        <w:t xml:space="preserve"> </w:t>
      </w:r>
      <w:hyperlink w:anchor="_Unused_Floorspace_by" w:history="1">
        <w:r w:rsidRPr="00B33DB1">
          <w:rPr>
            <w:rStyle w:val="Hyperlink"/>
          </w:rPr>
          <w:t>Unused Floorspace by Category, City of Melbourne, FY2022</w:t>
        </w:r>
        <w:r w:rsidRPr="00B33DB1">
          <w:rPr>
            <w:rStyle w:val="Hyperlink"/>
            <w:lang w:val="en-US"/>
          </w:rPr>
          <w:t xml:space="preserve"> </w:t>
        </w:r>
      </w:hyperlink>
      <w:r w:rsidRPr="00A12C95">
        <w:rPr>
          <w:lang w:val="en-US"/>
        </w:rPr>
        <w:t xml:space="preserve"> </w:t>
      </w:r>
      <w:r w:rsidR="00835883">
        <w:rPr>
          <w:lang w:val="en-US"/>
        </w:rPr>
        <w:t>data table A.18.i</w:t>
      </w:r>
      <w:r w:rsidRPr="00A12C95">
        <w:rPr>
          <w:lang w:val="en-US"/>
        </w:rPr>
        <w:t>n appendix</w:t>
      </w:r>
      <w:r w:rsidR="00B33DB1">
        <w:rPr>
          <w:lang w:val="en-US"/>
        </w:rPr>
        <w:t>.</w:t>
      </w:r>
    </w:p>
    <w:p w14:paraId="0769DA38" w14:textId="77777777" w:rsidR="008B72FA" w:rsidRDefault="008B72FA" w:rsidP="008B72FA">
      <w:pPr>
        <w:pStyle w:val="BodyText"/>
        <w:rPr>
          <w:lang w:val="en-GB"/>
        </w:rPr>
      </w:pPr>
      <w:r w:rsidRPr="00D65310">
        <w:rPr>
          <w:lang w:val="en-GB"/>
        </w:rPr>
        <w:t>Although the largest area of unused space was associated with postcode 3000, this reflects the outsized share of total floor area in that postcode. The postcodes with the largest share of total floor area unused and not under construction are 3003 and 3207, encompassing West Melbourne and Port Melbourne/Fishermans Bend</w:t>
      </w:r>
      <w:r>
        <w:rPr>
          <w:lang w:val="en-GB"/>
        </w:rPr>
        <w:t xml:space="preserve"> – see </w:t>
      </w:r>
      <w:r>
        <w:rPr>
          <w:lang w:val="en-GB"/>
        </w:rPr>
        <w:fldChar w:fldCharType="begin"/>
      </w:r>
      <w:r>
        <w:rPr>
          <w:lang w:val="en-GB"/>
        </w:rPr>
        <w:instrText xml:space="preserve"> REF _Ref170748792 \h </w:instrText>
      </w:r>
      <w:r>
        <w:rPr>
          <w:lang w:val="en-GB"/>
        </w:rPr>
      </w:r>
      <w:r>
        <w:rPr>
          <w:lang w:val="en-GB"/>
        </w:rPr>
        <w:fldChar w:fldCharType="separate"/>
      </w:r>
      <w:r w:rsidRPr="00B51FE7">
        <w:t xml:space="preserve">Figure </w:t>
      </w:r>
      <w:r>
        <w:rPr>
          <w:noProof/>
        </w:rPr>
        <w:t>21</w:t>
      </w:r>
      <w:r>
        <w:rPr>
          <w:lang w:val="en-GB"/>
        </w:rPr>
        <w:fldChar w:fldCharType="end"/>
      </w:r>
      <w:r>
        <w:rPr>
          <w:lang w:val="en-GB"/>
        </w:rPr>
        <w:t>.</w:t>
      </w:r>
    </w:p>
    <w:p w14:paraId="790EB1C6" w14:textId="77777777" w:rsidR="00B33DB1" w:rsidRPr="00B33DB1" w:rsidRDefault="00B33DB1" w:rsidP="00B33DB1">
      <w:pPr>
        <w:pStyle w:val="BodyText"/>
        <w:rPr>
          <w:rFonts w:ascii="Arial Bold" w:hAnsi="Arial Bold" w:hint="eastAsia"/>
          <w:b/>
          <w:bCs/>
          <w:szCs w:val="18"/>
        </w:rPr>
      </w:pPr>
      <w:bookmarkStart w:id="92" w:name="_Toc171951126"/>
      <w:r w:rsidRPr="00B33DB1">
        <w:rPr>
          <w:rFonts w:ascii="Arial Bold" w:hAnsi="Arial Bold"/>
          <w:b/>
          <w:bCs/>
          <w:noProof/>
          <w:szCs w:val="18"/>
        </w:rPr>
        <w:lastRenderedPageBreak/>
        <w:drawing>
          <wp:inline distT="0" distB="0" distL="0" distR="0" wp14:anchorId="43C70379" wp14:editId="02785B51">
            <wp:extent cx="6067425" cy="3416968"/>
            <wp:effectExtent l="0" t="0" r="0" b="0"/>
            <wp:docPr id="2005285621" name="Chart 1" descr="Pie chart, see Appendix A19  for data information.">
              <a:extLst xmlns:a="http://schemas.openxmlformats.org/drawingml/2006/main">
                <a:ext uri="{FF2B5EF4-FFF2-40B4-BE49-F238E27FC236}">
                  <a16:creationId xmlns:a16="http://schemas.microsoft.com/office/drawing/2014/main" id="{9E83AD7B-7F3E-2695-B12C-8A3A7FE87B2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B33DB1">
        <w:rPr>
          <w:rFonts w:ascii="Arial Bold" w:hAnsi="Arial Bold"/>
          <w:b/>
          <w:bCs/>
          <w:szCs w:val="18"/>
        </w:rPr>
        <w:t xml:space="preserve">Figure </w:t>
      </w:r>
      <w:r w:rsidRPr="00B33DB1">
        <w:rPr>
          <w:rFonts w:ascii="Arial Bold" w:hAnsi="Arial Bold"/>
          <w:b/>
          <w:bCs/>
          <w:szCs w:val="18"/>
        </w:rPr>
        <w:fldChar w:fldCharType="begin"/>
      </w:r>
      <w:r w:rsidRPr="00B33DB1">
        <w:rPr>
          <w:rFonts w:ascii="Arial Bold" w:hAnsi="Arial Bold"/>
          <w:b/>
          <w:bCs/>
          <w:szCs w:val="18"/>
        </w:rPr>
        <w:instrText xml:space="preserve"> SEQ Figure \* ARABIC </w:instrText>
      </w:r>
      <w:r w:rsidRPr="00B33DB1">
        <w:rPr>
          <w:rFonts w:ascii="Arial Bold" w:hAnsi="Arial Bold"/>
          <w:b/>
          <w:bCs/>
          <w:szCs w:val="18"/>
        </w:rPr>
        <w:fldChar w:fldCharType="separate"/>
      </w:r>
      <w:r w:rsidRPr="00B33DB1">
        <w:rPr>
          <w:rFonts w:ascii="Arial Bold" w:hAnsi="Arial Bold"/>
          <w:b/>
          <w:bCs/>
          <w:szCs w:val="18"/>
        </w:rPr>
        <w:t>20</w:t>
      </w:r>
      <w:r w:rsidRPr="00B33DB1">
        <w:rPr>
          <w:rFonts w:ascii="Arial Bold" w:hAnsi="Arial Bold"/>
          <w:b/>
          <w:bCs/>
          <w:szCs w:val="18"/>
        </w:rPr>
        <w:fldChar w:fldCharType="end"/>
      </w:r>
      <w:r w:rsidRPr="00B33DB1">
        <w:rPr>
          <w:rFonts w:ascii="Arial Bold" w:hAnsi="Arial Bold"/>
          <w:b/>
          <w:bCs/>
          <w:szCs w:val="18"/>
        </w:rPr>
        <w:t>: Distribution of Unused Floorspace (sqm) by Postcode, City of Melbourne, FY2022</w:t>
      </w:r>
      <w:bookmarkEnd w:id="92"/>
    </w:p>
    <w:p w14:paraId="6625935F" w14:textId="11330E91" w:rsidR="00A564FF" w:rsidRDefault="00A564FF" w:rsidP="00A564FF">
      <w:pPr>
        <w:rPr>
          <w:lang w:val="en-US"/>
        </w:rPr>
      </w:pPr>
      <w:r w:rsidRPr="00A12C95">
        <w:rPr>
          <w:lang w:val="en-US"/>
        </w:rPr>
        <w:t>View</w:t>
      </w:r>
      <w:r w:rsidRPr="00A12C95">
        <w:t xml:space="preserve"> </w:t>
      </w:r>
      <w:hyperlink w:anchor="_Distribution_of_Unused" w:history="1">
        <w:r>
          <w:rPr>
            <w:rStyle w:val="Hyperlink"/>
            <w:color w:val="0070C0"/>
            <w:lang w:val="en-US"/>
          </w:rPr>
          <w:t>Distribution of Unused Floorspace (sqm) by Postcode, City of Melbourne, FY2022</w:t>
        </w:r>
      </w:hyperlink>
      <w:r w:rsidRPr="00A12C95">
        <w:rPr>
          <w:lang w:val="en-US"/>
        </w:rPr>
        <w:t xml:space="preserve"> data table</w:t>
      </w:r>
      <w:r w:rsidR="00835883">
        <w:rPr>
          <w:lang w:val="en-US"/>
        </w:rPr>
        <w:t xml:space="preserve"> A.19</w:t>
      </w:r>
      <w:r w:rsidRPr="00A12C95">
        <w:rPr>
          <w:lang w:val="en-US"/>
        </w:rPr>
        <w:t xml:space="preserve"> in appendix</w:t>
      </w:r>
      <w:r w:rsidR="00B33DB1">
        <w:rPr>
          <w:lang w:val="en-US"/>
        </w:rPr>
        <w:t>.</w:t>
      </w:r>
    </w:p>
    <w:p w14:paraId="7D951DA9" w14:textId="77777777" w:rsidR="00B33DB1" w:rsidRDefault="00B33DB1" w:rsidP="00B33DB1">
      <w:pPr>
        <w:keepNext/>
      </w:pPr>
      <w:r>
        <w:rPr>
          <w:noProof/>
        </w:rPr>
        <w:drawing>
          <wp:inline distT="0" distB="0" distL="0" distR="0" wp14:anchorId="7D517A91" wp14:editId="27444646">
            <wp:extent cx="6157595" cy="3368842"/>
            <wp:effectExtent l="0" t="0" r="0" b="3175"/>
            <wp:docPr id="1341537320" name="Chart 1" descr="Bar graph, see Appendix A20 for data information.">
              <a:extLst xmlns:a="http://schemas.openxmlformats.org/drawingml/2006/main">
                <a:ext uri="{FF2B5EF4-FFF2-40B4-BE49-F238E27FC236}">
                  <a16:creationId xmlns:a16="http://schemas.microsoft.com/office/drawing/2014/main" id="{BD462A74-EDC9-C507-CF5C-35991A91506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5C9FE643" w14:textId="77777777" w:rsidR="00B33DB1" w:rsidRPr="00B33DB1" w:rsidRDefault="00B33DB1" w:rsidP="00B33DB1">
      <w:pPr>
        <w:pStyle w:val="BodyText"/>
        <w:rPr>
          <w:rFonts w:ascii="Arial Bold" w:hAnsi="Arial Bold" w:hint="eastAsia"/>
          <w:b/>
          <w:bCs/>
          <w:szCs w:val="18"/>
        </w:rPr>
      </w:pPr>
      <w:bookmarkStart w:id="93" w:name="_Ref170748792"/>
      <w:r w:rsidRPr="00B33DB1">
        <w:rPr>
          <w:rFonts w:ascii="Arial Bold" w:hAnsi="Arial Bold"/>
          <w:b/>
          <w:bCs/>
          <w:szCs w:val="18"/>
        </w:rPr>
        <w:t xml:space="preserve">Figure </w:t>
      </w:r>
      <w:r w:rsidRPr="00B33DB1">
        <w:rPr>
          <w:rFonts w:ascii="Arial Bold" w:hAnsi="Arial Bold"/>
          <w:b/>
          <w:bCs/>
          <w:szCs w:val="18"/>
        </w:rPr>
        <w:fldChar w:fldCharType="begin"/>
      </w:r>
      <w:r w:rsidRPr="00B33DB1">
        <w:rPr>
          <w:rFonts w:ascii="Arial Bold" w:hAnsi="Arial Bold"/>
          <w:b/>
          <w:bCs/>
          <w:szCs w:val="18"/>
        </w:rPr>
        <w:instrText xml:space="preserve"> SEQ Figure \* ARABIC </w:instrText>
      </w:r>
      <w:r w:rsidRPr="00B33DB1">
        <w:rPr>
          <w:rFonts w:ascii="Arial Bold" w:hAnsi="Arial Bold"/>
          <w:b/>
          <w:bCs/>
          <w:szCs w:val="18"/>
        </w:rPr>
        <w:fldChar w:fldCharType="separate"/>
      </w:r>
      <w:r w:rsidRPr="00B33DB1">
        <w:rPr>
          <w:rFonts w:ascii="Arial Bold" w:hAnsi="Arial Bold"/>
          <w:b/>
          <w:bCs/>
          <w:szCs w:val="18"/>
        </w:rPr>
        <w:t>21</w:t>
      </w:r>
      <w:r w:rsidRPr="00B33DB1">
        <w:rPr>
          <w:rFonts w:ascii="Arial Bold" w:hAnsi="Arial Bold"/>
          <w:b/>
          <w:bCs/>
          <w:szCs w:val="18"/>
        </w:rPr>
        <w:fldChar w:fldCharType="end"/>
      </w:r>
      <w:bookmarkEnd w:id="93"/>
      <w:r w:rsidRPr="00B33DB1">
        <w:rPr>
          <w:rFonts w:ascii="Arial Bold" w:hAnsi="Arial Bold"/>
          <w:b/>
          <w:bCs/>
          <w:szCs w:val="18"/>
        </w:rPr>
        <w:t>: Unused Space as a Percentage of Total Floorspace by Postcode, City of Melbourne, FY2022</w:t>
      </w:r>
    </w:p>
    <w:p w14:paraId="0842072A" w14:textId="7C2458C8" w:rsidR="00A564FF" w:rsidRPr="001006A3" w:rsidRDefault="00A564FF" w:rsidP="00A564FF">
      <w:r w:rsidRPr="00A12C95">
        <w:rPr>
          <w:lang w:val="en-US"/>
        </w:rPr>
        <w:t>View</w:t>
      </w:r>
      <w:r w:rsidRPr="00A12C95">
        <w:t xml:space="preserve"> </w:t>
      </w:r>
      <w:hyperlink w:anchor="_Unused_Space_as" w:history="1">
        <w:r>
          <w:rPr>
            <w:rStyle w:val="Hyperlink"/>
            <w:color w:val="0070C0"/>
            <w:lang w:val="en-US"/>
          </w:rPr>
          <w:t>Unused Space as a Percentage of Total Floorspace by Postcode, City of Melbourne, FY2022</w:t>
        </w:r>
      </w:hyperlink>
      <w:r w:rsidRPr="00A12C95">
        <w:rPr>
          <w:lang w:val="en-US"/>
        </w:rPr>
        <w:t xml:space="preserve"> data table </w:t>
      </w:r>
      <w:r w:rsidR="00835883">
        <w:rPr>
          <w:lang w:val="en-US"/>
        </w:rPr>
        <w:t xml:space="preserve">A.20 </w:t>
      </w:r>
      <w:r w:rsidRPr="00A12C95">
        <w:rPr>
          <w:lang w:val="en-US"/>
        </w:rPr>
        <w:t>in appendix</w:t>
      </w:r>
      <w:r w:rsidR="00B33DB1">
        <w:rPr>
          <w:lang w:val="en-US"/>
        </w:rPr>
        <w:t>.</w:t>
      </w:r>
    </w:p>
    <w:p w14:paraId="0583388A" w14:textId="77777777" w:rsidR="00907604" w:rsidRDefault="00907604" w:rsidP="00B33DB1">
      <w:pPr>
        <w:rPr>
          <w:b/>
          <w:bCs/>
          <w:lang w:val="en-GB"/>
        </w:rPr>
      </w:pPr>
    </w:p>
    <w:p w14:paraId="6925CF07" w14:textId="77777777" w:rsidR="00907604" w:rsidRDefault="00907604" w:rsidP="00B33DB1">
      <w:pPr>
        <w:rPr>
          <w:b/>
          <w:bCs/>
          <w:lang w:val="en-GB"/>
        </w:rPr>
      </w:pPr>
    </w:p>
    <w:p w14:paraId="2CE6E708" w14:textId="161CC7B3" w:rsidR="008B72FA" w:rsidRPr="00B33DB1" w:rsidRDefault="008B72FA" w:rsidP="00B33DB1">
      <w:pPr>
        <w:rPr>
          <w:b/>
          <w:bCs/>
          <w:lang w:val="en-GB"/>
        </w:rPr>
      </w:pPr>
      <w:r w:rsidRPr="00B33DB1">
        <w:rPr>
          <w:b/>
          <w:bCs/>
          <w:lang w:val="en-GB"/>
        </w:rPr>
        <w:lastRenderedPageBreak/>
        <w:t>Count of unused buildings by primary space-use</w:t>
      </w:r>
    </w:p>
    <w:p w14:paraId="3139DB6C" w14:textId="139F9B94" w:rsidR="008B72FA" w:rsidRDefault="008B72FA" w:rsidP="00B33DB1">
      <w:pPr>
        <w:rPr>
          <w:lang w:val="en-GB"/>
        </w:rPr>
      </w:pPr>
      <w:r>
        <w:rPr>
          <w:lang w:val="en-GB"/>
        </w:rPr>
        <w:t>It was difficult to accurately determine the last active primary space-use of the 962 buildings identified as unused in CLUE. Using the more detailed land-use description data we were able to associate previous primary space-uses to unused buildings, though these descriptors do not align with those used in CLUE (i.e. categories such as “</w:t>
      </w:r>
      <w:r w:rsidRPr="007F4447">
        <w:rPr>
          <w:lang w:val="en-GB"/>
        </w:rPr>
        <w:t>Retail/Office/Carpark</w:t>
      </w:r>
      <w:r>
        <w:rPr>
          <w:lang w:val="en-GB"/>
        </w:rPr>
        <w:t>” and “</w:t>
      </w:r>
      <w:r w:rsidRPr="007F4447">
        <w:rPr>
          <w:lang w:val="en-GB"/>
        </w:rPr>
        <w:t>Residential/Retail/Office</w:t>
      </w:r>
      <w:r>
        <w:rPr>
          <w:lang w:val="en-GB"/>
        </w:rPr>
        <w:t xml:space="preserve">”). </w:t>
      </w:r>
      <w:r>
        <w:rPr>
          <w:lang w:val="en-GB"/>
        </w:rPr>
        <w:fldChar w:fldCharType="begin"/>
      </w:r>
      <w:r>
        <w:rPr>
          <w:lang w:val="en-GB"/>
        </w:rPr>
        <w:instrText xml:space="preserve"> REF _Ref170756209 \h </w:instrText>
      </w:r>
      <w:r w:rsidR="00B33DB1">
        <w:rPr>
          <w:lang w:val="en-GB"/>
        </w:rPr>
        <w:instrText xml:space="preserve"> \* MERGEFORMAT </w:instrText>
      </w:r>
      <w:r>
        <w:rPr>
          <w:lang w:val="en-GB"/>
        </w:rPr>
      </w:r>
      <w:r>
        <w:rPr>
          <w:lang w:val="en-GB"/>
        </w:rPr>
        <w:fldChar w:fldCharType="separate"/>
      </w:r>
      <w:r w:rsidRPr="007F4447">
        <w:t xml:space="preserve">Figure </w:t>
      </w:r>
      <w:r>
        <w:rPr>
          <w:noProof/>
        </w:rPr>
        <w:t>22</w:t>
      </w:r>
      <w:r>
        <w:rPr>
          <w:lang w:val="en-GB"/>
        </w:rPr>
        <w:fldChar w:fldCharType="end"/>
      </w:r>
      <w:r>
        <w:rPr>
          <w:lang w:val="en-GB"/>
        </w:rPr>
        <w:t xml:space="preserve"> shows the top ten land-use descriptors, which accounted for 63% of total unused buildings in the CLUE database – as can be seen, a mix of offices and retail constitute the largest share.</w:t>
      </w:r>
    </w:p>
    <w:p w14:paraId="7982D244" w14:textId="77777777" w:rsidR="00B33DB1" w:rsidRDefault="00B33DB1" w:rsidP="00B33DB1">
      <w:pPr>
        <w:pStyle w:val="BodyText"/>
        <w:keepNext/>
      </w:pPr>
      <w:r>
        <w:rPr>
          <w:noProof/>
        </w:rPr>
        <w:drawing>
          <wp:inline distT="0" distB="0" distL="0" distR="0" wp14:anchorId="0A949509" wp14:editId="66EC52AA">
            <wp:extent cx="6081395" cy="3581400"/>
            <wp:effectExtent l="0" t="0" r="0" b="0"/>
            <wp:docPr id="553946822" name="Chart 1" descr="Bar graph, see Appendix A21 for data information.">
              <a:extLst xmlns:a="http://schemas.openxmlformats.org/drawingml/2006/main">
                <a:ext uri="{FF2B5EF4-FFF2-40B4-BE49-F238E27FC236}">
                  <a16:creationId xmlns:a16="http://schemas.microsoft.com/office/drawing/2014/main" id="{EE767E99-6205-B431-17C1-F588248C1BF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2AC960D5" w14:textId="77777777" w:rsidR="00B33DB1" w:rsidRPr="00B33DB1" w:rsidRDefault="00B33DB1" w:rsidP="00B33DB1">
      <w:pPr>
        <w:pStyle w:val="BodyText"/>
        <w:rPr>
          <w:rFonts w:ascii="Arial Bold" w:hAnsi="Arial Bold" w:hint="eastAsia"/>
          <w:b/>
          <w:bCs/>
          <w:szCs w:val="18"/>
        </w:rPr>
      </w:pPr>
      <w:bookmarkStart w:id="94" w:name="_Ref170756209"/>
      <w:bookmarkStart w:id="95" w:name="_Toc171951128"/>
      <w:r w:rsidRPr="00B33DB1">
        <w:rPr>
          <w:rFonts w:ascii="Arial Bold" w:hAnsi="Arial Bold"/>
          <w:b/>
          <w:bCs/>
          <w:szCs w:val="18"/>
        </w:rPr>
        <w:t xml:space="preserve">Figure </w:t>
      </w:r>
      <w:r w:rsidRPr="00B33DB1">
        <w:rPr>
          <w:rFonts w:ascii="Arial Bold" w:hAnsi="Arial Bold"/>
          <w:b/>
          <w:bCs/>
          <w:szCs w:val="18"/>
        </w:rPr>
        <w:fldChar w:fldCharType="begin"/>
      </w:r>
      <w:r w:rsidRPr="00B33DB1">
        <w:rPr>
          <w:rFonts w:ascii="Arial Bold" w:hAnsi="Arial Bold"/>
          <w:b/>
          <w:bCs/>
          <w:szCs w:val="18"/>
        </w:rPr>
        <w:instrText xml:space="preserve"> SEQ Figure \* ARABIC </w:instrText>
      </w:r>
      <w:r w:rsidRPr="00B33DB1">
        <w:rPr>
          <w:rFonts w:ascii="Arial Bold" w:hAnsi="Arial Bold"/>
          <w:b/>
          <w:bCs/>
          <w:szCs w:val="18"/>
        </w:rPr>
        <w:fldChar w:fldCharType="separate"/>
      </w:r>
      <w:r w:rsidRPr="00B33DB1">
        <w:rPr>
          <w:rFonts w:ascii="Arial Bold" w:hAnsi="Arial Bold"/>
          <w:b/>
          <w:bCs/>
          <w:szCs w:val="18"/>
        </w:rPr>
        <w:t>22</w:t>
      </w:r>
      <w:r w:rsidRPr="00B33DB1">
        <w:rPr>
          <w:rFonts w:ascii="Arial Bold" w:hAnsi="Arial Bold"/>
          <w:b/>
          <w:bCs/>
          <w:szCs w:val="18"/>
        </w:rPr>
        <w:fldChar w:fldCharType="end"/>
      </w:r>
      <w:bookmarkEnd w:id="94"/>
      <w:r w:rsidRPr="00B33DB1">
        <w:rPr>
          <w:rFonts w:ascii="Arial Bold" w:hAnsi="Arial Bold"/>
          <w:b/>
          <w:bCs/>
          <w:szCs w:val="18"/>
        </w:rPr>
        <w:t>: Top Ten Land-Use Descriptors of Unused Buildings</w:t>
      </w:r>
      <w:bookmarkEnd w:id="95"/>
    </w:p>
    <w:p w14:paraId="2661F693" w14:textId="2618444C" w:rsidR="00A564FF" w:rsidRPr="001006A3" w:rsidRDefault="00A564FF" w:rsidP="00A564FF">
      <w:r w:rsidRPr="00A12C95">
        <w:rPr>
          <w:lang w:val="en-US"/>
        </w:rPr>
        <w:t>View</w:t>
      </w:r>
      <w:r w:rsidRPr="00A12C95">
        <w:t xml:space="preserve"> </w:t>
      </w:r>
      <w:hyperlink w:anchor="_Top_Ten_Land-Use" w:history="1">
        <w:r>
          <w:rPr>
            <w:rStyle w:val="Hyperlink"/>
            <w:color w:val="0070C0"/>
            <w:lang w:val="en-US"/>
          </w:rPr>
          <w:t>Top Ten Land-Use Descri</w:t>
        </w:r>
        <w:r>
          <w:rPr>
            <w:rStyle w:val="Hyperlink"/>
            <w:color w:val="0070C0"/>
            <w:lang w:val="en-US"/>
          </w:rPr>
          <w:t>p</w:t>
        </w:r>
        <w:r>
          <w:rPr>
            <w:rStyle w:val="Hyperlink"/>
            <w:color w:val="0070C0"/>
            <w:lang w:val="en-US"/>
          </w:rPr>
          <w:t>tors of Unused Buildings</w:t>
        </w:r>
      </w:hyperlink>
      <w:r w:rsidRPr="00A12C95">
        <w:rPr>
          <w:lang w:val="en-US"/>
        </w:rPr>
        <w:t xml:space="preserve"> data table</w:t>
      </w:r>
      <w:r w:rsidR="00835883">
        <w:rPr>
          <w:lang w:val="en-US"/>
        </w:rPr>
        <w:t xml:space="preserve"> A.2</w:t>
      </w:r>
      <w:r w:rsidR="00CD195B">
        <w:rPr>
          <w:lang w:val="en-US"/>
        </w:rPr>
        <w:t>1</w:t>
      </w:r>
      <w:r w:rsidRPr="00A12C95">
        <w:rPr>
          <w:lang w:val="en-US"/>
        </w:rPr>
        <w:t xml:space="preserve"> in appendix</w:t>
      </w:r>
      <w:r w:rsidR="00B33DB1">
        <w:rPr>
          <w:lang w:val="en-US"/>
        </w:rPr>
        <w:t>.</w:t>
      </w:r>
    </w:p>
    <w:p w14:paraId="1BDF5D79" w14:textId="3BFF3990" w:rsidR="008B72FA" w:rsidRPr="007F4447" w:rsidRDefault="008B72FA" w:rsidP="00B33DB1">
      <w:pPr>
        <w:rPr>
          <w:lang w:val="en-GB"/>
        </w:rPr>
      </w:pPr>
      <w:r>
        <w:rPr>
          <w:lang w:val="en-GB"/>
        </w:rPr>
        <w:t xml:space="preserve">Of the 145 buildings identified as unused office buildings, 81 were associated with an office grade in the CLUE database. As can be seen in </w:t>
      </w:r>
      <w:r>
        <w:rPr>
          <w:lang w:val="en-GB"/>
        </w:rPr>
        <w:fldChar w:fldCharType="begin"/>
      </w:r>
      <w:r>
        <w:rPr>
          <w:lang w:val="en-GB"/>
        </w:rPr>
        <w:instrText xml:space="preserve"> REF _Ref170756488 \h </w:instrText>
      </w:r>
      <w:r w:rsidR="00B33DB1">
        <w:rPr>
          <w:lang w:val="en-GB"/>
        </w:rPr>
        <w:instrText xml:space="preserve"> \* MERGEFORMAT </w:instrText>
      </w:r>
      <w:r>
        <w:rPr>
          <w:lang w:val="en-GB"/>
        </w:rPr>
      </w:r>
      <w:r>
        <w:rPr>
          <w:lang w:val="en-GB"/>
        </w:rPr>
        <w:fldChar w:fldCharType="separate"/>
      </w:r>
      <w:r w:rsidRPr="007F4447">
        <w:t xml:space="preserve">Figure </w:t>
      </w:r>
      <w:r>
        <w:rPr>
          <w:noProof/>
        </w:rPr>
        <w:t>23</w:t>
      </w:r>
      <w:r>
        <w:rPr>
          <w:lang w:val="en-GB"/>
        </w:rPr>
        <w:fldChar w:fldCharType="end"/>
      </w:r>
      <w:r>
        <w:rPr>
          <w:lang w:val="en-GB"/>
        </w:rPr>
        <w:t>, no Premium or A Grade building was identified as unused in the CLUE database. The 81 B, C and D grade buildings identified as unused represent 7.6% of the 1,068 buildings associated with these grades in the CLUE database.</w:t>
      </w:r>
    </w:p>
    <w:p w14:paraId="707628A5" w14:textId="77777777" w:rsidR="00B33DB1" w:rsidRDefault="00B33DB1" w:rsidP="00B33DB1">
      <w:pPr>
        <w:keepNext/>
      </w:pPr>
      <w:r>
        <w:rPr>
          <w:noProof/>
        </w:rPr>
        <w:lastRenderedPageBreak/>
        <w:drawing>
          <wp:inline distT="0" distB="0" distL="0" distR="0" wp14:anchorId="71151E2B" wp14:editId="3BAE4BFB">
            <wp:extent cx="6123940" cy="3305175"/>
            <wp:effectExtent l="0" t="0" r="0" b="0"/>
            <wp:docPr id="1199676961" name="Chart 1" descr="Bar graph, see Appendix A22 for data information.">
              <a:extLst xmlns:a="http://schemas.openxmlformats.org/drawingml/2006/main">
                <a:ext uri="{FF2B5EF4-FFF2-40B4-BE49-F238E27FC236}">
                  <a16:creationId xmlns:a16="http://schemas.microsoft.com/office/drawing/2014/main" id="{E7F814E5-7DE0-D8E9-8B72-43C90CFD86C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00023E1A" w14:textId="77777777" w:rsidR="00B33DB1" w:rsidRPr="00B33DB1" w:rsidRDefault="00B33DB1" w:rsidP="00B33DB1">
      <w:pPr>
        <w:pStyle w:val="BodyText"/>
        <w:rPr>
          <w:rFonts w:ascii="Arial Bold" w:hAnsi="Arial Bold" w:hint="eastAsia"/>
          <w:b/>
          <w:bCs/>
          <w:szCs w:val="18"/>
        </w:rPr>
      </w:pPr>
      <w:bookmarkStart w:id="96" w:name="_Ref170756488"/>
      <w:bookmarkStart w:id="97" w:name="_Toc171951129"/>
      <w:r w:rsidRPr="00B33DB1">
        <w:rPr>
          <w:rFonts w:ascii="Arial Bold" w:hAnsi="Arial Bold"/>
          <w:b/>
          <w:bCs/>
          <w:szCs w:val="18"/>
        </w:rPr>
        <w:t xml:space="preserve">Figure </w:t>
      </w:r>
      <w:r w:rsidRPr="00B33DB1">
        <w:rPr>
          <w:rFonts w:ascii="Arial Bold" w:hAnsi="Arial Bold"/>
          <w:b/>
          <w:bCs/>
          <w:szCs w:val="18"/>
        </w:rPr>
        <w:fldChar w:fldCharType="begin"/>
      </w:r>
      <w:r w:rsidRPr="00B33DB1">
        <w:rPr>
          <w:rFonts w:ascii="Arial Bold" w:hAnsi="Arial Bold"/>
          <w:b/>
          <w:bCs/>
          <w:szCs w:val="18"/>
        </w:rPr>
        <w:instrText xml:space="preserve"> SEQ Figure \* ARABIC </w:instrText>
      </w:r>
      <w:r w:rsidRPr="00B33DB1">
        <w:rPr>
          <w:rFonts w:ascii="Arial Bold" w:hAnsi="Arial Bold"/>
          <w:b/>
          <w:bCs/>
          <w:szCs w:val="18"/>
        </w:rPr>
        <w:fldChar w:fldCharType="separate"/>
      </w:r>
      <w:r w:rsidRPr="00B33DB1">
        <w:rPr>
          <w:rFonts w:ascii="Arial Bold" w:hAnsi="Arial Bold"/>
          <w:b/>
          <w:bCs/>
          <w:szCs w:val="18"/>
        </w:rPr>
        <w:t>23</w:t>
      </w:r>
      <w:r w:rsidRPr="00B33DB1">
        <w:rPr>
          <w:rFonts w:ascii="Arial Bold" w:hAnsi="Arial Bold"/>
          <w:b/>
          <w:bCs/>
          <w:szCs w:val="18"/>
        </w:rPr>
        <w:fldChar w:fldCharType="end"/>
      </w:r>
      <w:bookmarkEnd w:id="96"/>
      <w:r w:rsidRPr="00B33DB1">
        <w:rPr>
          <w:rFonts w:ascii="Arial Bold" w:hAnsi="Arial Bold"/>
          <w:b/>
          <w:bCs/>
          <w:szCs w:val="18"/>
        </w:rPr>
        <w:t>: Grade of Unused Office Buildings</w:t>
      </w:r>
      <w:bookmarkEnd w:id="97"/>
    </w:p>
    <w:p w14:paraId="4F1CC27C" w14:textId="0B9F0A68" w:rsidR="00A564FF" w:rsidRPr="001006A3" w:rsidRDefault="00A564FF" w:rsidP="00A564FF">
      <w:r w:rsidRPr="00A12C95">
        <w:rPr>
          <w:lang w:val="en-US"/>
        </w:rPr>
        <w:t>View</w:t>
      </w:r>
      <w:r w:rsidRPr="00A12C95">
        <w:t xml:space="preserve"> </w:t>
      </w:r>
      <w:hyperlink w:anchor="_Grade_of_Unused" w:history="1">
        <w:r>
          <w:rPr>
            <w:rStyle w:val="Hyperlink"/>
            <w:color w:val="0070C0"/>
            <w:lang w:val="en-US"/>
          </w:rPr>
          <w:t>Grade of Unused Offic</w:t>
        </w:r>
        <w:r>
          <w:rPr>
            <w:rStyle w:val="Hyperlink"/>
            <w:color w:val="0070C0"/>
            <w:lang w:val="en-US"/>
          </w:rPr>
          <w:t>e</w:t>
        </w:r>
        <w:r>
          <w:rPr>
            <w:rStyle w:val="Hyperlink"/>
            <w:color w:val="0070C0"/>
            <w:lang w:val="en-US"/>
          </w:rPr>
          <w:t xml:space="preserve"> Buildings</w:t>
        </w:r>
      </w:hyperlink>
      <w:r w:rsidRPr="00A12C95">
        <w:rPr>
          <w:lang w:val="en-US"/>
        </w:rPr>
        <w:t xml:space="preserve"> data table</w:t>
      </w:r>
      <w:r w:rsidR="00CD195B">
        <w:rPr>
          <w:lang w:val="en-US"/>
        </w:rPr>
        <w:t xml:space="preserve"> A.22</w:t>
      </w:r>
      <w:r w:rsidRPr="00A12C95">
        <w:rPr>
          <w:lang w:val="en-US"/>
        </w:rPr>
        <w:t xml:space="preserve"> in appendix</w:t>
      </w:r>
      <w:r w:rsidR="00B33DB1">
        <w:rPr>
          <w:lang w:val="en-US"/>
        </w:rPr>
        <w:t>.</w:t>
      </w:r>
    </w:p>
    <w:p w14:paraId="15C74BD7" w14:textId="77777777" w:rsidR="008B72FA" w:rsidRPr="00B33DB1" w:rsidRDefault="008B72FA" w:rsidP="00B33DB1">
      <w:pPr>
        <w:rPr>
          <w:b/>
          <w:bCs/>
          <w:lang w:val="en-GB"/>
        </w:rPr>
      </w:pPr>
      <w:r w:rsidRPr="00B33DB1">
        <w:rPr>
          <w:b/>
          <w:bCs/>
          <w:lang w:val="en-GB"/>
        </w:rPr>
        <w:t>Estimated allocation unused space to CLUE space-use</w:t>
      </w:r>
    </w:p>
    <w:p w14:paraId="5777190E" w14:textId="77777777" w:rsidR="008B72FA" w:rsidRPr="00DF37E7" w:rsidRDefault="008B72FA" w:rsidP="00B33DB1">
      <w:pPr>
        <w:rPr>
          <w:lang w:val="en-GB"/>
        </w:rPr>
      </w:pPr>
      <w:r w:rsidRPr="00DF37E7">
        <w:rPr>
          <w:lang w:val="en-GB"/>
        </w:rPr>
        <w:t xml:space="preserve">Although, similar to building counts, it was challenging to accurately associate unused space with a previous primary space use, cross referencing additional vacancy data provided by the City with both land-use and CLUE data allowed us to make an estimate of this distribution. As can be seen in </w:t>
      </w:r>
      <w:r w:rsidRPr="00DF37E7">
        <w:rPr>
          <w:lang w:val="en-GB"/>
        </w:rPr>
        <w:fldChar w:fldCharType="begin"/>
      </w:r>
      <w:r w:rsidRPr="00DF37E7">
        <w:rPr>
          <w:lang w:val="en-GB"/>
        </w:rPr>
        <w:instrText xml:space="preserve"> REF _Ref171013375 \h  \* MERGEFORMAT </w:instrText>
      </w:r>
      <w:r w:rsidRPr="00DF37E7">
        <w:rPr>
          <w:lang w:val="en-GB"/>
        </w:rPr>
      </w:r>
      <w:r w:rsidRPr="00DF37E7">
        <w:rPr>
          <w:lang w:val="en-GB"/>
        </w:rPr>
        <w:fldChar w:fldCharType="separate"/>
      </w:r>
      <w:r w:rsidRPr="00DF37E7">
        <w:rPr>
          <w:lang w:val="en-GB"/>
        </w:rPr>
        <w:t>Figure 24</w:t>
      </w:r>
      <w:r w:rsidRPr="00DF37E7">
        <w:rPr>
          <w:lang w:val="en-GB"/>
        </w:rPr>
        <w:fldChar w:fldCharType="end"/>
      </w:r>
      <w:r w:rsidRPr="00DF37E7">
        <w:rPr>
          <w:lang w:val="en-GB"/>
        </w:rPr>
        <w:t>, in our estimate office space accounts for the largest share of unused space in the LGA, on 44.1%. Transport, retail and light industrial/manufacturing are the next largest contributors, on 15.4%, 10.7% and 9.3% respectively.</w:t>
      </w:r>
    </w:p>
    <w:p w14:paraId="1A146CB8" w14:textId="77777777" w:rsidR="00B33DB1" w:rsidRDefault="00B33DB1" w:rsidP="00B33DB1">
      <w:pPr>
        <w:keepNext/>
      </w:pPr>
      <w:r>
        <w:rPr>
          <w:noProof/>
        </w:rPr>
        <w:drawing>
          <wp:inline distT="0" distB="0" distL="0" distR="0" wp14:anchorId="13FA7FF0" wp14:editId="036D40BB">
            <wp:extent cx="5975287" cy="3177766"/>
            <wp:effectExtent l="0" t="0" r="6985" b="3810"/>
            <wp:docPr id="1755994800" name="Chart 1" descr="Pie chart, see Appendix A23 for data information.">
              <a:extLst xmlns:a="http://schemas.openxmlformats.org/drawingml/2006/main">
                <a:ext uri="{FF2B5EF4-FFF2-40B4-BE49-F238E27FC236}">
                  <a16:creationId xmlns:a16="http://schemas.microsoft.com/office/drawing/2014/main" id="{8EB3C5E7-7947-42E4-47D5-E9542933548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1C9B7C41" w14:textId="77777777" w:rsidR="00B33DB1" w:rsidRPr="00B33DB1" w:rsidRDefault="00B33DB1" w:rsidP="00B33DB1">
      <w:pPr>
        <w:pStyle w:val="BodyText"/>
        <w:rPr>
          <w:rFonts w:ascii="Arial Bold" w:hAnsi="Arial Bold" w:hint="eastAsia"/>
          <w:b/>
          <w:bCs/>
          <w:szCs w:val="18"/>
        </w:rPr>
      </w:pPr>
      <w:bookmarkStart w:id="98" w:name="_Ref171013375"/>
      <w:bookmarkStart w:id="99" w:name="_Toc171951130"/>
      <w:r w:rsidRPr="00B33DB1">
        <w:rPr>
          <w:rFonts w:ascii="Arial Bold" w:hAnsi="Arial Bold"/>
          <w:b/>
          <w:bCs/>
          <w:szCs w:val="18"/>
        </w:rPr>
        <w:t xml:space="preserve">Figure </w:t>
      </w:r>
      <w:r w:rsidRPr="00B33DB1">
        <w:rPr>
          <w:rFonts w:ascii="Arial Bold" w:hAnsi="Arial Bold"/>
          <w:b/>
          <w:bCs/>
          <w:szCs w:val="18"/>
        </w:rPr>
        <w:fldChar w:fldCharType="begin"/>
      </w:r>
      <w:r w:rsidRPr="00B33DB1">
        <w:rPr>
          <w:rFonts w:ascii="Arial Bold" w:hAnsi="Arial Bold"/>
          <w:b/>
          <w:bCs/>
          <w:szCs w:val="18"/>
        </w:rPr>
        <w:instrText xml:space="preserve"> SEQ Figure \* ARABIC </w:instrText>
      </w:r>
      <w:r w:rsidRPr="00B33DB1">
        <w:rPr>
          <w:rFonts w:ascii="Arial Bold" w:hAnsi="Arial Bold"/>
          <w:b/>
          <w:bCs/>
          <w:szCs w:val="18"/>
        </w:rPr>
        <w:fldChar w:fldCharType="separate"/>
      </w:r>
      <w:r w:rsidRPr="00B33DB1">
        <w:rPr>
          <w:rFonts w:ascii="Arial Bold" w:hAnsi="Arial Bold"/>
          <w:b/>
          <w:bCs/>
          <w:szCs w:val="18"/>
        </w:rPr>
        <w:t>24</w:t>
      </w:r>
      <w:r w:rsidRPr="00B33DB1">
        <w:rPr>
          <w:rFonts w:ascii="Arial Bold" w:hAnsi="Arial Bold"/>
          <w:b/>
          <w:bCs/>
          <w:szCs w:val="18"/>
        </w:rPr>
        <w:fldChar w:fldCharType="end"/>
      </w:r>
      <w:bookmarkEnd w:id="98"/>
      <w:r w:rsidRPr="00B33DB1">
        <w:rPr>
          <w:rFonts w:ascii="Arial Bold" w:hAnsi="Arial Bold"/>
          <w:b/>
          <w:bCs/>
          <w:szCs w:val="18"/>
        </w:rPr>
        <w:t>: Estimated Share of Unused Space by Previous Space-Use</w:t>
      </w:r>
      <w:bookmarkEnd w:id="99"/>
    </w:p>
    <w:p w14:paraId="124B596A" w14:textId="58D6725D" w:rsidR="00A564FF" w:rsidRPr="001006A3" w:rsidRDefault="00A564FF" w:rsidP="00A564FF">
      <w:r w:rsidRPr="00A12C95">
        <w:rPr>
          <w:lang w:val="en-US"/>
        </w:rPr>
        <w:lastRenderedPageBreak/>
        <w:t>View</w:t>
      </w:r>
      <w:r w:rsidRPr="00A12C95">
        <w:t xml:space="preserve"> </w:t>
      </w:r>
      <w:hyperlink w:anchor="_Estimated_Share_of" w:history="1">
        <w:r>
          <w:rPr>
            <w:rStyle w:val="Hyperlink"/>
            <w:color w:val="0070C0"/>
            <w:lang w:val="en-US"/>
          </w:rPr>
          <w:t>Estimated Share of Unused Space by Previous Space-Use</w:t>
        </w:r>
      </w:hyperlink>
      <w:r w:rsidRPr="00A12C95">
        <w:rPr>
          <w:lang w:val="en-US"/>
        </w:rPr>
        <w:t xml:space="preserve"> data table</w:t>
      </w:r>
      <w:r w:rsidR="00CD195B">
        <w:rPr>
          <w:lang w:val="en-US"/>
        </w:rPr>
        <w:t xml:space="preserve"> A.23</w:t>
      </w:r>
      <w:r w:rsidRPr="00A12C95">
        <w:rPr>
          <w:lang w:val="en-US"/>
        </w:rPr>
        <w:t xml:space="preserve"> in appendix</w:t>
      </w:r>
      <w:r w:rsidR="00B33DB1">
        <w:rPr>
          <w:lang w:val="en-US"/>
        </w:rPr>
        <w:t>.</w:t>
      </w:r>
    </w:p>
    <w:p w14:paraId="3DEF4B20" w14:textId="77777777" w:rsidR="008B72FA" w:rsidRPr="00872C5F" w:rsidRDefault="008B72FA" w:rsidP="00B33DB1">
      <w:r w:rsidRPr="00872C5F">
        <w:t xml:space="preserve">Applying this estimate to the 3,855,804 sqm of non-construction/renovation related unused space in the LGA gives the floorspace allocation shown in </w:t>
      </w:r>
      <w:r w:rsidRPr="00872C5F">
        <w:fldChar w:fldCharType="begin"/>
      </w:r>
      <w:r w:rsidRPr="00872C5F">
        <w:instrText xml:space="preserve"> REF _Ref171015222 \h </w:instrText>
      </w:r>
      <w:r>
        <w:instrText xml:space="preserve"> \* MERGEFORMAT </w:instrText>
      </w:r>
      <w:r w:rsidRPr="00872C5F">
        <w:fldChar w:fldCharType="separate"/>
      </w:r>
      <w:r w:rsidRPr="00D65815">
        <w:t>Figure 25</w:t>
      </w:r>
      <w:r w:rsidRPr="00872C5F">
        <w:fldChar w:fldCharType="end"/>
      </w:r>
      <w:r w:rsidRPr="00872C5F">
        <w:t>.</w:t>
      </w:r>
    </w:p>
    <w:p w14:paraId="2DEBBD43" w14:textId="77777777" w:rsidR="00B33DB1" w:rsidRDefault="00B33DB1" w:rsidP="00B33DB1">
      <w:pPr>
        <w:keepNext/>
      </w:pPr>
      <w:bookmarkStart w:id="100" w:name="_Ref171015222"/>
      <w:bookmarkStart w:id="101" w:name="_Toc171951131"/>
      <w:r>
        <w:rPr>
          <w:noProof/>
        </w:rPr>
        <w:drawing>
          <wp:inline distT="0" distB="0" distL="0" distR="0" wp14:anchorId="7181585D" wp14:editId="6531D808">
            <wp:extent cx="6091555" cy="3313216"/>
            <wp:effectExtent l="0" t="0" r="4445" b="1905"/>
            <wp:docPr id="385443062" name="Chart 1" descr="Pie chart, see Appendix A24 for data information.">
              <a:extLst xmlns:a="http://schemas.openxmlformats.org/drawingml/2006/main">
                <a:ext uri="{FF2B5EF4-FFF2-40B4-BE49-F238E27FC236}">
                  <a16:creationId xmlns:a16="http://schemas.microsoft.com/office/drawing/2014/main" id="{87A1451B-0DA8-CD0A-1061-08840ED19CD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47C87D72" w14:textId="77777777" w:rsidR="00B33DB1" w:rsidRPr="00B33DB1" w:rsidRDefault="00B33DB1" w:rsidP="00B33DB1">
      <w:pPr>
        <w:pStyle w:val="BodyText"/>
        <w:rPr>
          <w:rFonts w:ascii="Arial Bold" w:hAnsi="Arial Bold" w:hint="eastAsia"/>
          <w:b/>
          <w:bCs/>
          <w:szCs w:val="18"/>
        </w:rPr>
      </w:pPr>
      <w:r w:rsidRPr="00B33DB1">
        <w:rPr>
          <w:rFonts w:ascii="Arial Bold" w:hAnsi="Arial Bold"/>
          <w:b/>
          <w:bCs/>
          <w:szCs w:val="18"/>
        </w:rPr>
        <w:t xml:space="preserve">Figure </w:t>
      </w:r>
      <w:r w:rsidRPr="00B33DB1">
        <w:rPr>
          <w:rFonts w:ascii="Arial Bold" w:hAnsi="Arial Bold"/>
          <w:b/>
          <w:bCs/>
          <w:szCs w:val="18"/>
        </w:rPr>
        <w:fldChar w:fldCharType="begin"/>
      </w:r>
      <w:r w:rsidRPr="00B33DB1">
        <w:rPr>
          <w:rFonts w:ascii="Arial Bold" w:hAnsi="Arial Bold"/>
          <w:b/>
          <w:bCs/>
          <w:szCs w:val="18"/>
        </w:rPr>
        <w:instrText xml:space="preserve"> SEQ Figure \* ARABIC </w:instrText>
      </w:r>
      <w:r w:rsidRPr="00B33DB1">
        <w:rPr>
          <w:rFonts w:ascii="Arial Bold" w:hAnsi="Arial Bold"/>
          <w:b/>
          <w:bCs/>
          <w:szCs w:val="18"/>
        </w:rPr>
        <w:fldChar w:fldCharType="separate"/>
      </w:r>
      <w:r w:rsidRPr="00B33DB1">
        <w:rPr>
          <w:rFonts w:ascii="Arial Bold" w:hAnsi="Arial Bold"/>
          <w:b/>
          <w:bCs/>
          <w:szCs w:val="18"/>
        </w:rPr>
        <w:t>25</w:t>
      </w:r>
      <w:r w:rsidRPr="00B33DB1">
        <w:rPr>
          <w:rFonts w:ascii="Arial Bold" w:hAnsi="Arial Bold"/>
          <w:b/>
          <w:bCs/>
          <w:szCs w:val="18"/>
        </w:rPr>
        <w:fldChar w:fldCharType="end"/>
      </w:r>
      <w:r w:rsidRPr="00B33DB1">
        <w:rPr>
          <w:rFonts w:ascii="Arial Bold" w:hAnsi="Arial Bold"/>
          <w:b/>
          <w:bCs/>
          <w:szCs w:val="18"/>
        </w:rPr>
        <w:t>: Estimated Allocation of Unused Floor Space to Previous Space-Use</w:t>
      </w:r>
    </w:p>
    <w:p w14:paraId="33305127" w14:textId="558D7E30" w:rsidR="00A564FF" w:rsidRPr="001006A3" w:rsidRDefault="00A564FF" w:rsidP="00A564FF">
      <w:r w:rsidRPr="00A12C95">
        <w:rPr>
          <w:lang w:val="en-US"/>
        </w:rPr>
        <w:t>View</w:t>
      </w:r>
      <w:r w:rsidRPr="00A12C95">
        <w:t xml:space="preserve"> </w:t>
      </w:r>
      <w:hyperlink w:anchor="_Estimated_Allocation_of" w:history="1">
        <w:r>
          <w:rPr>
            <w:rStyle w:val="Hyperlink"/>
            <w:color w:val="0070C0"/>
            <w:lang w:val="en-US"/>
          </w:rPr>
          <w:t>Estimated Allocation of Unused Floor Space to Previous Space-Use</w:t>
        </w:r>
      </w:hyperlink>
      <w:r w:rsidRPr="00A12C95">
        <w:rPr>
          <w:lang w:val="en-US"/>
        </w:rPr>
        <w:t xml:space="preserve"> data table</w:t>
      </w:r>
      <w:r w:rsidR="00CD195B">
        <w:rPr>
          <w:lang w:val="en-US"/>
        </w:rPr>
        <w:t xml:space="preserve"> A.24</w:t>
      </w:r>
      <w:r w:rsidRPr="00A12C95">
        <w:rPr>
          <w:lang w:val="en-US"/>
        </w:rPr>
        <w:t xml:space="preserve"> in appendix</w:t>
      </w:r>
      <w:r w:rsidR="00B33DB1">
        <w:rPr>
          <w:lang w:val="en-US"/>
        </w:rPr>
        <w:t>.</w:t>
      </w:r>
    </w:p>
    <w:p w14:paraId="0EB10B7A" w14:textId="6A8437CD" w:rsidR="008B72FA" w:rsidRDefault="008B72FA" w:rsidP="008B72FA">
      <w:pPr>
        <w:pStyle w:val="Heading2"/>
        <w:rPr>
          <w:rFonts w:hint="eastAsia"/>
        </w:rPr>
      </w:pPr>
      <w:bookmarkStart w:id="102" w:name="_3.3_Building_Primary"/>
      <w:bookmarkStart w:id="103" w:name="_Toc173876034"/>
      <w:bookmarkStart w:id="104" w:name="_Toc181219287"/>
      <w:bookmarkEnd w:id="100"/>
      <w:bookmarkEnd w:id="101"/>
      <w:bookmarkEnd w:id="102"/>
      <w:r>
        <w:t>3.3</w:t>
      </w:r>
      <w:r>
        <w:tab/>
        <w:t>Building Primary Space-Use</w:t>
      </w:r>
      <w:bookmarkEnd w:id="103"/>
      <w:bookmarkEnd w:id="104"/>
    </w:p>
    <w:p w14:paraId="391205E3" w14:textId="77777777" w:rsidR="008B72FA" w:rsidRDefault="008B72FA" w:rsidP="00B33DB1">
      <w:r>
        <w:t>This study has employed space-use as its primary unit of analysis, as applying fuel intensities to individual space-uses captures a fuller picture of an individual building’s total energy-use. The multi-purpose nature of many of Melbourne’s buildings, particularly in the CBD, is also often such that associating them with a single primary space-use does not accurately reflect their functional use. That said, there are a number of interesting observations that can be drawn from an analysis of the primary space-use data, including the dominance of houses/townhouses. Of the 14,567 entries in the CLUE database, 14,087 include a primary space-use designation, with the balance made up of open areas and undeveloped sites. Of this total, 61%, or 8644, are houses/townhouses, despite this space-use constituting only 3.9% of floor area in the LGA.</w:t>
      </w:r>
    </w:p>
    <w:p w14:paraId="465E7BE0" w14:textId="77777777" w:rsidR="00B33DB1" w:rsidRDefault="00B33DB1" w:rsidP="00B33DB1">
      <w:pPr>
        <w:pStyle w:val="BodyText"/>
        <w:keepNext/>
      </w:pPr>
      <w:r>
        <w:rPr>
          <w:noProof/>
        </w:rPr>
        <w:lastRenderedPageBreak/>
        <w:drawing>
          <wp:inline distT="0" distB="0" distL="0" distR="0" wp14:anchorId="25641B0F" wp14:editId="5F498440">
            <wp:extent cx="6145530" cy="3080084"/>
            <wp:effectExtent l="0" t="0" r="7620" b="6350"/>
            <wp:docPr id="14498895" name="Chart 1" descr="Pie chart, see Appendix A25 for data information.">
              <a:extLst xmlns:a="http://schemas.openxmlformats.org/drawingml/2006/main">
                <a:ext uri="{FF2B5EF4-FFF2-40B4-BE49-F238E27FC236}">
                  <a16:creationId xmlns:a16="http://schemas.microsoft.com/office/drawing/2014/main" id="{ACBEC719-7B73-0C74-142D-64CCF8079F8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31C31E09" w14:textId="77777777" w:rsidR="00B33DB1" w:rsidRPr="00B33DB1" w:rsidRDefault="00B33DB1" w:rsidP="00B33DB1">
      <w:pPr>
        <w:pStyle w:val="BodyText"/>
        <w:rPr>
          <w:rFonts w:ascii="Arial Bold" w:hAnsi="Arial Bold" w:hint="eastAsia"/>
          <w:b/>
          <w:bCs/>
          <w:szCs w:val="18"/>
        </w:rPr>
      </w:pPr>
      <w:r w:rsidRPr="00B33DB1">
        <w:rPr>
          <w:rFonts w:ascii="Arial Bold" w:hAnsi="Arial Bold"/>
          <w:b/>
          <w:bCs/>
          <w:szCs w:val="18"/>
        </w:rPr>
        <w:t xml:space="preserve">Figure </w:t>
      </w:r>
      <w:r w:rsidRPr="00B33DB1">
        <w:rPr>
          <w:rFonts w:ascii="Arial Bold" w:hAnsi="Arial Bold"/>
          <w:b/>
          <w:bCs/>
          <w:szCs w:val="18"/>
        </w:rPr>
        <w:fldChar w:fldCharType="begin"/>
      </w:r>
      <w:r w:rsidRPr="00B33DB1">
        <w:rPr>
          <w:rFonts w:ascii="Arial Bold" w:hAnsi="Arial Bold"/>
          <w:b/>
          <w:bCs/>
          <w:szCs w:val="18"/>
        </w:rPr>
        <w:instrText xml:space="preserve"> SEQ Figure \* ARABIC </w:instrText>
      </w:r>
      <w:r w:rsidRPr="00B33DB1">
        <w:rPr>
          <w:rFonts w:ascii="Arial Bold" w:hAnsi="Arial Bold"/>
          <w:b/>
          <w:bCs/>
          <w:szCs w:val="18"/>
        </w:rPr>
        <w:fldChar w:fldCharType="separate"/>
      </w:r>
      <w:r w:rsidRPr="00B33DB1">
        <w:rPr>
          <w:rFonts w:ascii="Arial Bold" w:hAnsi="Arial Bold"/>
          <w:b/>
          <w:bCs/>
          <w:szCs w:val="18"/>
        </w:rPr>
        <w:t>26</w:t>
      </w:r>
      <w:r w:rsidRPr="00B33DB1">
        <w:rPr>
          <w:rFonts w:ascii="Arial Bold" w:hAnsi="Arial Bold"/>
          <w:b/>
          <w:bCs/>
          <w:szCs w:val="18"/>
        </w:rPr>
        <w:fldChar w:fldCharType="end"/>
      </w:r>
      <w:r w:rsidRPr="00B33DB1">
        <w:rPr>
          <w:rFonts w:ascii="Arial Bold" w:hAnsi="Arial Bold"/>
          <w:b/>
          <w:bCs/>
          <w:szCs w:val="18"/>
        </w:rPr>
        <w:t>: Count of Buildings, FY 2022</w:t>
      </w:r>
    </w:p>
    <w:p w14:paraId="46AC7258" w14:textId="1B9835AF" w:rsidR="00A564FF" w:rsidRPr="001006A3" w:rsidRDefault="00A564FF" w:rsidP="00A564FF">
      <w:bookmarkStart w:id="105" w:name="_Toc171951132"/>
      <w:r w:rsidRPr="00A12C95">
        <w:rPr>
          <w:lang w:val="en-US"/>
        </w:rPr>
        <w:t>View</w:t>
      </w:r>
      <w:r w:rsidRPr="00A12C95">
        <w:t xml:space="preserve"> </w:t>
      </w:r>
      <w:hyperlink w:anchor="_Figure_26:_Count" w:history="1">
        <w:r>
          <w:rPr>
            <w:rStyle w:val="Hyperlink"/>
            <w:color w:val="0070C0"/>
            <w:lang w:val="en-US"/>
          </w:rPr>
          <w:t>Count of Buil</w:t>
        </w:r>
        <w:r>
          <w:rPr>
            <w:rStyle w:val="Hyperlink"/>
            <w:color w:val="0070C0"/>
            <w:lang w:val="en-US"/>
          </w:rPr>
          <w:t>d</w:t>
        </w:r>
        <w:r>
          <w:rPr>
            <w:rStyle w:val="Hyperlink"/>
            <w:color w:val="0070C0"/>
            <w:lang w:val="en-US"/>
          </w:rPr>
          <w:t>i</w:t>
        </w:r>
        <w:r>
          <w:rPr>
            <w:rStyle w:val="Hyperlink"/>
            <w:color w:val="0070C0"/>
            <w:lang w:val="en-US"/>
          </w:rPr>
          <w:t>n</w:t>
        </w:r>
        <w:r>
          <w:rPr>
            <w:rStyle w:val="Hyperlink"/>
            <w:color w:val="0070C0"/>
            <w:lang w:val="en-US"/>
          </w:rPr>
          <w:t>gs, FY 2022</w:t>
        </w:r>
      </w:hyperlink>
      <w:r w:rsidRPr="00A12C95">
        <w:rPr>
          <w:lang w:val="en-US"/>
        </w:rPr>
        <w:t xml:space="preserve"> data table</w:t>
      </w:r>
      <w:r w:rsidR="00CD195B">
        <w:rPr>
          <w:lang w:val="en-US"/>
        </w:rPr>
        <w:t xml:space="preserve"> A.25</w:t>
      </w:r>
      <w:r w:rsidRPr="00A12C95">
        <w:rPr>
          <w:lang w:val="en-US"/>
        </w:rPr>
        <w:t xml:space="preserve"> in appendix</w:t>
      </w:r>
      <w:r w:rsidR="00B33DB1">
        <w:rPr>
          <w:lang w:val="en-US"/>
        </w:rPr>
        <w:t>.</w:t>
      </w:r>
    </w:p>
    <w:bookmarkEnd w:id="105"/>
    <w:p w14:paraId="60F27AFB" w14:textId="77777777" w:rsidR="008B72FA" w:rsidRDefault="008B72FA" w:rsidP="00BE12EF">
      <w:r>
        <w:t>Of non-house/townhouse primary space-use buildings, apartment buildings make up 26%, offices 14% and entertainment buildings 10%. 16% of buildings were also listed as unoccupied and not under construction or renovation, though this total includes former residential dwellings.</w:t>
      </w:r>
    </w:p>
    <w:p w14:paraId="16A62D79" w14:textId="77777777" w:rsidR="00BE12EF" w:rsidRDefault="00BE12EF" w:rsidP="00BE12EF">
      <w:pPr>
        <w:pStyle w:val="BodyText"/>
        <w:keepNext/>
      </w:pPr>
      <w:r>
        <w:rPr>
          <w:noProof/>
        </w:rPr>
        <w:drawing>
          <wp:inline distT="0" distB="0" distL="0" distR="0" wp14:anchorId="1719620A" wp14:editId="0B102810">
            <wp:extent cx="6120130" cy="3124200"/>
            <wp:effectExtent l="0" t="0" r="0" b="0"/>
            <wp:docPr id="1315287685" name="Chart 1" descr="Bar graph, see Appendix A26 for data information.">
              <a:extLst xmlns:a="http://schemas.openxmlformats.org/drawingml/2006/main">
                <a:ext uri="{FF2B5EF4-FFF2-40B4-BE49-F238E27FC236}">
                  <a16:creationId xmlns:a16="http://schemas.microsoft.com/office/drawing/2014/main" id="{650BD56D-EAE7-78D2-7818-B7C3A1B4069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002B4597" w14:textId="77777777" w:rsidR="00BE12EF" w:rsidRPr="00BE12EF" w:rsidRDefault="00BE12EF" w:rsidP="00BE12EF">
      <w:pPr>
        <w:pStyle w:val="BodyText"/>
        <w:rPr>
          <w:rFonts w:ascii="Arial Bold" w:hAnsi="Arial Bold" w:hint="eastAsia"/>
          <w:b/>
          <w:bCs/>
          <w:szCs w:val="18"/>
        </w:rPr>
      </w:pPr>
      <w:r w:rsidRPr="00BE12EF">
        <w:rPr>
          <w:rFonts w:ascii="Arial Bold" w:hAnsi="Arial Bold"/>
          <w:b/>
          <w:bCs/>
          <w:szCs w:val="18"/>
        </w:rPr>
        <w:t xml:space="preserve">Figure </w:t>
      </w:r>
      <w:r w:rsidRPr="00BE12EF">
        <w:rPr>
          <w:rFonts w:ascii="Arial Bold" w:hAnsi="Arial Bold"/>
          <w:b/>
          <w:bCs/>
          <w:szCs w:val="18"/>
        </w:rPr>
        <w:fldChar w:fldCharType="begin"/>
      </w:r>
      <w:r w:rsidRPr="00BE12EF">
        <w:rPr>
          <w:rFonts w:ascii="Arial Bold" w:hAnsi="Arial Bold"/>
          <w:b/>
          <w:bCs/>
          <w:szCs w:val="18"/>
        </w:rPr>
        <w:instrText xml:space="preserve"> SEQ Figure \* ARABIC </w:instrText>
      </w:r>
      <w:r w:rsidRPr="00BE12EF">
        <w:rPr>
          <w:rFonts w:ascii="Arial Bold" w:hAnsi="Arial Bold"/>
          <w:b/>
          <w:bCs/>
          <w:szCs w:val="18"/>
        </w:rPr>
        <w:fldChar w:fldCharType="separate"/>
      </w:r>
      <w:r w:rsidRPr="00BE12EF">
        <w:rPr>
          <w:rFonts w:ascii="Arial Bold" w:hAnsi="Arial Bold"/>
          <w:b/>
          <w:bCs/>
          <w:szCs w:val="18"/>
        </w:rPr>
        <w:t>27</w:t>
      </w:r>
      <w:r w:rsidRPr="00BE12EF">
        <w:rPr>
          <w:rFonts w:ascii="Arial Bold" w:hAnsi="Arial Bold"/>
          <w:b/>
          <w:bCs/>
          <w:szCs w:val="18"/>
        </w:rPr>
        <w:fldChar w:fldCharType="end"/>
      </w:r>
      <w:r w:rsidRPr="00BE12EF">
        <w:rPr>
          <w:rFonts w:ascii="Arial Bold" w:hAnsi="Arial Bold"/>
          <w:b/>
          <w:bCs/>
          <w:szCs w:val="18"/>
        </w:rPr>
        <w:t>: Count of Buildings by Primary Space Use (excluding House/Townhouse), FY 2022</w:t>
      </w:r>
    </w:p>
    <w:p w14:paraId="708D4468" w14:textId="466A7197" w:rsidR="00A564FF" w:rsidRPr="001006A3" w:rsidRDefault="00A564FF" w:rsidP="00A564FF">
      <w:bookmarkStart w:id="106" w:name="_Toc171951133"/>
      <w:r w:rsidRPr="00A12C95">
        <w:rPr>
          <w:lang w:val="en-US"/>
        </w:rPr>
        <w:t>View</w:t>
      </w:r>
      <w:r w:rsidRPr="00A12C95">
        <w:t xml:space="preserve"> </w:t>
      </w:r>
      <w:hyperlink w:anchor="_Count_of_Buildings" w:history="1">
        <w:r w:rsidR="009443E1">
          <w:rPr>
            <w:rStyle w:val="Hyperlink"/>
            <w:color w:val="0070C0"/>
            <w:lang w:val="en-US"/>
          </w:rPr>
          <w:t>Count of Buildings by Primary Space Use (excluding House/Townhouse), FY 2022</w:t>
        </w:r>
      </w:hyperlink>
      <w:r w:rsidRPr="00A12C95">
        <w:rPr>
          <w:lang w:val="en-US"/>
        </w:rPr>
        <w:t xml:space="preserve"> data table</w:t>
      </w:r>
      <w:r w:rsidR="00CD195B">
        <w:rPr>
          <w:lang w:val="en-US"/>
        </w:rPr>
        <w:t xml:space="preserve"> A.26</w:t>
      </w:r>
      <w:r w:rsidRPr="00A12C95">
        <w:rPr>
          <w:lang w:val="en-US"/>
        </w:rPr>
        <w:t xml:space="preserve"> in appendix</w:t>
      </w:r>
      <w:r w:rsidR="00BE12EF">
        <w:rPr>
          <w:lang w:val="en-US"/>
        </w:rPr>
        <w:t>.</w:t>
      </w:r>
    </w:p>
    <w:p w14:paraId="7A3105E4" w14:textId="421AF324" w:rsidR="008B72FA" w:rsidRDefault="008B72FA" w:rsidP="008B72FA">
      <w:pPr>
        <w:pStyle w:val="Heading2"/>
        <w:rPr>
          <w:rFonts w:hint="eastAsia"/>
        </w:rPr>
      </w:pPr>
      <w:bookmarkStart w:id="107" w:name="_3.4_Embedded_Networks"/>
      <w:bookmarkStart w:id="108" w:name="_Toc173876035"/>
      <w:bookmarkStart w:id="109" w:name="_Toc181219288"/>
      <w:bookmarkEnd w:id="106"/>
      <w:bookmarkEnd w:id="107"/>
      <w:r>
        <w:t>3.4</w:t>
      </w:r>
      <w:r>
        <w:tab/>
        <w:t>Embedded Networks</w:t>
      </w:r>
      <w:bookmarkEnd w:id="108"/>
      <w:bookmarkEnd w:id="109"/>
    </w:p>
    <w:p w14:paraId="45BBE94C" w14:textId="77777777" w:rsidR="008B72FA" w:rsidRDefault="008B72FA" w:rsidP="00BE12EF">
      <w:pPr>
        <w:rPr>
          <w:lang w:val="en-GB"/>
        </w:rPr>
      </w:pPr>
      <w:r>
        <w:rPr>
          <w:lang w:val="en-GB"/>
        </w:rPr>
        <w:lastRenderedPageBreak/>
        <w:t>It became clear in the development of this baseline study that a large share of some space-uses sit behind embedded networks.  An embedded network refers to an arrangement where there is a single meter for electricity – and/or, in some cases, for gas – for the entire building, with these fuels (or services, such as hot water) then being on-sold to individual apartment/unit owners by the building owner or manager.  While these arrangements have been regulated under the National Energy Law, they have nevertheless been controversial, particularly in Victoria, with major policy reviews and important regulatory changes occurring in recent years.</w:t>
      </w:r>
      <w:r>
        <w:rPr>
          <w:rStyle w:val="FootnoteReference"/>
          <w:lang w:val="en-GB"/>
        </w:rPr>
        <w:footnoteReference w:id="20"/>
      </w:r>
    </w:p>
    <w:p w14:paraId="54F1F0FC" w14:textId="77777777" w:rsidR="008B72FA" w:rsidRDefault="008B72FA" w:rsidP="00BE12EF">
      <w:pPr>
        <w:rPr>
          <w:lang w:val="en-GB"/>
        </w:rPr>
      </w:pPr>
      <w:r>
        <w:rPr>
          <w:lang w:val="en-GB"/>
        </w:rPr>
        <w:t>This finding is also relevant to the allocation of fuel use by customer type, as described below.  The majority, 136, of the 241 embedded networks identified by analysing the Energy and Water Ombudsman’s embedded network register were associated with residential apartment buildings.</w:t>
      </w:r>
      <w:r>
        <w:rPr>
          <w:rStyle w:val="FootnoteReference"/>
          <w:lang w:val="en-GB"/>
        </w:rPr>
        <w:footnoteReference w:id="21"/>
      </w:r>
      <w:r>
        <w:rPr>
          <w:lang w:val="en-GB"/>
        </w:rPr>
        <w:t xml:space="preserve"> </w:t>
      </w:r>
    </w:p>
    <w:p w14:paraId="60B6CE5C" w14:textId="16064FB1" w:rsidR="008B72FA" w:rsidRDefault="008B72FA" w:rsidP="00BE12EF">
      <w:pPr>
        <w:rPr>
          <w:lang w:val="en-GB"/>
        </w:rPr>
      </w:pPr>
      <w:r>
        <w:rPr>
          <w:lang w:val="en-GB"/>
        </w:rPr>
        <w:t xml:space="preserve">Of the 32 embedded networks associated with construction sites, many of these developments appear to also be residential apartment buildings which are likely to have been completed between 2022 and 2024. Of the 241 identified embedded networks, at least 126 were associated with buildings identified as having been completed since 2012, indicating developers are still installing embedded networks in new developments.  This data is shown in </w:t>
      </w:r>
      <w:r>
        <w:rPr>
          <w:lang w:val="en-GB"/>
        </w:rPr>
        <w:fldChar w:fldCharType="begin"/>
      </w:r>
      <w:r>
        <w:rPr>
          <w:lang w:val="en-GB"/>
        </w:rPr>
        <w:instrText xml:space="preserve"> REF _Ref169190426 \h </w:instrText>
      </w:r>
      <w:r w:rsidR="00BE12EF">
        <w:rPr>
          <w:lang w:val="en-GB"/>
        </w:rPr>
        <w:instrText xml:space="preserve"> \* MERGEFORMAT </w:instrText>
      </w:r>
      <w:r>
        <w:rPr>
          <w:lang w:val="en-GB"/>
        </w:rPr>
      </w:r>
      <w:r>
        <w:rPr>
          <w:lang w:val="en-GB"/>
        </w:rPr>
        <w:fldChar w:fldCharType="separate"/>
      </w:r>
      <w:r w:rsidRPr="00FD5050">
        <w:t xml:space="preserve">Figure </w:t>
      </w:r>
      <w:r>
        <w:rPr>
          <w:noProof/>
        </w:rPr>
        <w:t>28</w:t>
      </w:r>
      <w:r>
        <w:rPr>
          <w:lang w:val="en-GB"/>
        </w:rPr>
        <w:fldChar w:fldCharType="end"/>
      </w:r>
      <w:r>
        <w:rPr>
          <w:lang w:val="en-GB"/>
        </w:rPr>
        <w:t>.</w:t>
      </w:r>
    </w:p>
    <w:p w14:paraId="0805699D" w14:textId="77777777" w:rsidR="00BE12EF" w:rsidRDefault="00BE12EF" w:rsidP="00BE12EF">
      <w:pPr>
        <w:pStyle w:val="BodyText"/>
        <w:rPr>
          <w:lang w:val="en-GB"/>
        </w:rPr>
      </w:pPr>
      <w:r>
        <w:rPr>
          <w:noProof/>
        </w:rPr>
        <w:drawing>
          <wp:inline distT="0" distB="0" distL="0" distR="0" wp14:anchorId="77BE6C60" wp14:editId="3C64709D">
            <wp:extent cx="5964072" cy="2971800"/>
            <wp:effectExtent l="0" t="0" r="0" b="0"/>
            <wp:docPr id="1716413988" name="Chart 1" descr="Pie chart, see Appendix A27 for data information.">
              <a:extLst xmlns:a="http://schemas.openxmlformats.org/drawingml/2006/main">
                <a:ext uri="{FF2B5EF4-FFF2-40B4-BE49-F238E27FC236}">
                  <a16:creationId xmlns:a16="http://schemas.microsoft.com/office/drawing/2014/main" id="{6FCD3727-3D3B-02A5-5C82-84DA5E1AC80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52B152B3" w14:textId="77777777" w:rsidR="00BE12EF" w:rsidRPr="00BE12EF" w:rsidRDefault="00BE12EF" w:rsidP="00BE12EF">
      <w:pPr>
        <w:pStyle w:val="BodyText"/>
        <w:rPr>
          <w:rFonts w:ascii="Arial Bold" w:hAnsi="Arial Bold" w:hint="eastAsia"/>
          <w:b/>
          <w:bCs/>
          <w:szCs w:val="18"/>
        </w:rPr>
      </w:pPr>
      <w:bookmarkStart w:id="110" w:name="_Ref169190426"/>
      <w:bookmarkStart w:id="111" w:name="_Toc171951134"/>
      <w:r w:rsidRPr="00BE12EF">
        <w:rPr>
          <w:rFonts w:ascii="Arial Bold" w:hAnsi="Arial Bold"/>
          <w:b/>
          <w:bCs/>
          <w:szCs w:val="18"/>
        </w:rPr>
        <w:t xml:space="preserve">Figure </w:t>
      </w:r>
      <w:r w:rsidRPr="00BE12EF">
        <w:rPr>
          <w:rFonts w:ascii="Arial Bold" w:hAnsi="Arial Bold"/>
          <w:b/>
          <w:bCs/>
          <w:szCs w:val="18"/>
        </w:rPr>
        <w:fldChar w:fldCharType="begin"/>
      </w:r>
      <w:r w:rsidRPr="00BE12EF">
        <w:rPr>
          <w:rFonts w:ascii="Arial Bold" w:hAnsi="Arial Bold"/>
          <w:b/>
          <w:bCs/>
          <w:szCs w:val="18"/>
        </w:rPr>
        <w:instrText xml:space="preserve"> SEQ Figure \* ARABIC </w:instrText>
      </w:r>
      <w:r w:rsidRPr="00BE12EF">
        <w:rPr>
          <w:rFonts w:ascii="Arial Bold" w:hAnsi="Arial Bold"/>
          <w:b/>
          <w:bCs/>
          <w:szCs w:val="18"/>
        </w:rPr>
        <w:fldChar w:fldCharType="separate"/>
      </w:r>
      <w:r w:rsidRPr="00BE12EF">
        <w:rPr>
          <w:rFonts w:ascii="Arial Bold" w:hAnsi="Arial Bold"/>
          <w:b/>
          <w:bCs/>
          <w:szCs w:val="18"/>
        </w:rPr>
        <w:t>28</w:t>
      </w:r>
      <w:r w:rsidRPr="00BE12EF">
        <w:rPr>
          <w:rFonts w:ascii="Arial Bold" w:hAnsi="Arial Bold"/>
          <w:b/>
          <w:bCs/>
          <w:szCs w:val="18"/>
        </w:rPr>
        <w:fldChar w:fldCharType="end"/>
      </w:r>
      <w:bookmarkEnd w:id="110"/>
      <w:r w:rsidRPr="00BE12EF">
        <w:rPr>
          <w:rFonts w:ascii="Arial Bold" w:hAnsi="Arial Bold"/>
          <w:b/>
          <w:bCs/>
          <w:szCs w:val="18"/>
        </w:rPr>
        <w:t>:  Number of Embedded Networks by Building Type, City of Melbourne, FY2024</w:t>
      </w:r>
      <w:bookmarkEnd w:id="111"/>
    </w:p>
    <w:p w14:paraId="7C6A405D" w14:textId="2D941722" w:rsidR="009443E1" w:rsidRPr="001006A3" w:rsidRDefault="009443E1" w:rsidP="009443E1">
      <w:r w:rsidRPr="00A12C95">
        <w:rPr>
          <w:lang w:val="en-US"/>
        </w:rPr>
        <w:t>View</w:t>
      </w:r>
      <w:r w:rsidRPr="00A12C95">
        <w:t xml:space="preserve"> </w:t>
      </w:r>
      <w:hyperlink w:anchor="_Number_of_Embedded" w:history="1">
        <w:r>
          <w:rPr>
            <w:rStyle w:val="Hyperlink"/>
            <w:color w:val="0070C0"/>
            <w:lang w:val="en-US"/>
          </w:rPr>
          <w:t>Number of Embedded Networks by Building Type, City of Melbourne, FY2024</w:t>
        </w:r>
      </w:hyperlink>
      <w:r w:rsidRPr="00A12C95">
        <w:rPr>
          <w:lang w:val="en-US"/>
        </w:rPr>
        <w:t xml:space="preserve"> data table</w:t>
      </w:r>
      <w:r w:rsidR="00CD195B">
        <w:rPr>
          <w:lang w:val="en-US"/>
        </w:rPr>
        <w:t xml:space="preserve"> A.27</w:t>
      </w:r>
      <w:r w:rsidRPr="00A12C95">
        <w:rPr>
          <w:lang w:val="en-US"/>
        </w:rPr>
        <w:t xml:space="preserve"> in appendix</w:t>
      </w:r>
      <w:r w:rsidR="00BE12EF">
        <w:rPr>
          <w:lang w:val="en-US"/>
        </w:rPr>
        <w:t>.</w:t>
      </w:r>
    </w:p>
    <w:p w14:paraId="54C85047" w14:textId="53194707" w:rsidR="008B72FA" w:rsidRDefault="008B72FA" w:rsidP="00BE12EF">
      <w:pPr>
        <w:rPr>
          <w:lang w:val="en-GB"/>
        </w:rPr>
      </w:pPr>
      <w:r>
        <w:rPr>
          <w:lang w:val="en-GB"/>
        </w:rPr>
        <w:t xml:space="preserve">The installation of embedded networks appears to be particularly associated with very large apartment buildings – of the 40 residential apartment buildings containing over 400 apartments built since 2012, 31 were associated with an embedded network. The effect of this trend can be seen in </w:t>
      </w:r>
      <w:r>
        <w:rPr>
          <w:lang w:val="en-GB"/>
        </w:rPr>
        <w:fldChar w:fldCharType="begin"/>
      </w:r>
      <w:r>
        <w:rPr>
          <w:lang w:val="en-GB"/>
        </w:rPr>
        <w:instrText xml:space="preserve"> REF _Ref170476265 \h </w:instrText>
      </w:r>
      <w:r w:rsidR="00BE12EF">
        <w:rPr>
          <w:lang w:val="en-GB"/>
        </w:rPr>
        <w:instrText xml:space="preserve"> \* MERGEFORMAT </w:instrText>
      </w:r>
      <w:r>
        <w:rPr>
          <w:lang w:val="en-GB"/>
        </w:rPr>
      </w:r>
      <w:r>
        <w:rPr>
          <w:lang w:val="en-GB"/>
        </w:rPr>
        <w:fldChar w:fldCharType="separate"/>
      </w:r>
      <w:r w:rsidRPr="00BF4F94">
        <w:t xml:space="preserve">Figure </w:t>
      </w:r>
      <w:r>
        <w:rPr>
          <w:noProof/>
        </w:rPr>
        <w:t>29</w:t>
      </w:r>
      <w:r>
        <w:rPr>
          <w:lang w:val="en-GB"/>
        </w:rPr>
        <w:fldChar w:fldCharType="end"/>
      </w:r>
      <w:r>
        <w:rPr>
          <w:lang w:val="en-GB"/>
        </w:rPr>
        <w:t xml:space="preserve">, which shows that 31% of all apartment floor area (including student accommodation) in the LGA is associated with an embedded network. </w:t>
      </w:r>
    </w:p>
    <w:p w14:paraId="12995A86" w14:textId="77777777" w:rsidR="00BE12EF" w:rsidRDefault="00BE12EF" w:rsidP="00BE12EF">
      <w:pPr>
        <w:pStyle w:val="BodyText"/>
        <w:keepNext/>
      </w:pPr>
      <w:r>
        <w:rPr>
          <w:noProof/>
        </w:rPr>
        <w:lastRenderedPageBreak/>
        <w:drawing>
          <wp:inline distT="0" distB="0" distL="0" distR="0" wp14:anchorId="4F8D2224" wp14:editId="18A741EB">
            <wp:extent cx="6168788" cy="2867025"/>
            <wp:effectExtent l="0" t="0" r="3810" b="0"/>
            <wp:docPr id="1970698535" name="Chart 1" descr="Pie chart, see Appendix A28 for data information.">
              <a:extLst xmlns:a="http://schemas.openxmlformats.org/drawingml/2006/main">
                <a:ext uri="{FF2B5EF4-FFF2-40B4-BE49-F238E27FC236}">
                  <a16:creationId xmlns:a16="http://schemas.microsoft.com/office/drawing/2014/main" id="{71DA8318-15FB-7168-A1CB-DC9B101D48A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2032950F" w14:textId="77777777" w:rsidR="00BE12EF" w:rsidRPr="00BE12EF" w:rsidRDefault="00BE12EF" w:rsidP="00BE12EF">
      <w:pPr>
        <w:pStyle w:val="BodyText"/>
        <w:rPr>
          <w:rFonts w:ascii="Arial Bold" w:hAnsi="Arial Bold" w:hint="eastAsia"/>
          <w:b/>
          <w:bCs/>
          <w:szCs w:val="18"/>
        </w:rPr>
      </w:pPr>
      <w:bookmarkStart w:id="112" w:name="_Ref170476265"/>
      <w:bookmarkStart w:id="113" w:name="_Toc171951135"/>
      <w:r w:rsidRPr="00BE12EF">
        <w:rPr>
          <w:rFonts w:ascii="Arial Bold" w:hAnsi="Arial Bold"/>
          <w:b/>
          <w:bCs/>
          <w:szCs w:val="18"/>
        </w:rPr>
        <w:t xml:space="preserve">Figure </w:t>
      </w:r>
      <w:r w:rsidRPr="00BE12EF">
        <w:rPr>
          <w:rFonts w:ascii="Arial Bold" w:hAnsi="Arial Bold"/>
          <w:b/>
          <w:bCs/>
          <w:szCs w:val="18"/>
        </w:rPr>
        <w:fldChar w:fldCharType="begin"/>
      </w:r>
      <w:r w:rsidRPr="00BE12EF">
        <w:rPr>
          <w:rFonts w:ascii="Arial Bold" w:hAnsi="Arial Bold"/>
          <w:b/>
          <w:bCs/>
          <w:szCs w:val="18"/>
        </w:rPr>
        <w:instrText xml:space="preserve"> SEQ Figure \* ARABIC </w:instrText>
      </w:r>
      <w:r w:rsidRPr="00BE12EF">
        <w:rPr>
          <w:rFonts w:ascii="Arial Bold" w:hAnsi="Arial Bold"/>
          <w:b/>
          <w:bCs/>
          <w:szCs w:val="18"/>
        </w:rPr>
        <w:fldChar w:fldCharType="separate"/>
      </w:r>
      <w:r w:rsidRPr="00BE12EF">
        <w:rPr>
          <w:rFonts w:ascii="Arial Bold" w:hAnsi="Arial Bold"/>
          <w:b/>
          <w:bCs/>
          <w:szCs w:val="18"/>
        </w:rPr>
        <w:t>29</w:t>
      </w:r>
      <w:r w:rsidRPr="00BE12EF">
        <w:rPr>
          <w:rFonts w:ascii="Arial Bold" w:hAnsi="Arial Bold"/>
          <w:b/>
          <w:bCs/>
          <w:szCs w:val="18"/>
        </w:rPr>
        <w:fldChar w:fldCharType="end"/>
      </w:r>
      <w:bookmarkEnd w:id="112"/>
      <w:r w:rsidRPr="00BE12EF">
        <w:rPr>
          <w:rFonts w:ascii="Arial Bold" w:hAnsi="Arial Bold"/>
          <w:b/>
          <w:bCs/>
          <w:szCs w:val="18"/>
        </w:rPr>
        <w:t>: Apartment Floor Area Behind Embedded Networks, City of Melbourne, FY2024</w:t>
      </w:r>
      <w:bookmarkEnd w:id="113"/>
    </w:p>
    <w:p w14:paraId="638E75FB" w14:textId="2BBC35C2" w:rsidR="009443E1" w:rsidRPr="001006A3" w:rsidRDefault="009443E1" w:rsidP="009443E1">
      <w:r w:rsidRPr="00A12C95">
        <w:rPr>
          <w:lang w:val="en-US"/>
        </w:rPr>
        <w:t>View</w:t>
      </w:r>
      <w:r w:rsidRPr="00A12C95">
        <w:t xml:space="preserve"> </w:t>
      </w:r>
      <w:hyperlink w:anchor="_Apartment_Floor_Area" w:history="1">
        <w:r>
          <w:rPr>
            <w:rStyle w:val="Hyperlink"/>
            <w:color w:val="0070C0"/>
            <w:lang w:val="en-US"/>
          </w:rPr>
          <w:t>Apartment Floor Area Behind Embedded Networks, City of Melbourne, FY2024</w:t>
        </w:r>
      </w:hyperlink>
      <w:r w:rsidRPr="00A12C95">
        <w:rPr>
          <w:lang w:val="en-US"/>
        </w:rPr>
        <w:t xml:space="preserve"> data table</w:t>
      </w:r>
      <w:r w:rsidR="00CD195B">
        <w:rPr>
          <w:lang w:val="en-US"/>
        </w:rPr>
        <w:t xml:space="preserve"> A.28</w:t>
      </w:r>
      <w:r w:rsidRPr="00A12C95">
        <w:rPr>
          <w:lang w:val="en-US"/>
        </w:rPr>
        <w:t xml:space="preserve"> in appendix</w:t>
      </w:r>
      <w:r w:rsidR="00BE12EF">
        <w:rPr>
          <w:lang w:val="en-US"/>
        </w:rPr>
        <w:t>.</w:t>
      </w:r>
    </w:p>
    <w:p w14:paraId="63D90AA8" w14:textId="77777777" w:rsidR="00BE12EF" w:rsidRDefault="00BE12EF">
      <w:pPr>
        <w:spacing w:after="0" w:line="240" w:lineRule="auto"/>
        <w:rPr>
          <w:rFonts w:ascii="Arial Bold" w:eastAsia="MS Gothic" w:hAnsi="Arial Bold" w:hint="eastAsia"/>
          <w:bCs/>
          <w:sz w:val="28"/>
          <w:szCs w:val="32"/>
          <w:lang w:val="en-US"/>
        </w:rPr>
      </w:pPr>
      <w:bookmarkStart w:id="114" w:name="_Toc173876036"/>
      <w:r>
        <w:rPr>
          <w:rFonts w:hint="eastAsia"/>
        </w:rPr>
        <w:br w:type="page"/>
      </w:r>
    </w:p>
    <w:p w14:paraId="386E72B2" w14:textId="5F3A8A50" w:rsidR="008B72FA" w:rsidRDefault="008B72FA" w:rsidP="007E0B0B">
      <w:pPr>
        <w:pStyle w:val="Heading1"/>
        <w:numPr>
          <w:ilvl w:val="0"/>
          <w:numId w:val="8"/>
        </w:numPr>
        <w:ind w:hanging="720"/>
        <w:rPr>
          <w:rFonts w:hint="eastAsia"/>
        </w:rPr>
      </w:pPr>
      <w:bookmarkStart w:id="115" w:name="_Toc181219289"/>
      <w:r>
        <w:lastRenderedPageBreak/>
        <w:t>Energy Use and Greenhouse Gas Emissions in Melbourne’s Buildings</w:t>
      </w:r>
      <w:bookmarkEnd w:id="114"/>
      <w:bookmarkEnd w:id="115"/>
    </w:p>
    <w:p w14:paraId="0032E9FD" w14:textId="255F588A" w:rsidR="008B72FA" w:rsidRDefault="008B72FA" w:rsidP="008B72FA">
      <w:pPr>
        <w:pStyle w:val="Heading2"/>
        <w:rPr>
          <w:rFonts w:hint="eastAsia"/>
        </w:rPr>
      </w:pPr>
      <w:bookmarkStart w:id="116" w:name="_4.1_Overview_of"/>
      <w:bookmarkStart w:id="117" w:name="_Toc173876037"/>
      <w:bookmarkStart w:id="118" w:name="_Toc181219290"/>
      <w:bookmarkEnd w:id="116"/>
      <w:r>
        <w:t>4.1</w:t>
      </w:r>
      <w:r>
        <w:tab/>
        <w:t>Overview of Energy Consumption</w:t>
      </w:r>
      <w:bookmarkEnd w:id="117"/>
      <w:bookmarkEnd w:id="118"/>
    </w:p>
    <w:p w14:paraId="3C4741C9" w14:textId="6E521238" w:rsidR="008B72FA" w:rsidRDefault="008B72FA" w:rsidP="00BE12EF">
      <w:r>
        <w:t xml:space="preserve">Total (stationary) energy consumption in the City of Melbourne’s buildings in 2022 was </w:t>
      </w:r>
      <w:r w:rsidRPr="00862A59">
        <w:t>1</w:t>
      </w:r>
      <w:r>
        <w:t xml:space="preserve">6,272 TJ, with 59.1% of this total, 9,611 TJ, derived from electricity, and 40.9%, 6,661 TJ, derived from fossil gas.  These totals exclude energy consumption that is associated with trains and trams, construction projects, and some specific manufacturing sites, which are discussed further in Section </w:t>
      </w:r>
      <w:r>
        <w:fldChar w:fldCharType="begin"/>
      </w:r>
      <w:r>
        <w:instrText xml:space="preserve"> REF _Ref170732836 \n \h </w:instrText>
      </w:r>
      <w:r w:rsidR="00BE12EF">
        <w:instrText xml:space="preserve"> \* MERGEFORMAT </w:instrText>
      </w:r>
      <w:r>
        <w:fldChar w:fldCharType="separate"/>
      </w:r>
      <w:r>
        <w:t>4.2.6</w:t>
      </w:r>
      <w:r>
        <w:fldChar w:fldCharType="end"/>
      </w:r>
      <w:r>
        <w:t xml:space="preserve"> below.  </w:t>
      </w:r>
    </w:p>
    <w:p w14:paraId="14B3A2AD" w14:textId="77777777" w:rsidR="008B72FA" w:rsidRDefault="008B72FA" w:rsidP="00BE12EF">
      <w:r>
        <w:t>The relatively high share of gas in total energy consumption is a characteristic of Melbourne, and Victoria more generally, given the early and extensive development of the gas network, low gas prices (in the past), and heating-dominated climate.</w:t>
      </w:r>
    </w:p>
    <w:p w14:paraId="04707840" w14:textId="77777777" w:rsidR="00BE12EF" w:rsidRDefault="00BE12EF" w:rsidP="00BE12EF">
      <w:pPr>
        <w:pStyle w:val="BodyText"/>
        <w:keepNext/>
      </w:pPr>
      <w:r>
        <w:rPr>
          <w:noProof/>
        </w:rPr>
        <w:drawing>
          <wp:inline distT="0" distB="0" distL="0" distR="0" wp14:anchorId="504BB269" wp14:editId="43BE99BC">
            <wp:extent cx="6096000" cy="2598821"/>
            <wp:effectExtent l="0" t="0" r="0" b="0"/>
            <wp:docPr id="434928074" name="Chart 1" descr="Pie chart, see Appendix A29 for data information.">
              <a:extLst xmlns:a="http://schemas.openxmlformats.org/drawingml/2006/main">
                <a:ext uri="{FF2B5EF4-FFF2-40B4-BE49-F238E27FC236}">
                  <a16:creationId xmlns:a16="http://schemas.microsoft.com/office/drawing/2014/main" id="{2C84D3C8-CBC0-AE82-AB83-A4A3C3B2621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69C1F11C" w14:textId="77777777" w:rsidR="00BE12EF" w:rsidRPr="00BE12EF" w:rsidRDefault="00BE12EF" w:rsidP="00BE12EF">
      <w:pPr>
        <w:pStyle w:val="BodyText"/>
        <w:rPr>
          <w:rFonts w:ascii="Arial Bold" w:hAnsi="Arial Bold" w:hint="eastAsia"/>
          <w:b/>
          <w:bCs/>
          <w:szCs w:val="18"/>
        </w:rPr>
      </w:pPr>
      <w:bookmarkStart w:id="119" w:name="_Toc171951136"/>
      <w:r w:rsidRPr="00BE12EF">
        <w:rPr>
          <w:rFonts w:ascii="Arial Bold" w:hAnsi="Arial Bold"/>
          <w:b/>
          <w:bCs/>
          <w:szCs w:val="18"/>
        </w:rPr>
        <w:t xml:space="preserve">Figure </w:t>
      </w:r>
      <w:r w:rsidRPr="00BE12EF">
        <w:rPr>
          <w:rFonts w:ascii="Arial Bold" w:hAnsi="Arial Bold"/>
          <w:b/>
          <w:bCs/>
          <w:szCs w:val="18"/>
        </w:rPr>
        <w:fldChar w:fldCharType="begin"/>
      </w:r>
      <w:r w:rsidRPr="00BE12EF">
        <w:rPr>
          <w:rFonts w:ascii="Arial Bold" w:hAnsi="Arial Bold"/>
          <w:b/>
          <w:bCs/>
          <w:szCs w:val="18"/>
        </w:rPr>
        <w:instrText xml:space="preserve"> SEQ Figure \* ARABIC </w:instrText>
      </w:r>
      <w:r w:rsidRPr="00BE12EF">
        <w:rPr>
          <w:rFonts w:ascii="Arial Bold" w:hAnsi="Arial Bold"/>
          <w:b/>
          <w:bCs/>
          <w:szCs w:val="18"/>
        </w:rPr>
        <w:fldChar w:fldCharType="separate"/>
      </w:r>
      <w:r w:rsidRPr="00BE12EF">
        <w:rPr>
          <w:rFonts w:ascii="Arial Bold" w:hAnsi="Arial Bold"/>
          <w:b/>
          <w:bCs/>
          <w:szCs w:val="18"/>
        </w:rPr>
        <w:t>30</w:t>
      </w:r>
      <w:r w:rsidRPr="00BE12EF">
        <w:rPr>
          <w:rFonts w:ascii="Arial Bold" w:hAnsi="Arial Bold"/>
          <w:b/>
          <w:bCs/>
          <w:szCs w:val="18"/>
        </w:rPr>
        <w:fldChar w:fldCharType="end"/>
      </w:r>
      <w:r w:rsidRPr="00BE12EF">
        <w:rPr>
          <w:rFonts w:ascii="Arial Bold" w:hAnsi="Arial Bold"/>
          <w:b/>
          <w:bCs/>
          <w:szCs w:val="18"/>
        </w:rPr>
        <w:t>:  Total (Stationary) Energy Consumption (TJ) by Fuel Type, City of Melbourne, FY2022</w:t>
      </w:r>
      <w:bookmarkEnd w:id="119"/>
    </w:p>
    <w:p w14:paraId="46BE324A" w14:textId="256B5208" w:rsidR="009443E1" w:rsidRPr="001006A3" w:rsidRDefault="009443E1" w:rsidP="009443E1">
      <w:r w:rsidRPr="00A12C95">
        <w:rPr>
          <w:lang w:val="en-US"/>
        </w:rPr>
        <w:t>View</w:t>
      </w:r>
      <w:r w:rsidRPr="00A12C95">
        <w:t xml:space="preserve"> </w:t>
      </w:r>
      <w:hyperlink w:anchor="_Total_Energy_Consumption" w:history="1">
        <w:r>
          <w:rPr>
            <w:rStyle w:val="Hyperlink"/>
            <w:color w:val="0070C0"/>
            <w:lang w:val="en-US"/>
          </w:rPr>
          <w:t>Total</w:t>
        </w:r>
        <w:r w:rsidR="00BE12EF">
          <w:rPr>
            <w:rStyle w:val="Hyperlink"/>
            <w:color w:val="0070C0"/>
            <w:lang w:val="en-US"/>
          </w:rPr>
          <w:t xml:space="preserve"> </w:t>
        </w:r>
        <w:r>
          <w:rPr>
            <w:rStyle w:val="Hyperlink"/>
            <w:color w:val="0070C0"/>
            <w:lang w:val="en-US"/>
          </w:rPr>
          <w:t>Energy Consumption by Fuel Type, City of Melbourne, FY2022</w:t>
        </w:r>
      </w:hyperlink>
      <w:r w:rsidRPr="00A12C95">
        <w:rPr>
          <w:lang w:val="en-US"/>
        </w:rPr>
        <w:t xml:space="preserve"> data table</w:t>
      </w:r>
      <w:r w:rsidR="00CD195B">
        <w:rPr>
          <w:lang w:val="en-US"/>
        </w:rPr>
        <w:t xml:space="preserve"> A.29</w:t>
      </w:r>
      <w:r w:rsidRPr="00A12C95">
        <w:rPr>
          <w:lang w:val="en-US"/>
        </w:rPr>
        <w:t xml:space="preserve"> in appendix</w:t>
      </w:r>
      <w:r w:rsidR="00BE12EF">
        <w:rPr>
          <w:lang w:val="en-US"/>
        </w:rPr>
        <w:t>.</w:t>
      </w:r>
    </w:p>
    <w:p w14:paraId="589F49A9" w14:textId="205E8FA3" w:rsidR="008B72FA" w:rsidRDefault="008B72FA" w:rsidP="00BE12EF">
      <w:r>
        <w:t xml:space="preserve">The distribution of energy consumption across the LGA by post code (see Figure 25) broadly reflects the distribution of floor area, although the CBD, home to a greater concentration of more energy intensive space-uses, is slightly over-represented in the data. However, as shown in </w:t>
      </w:r>
      <w:r>
        <w:fldChar w:fldCharType="begin"/>
      </w:r>
      <w:r>
        <w:instrText xml:space="preserve"> REF _Ref171951417 \h </w:instrText>
      </w:r>
      <w:r w:rsidR="00BE12EF">
        <w:instrText xml:space="preserve"> \* MERGEFORMAT </w:instrText>
      </w:r>
      <w:r>
        <w:fldChar w:fldCharType="separate"/>
      </w:r>
      <w:r w:rsidRPr="00D85DC0">
        <w:t xml:space="preserve">Figure </w:t>
      </w:r>
      <w:r>
        <w:rPr>
          <w:noProof/>
        </w:rPr>
        <w:t>32</w:t>
      </w:r>
      <w:r>
        <w:fldChar w:fldCharType="end"/>
      </w:r>
      <w:r>
        <w:t xml:space="preserve"> the CBD contains 34% of total floor area in the LGA while accounting for 38% of total energy consumption, or 6,165 TJ. Other overrepresented areas include postcodes 3050 and 3181, both home to major hospitals, and the inner-residential areas covered by postcodes 3051, 3052 and 3053. On the other hand, postcode 3003, covering West Melbourne and the Port of Melbourne contains 11% of total floorspace in the LGA, while consuming only 5% of total energy, reflecting the large areas of low-intensity storage and industrial space in the area.</w:t>
      </w:r>
    </w:p>
    <w:p w14:paraId="31E625F2" w14:textId="77777777" w:rsidR="00BE12EF" w:rsidRDefault="00BE12EF" w:rsidP="00BE12EF">
      <w:pPr>
        <w:pStyle w:val="BodyText"/>
        <w:keepNext/>
      </w:pPr>
      <w:r>
        <w:rPr>
          <w:noProof/>
        </w:rPr>
        <w:lastRenderedPageBreak/>
        <w:drawing>
          <wp:inline distT="0" distB="0" distL="0" distR="0" wp14:anchorId="76AFA6AA" wp14:editId="131BAC0A">
            <wp:extent cx="5905500" cy="3390900"/>
            <wp:effectExtent l="0" t="0" r="0" b="0"/>
            <wp:docPr id="828634012" name="Chart 1" descr="Pie chart, see Appendix A30 for data information.">
              <a:extLst xmlns:a="http://schemas.openxmlformats.org/drawingml/2006/main">
                <a:ext uri="{FF2B5EF4-FFF2-40B4-BE49-F238E27FC236}">
                  <a16:creationId xmlns:a16="http://schemas.microsoft.com/office/drawing/2014/main" id="{CC70B3DC-2457-94EC-9F75-B87B444D8A7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654A83D0" w14:textId="77777777" w:rsidR="00BE12EF" w:rsidRPr="00BE12EF" w:rsidRDefault="00BE12EF" w:rsidP="00BE12EF">
      <w:pPr>
        <w:pStyle w:val="BodyText"/>
        <w:rPr>
          <w:rFonts w:ascii="Arial Bold" w:hAnsi="Arial Bold" w:hint="eastAsia"/>
          <w:b/>
          <w:bCs/>
          <w:szCs w:val="18"/>
        </w:rPr>
      </w:pPr>
      <w:bookmarkStart w:id="120" w:name="_Toc171951137"/>
      <w:r w:rsidRPr="00BE12EF">
        <w:rPr>
          <w:rFonts w:ascii="Arial Bold" w:hAnsi="Arial Bold"/>
          <w:b/>
          <w:bCs/>
          <w:szCs w:val="18"/>
        </w:rPr>
        <w:t xml:space="preserve">Figure </w:t>
      </w:r>
      <w:r w:rsidRPr="00BE12EF">
        <w:rPr>
          <w:rFonts w:ascii="Arial Bold" w:hAnsi="Arial Bold"/>
          <w:b/>
          <w:bCs/>
          <w:szCs w:val="18"/>
        </w:rPr>
        <w:fldChar w:fldCharType="begin"/>
      </w:r>
      <w:r w:rsidRPr="00BE12EF">
        <w:rPr>
          <w:rFonts w:ascii="Arial Bold" w:hAnsi="Arial Bold"/>
          <w:b/>
          <w:bCs/>
          <w:szCs w:val="18"/>
        </w:rPr>
        <w:instrText xml:space="preserve"> SEQ Figure \* ARABIC </w:instrText>
      </w:r>
      <w:r w:rsidRPr="00BE12EF">
        <w:rPr>
          <w:rFonts w:ascii="Arial Bold" w:hAnsi="Arial Bold"/>
          <w:b/>
          <w:bCs/>
          <w:szCs w:val="18"/>
        </w:rPr>
        <w:fldChar w:fldCharType="separate"/>
      </w:r>
      <w:r w:rsidRPr="00BE12EF">
        <w:rPr>
          <w:rFonts w:ascii="Arial Bold" w:hAnsi="Arial Bold"/>
          <w:b/>
          <w:bCs/>
          <w:szCs w:val="18"/>
        </w:rPr>
        <w:t>31</w:t>
      </w:r>
      <w:r w:rsidRPr="00BE12EF">
        <w:rPr>
          <w:rFonts w:ascii="Arial Bold" w:hAnsi="Arial Bold"/>
          <w:b/>
          <w:bCs/>
          <w:szCs w:val="18"/>
        </w:rPr>
        <w:fldChar w:fldCharType="end"/>
      </w:r>
      <w:r w:rsidRPr="00BE12EF">
        <w:rPr>
          <w:rFonts w:ascii="Arial Bold" w:hAnsi="Arial Bold"/>
          <w:b/>
          <w:bCs/>
          <w:szCs w:val="18"/>
        </w:rPr>
        <w:t>: Total Stationary Energy Consumption (TJ) by Postcode, City of Melbourne, 2022</w:t>
      </w:r>
      <w:bookmarkEnd w:id="120"/>
    </w:p>
    <w:p w14:paraId="7036D789" w14:textId="0FBA096F" w:rsidR="009443E1" w:rsidRPr="001006A3" w:rsidRDefault="009443E1" w:rsidP="009443E1">
      <w:r w:rsidRPr="00A12C95">
        <w:rPr>
          <w:lang w:val="en-US"/>
        </w:rPr>
        <w:t>View</w:t>
      </w:r>
      <w:r w:rsidRPr="00A12C95">
        <w:t xml:space="preserve"> </w:t>
      </w:r>
      <w:hyperlink w:anchor="_Total_Stationary_Energy" w:history="1">
        <w:r>
          <w:rPr>
            <w:rStyle w:val="Hyperlink"/>
            <w:color w:val="0070C0"/>
            <w:lang w:val="en-US"/>
          </w:rPr>
          <w:t>Total Stationary Energy Consumption (TJ) by Postcode, City of Melbourne, 2022</w:t>
        </w:r>
      </w:hyperlink>
      <w:r w:rsidRPr="00A12C95">
        <w:rPr>
          <w:lang w:val="en-US"/>
        </w:rPr>
        <w:t xml:space="preserve"> data table</w:t>
      </w:r>
      <w:r w:rsidR="00CD195B">
        <w:rPr>
          <w:lang w:val="en-US"/>
        </w:rPr>
        <w:t xml:space="preserve"> A.30</w:t>
      </w:r>
      <w:r w:rsidRPr="00A12C95">
        <w:rPr>
          <w:lang w:val="en-US"/>
        </w:rPr>
        <w:t xml:space="preserve"> in appendix</w:t>
      </w:r>
      <w:r w:rsidR="00BE12EF">
        <w:rPr>
          <w:lang w:val="en-US"/>
        </w:rPr>
        <w:t>.</w:t>
      </w:r>
    </w:p>
    <w:p w14:paraId="1D3DB254" w14:textId="77777777" w:rsidR="00BE12EF" w:rsidRDefault="00BE12EF" w:rsidP="00BE12EF">
      <w:pPr>
        <w:pStyle w:val="BodyText"/>
        <w:keepNext/>
      </w:pPr>
      <w:r>
        <w:rPr>
          <w:noProof/>
        </w:rPr>
        <w:drawing>
          <wp:inline distT="0" distB="0" distL="0" distR="0" wp14:anchorId="06B0EAD1" wp14:editId="2FCDC23D">
            <wp:extent cx="6019800" cy="3105150"/>
            <wp:effectExtent l="0" t="0" r="0" b="0"/>
            <wp:docPr id="1490367989" name="Chart 1" descr="Bar graph, see Appendix A31 for data information.">
              <a:extLst xmlns:a="http://schemas.openxmlformats.org/drawingml/2006/main">
                <a:ext uri="{FF2B5EF4-FFF2-40B4-BE49-F238E27FC236}">
                  <a16:creationId xmlns:a16="http://schemas.microsoft.com/office/drawing/2014/main" id="{D288DEDF-5311-F0C6-0E7D-2C390F87FFE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62EF0573" w14:textId="77777777" w:rsidR="00BE12EF" w:rsidRPr="00BE12EF" w:rsidRDefault="00BE12EF" w:rsidP="00BE12EF">
      <w:pPr>
        <w:pStyle w:val="BodyText"/>
        <w:rPr>
          <w:rFonts w:ascii="Arial Bold" w:hAnsi="Arial Bold" w:hint="eastAsia"/>
          <w:b/>
          <w:bCs/>
          <w:szCs w:val="18"/>
        </w:rPr>
      </w:pPr>
      <w:bookmarkStart w:id="121" w:name="_Ref171951417"/>
      <w:bookmarkStart w:id="122" w:name="_Toc171951138"/>
      <w:r w:rsidRPr="00BE12EF">
        <w:rPr>
          <w:rFonts w:ascii="Arial Bold" w:hAnsi="Arial Bold"/>
          <w:b/>
          <w:bCs/>
          <w:szCs w:val="18"/>
        </w:rPr>
        <w:t xml:space="preserve">Figure </w:t>
      </w:r>
      <w:r w:rsidRPr="00BE12EF">
        <w:rPr>
          <w:rFonts w:ascii="Arial Bold" w:hAnsi="Arial Bold"/>
          <w:b/>
          <w:bCs/>
          <w:szCs w:val="18"/>
        </w:rPr>
        <w:fldChar w:fldCharType="begin"/>
      </w:r>
      <w:r w:rsidRPr="00BE12EF">
        <w:rPr>
          <w:rFonts w:ascii="Arial Bold" w:hAnsi="Arial Bold"/>
          <w:b/>
          <w:bCs/>
          <w:szCs w:val="18"/>
        </w:rPr>
        <w:instrText xml:space="preserve"> SEQ Figure \* ARABIC </w:instrText>
      </w:r>
      <w:r w:rsidRPr="00BE12EF">
        <w:rPr>
          <w:rFonts w:ascii="Arial Bold" w:hAnsi="Arial Bold"/>
          <w:b/>
          <w:bCs/>
          <w:szCs w:val="18"/>
        </w:rPr>
        <w:fldChar w:fldCharType="separate"/>
      </w:r>
      <w:r w:rsidRPr="00BE12EF">
        <w:rPr>
          <w:rFonts w:ascii="Arial Bold" w:hAnsi="Arial Bold"/>
          <w:b/>
          <w:bCs/>
          <w:szCs w:val="18"/>
        </w:rPr>
        <w:t>32</w:t>
      </w:r>
      <w:r w:rsidRPr="00BE12EF">
        <w:rPr>
          <w:rFonts w:ascii="Arial Bold" w:hAnsi="Arial Bold"/>
          <w:b/>
          <w:bCs/>
          <w:szCs w:val="18"/>
        </w:rPr>
        <w:fldChar w:fldCharType="end"/>
      </w:r>
      <w:bookmarkEnd w:id="121"/>
      <w:r w:rsidRPr="00BE12EF">
        <w:rPr>
          <w:rFonts w:ascii="Arial Bold" w:hAnsi="Arial Bold"/>
          <w:b/>
          <w:bCs/>
          <w:szCs w:val="18"/>
        </w:rPr>
        <w:t>: Comparison of Floor Area and Energy Consumption by Postcode, City of Melbourne, 2022</w:t>
      </w:r>
      <w:bookmarkEnd w:id="122"/>
    </w:p>
    <w:p w14:paraId="3EE8A567" w14:textId="53AB2815" w:rsidR="00140B0D" w:rsidRPr="001006A3" w:rsidRDefault="00140B0D" w:rsidP="00140B0D">
      <w:r w:rsidRPr="00A12C95">
        <w:rPr>
          <w:lang w:val="en-US"/>
        </w:rPr>
        <w:t>View</w:t>
      </w:r>
      <w:r w:rsidRPr="00A12C95">
        <w:t xml:space="preserve"> </w:t>
      </w:r>
      <w:hyperlink w:anchor="_Comparison_of_Floor" w:history="1">
        <w:r>
          <w:rPr>
            <w:rStyle w:val="Hyperlink"/>
            <w:color w:val="0070C0"/>
            <w:lang w:val="en-US"/>
          </w:rPr>
          <w:t xml:space="preserve">Comparison of Floor Area </w:t>
        </w:r>
        <w:r>
          <w:rPr>
            <w:rStyle w:val="Hyperlink"/>
            <w:color w:val="0070C0"/>
            <w:lang w:val="en-US"/>
          </w:rPr>
          <w:t>a</w:t>
        </w:r>
        <w:r>
          <w:rPr>
            <w:rStyle w:val="Hyperlink"/>
            <w:color w:val="0070C0"/>
            <w:lang w:val="en-US"/>
          </w:rPr>
          <w:t>nd Energy Consumption by Postcode, City of Melbourne, 2022</w:t>
        </w:r>
      </w:hyperlink>
      <w:r w:rsidRPr="00A12C95">
        <w:rPr>
          <w:lang w:val="en-US"/>
        </w:rPr>
        <w:t xml:space="preserve"> data table</w:t>
      </w:r>
      <w:r w:rsidR="00CD195B">
        <w:rPr>
          <w:lang w:val="en-US"/>
        </w:rPr>
        <w:t xml:space="preserve"> A.31</w:t>
      </w:r>
      <w:r w:rsidRPr="00A12C95">
        <w:rPr>
          <w:lang w:val="en-US"/>
        </w:rPr>
        <w:t xml:space="preserve"> in appendix</w:t>
      </w:r>
      <w:r w:rsidR="00BE12EF">
        <w:rPr>
          <w:lang w:val="en-US"/>
        </w:rPr>
        <w:t>.</w:t>
      </w:r>
    </w:p>
    <w:p w14:paraId="7681AE12" w14:textId="012293FC" w:rsidR="008B72FA" w:rsidRDefault="008B72FA" w:rsidP="00BE12EF">
      <w:r>
        <w:t xml:space="preserve">As shown in </w:t>
      </w:r>
      <w:r>
        <w:fldChar w:fldCharType="begin"/>
      </w:r>
      <w:r>
        <w:instrText xml:space="preserve"> REF _Ref171951492 \h </w:instrText>
      </w:r>
      <w:r w:rsidR="00BE12EF">
        <w:instrText xml:space="preserve"> \* MERGEFORMAT </w:instrText>
      </w:r>
      <w:r>
        <w:fldChar w:fldCharType="separate"/>
      </w:r>
      <w:r w:rsidRPr="009D7A2C">
        <w:t xml:space="preserve">Figure </w:t>
      </w:r>
      <w:r>
        <w:rPr>
          <w:noProof/>
        </w:rPr>
        <w:t>33</w:t>
      </w:r>
      <w:r>
        <w:fldChar w:fldCharType="end"/>
      </w:r>
      <w:r>
        <w:t xml:space="preserve"> – despite the CBD being overrepresented in total energy consumption, postcode 3000 compared favourably with other postcodes in the share of total energy consumed in the postcode that derived from electricity – 62% compared with an average 59% across the LGA. This above average electrification rate likely reflects the above average share of office space in the postcode, which uses less gas than other space-</w:t>
      </w:r>
      <w:r>
        <w:lastRenderedPageBreak/>
        <w:t>uses. Inversely, the postcodes with above average gas consumption as a proportion of total energy consumption were those with above average rates of non-apartment housing (3051, 3052 &amp; 3053), or with major hospitals (3050 &amp; 3181).</w:t>
      </w:r>
    </w:p>
    <w:p w14:paraId="02406667" w14:textId="77777777" w:rsidR="00BE12EF" w:rsidRDefault="00BE12EF" w:rsidP="00BE12EF">
      <w:pPr>
        <w:keepNext/>
      </w:pPr>
      <w:r>
        <w:rPr>
          <w:noProof/>
        </w:rPr>
        <w:drawing>
          <wp:inline distT="0" distB="0" distL="0" distR="0" wp14:anchorId="0CBEA272" wp14:editId="23516B5C">
            <wp:extent cx="5924550" cy="3296652"/>
            <wp:effectExtent l="0" t="0" r="0" b="0"/>
            <wp:docPr id="1634496076" name="Chart 1" descr="Bar graph, see Appendix A32 for data information.">
              <a:extLst xmlns:a="http://schemas.openxmlformats.org/drawingml/2006/main">
                <a:ext uri="{FF2B5EF4-FFF2-40B4-BE49-F238E27FC236}">
                  <a16:creationId xmlns:a16="http://schemas.microsoft.com/office/drawing/2014/main" id="{BDBBE3A7-6FB0-07A8-1FDD-2A775B34C6E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7BA53A68" w14:textId="77777777" w:rsidR="00BE12EF" w:rsidRPr="00BE12EF" w:rsidRDefault="00BE12EF" w:rsidP="00BE12EF">
      <w:pPr>
        <w:pStyle w:val="BodyText"/>
        <w:rPr>
          <w:rFonts w:ascii="Arial Bold" w:hAnsi="Arial Bold" w:hint="eastAsia"/>
          <w:b/>
          <w:bCs/>
          <w:szCs w:val="18"/>
        </w:rPr>
      </w:pPr>
      <w:bookmarkStart w:id="123" w:name="_Ref171951492"/>
      <w:bookmarkStart w:id="124" w:name="_Toc171951139"/>
      <w:r w:rsidRPr="00BE12EF">
        <w:rPr>
          <w:rFonts w:ascii="Arial Bold" w:hAnsi="Arial Bold"/>
          <w:b/>
          <w:bCs/>
          <w:szCs w:val="18"/>
        </w:rPr>
        <w:t xml:space="preserve">Figure </w:t>
      </w:r>
      <w:r w:rsidRPr="00BE12EF">
        <w:rPr>
          <w:rFonts w:ascii="Arial Bold" w:hAnsi="Arial Bold"/>
          <w:b/>
          <w:bCs/>
          <w:szCs w:val="18"/>
        </w:rPr>
        <w:fldChar w:fldCharType="begin"/>
      </w:r>
      <w:r w:rsidRPr="00BE12EF">
        <w:rPr>
          <w:rFonts w:ascii="Arial Bold" w:hAnsi="Arial Bold"/>
          <w:b/>
          <w:bCs/>
          <w:szCs w:val="18"/>
        </w:rPr>
        <w:instrText xml:space="preserve"> SEQ Figure \* ARABIC </w:instrText>
      </w:r>
      <w:r w:rsidRPr="00BE12EF">
        <w:rPr>
          <w:rFonts w:ascii="Arial Bold" w:hAnsi="Arial Bold"/>
          <w:b/>
          <w:bCs/>
          <w:szCs w:val="18"/>
        </w:rPr>
        <w:fldChar w:fldCharType="separate"/>
      </w:r>
      <w:r w:rsidRPr="00BE12EF">
        <w:rPr>
          <w:rFonts w:ascii="Arial Bold" w:hAnsi="Arial Bold"/>
          <w:b/>
          <w:bCs/>
          <w:szCs w:val="18"/>
        </w:rPr>
        <w:t>33</w:t>
      </w:r>
      <w:r w:rsidRPr="00BE12EF">
        <w:rPr>
          <w:rFonts w:ascii="Arial Bold" w:hAnsi="Arial Bold"/>
          <w:b/>
          <w:bCs/>
          <w:szCs w:val="18"/>
        </w:rPr>
        <w:fldChar w:fldCharType="end"/>
      </w:r>
      <w:bookmarkEnd w:id="123"/>
      <w:r w:rsidRPr="00BE12EF">
        <w:rPr>
          <w:rFonts w:ascii="Arial Bold" w:hAnsi="Arial Bold"/>
          <w:b/>
          <w:bCs/>
          <w:szCs w:val="18"/>
        </w:rPr>
        <w:t>: Share of Energy Consumption by Fuel by Postcode, City of Melbourne, 2022</w:t>
      </w:r>
      <w:bookmarkEnd w:id="124"/>
    </w:p>
    <w:p w14:paraId="0D0DCF04" w14:textId="33B38386" w:rsidR="00054CA6" w:rsidRDefault="00140B0D" w:rsidP="00054CA6">
      <w:pPr>
        <w:rPr>
          <w:lang w:val="en-US"/>
        </w:rPr>
      </w:pPr>
      <w:r w:rsidRPr="00A12C95">
        <w:rPr>
          <w:lang w:val="en-US"/>
        </w:rPr>
        <w:t>View</w:t>
      </w:r>
      <w:r w:rsidRPr="00A12C95">
        <w:t xml:space="preserve"> </w:t>
      </w:r>
      <w:hyperlink w:anchor="_Share_of_Energy" w:history="1">
        <w:r>
          <w:rPr>
            <w:rStyle w:val="Hyperlink"/>
            <w:color w:val="0070C0"/>
            <w:lang w:val="en-US"/>
          </w:rPr>
          <w:t>Share of Energy Consumption by Fuel by Postcode, City of Melbourne, 2022</w:t>
        </w:r>
      </w:hyperlink>
      <w:r w:rsidRPr="00A12C95">
        <w:rPr>
          <w:lang w:val="en-US"/>
        </w:rPr>
        <w:t xml:space="preserve"> data table</w:t>
      </w:r>
      <w:r w:rsidR="00CD195B">
        <w:rPr>
          <w:lang w:val="en-US"/>
        </w:rPr>
        <w:t xml:space="preserve"> A.32</w:t>
      </w:r>
      <w:r w:rsidRPr="00A12C95">
        <w:rPr>
          <w:lang w:val="en-US"/>
        </w:rPr>
        <w:t xml:space="preserve"> in appendix</w:t>
      </w:r>
    </w:p>
    <w:p w14:paraId="25A1DB25" w14:textId="285483AC" w:rsidR="008B72FA" w:rsidRDefault="008B72FA" w:rsidP="008B72FA">
      <w:pPr>
        <w:pStyle w:val="Heading2"/>
        <w:rPr>
          <w:rFonts w:hint="eastAsia"/>
        </w:rPr>
      </w:pPr>
      <w:bookmarkStart w:id="125" w:name="_Toc173876038"/>
      <w:bookmarkStart w:id="126" w:name="_Toc181219291"/>
      <w:r>
        <w:t>4.2</w:t>
      </w:r>
      <w:r>
        <w:tab/>
        <w:t>Energy Use by Space-Use Type</w:t>
      </w:r>
      <w:bookmarkEnd w:id="125"/>
      <w:bookmarkEnd w:id="126"/>
    </w:p>
    <w:p w14:paraId="4D60F0C2" w14:textId="17F44F05" w:rsidR="008B72FA" w:rsidRPr="0079493E" w:rsidRDefault="008B72FA" w:rsidP="008B72FA">
      <w:pPr>
        <w:pStyle w:val="Heading3"/>
        <w:rPr>
          <w:rFonts w:hint="eastAsia"/>
        </w:rPr>
      </w:pPr>
      <w:bookmarkStart w:id="127" w:name="_4.2.1_Overview"/>
      <w:bookmarkEnd w:id="127"/>
      <w:r>
        <w:t>4.2.1</w:t>
      </w:r>
      <w:r>
        <w:tab/>
        <w:t>Overview</w:t>
      </w:r>
    </w:p>
    <w:p w14:paraId="1B0125E9" w14:textId="77777777" w:rsidR="008B72FA" w:rsidRPr="00240A1F" w:rsidRDefault="008B72FA" w:rsidP="008B72FA">
      <w:pPr>
        <w:pStyle w:val="BodyText"/>
        <w:rPr>
          <w:lang w:val="en-GB"/>
        </w:rPr>
      </w:pPr>
      <w:r>
        <w:rPr>
          <w:lang w:val="en-GB"/>
        </w:rPr>
        <w:t xml:space="preserve">As shown in </w:t>
      </w:r>
      <w:r>
        <w:rPr>
          <w:lang w:val="en-GB"/>
        </w:rPr>
        <w:fldChar w:fldCharType="begin"/>
      </w:r>
      <w:r>
        <w:rPr>
          <w:lang w:val="en-GB"/>
        </w:rPr>
        <w:instrText xml:space="preserve"> REF _Ref171951511 \h </w:instrText>
      </w:r>
      <w:r>
        <w:rPr>
          <w:lang w:val="en-GB"/>
        </w:rPr>
      </w:r>
      <w:r>
        <w:rPr>
          <w:lang w:val="en-GB"/>
        </w:rPr>
        <w:fldChar w:fldCharType="separate"/>
      </w:r>
      <w:r w:rsidRPr="00240A1F">
        <w:t xml:space="preserve">Figure </w:t>
      </w:r>
      <w:r>
        <w:rPr>
          <w:noProof/>
        </w:rPr>
        <w:t>34</w:t>
      </w:r>
      <w:r>
        <w:rPr>
          <w:lang w:val="en-GB"/>
        </w:rPr>
        <w:fldChar w:fldCharType="end"/>
      </w:r>
      <w:r>
        <w:rPr>
          <w:lang w:val="en-GB"/>
        </w:rPr>
        <w:t>, office spaces are the single largest contributor to the total energy consumption in the LGA, accounting for 32% of the total. Residential accommodation, including student and institutional accommodation, is the second largest energy consumer in the LGA on 27.8% of the LGA total. Other significant energy consuming space-uses include hospitals/healthcare, at 10.4% of total consumption, commercial accommodation at 8.5%, and retail and education, at 4.8% each.</w:t>
      </w:r>
    </w:p>
    <w:p w14:paraId="305E4179" w14:textId="77777777" w:rsidR="00BE12EF" w:rsidRDefault="00BE12EF" w:rsidP="00BE12EF">
      <w:pPr>
        <w:keepNext/>
      </w:pPr>
      <w:r>
        <w:rPr>
          <w:noProof/>
        </w:rPr>
        <w:lastRenderedPageBreak/>
        <w:drawing>
          <wp:inline distT="0" distB="0" distL="0" distR="0" wp14:anchorId="1917D08D" wp14:editId="53621C4D">
            <wp:extent cx="5830432" cy="3766242"/>
            <wp:effectExtent l="0" t="0" r="0" b="5715"/>
            <wp:docPr id="1717092438" name="Chart 1" descr="Pie chart, see Appendix A33 for data information.">
              <a:extLst xmlns:a="http://schemas.openxmlformats.org/drawingml/2006/main">
                <a:ext uri="{FF2B5EF4-FFF2-40B4-BE49-F238E27FC236}">
                  <a16:creationId xmlns:a16="http://schemas.microsoft.com/office/drawing/2014/main" id="{8FC7A604-FCA2-64CA-3195-6CAB52FACF8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2B027A3A" w14:textId="77777777" w:rsidR="00BE12EF" w:rsidRPr="00BE12EF" w:rsidRDefault="00BE12EF" w:rsidP="00BE12EF">
      <w:pPr>
        <w:pStyle w:val="BodyText"/>
        <w:rPr>
          <w:rFonts w:ascii="Arial Bold" w:hAnsi="Arial Bold" w:hint="eastAsia"/>
          <w:b/>
          <w:bCs/>
          <w:szCs w:val="18"/>
        </w:rPr>
      </w:pPr>
      <w:bookmarkStart w:id="128" w:name="_Ref171951511"/>
      <w:bookmarkStart w:id="129" w:name="_Toc171951140"/>
      <w:r w:rsidRPr="00BE12EF">
        <w:rPr>
          <w:rFonts w:ascii="Arial Bold" w:hAnsi="Arial Bold"/>
          <w:b/>
          <w:bCs/>
          <w:szCs w:val="18"/>
        </w:rPr>
        <w:t xml:space="preserve">Figure </w:t>
      </w:r>
      <w:r w:rsidRPr="00BE12EF">
        <w:rPr>
          <w:rFonts w:ascii="Arial Bold" w:hAnsi="Arial Bold"/>
          <w:b/>
          <w:bCs/>
          <w:szCs w:val="18"/>
        </w:rPr>
        <w:fldChar w:fldCharType="begin"/>
      </w:r>
      <w:r w:rsidRPr="00BE12EF">
        <w:rPr>
          <w:rFonts w:ascii="Arial Bold" w:hAnsi="Arial Bold"/>
          <w:b/>
          <w:bCs/>
          <w:szCs w:val="18"/>
        </w:rPr>
        <w:instrText xml:space="preserve"> SEQ Figure \* ARABIC </w:instrText>
      </w:r>
      <w:r w:rsidRPr="00BE12EF">
        <w:rPr>
          <w:rFonts w:ascii="Arial Bold" w:hAnsi="Arial Bold"/>
          <w:b/>
          <w:bCs/>
          <w:szCs w:val="18"/>
        </w:rPr>
        <w:fldChar w:fldCharType="separate"/>
      </w:r>
      <w:r w:rsidRPr="00BE12EF">
        <w:rPr>
          <w:rFonts w:ascii="Arial Bold" w:hAnsi="Arial Bold"/>
          <w:b/>
          <w:bCs/>
          <w:szCs w:val="18"/>
        </w:rPr>
        <w:t>34</w:t>
      </w:r>
      <w:r w:rsidRPr="00BE12EF">
        <w:rPr>
          <w:rFonts w:ascii="Arial Bold" w:hAnsi="Arial Bold"/>
          <w:b/>
          <w:bCs/>
          <w:szCs w:val="18"/>
        </w:rPr>
        <w:fldChar w:fldCharType="end"/>
      </w:r>
      <w:bookmarkEnd w:id="128"/>
      <w:r w:rsidRPr="00BE12EF">
        <w:rPr>
          <w:rFonts w:ascii="Arial Bold" w:hAnsi="Arial Bold"/>
          <w:b/>
          <w:bCs/>
          <w:szCs w:val="18"/>
        </w:rPr>
        <w:t>:  Total Energy Use (TJ) by Space-Use Type, City of Melbourne, 2022</w:t>
      </w:r>
      <w:bookmarkEnd w:id="129"/>
    </w:p>
    <w:p w14:paraId="7A782930" w14:textId="7C12B934" w:rsidR="00140B0D" w:rsidRPr="00054CA6" w:rsidRDefault="00140B0D" w:rsidP="00140B0D">
      <w:r w:rsidRPr="00A12C95">
        <w:rPr>
          <w:lang w:val="en-US"/>
        </w:rPr>
        <w:t>View</w:t>
      </w:r>
      <w:r w:rsidRPr="00A12C95">
        <w:t xml:space="preserve"> </w:t>
      </w:r>
      <w:hyperlink w:anchor="_Total_Energy_Use_1" w:history="1">
        <w:r>
          <w:rPr>
            <w:rStyle w:val="Hyperlink"/>
            <w:color w:val="0070C0"/>
            <w:lang w:val="en-US"/>
          </w:rPr>
          <w:t>Total Energy Use by Space-Use Type, City of Melbourne, 2022</w:t>
        </w:r>
      </w:hyperlink>
      <w:r w:rsidRPr="00A12C95">
        <w:rPr>
          <w:lang w:val="en-US"/>
        </w:rPr>
        <w:t xml:space="preserve"> data table</w:t>
      </w:r>
      <w:r w:rsidR="00CD195B">
        <w:rPr>
          <w:lang w:val="en-US"/>
        </w:rPr>
        <w:t xml:space="preserve"> A.33</w:t>
      </w:r>
      <w:r w:rsidRPr="00A12C95">
        <w:rPr>
          <w:lang w:val="en-US"/>
        </w:rPr>
        <w:t xml:space="preserve"> in appendix</w:t>
      </w:r>
      <w:r w:rsidR="00817B84">
        <w:rPr>
          <w:lang w:val="en-US"/>
        </w:rPr>
        <w:t>.</w:t>
      </w:r>
    </w:p>
    <w:p w14:paraId="4CA68CC6" w14:textId="377A0CD2" w:rsidR="008B72FA" w:rsidRDefault="008B72FA" w:rsidP="00BE12EF">
      <w:pPr>
        <w:rPr>
          <w:lang w:val="en-GB"/>
        </w:rPr>
      </w:pPr>
      <w:r>
        <w:rPr>
          <w:lang w:val="en-GB"/>
        </w:rPr>
        <w:fldChar w:fldCharType="begin"/>
      </w:r>
      <w:r>
        <w:rPr>
          <w:lang w:val="en-GB"/>
        </w:rPr>
        <w:instrText xml:space="preserve"> REF _Ref171951536 \h </w:instrText>
      </w:r>
      <w:r w:rsidR="00BE12EF">
        <w:rPr>
          <w:lang w:val="en-GB"/>
        </w:rPr>
        <w:instrText xml:space="preserve"> \* MERGEFORMAT </w:instrText>
      </w:r>
      <w:r>
        <w:rPr>
          <w:lang w:val="en-GB"/>
        </w:rPr>
      </w:r>
      <w:r>
        <w:rPr>
          <w:lang w:val="en-GB"/>
        </w:rPr>
        <w:fldChar w:fldCharType="separate"/>
      </w:r>
      <w:r w:rsidRPr="001D11F4">
        <w:t xml:space="preserve">Figure </w:t>
      </w:r>
      <w:r>
        <w:rPr>
          <w:noProof/>
        </w:rPr>
        <w:t>35</w:t>
      </w:r>
      <w:r>
        <w:rPr>
          <w:lang w:val="en-GB"/>
        </w:rPr>
        <w:fldChar w:fldCharType="end"/>
      </w:r>
      <w:r>
        <w:rPr>
          <w:lang w:val="en-GB"/>
        </w:rPr>
        <w:t xml:space="preserve"> shows the contribution energy consumption associated with each space-use makes to the total energy consumption within the postcode.</w:t>
      </w:r>
      <w:r>
        <w:rPr>
          <w:rStyle w:val="FootnoteReference"/>
          <w:lang w:val="en-GB"/>
        </w:rPr>
        <w:footnoteReference w:id="22"/>
      </w:r>
      <w:r>
        <w:rPr>
          <w:lang w:val="en-GB"/>
        </w:rPr>
        <w:t xml:space="preserve"> Central postcodes (300X) have a more diverse range of space-uses contributing to their total energy consumption, reflecting their more diverse economic and built form. </w:t>
      </w:r>
    </w:p>
    <w:p w14:paraId="6DF41462" w14:textId="77777777" w:rsidR="00BE12EF" w:rsidRDefault="00BE12EF" w:rsidP="00BE12EF">
      <w:pPr>
        <w:keepNext/>
      </w:pPr>
      <w:r>
        <w:rPr>
          <w:noProof/>
        </w:rPr>
        <w:lastRenderedPageBreak/>
        <w:drawing>
          <wp:inline distT="0" distB="0" distL="0" distR="0" wp14:anchorId="7F40A9C2" wp14:editId="4EA2813F">
            <wp:extent cx="6120130" cy="3676015"/>
            <wp:effectExtent l="0" t="0" r="0" b="635"/>
            <wp:docPr id="1228376241" name="Chart 1" descr="Bar graph, see Appendix A34 for data information.">
              <a:extLst xmlns:a="http://schemas.openxmlformats.org/drawingml/2006/main">
                <a:ext uri="{FF2B5EF4-FFF2-40B4-BE49-F238E27FC236}">
                  <a16:creationId xmlns:a16="http://schemas.microsoft.com/office/drawing/2014/main" id="{0742FA5A-EE2A-DDFA-2E98-5A116FD4CBE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47BED6BB" w14:textId="77777777" w:rsidR="00BE12EF" w:rsidRPr="00BE12EF" w:rsidRDefault="00BE12EF" w:rsidP="00BE12EF">
      <w:pPr>
        <w:pStyle w:val="BodyText"/>
        <w:rPr>
          <w:rFonts w:ascii="Arial Bold" w:hAnsi="Arial Bold" w:hint="eastAsia"/>
          <w:b/>
          <w:bCs/>
          <w:szCs w:val="18"/>
        </w:rPr>
      </w:pPr>
      <w:bookmarkStart w:id="130" w:name="_Ref171951536"/>
      <w:bookmarkStart w:id="131" w:name="_Toc171951141"/>
      <w:r w:rsidRPr="00BE12EF">
        <w:rPr>
          <w:rFonts w:ascii="Arial Bold" w:hAnsi="Arial Bold"/>
          <w:b/>
          <w:bCs/>
          <w:szCs w:val="18"/>
        </w:rPr>
        <w:t xml:space="preserve">Figure </w:t>
      </w:r>
      <w:r w:rsidRPr="00BE12EF">
        <w:rPr>
          <w:rFonts w:ascii="Arial Bold" w:hAnsi="Arial Bold"/>
          <w:b/>
          <w:bCs/>
          <w:szCs w:val="18"/>
        </w:rPr>
        <w:fldChar w:fldCharType="begin"/>
      </w:r>
      <w:r w:rsidRPr="00BE12EF">
        <w:rPr>
          <w:rFonts w:ascii="Arial Bold" w:hAnsi="Arial Bold"/>
          <w:b/>
          <w:bCs/>
          <w:szCs w:val="18"/>
        </w:rPr>
        <w:instrText xml:space="preserve"> SEQ Figure \* ARABIC </w:instrText>
      </w:r>
      <w:r w:rsidRPr="00BE12EF">
        <w:rPr>
          <w:rFonts w:ascii="Arial Bold" w:hAnsi="Arial Bold"/>
          <w:b/>
          <w:bCs/>
          <w:szCs w:val="18"/>
        </w:rPr>
        <w:fldChar w:fldCharType="separate"/>
      </w:r>
      <w:r w:rsidRPr="00BE12EF">
        <w:rPr>
          <w:rFonts w:ascii="Arial Bold" w:hAnsi="Arial Bold"/>
          <w:b/>
          <w:bCs/>
          <w:szCs w:val="18"/>
        </w:rPr>
        <w:t>35</w:t>
      </w:r>
      <w:r w:rsidRPr="00BE12EF">
        <w:rPr>
          <w:rFonts w:ascii="Arial Bold" w:hAnsi="Arial Bold"/>
          <w:b/>
          <w:bCs/>
          <w:szCs w:val="18"/>
        </w:rPr>
        <w:fldChar w:fldCharType="end"/>
      </w:r>
      <w:bookmarkEnd w:id="130"/>
      <w:r w:rsidRPr="00BE12EF">
        <w:rPr>
          <w:rFonts w:ascii="Arial Bold" w:hAnsi="Arial Bold"/>
          <w:b/>
          <w:bCs/>
          <w:szCs w:val="18"/>
        </w:rPr>
        <w:t>:  Shares of Total Energy Consumption by Space-Use Type and Post Code, City of Melbourne, 2022</w:t>
      </w:r>
      <w:bookmarkEnd w:id="131"/>
    </w:p>
    <w:p w14:paraId="2258183D" w14:textId="67E773CA" w:rsidR="00140B0D" w:rsidRPr="00054CA6" w:rsidRDefault="00140B0D" w:rsidP="00140B0D">
      <w:r w:rsidRPr="00A12C95">
        <w:rPr>
          <w:lang w:val="en-US"/>
        </w:rPr>
        <w:t>View</w:t>
      </w:r>
      <w:r w:rsidRPr="00A12C95">
        <w:t xml:space="preserve"> </w:t>
      </w:r>
      <w:hyperlink w:anchor="_Shares_of_Total" w:history="1">
        <w:r>
          <w:rPr>
            <w:rStyle w:val="Hyperlink"/>
            <w:color w:val="0070C0"/>
            <w:lang w:val="en-US"/>
          </w:rPr>
          <w:t>Shares of Total Energy Consumption by Space-Use Type and Post Code, City of Melbourne, 2022</w:t>
        </w:r>
      </w:hyperlink>
      <w:r w:rsidRPr="00A12C95">
        <w:rPr>
          <w:lang w:val="en-US"/>
        </w:rPr>
        <w:t xml:space="preserve"> data table</w:t>
      </w:r>
      <w:r w:rsidR="00F570B2">
        <w:rPr>
          <w:lang w:val="en-US"/>
        </w:rPr>
        <w:t xml:space="preserve"> A.34</w:t>
      </w:r>
      <w:r w:rsidRPr="00A12C95">
        <w:rPr>
          <w:lang w:val="en-US"/>
        </w:rPr>
        <w:t xml:space="preserve"> in appendix</w:t>
      </w:r>
      <w:r w:rsidR="00817B84">
        <w:rPr>
          <w:lang w:val="en-US"/>
        </w:rPr>
        <w:t>.</w:t>
      </w:r>
    </w:p>
    <w:p w14:paraId="374362AC" w14:textId="54A59C5B" w:rsidR="008B72FA" w:rsidRPr="007F61FA" w:rsidRDefault="008B72FA" w:rsidP="00817B84">
      <w:pPr>
        <w:rPr>
          <w:lang w:val="en-GB"/>
        </w:rPr>
      </w:pPr>
      <w:r>
        <w:rPr>
          <w:lang w:val="en-GB"/>
        </w:rPr>
        <w:fldChar w:fldCharType="begin"/>
      </w:r>
      <w:r>
        <w:rPr>
          <w:lang w:val="en-GB"/>
        </w:rPr>
        <w:instrText xml:space="preserve"> REF _Ref171951559 \h </w:instrText>
      </w:r>
      <w:r w:rsidR="00817B84">
        <w:rPr>
          <w:lang w:val="en-GB"/>
        </w:rPr>
        <w:instrText xml:space="preserve"> \* MERGEFORMAT </w:instrText>
      </w:r>
      <w:r>
        <w:rPr>
          <w:lang w:val="en-GB"/>
        </w:rPr>
      </w:r>
      <w:r>
        <w:rPr>
          <w:lang w:val="en-GB"/>
        </w:rPr>
        <w:fldChar w:fldCharType="separate"/>
      </w:r>
      <w:r w:rsidRPr="001B09C0">
        <w:t xml:space="preserve">Figure </w:t>
      </w:r>
      <w:r>
        <w:rPr>
          <w:noProof/>
        </w:rPr>
        <w:t>36</w:t>
      </w:r>
      <w:r>
        <w:rPr>
          <w:lang w:val="en-GB"/>
        </w:rPr>
        <w:fldChar w:fldCharType="end"/>
      </w:r>
      <w:r>
        <w:rPr>
          <w:lang w:val="en-GB"/>
        </w:rPr>
        <w:t xml:space="preserve"> </w:t>
      </w:r>
      <w:r w:rsidRPr="007F61FA">
        <w:rPr>
          <w:lang w:val="en-GB"/>
        </w:rPr>
        <w:t xml:space="preserve">shows the contribution </w:t>
      </w:r>
      <w:r>
        <w:rPr>
          <w:lang w:val="en-GB"/>
        </w:rPr>
        <w:t>each fuel makes to total energy consumption by space-use across the LGA. Unoccupied (construction and renovation) and parking are both outliers as our model allocated zero gas-use to these spaces. Of space-uses with significant electricity and gas consumption, the range of total energy provided by gas was between 24%, for retail, and 49%, for residential.</w:t>
      </w:r>
      <w:r w:rsidRPr="00AF552C">
        <w:rPr>
          <w:vertAlign w:val="superscript"/>
        </w:rPr>
        <w:footnoteReference w:id="23"/>
      </w:r>
      <w:r>
        <w:rPr>
          <w:lang w:val="en-GB"/>
        </w:rPr>
        <w:t xml:space="preserve"> </w:t>
      </w:r>
    </w:p>
    <w:p w14:paraId="349B5430" w14:textId="77777777" w:rsidR="00817B84" w:rsidRDefault="00817B84" w:rsidP="00817B84">
      <w:pPr>
        <w:keepNext/>
      </w:pPr>
      <w:r>
        <w:rPr>
          <w:noProof/>
        </w:rPr>
        <w:lastRenderedPageBreak/>
        <w:drawing>
          <wp:inline distT="0" distB="0" distL="0" distR="0" wp14:anchorId="10D0E5DA" wp14:editId="33D1A4D4">
            <wp:extent cx="6120130" cy="3976024"/>
            <wp:effectExtent l="0" t="0" r="0" b="5715"/>
            <wp:docPr id="1086275041" name="Chart 1" descr="Bar graph, see Appendix A35 for data information.">
              <a:extLst xmlns:a="http://schemas.openxmlformats.org/drawingml/2006/main">
                <a:ext uri="{FF2B5EF4-FFF2-40B4-BE49-F238E27FC236}">
                  <a16:creationId xmlns:a16="http://schemas.microsoft.com/office/drawing/2014/main" id="{2C9CDE90-6FF7-EC0D-DB07-F8C624CC074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14:paraId="45F98785" w14:textId="77777777" w:rsidR="00817B84" w:rsidRPr="00817B84" w:rsidRDefault="00817B84" w:rsidP="00817B84">
      <w:pPr>
        <w:pStyle w:val="BodyText"/>
        <w:rPr>
          <w:rFonts w:ascii="Arial Bold" w:hAnsi="Arial Bold" w:hint="eastAsia"/>
          <w:b/>
          <w:bCs/>
          <w:szCs w:val="18"/>
        </w:rPr>
      </w:pPr>
      <w:bookmarkStart w:id="132" w:name="_Ref171951559"/>
      <w:bookmarkStart w:id="133" w:name="_Toc171951142"/>
      <w:r w:rsidRPr="00817B84">
        <w:rPr>
          <w:rFonts w:ascii="Arial Bold" w:hAnsi="Arial Bold"/>
          <w:b/>
          <w:bCs/>
          <w:szCs w:val="18"/>
        </w:rPr>
        <w:t xml:space="preserve">Figure </w:t>
      </w:r>
      <w:r w:rsidRPr="00817B84">
        <w:rPr>
          <w:rFonts w:ascii="Arial Bold" w:hAnsi="Arial Bold"/>
          <w:b/>
          <w:bCs/>
          <w:szCs w:val="18"/>
        </w:rPr>
        <w:fldChar w:fldCharType="begin"/>
      </w:r>
      <w:r w:rsidRPr="00817B84">
        <w:rPr>
          <w:rFonts w:ascii="Arial Bold" w:hAnsi="Arial Bold"/>
          <w:b/>
          <w:bCs/>
          <w:szCs w:val="18"/>
        </w:rPr>
        <w:instrText xml:space="preserve"> SEQ Figure \* ARABIC </w:instrText>
      </w:r>
      <w:r w:rsidRPr="00817B84">
        <w:rPr>
          <w:rFonts w:ascii="Arial Bold" w:hAnsi="Arial Bold"/>
          <w:b/>
          <w:bCs/>
          <w:szCs w:val="18"/>
        </w:rPr>
        <w:fldChar w:fldCharType="separate"/>
      </w:r>
      <w:r w:rsidRPr="00817B84">
        <w:rPr>
          <w:rFonts w:ascii="Arial Bold" w:hAnsi="Arial Bold"/>
          <w:b/>
          <w:bCs/>
          <w:szCs w:val="18"/>
        </w:rPr>
        <w:t>36</w:t>
      </w:r>
      <w:r w:rsidRPr="00817B84">
        <w:rPr>
          <w:rFonts w:ascii="Arial Bold" w:hAnsi="Arial Bold"/>
          <w:b/>
          <w:bCs/>
          <w:szCs w:val="18"/>
        </w:rPr>
        <w:fldChar w:fldCharType="end"/>
      </w:r>
      <w:bookmarkEnd w:id="132"/>
      <w:r w:rsidRPr="00817B84">
        <w:rPr>
          <w:rFonts w:ascii="Arial Bold" w:hAnsi="Arial Bold"/>
          <w:b/>
          <w:bCs/>
          <w:szCs w:val="18"/>
        </w:rPr>
        <w:t>: Share of Total Energy Use by Fuel by Space-Use</w:t>
      </w:r>
      <w:bookmarkEnd w:id="133"/>
    </w:p>
    <w:p w14:paraId="2A4BE2E3" w14:textId="21E44D5C" w:rsidR="00140B0D" w:rsidRPr="00054CA6" w:rsidRDefault="00140B0D" w:rsidP="00140B0D">
      <w:r w:rsidRPr="00A12C95">
        <w:rPr>
          <w:lang w:val="en-US"/>
        </w:rPr>
        <w:t>View</w:t>
      </w:r>
      <w:r w:rsidRPr="00A12C95">
        <w:t xml:space="preserve"> </w:t>
      </w:r>
      <w:hyperlink w:anchor="_Share_of_Total" w:history="1">
        <w:r>
          <w:rPr>
            <w:rStyle w:val="Hyperlink"/>
            <w:color w:val="0070C0"/>
            <w:lang w:val="en-US"/>
          </w:rPr>
          <w:t>Share of Total Energy Use by Fuel by Space-Use</w:t>
        </w:r>
      </w:hyperlink>
      <w:r w:rsidRPr="00A12C95">
        <w:rPr>
          <w:lang w:val="en-US"/>
        </w:rPr>
        <w:t xml:space="preserve"> data table</w:t>
      </w:r>
      <w:r w:rsidR="00036F8A">
        <w:rPr>
          <w:lang w:val="en-US"/>
        </w:rPr>
        <w:t xml:space="preserve"> A.35</w:t>
      </w:r>
      <w:r w:rsidRPr="00A12C95">
        <w:rPr>
          <w:lang w:val="en-US"/>
        </w:rPr>
        <w:t xml:space="preserve"> in appendix</w:t>
      </w:r>
    </w:p>
    <w:p w14:paraId="24DDB35A" w14:textId="06CBB6F8" w:rsidR="008B72FA" w:rsidRDefault="008B72FA" w:rsidP="007E394F">
      <w:pPr>
        <w:pStyle w:val="Heading3"/>
        <w:rPr>
          <w:rFonts w:hint="eastAsia"/>
        </w:rPr>
      </w:pPr>
      <w:bookmarkStart w:id="134" w:name="_4.2.2_Office_Energy"/>
      <w:bookmarkEnd w:id="134"/>
      <w:r>
        <w:t>4.2.2</w:t>
      </w:r>
      <w:r>
        <w:tab/>
        <w:t>Office Energy Consumption</w:t>
      </w:r>
    </w:p>
    <w:p w14:paraId="68364495" w14:textId="77777777" w:rsidR="008B72FA" w:rsidRDefault="008B72FA" w:rsidP="007E394F">
      <w:pPr>
        <w:rPr>
          <w:lang w:val="en-GB"/>
        </w:rPr>
      </w:pPr>
      <w:r>
        <w:rPr>
          <w:lang w:val="en-GB"/>
        </w:rPr>
        <w:t>Despite office space representing the largest single source of energy consumption in the LGA, there are signs significant progress has been made reducing both the total energy intensity of these spaces, as well as their fossil fuel intensity.</w:t>
      </w:r>
    </w:p>
    <w:p w14:paraId="04F1ED83" w14:textId="02C0211C" w:rsidR="008B72FA" w:rsidRDefault="008B72FA" w:rsidP="007E394F">
      <w:pPr>
        <w:rPr>
          <w:lang w:val="en-GB"/>
        </w:rPr>
      </w:pPr>
      <w:r>
        <w:rPr>
          <w:lang w:val="en-GB"/>
        </w:rPr>
        <w:t xml:space="preserve">Our analysis used NABERS data to characterise energy-use in office buildings. NABERS data is not a representative sample of all office space as it skews toward larger buildings/tenancies, which are more likely to be owned/leased by institutional investors with the capacity and capability to invest in energy efficiency interventions. Many major institutional commercial property investors have also set ambitious emission reduction targets. As such, we used a wider Victorian dataset in this exercise to ensure we captured a sample of high-intensity/low-rating buildings. As can be seen in </w:t>
      </w:r>
      <w:r>
        <w:rPr>
          <w:lang w:val="en-GB"/>
        </w:rPr>
        <w:fldChar w:fldCharType="begin"/>
      </w:r>
      <w:r>
        <w:rPr>
          <w:lang w:val="en-GB"/>
        </w:rPr>
        <w:instrText xml:space="preserve"> REF _Ref169268981 \h </w:instrText>
      </w:r>
      <w:r w:rsidR="00817B84">
        <w:rPr>
          <w:lang w:val="en-GB"/>
        </w:rPr>
        <w:instrText xml:space="preserve"> \* MERGEFORMAT </w:instrText>
      </w:r>
      <w:r>
        <w:rPr>
          <w:lang w:val="en-GB"/>
        </w:rPr>
      </w:r>
      <w:r>
        <w:rPr>
          <w:lang w:val="en-GB"/>
        </w:rPr>
        <w:fldChar w:fldCharType="separate"/>
      </w:r>
      <w:r w:rsidRPr="003D1CBB">
        <w:t xml:space="preserve">Figure </w:t>
      </w:r>
      <w:r>
        <w:rPr>
          <w:noProof/>
        </w:rPr>
        <w:t>37</w:t>
      </w:r>
      <w:r>
        <w:rPr>
          <w:lang w:val="en-GB"/>
        </w:rPr>
        <w:fldChar w:fldCharType="end"/>
      </w:r>
      <w:r>
        <w:rPr>
          <w:lang w:val="en-GB"/>
        </w:rPr>
        <w:t>, this approach still captures much more data on larger low-intensity/high-rating buildings, despite 60.3% of buildings containing office space in the LGA containing less than 1,000 m2. We therefore used a weighted average approach to allocate smaller spaces a representative energy-intensity not skewed by larger, energy-efficient offices.</w:t>
      </w:r>
    </w:p>
    <w:p w14:paraId="619C4260" w14:textId="77777777" w:rsidR="007E394F" w:rsidRDefault="007E394F" w:rsidP="007E394F">
      <w:pPr>
        <w:pStyle w:val="BodyText"/>
        <w:keepNext/>
      </w:pPr>
      <w:r>
        <w:rPr>
          <w:noProof/>
        </w:rPr>
        <w:lastRenderedPageBreak/>
        <w:drawing>
          <wp:inline distT="0" distB="0" distL="0" distR="0" wp14:anchorId="3D563C8A" wp14:editId="539CC18B">
            <wp:extent cx="6034088" cy="3752850"/>
            <wp:effectExtent l="0" t="0" r="5080" b="0"/>
            <wp:docPr id="422044226" name="Chart 1" descr="Bar graph, with three lines in yellow, blue and green. See Appendix A36 for data information.">
              <a:extLst xmlns:a="http://schemas.openxmlformats.org/drawingml/2006/main">
                <a:ext uri="{FF2B5EF4-FFF2-40B4-BE49-F238E27FC236}">
                  <a16:creationId xmlns:a16="http://schemas.microsoft.com/office/drawing/2014/main" id="{A8AD9494-6AD8-ED97-CC13-BB030736F93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14:paraId="42AB367D" w14:textId="77777777" w:rsidR="007E394F" w:rsidRPr="007E394F" w:rsidRDefault="007E394F" w:rsidP="007E394F">
      <w:pPr>
        <w:pStyle w:val="BodyText"/>
        <w:rPr>
          <w:rFonts w:ascii="Arial Bold" w:hAnsi="Arial Bold" w:hint="eastAsia"/>
          <w:b/>
          <w:bCs/>
          <w:szCs w:val="18"/>
        </w:rPr>
      </w:pPr>
      <w:bookmarkStart w:id="135" w:name="_Ref169268981"/>
      <w:bookmarkStart w:id="136" w:name="_Toc171951143"/>
      <w:r w:rsidRPr="007E394F">
        <w:rPr>
          <w:rFonts w:ascii="Arial Bold" w:hAnsi="Arial Bold"/>
          <w:b/>
          <w:bCs/>
          <w:szCs w:val="18"/>
        </w:rPr>
        <w:t xml:space="preserve">Figure </w:t>
      </w:r>
      <w:r w:rsidRPr="007E394F">
        <w:rPr>
          <w:rFonts w:ascii="Arial Bold" w:hAnsi="Arial Bold"/>
          <w:b/>
          <w:bCs/>
          <w:szCs w:val="18"/>
        </w:rPr>
        <w:fldChar w:fldCharType="begin"/>
      </w:r>
      <w:r w:rsidRPr="007E394F">
        <w:rPr>
          <w:rFonts w:ascii="Arial Bold" w:hAnsi="Arial Bold"/>
          <w:b/>
          <w:bCs/>
          <w:szCs w:val="18"/>
        </w:rPr>
        <w:instrText xml:space="preserve"> SEQ Figure \* ARABIC </w:instrText>
      </w:r>
      <w:r w:rsidRPr="007E394F">
        <w:rPr>
          <w:rFonts w:ascii="Arial Bold" w:hAnsi="Arial Bold"/>
          <w:b/>
          <w:bCs/>
          <w:szCs w:val="18"/>
        </w:rPr>
        <w:fldChar w:fldCharType="separate"/>
      </w:r>
      <w:r w:rsidRPr="007E394F">
        <w:rPr>
          <w:rFonts w:ascii="Arial Bold" w:hAnsi="Arial Bold"/>
          <w:b/>
          <w:bCs/>
          <w:szCs w:val="18"/>
        </w:rPr>
        <w:t>37</w:t>
      </w:r>
      <w:r w:rsidRPr="007E394F">
        <w:rPr>
          <w:rFonts w:ascii="Arial Bold" w:hAnsi="Arial Bold"/>
          <w:b/>
          <w:bCs/>
          <w:szCs w:val="18"/>
        </w:rPr>
        <w:fldChar w:fldCharType="end"/>
      </w:r>
      <w:bookmarkEnd w:id="135"/>
      <w:r w:rsidRPr="007E394F">
        <w:rPr>
          <w:rFonts w:ascii="Arial Bold" w:hAnsi="Arial Bold"/>
          <w:b/>
          <w:bCs/>
          <w:szCs w:val="18"/>
        </w:rPr>
        <w:t>: Average Energy Consumption by NABERS Star Rating, Victoria</w:t>
      </w:r>
      <w:bookmarkEnd w:id="136"/>
    </w:p>
    <w:p w14:paraId="699AC2FA" w14:textId="293F82C3" w:rsidR="00140B0D" w:rsidRPr="00054CA6" w:rsidRDefault="00140B0D" w:rsidP="00140B0D">
      <w:r w:rsidRPr="00A12C95">
        <w:rPr>
          <w:lang w:val="en-US"/>
        </w:rPr>
        <w:t>View</w:t>
      </w:r>
      <w:r w:rsidRPr="00A12C95">
        <w:t xml:space="preserve"> </w:t>
      </w:r>
      <w:hyperlink w:anchor="_Figure_37:_Average" w:history="1">
        <w:r>
          <w:rPr>
            <w:rStyle w:val="Hyperlink"/>
            <w:color w:val="0070C0"/>
            <w:lang w:val="en-US"/>
          </w:rPr>
          <w:t>Average Energy Consumption by NABERS Star Rating, Victoria</w:t>
        </w:r>
      </w:hyperlink>
      <w:r w:rsidRPr="00A12C95">
        <w:rPr>
          <w:lang w:val="en-US"/>
        </w:rPr>
        <w:t xml:space="preserve"> data table</w:t>
      </w:r>
      <w:r w:rsidR="00036F8A">
        <w:rPr>
          <w:lang w:val="en-US"/>
        </w:rPr>
        <w:t xml:space="preserve"> A.36</w:t>
      </w:r>
      <w:r w:rsidRPr="00A12C95">
        <w:rPr>
          <w:lang w:val="en-US"/>
        </w:rPr>
        <w:t xml:space="preserve"> in appendix</w:t>
      </w:r>
      <w:r w:rsidR="007E394F">
        <w:rPr>
          <w:lang w:val="en-US"/>
        </w:rPr>
        <w:t>.</w:t>
      </w:r>
    </w:p>
    <w:p w14:paraId="5F90F778" w14:textId="3BB388A9" w:rsidR="00540725" w:rsidRDefault="00540725" w:rsidP="007E394F">
      <w:bookmarkStart w:id="137" w:name="_Ref171943209"/>
      <w:bookmarkStart w:id="138" w:name="_Toc171951144"/>
      <w:r>
        <w:t xml:space="preserve">Further analysis of the distribution of office space energy use across the LGA highlights the relationship between the size of office spaces and their energy intensity. </w:t>
      </w:r>
      <w:r>
        <w:fldChar w:fldCharType="begin"/>
      </w:r>
      <w:r>
        <w:instrText xml:space="preserve"> REF _Ref171943209 \h </w:instrText>
      </w:r>
      <w:r w:rsidR="007E394F">
        <w:instrText xml:space="preserve"> \* MERGEFORMAT </w:instrText>
      </w:r>
      <w:r>
        <w:fldChar w:fldCharType="separate"/>
      </w:r>
      <w:r w:rsidRPr="00237BCB">
        <w:t xml:space="preserve">Figure </w:t>
      </w:r>
      <w:r>
        <w:rPr>
          <w:noProof/>
        </w:rPr>
        <w:t>38</w:t>
      </w:r>
      <w:r>
        <w:fldChar w:fldCharType="end"/>
      </w:r>
      <w:r>
        <w:t xml:space="preserve"> shows postcodes in the LGA, with &gt;20,000 m2 of office space, ranked by the size of the average office space recorded in CLUE. The intensity/size distribution shown in </w:t>
      </w:r>
      <w:r>
        <w:fldChar w:fldCharType="begin"/>
      </w:r>
      <w:r>
        <w:instrText xml:space="preserve"> REF _Ref171943209 \h </w:instrText>
      </w:r>
      <w:r w:rsidR="007E394F">
        <w:instrText xml:space="preserve"> \* MERGEFORMAT </w:instrText>
      </w:r>
      <w:r>
        <w:fldChar w:fldCharType="separate"/>
      </w:r>
      <w:r w:rsidRPr="00237BCB">
        <w:t xml:space="preserve">Figure </w:t>
      </w:r>
      <w:r>
        <w:rPr>
          <w:noProof/>
        </w:rPr>
        <w:t>38</w:t>
      </w:r>
      <w:r>
        <w:fldChar w:fldCharType="end"/>
      </w:r>
      <w:r>
        <w:t xml:space="preserve"> reflects the generally falling energy intensity our model applies to offices space, which is in turn drawn from the Victorian NABERS for offices dataset. Given 64.6% of all office space in the LGA is associated with large office spaces &gt;20,000 m2, this suggests that the bulk of office space is currently operating at relatively low energy-intensity.</w:t>
      </w:r>
    </w:p>
    <w:bookmarkEnd w:id="137"/>
    <w:bookmarkEnd w:id="138"/>
    <w:p w14:paraId="07484B74" w14:textId="77777777" w:rsidR="007E394F" w:rsidRDefault="007E394F" w:rsidP="007E394F">
      <w:pPr>
        <w:keepNext/>
      </w:pPr>
      <w:r>
        <w:rPr>
          <w:noProof/>
        </w:rPr>
        <w:lastRenderedPageBreak/>
        <w:drawing>
          <wp:inline distT="0" distB="0" distL="0" distR="0" wp14:anchorId="762CFBC5" wp14:editId="39F2E4A6">
            <wp:extent cx="6120130" cy="3441031"/>
            <wp:effectExtent l="0" t="0" r="0" b="7620"/>
            <wp:docPr id="1105100603" name="Chart 1" descr="Bar graph, with a purple line. Ssee Appendix A37 for data information.">
              <a:extLst xmlns:a="http://schemas.openxmlformats.org/drawingml/2006/main">
                <a:ext uri="{FF2B5EF4-FFF2-40B4-BE49-F238E27FC236}">
                  <a16:creationId xmlns:a16="http://schemas.microsoft.com/office/drawing/2014/main" id="{97ED1BFF-AC81-C162-3150-5AADF1992CF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14:paraId="7B83464D" w14:textId="77777777" w:rsidR="007E394F" w:rsidRPr="007E394F" w:rsidRDefault="007E394F" w:rsidP="007E394F">
      <w:pPr>
        <w:pStyle w:val="BodyText"/>
        <w:rPr>
          <w:rFonts w:ascii="Arial Bold" w:hAnsi="Arial Bold" w:hint="eastAsia"/>
          <w:b/>
          <w:bCs/>
          <w:szCs w:val="18"/>
        </w:rPr>
      </w:pPr>
      <w:r w:rsidRPr="007E394F">
        <w:rPr>
          <w:rFonts w:ascii="Arial Bold" w:hAnsi="Arial Bold"/>
          <w:b/>
          <w:bCs/>
          <w:szCs w:val="18"/>
        </w:rPr>
        <w:t xml:space="preserve">Figure </w:t>
      </w:r>
      <w:r w:rsidRPr="007E394F">
        <w:rPr>
          <w:rFonts w:ascii="Arial Bold" w:hAnsi="Arial Bold"/>
          <w:b/>
          <w:bCs/>
          <w:szCs w:val="18"/>
        </w:rPr>
        <w:fldChar w:fldCharType="begin"/>
      </w:r>
      <w:r w:rsidRPr="007E394F">
        <w:rPr>
          <w:rFonts w:ascii="Arial Bold" w:hAnsi="Arial Bold"/>
          <w:b/>
          <w:bCs/>
          <w:szCs w:val="18"/>
        </w:rPr>
        <w:instrText xml:space="preserve"> SEQ Figure \* ARABIC </w:instrText>
      </w:r>
      <w:r w:rsidRPr="007E394F">
        <w:rPr>
          <w:rFonts w:ascii="Arial Bold" w:hAnsi="Arial Bold"/>
          <w:b/>
          <w:bCs/>
          <w:szCs w:val="18"/>
        </w:rPr>
        <w:fldChar w:fldCharType="separate"/>
      </w:r>
      <w:r w:rsidRPr="007E394F">
        <w:rPr>
          <w:rFonts w:ascii="Arial Bold" w:hAnsi="Arial Bold"/>
          <w:b/>
          <w:bCs/>
          <w:szCs w:val="18"/>
        </w:rPr>
        <w:t>38</w:t>
      </w:r>
      <w:r w:rsidRPr="007E394F">
        <w:rPr>
          <w:rFonts w:ascii="Arial Bold" w:hAnsi="Arial Bold"/>
          <w:b/>
          <w:bCs/>
          <w:szCs w:val="18"/>
        </w:rPr>
        <w:fldChar w:fldCharType="end"/>
      </w:r>
      <w:r w:rsidRPr="007E394F">
        <w:rPr>
          <w:rFonts w:ascii="Arial Bold" w:hAnsi="Arial Bold"/>
          <w:b/>
          <w:bCs/>
          <w:szCs w:val="18"/>
        </w:rPr>
        <w:t>: Energy Consumption in relation to Average Office Floor Area by Postcode (excl. postcodes with &lt;20,000 m2 of office space)</w:t>
      </w:r>
    </w:p>
    <w:p w14:paraId="36FF0268" w14:textId="7A0A501D" w:rsidR="00140B0D" w:rsidRPr="00054CA6" w:rsidRDefault="00140B0D" w:rsidP="00140B0D">
      <w:r w:rsidRPr="00A12C95">
        <w:rPr>
          <w:lang w:val="en-US"/>
        </w:rPr>
        <w:t>View</w:t>
      </w:r>
      <w:r w:rsidRPr="00A12C95">
        <w:t xml:space="preserve"> </w:t>
      </w:r>
      <w:hyperlink w:anchor="_Figure_38:_Energy" w:history="1">
        <w:r>
          <w:rPr>
            <w:rStyle w:val="Hyperlink"/>
            <w:color w:val="0070C0"/>
            <w:lang w:val="en-US"/>
          </w:rPr>
          <w:t>Energy Consumption in relation to Average Office Floor Area by Postcode (excl. postcodes with &lt;20,000 m2 of office space)</w:t>
        </w:r>
      </w:hyperlink>
      <w:r w:rsidRPr="00A12C95">
        <w:rPr>
          <w:lang w:val="en-US"/>
        </w:rPr>
        <w:t xml:space="preserve"> data table</w:t>
      </w:r>
      <w:r w:rsidR="00DF6521">
        <w:rPr>
          <w:lang w:val="en-US"/>
        </w:rPr>
        <w:t xml:space="preserve"> A.37</w:t>
      </w:r>
      <w:r w:rsidRPr="00A12C95">
        <w:rPr>
          <w:lang w:val="en-US"/>
        </w:rPr>
        <w:t xml:space="preserve"> in appendix</w:t>
      </w:r>
      <w:r w:rsidR="007E394F">
        <w:rPr>
          <w:lang w:val="en-US"/>
        </w:rPr>
        <w:t>.</w:t>
      </w:r>
    </w:p>
    <w:p w14:paraId="45FA3FA1" w14:textId="0F4F2F6E" w:rsidR="00DF37E7" w:rsidRDefault="008B72FA" w:rsidP="007E394F">
      <w:r w:rsidRPr="0053127B">
        <w:t xml:space="preserve">The effect of large, high efficiency buildings </w:t>
      </w:r>
      <w:r>
        <w:t xml:space="preserve">on the distribution of office space energy consumption can be seen in </w:t>
      </w:r>
      <w:r>
        <w:fldChar w:fldCharType="begin"/>
      </w:r>
      <w:r>
        <w:instrText xml:space="preserve"> REF _Ref171951599 \h </w:instrText>
      </w:r>
      <w:r w:rsidR="007E394F">
        <w:instrText xml:space="preserve"> \* MERGEFORMAT </w:instrText>
      </w:r>
      <w:r>
        <w:fldChar w:fldCharType="separate"/>
      </w:r>
      <w:r w:rsidRPr="00EC2D31">
        <w:t xml:space="preserve">Figure </w:t>
      </w:r>
      <w:r>
        <w:rPr>
          <w:noProof/>
        </w:rPr>
        <w:t>39</w:t>
      </w:r>
      <w:r>
        <w:fldChar w:fldCharType="end"/>
      </w:r>
      <w:r>
        <w:t xml:space="preserve">, in which the 1,315 buildings under 5,000 m2, while representing only 14% of total office space, contribute 23% of associated energy use. Conversely, the 29 buildings containing over 60,000 m2 of office space account for 30% of the LGA total while consuming only 21% of associated energy. </w:t>
      </w:r>
    </w:p>
    <w:p w14:paraId="5EE12DAF" w14:textId="77777777" w:rsidR="007E394F" w:rsidRDefault="007E394F" w:rsidP="007E394F">
      <w:pPr>
        <w:keepNext/>
      </w:pPr>
      <w:r>
        <w:rPr>
          <w:noProof/>
        </w:rPr>
        <w:lastRenderedPageBreak/>
        <w:drawing>
          <wp:inline distT="0" distB="0" distL="0" distR="0" wp14:anchorId="16E37C23" wp14:editId="26A52CDB">
            <wp:extent cx="5991225" cy="3970421"/>
            <wp:effectExtent l="0" t="0" r="0" b="0"/>
            <wp:docPr id="342590122" name="Chart 1" descr="Bar graph, with a purple line. See Appendix A38 for data information.">
              <a:extLst xmlns:a="http://schemas.openxmlformats.org/drawingml/2006/main">
                <a:ext uri="{FF2B5EF4-FFF2-40B4-BE49-F238E27FC236}">
                  <a16:creationId xmlns:a16="http://schemas.microsoft.com/office/drawing/2014/main" id="{D244FC44-2CCA-5D85-967F-A8460D42798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14:paraId="7FA27806" w14:textId="77777777" w:rsidR="007E394F" w:rsidRPr="007E394F" w:rsidRDefault="007E394F" w:rsidP="007E394F">
      <w:pPr>
        <w:pStyle w:val="BodyText"/>
        <w:rPr>
          <w:rFonts w:ascii="Arial Bold" w:hAnsi="Arial Bold" w:hint="eastAsia"/>
          <w:b/>
          <w:bCs/>
          <w:szCs w:val="18"/>
        </w:rPr>
      </w:pPr>
      <w:bookmarkStart w:id="139" w:name="_Ref171951599"/>
      <w:bookmarkStart w:id="140" w:name="_Toc171951145"/>
      <w:r w:rsidRPr="007E394F">
        <w:rPr>
          <w:rFonts w:ascii="Arial Bold" w:hAnsi="Arial Bold"/>
          <w:b/>
          <w:bCs/>
          <w:szCs w:val="18"/>
        </w:rPr>
        <w:t xml:space="preserve">Figure </w:t>
      </w:r>
      <w:r w:rsidRPr="007E394F">
        <w:rPr>
          <w:rFonts w:ascii="Arial Bold" w:hAnsi="Arial Bold"/>
          <w:b/>
          <w:bCs/>
          <w:szCs w:val="18"/>
        </w:rPr>
        <w:fldChar w:fldCharType="begin"/>
      </w:r>
      <w:r w:rsidRPr="007E394F">
        <w:rPr>
          <w:rFonts w:ascii="Arial Bold" w:hAnsi="Arial Bold"/>
          <w:b/>
          <w:bCs/>
          <w:szCs w:val="18"/>
        </w:rPr>
        <w:instrText xml:space="preserve"> SEQ Figure \* ARABIC </w:instrText>
      </w:r>
      <w:r w:rsidRPr="007E394F">
        <w:rPr>
          <w:rFonts w:ascii="Arial Bold" w:hAnsi="Arial Bold"/>
          <w:b/>
          <w:bCs/>
          <w:szCs w:val="18"/>
        </w:rPr>
        <w:fldChar w:fldCharType="separate"/>
      </w:r>
      <w:r w:rsidRPr="007E394F">
        <w:rPr>
          <w:rFonts w:ascii="Arial Bold" w:hAnsi="Arial Bold"/>
          <w:b/>
          <w:bCs/>
          <w:szCs w:val="18"/>
        </w:rPr>
        <w:t>39</w:t>
      </w:r>
      <w:r w:rsidRPr="007E394F">
        <w:rPr>
          <w:rFonts w:ascii="Arial Bold" w:hAnsi="Arial Bold"/>
          <w:b/>
          <w:bCs/>
          <w:szCs w:val="18"/>
        </w:rPr>
        <w:fldChar w:fldCharType="end"/>
      </w:r>
      <w:bookmarkEnd w:id="139"/>
      <w:r w:rsidRPr="007E394F">
        <w:rPr>
          <w:rFonts w:ascii="Arial Bold" w:hAnsi="Arial Bold"/>
          <w:b/>
          <w:bCs/>
          <w:szCs w:val="18"/>
        </w:rPr>
        <w:t>: Total Energy Consumption (TJ) by Office Floor Area Size Class</w:t>
      </w:r>
      <w:bookmarkEnd w:id="140"/>
    </w:p>
    <w:p w14:paraId="20C009DF" w14:textId="5DF9A2B3" w:rsidR="00140B0D" w:rsidRPr="00054CA6" w:rsidRDefault="00140B0D" w:rsidP="00140B0D">
      <w:r w:rsidRPr="00A12C95">
        <w:rPr>
          <w:lang w:val="en-US"/>
        </w:rPr>
        <w:t>View</w:t>
      </w:r>
      <w:r w:rsidRPr="00A12C95">
        <w:t xml:space="preserve"> </w:t>
      </w:r>
      <w:hyperlink w:anchor="_Figure_39:_Total" w:history="1">
        <w:r>
          <w:rPr>
            <w:rStyle w:val="Hyperlink"/>
            <w:color w:val="0070C0"/>
            <w:lang w:val="en-US"/>
          </w:rPr>
          <w:t>Total Energy Cons</w:t>
        </w:r>
        <w:r>
          <w:rPr>
            <w:rStyle w:val="Hyperlink"/>
            <w:color w:val="0070C0"/>
            <w:lang w:val="en-US"/>
          </w:rPr>
          <w:t>u</w:t>
        </w:r>
        <w:r>
          <w:rPr>
            <w:rStyle w:val="Hyperlink"/>
            <w:color w:val="0070C0"/>
            <w:lang w:val="en-US"/>
          </w:rPr>
          <w:t>mption by Office Floor Area Size Class</w:t>
        </w:r>
      </w:hyperlink>
      <w:r w:rsidRPr="00A12C95">
        <w:rPr>
          <w:lang w:val="en-US"/>
        </w:rPr>
        <w:t xml:space="preserve"> data table</w:t>
      </w:r>
      <w:r w:rsidR="00DF6521">
        <w:rPr>
          <w:lang w:val="en-US"/>
        </w:rPr>
        <w:t xml:space="preserve"> A.38</w:t>
      </w:r>
      <w:r w:rsidRPr="00A12C95">
        <w:rPr>
          <w:lang w:val="en-US"/>
        </w:rPr>
        <w:t xml:space="preserve"> in appendix</w:t>
      </w:r>
      <w:r w:rsidR="007E394F">
        <w:rPr>
          <w:lang w:val="en-US"/>
        </w:rPr>
        <w:t>.</w:t>
      </w:r>
    </w:p>
    <w:p w14:paraId="33BDB2A9" w14:textId="0B485041" w:rsidR="00540725" w:rsidRDefault="00540725" w:rsidP="00540725">
      <w:pPr>
        <w:pStyle w:val="Heading3"/>
        <w:rPr>
          <w:rFonts w:hint="eastAsia"/>
        </w:rPr>
      </w:pPr>
      <w:bookmarkStart w:id="141" w:name="_4.2.3_Residential_Energy"/>
      <w:bookmarkEnd w:id="141"/>
      <w:r>
        <w:t>4.2.3</w:t>
      </w:r>
      <w:r>
        <w:tab/>
        <w:t>Residential Energy Consumption</w:t>
      </w:r>
    </w:p>
    <w:p w14:paraId="0F7BCB79" w14:textId="77777777" w:rsidR="00540725" w:rsidRDefault="00540725" w:rsidP="00C40A34">
      <w:pPr>
        <w:rPr>
          <w:lang w:val="en-GB"/>
        </w:rPr>
      </w:pPr>
      <w:r>
        <w:rPr>
          <w:lang w:val="en-GB"/>
        </w:rPr>
        <w:t>In data provided by energy distributors, residential energy consumption in 2022 totalled 1,442 TJ - 899 TJ of electricity consumption and 543 TJ of gas consumption.  However, it appears that there is considerable misallocation of energy consumption by sector, with residential consumption under-reported and commercial consumption over-reported.  This misallocation is likely a result of two related factors:</w:t>
      </w:r>
    </w:p>
    <w:p w14:paraId="1B399EC7" w14:textId="77777777" w:rsidR="00540725" w:rsidRPr="00C40A34" w:rsidRDefault="00540725" w:rsidP="00907604">
      <w:pPr>
        <w:pStyle w:val="ListParagraph"/>
        <w:numPr>
          <w:ilvl w:val="0"/>
          <w:numId w:val="17"/>
        </w:numPr>
        <w:rPr>
          <w:lang w:val="en-GB"/>
        </w:rPr>
      </w:pPr>
      <w:r w:rsidRPr="00C40A34">
        <w:rPr>
          <w:lang w:val="en-GB"/>
        </w:rPr>
        <w:t>Electricity consumption associated with embedded networks (discussed in more detail in Section 3.1.6) does not appear to be recorded as residential consumption in distributor data, but rather as commercial.  This is likely due to one meter carrying the load of sometimes many hundreds of apartments, with the load size and shape of that meter indicating to distributors that it is a commercial building.  Given the scale of apartment floorspace associated with an embedded network, 4.3 million sqm, and the relative energy intensity of high-rise apartment buildings, this omission obscures a large portion of total residential energy consumption.</w:t>
      </w:r>
    </w:p>
    <w:p w14:paraId="0C8CE627" w14:textId="77777777" w:rsidR="00540725" w:rsidRPr="00C40A34" w:rsidRDefault="00540725" w:rsidP="00907604">
      <w:pPr>
        <w:pStyle w:val="ListParagraph"/>
        <w:numPr>
          <w:ilvl w:val="0"/>
          <w:numId w:val="17"/>
        </w:numPr>
        <w:rPr>
          <w:lang w:val="en-GB"/>
        </w:rPr>
      </w:pPr>
      <w:r w:rsidRPr="00C40A34">
        <w:rPr>
          <w:lang w:val="en-GB"/>
        </w:rPr>
        <w:t xml:space="preserve">Gas consumption associated with apartment building central services, such as space and water heating, does not appear to be recorded as residential consumption in distributor data. This omission can be seen in distributor data provided for postcode 3000, which records only 19 TJ, or 0.3% of the LGA’s total gas consumption, as residential, despite the postcode containing 27.9% of total residential floorspace.  A similar pattern can be seen in the other apartment-heavy postcodes, particularly 3006 and 3008.  Although we do not have data on the fuel mix of every building, it appears that the majority of the large and new apartment buildings built in Melbourne in recent years use gas. </w:t>
      </w:r>
    </w:p>
    <w:p w14:paraId="14661FF1" w14:textId="7848E1A8" w:rsidR="00540725" w:rsidRPr="00F02E0D" w:rsidRDefault="00540725" w:rsidP="00C40A34">
      <w:pPr>
        <w:rPr>
          <w:lang w:val="en-GB"/>
        </w:rPr>
      </w:pPr>
      <w:r>
        <w:rPr>
          <w:lang w:val="en-GB"/>
        </w:rPr>
        <w:t xml:space="preserve">Our analysis shows that total energy consumption attributable to residential accommodation, including associated shared spaces, student accommodation and institutional accommodation totals 4,608 TJ; electricity constitutes 46.4%, or 2140 TJ, of this total, while gas represents 53.6%, or 2,468 TJ – see </w:t>
      </w:r>
      <w:r>
        <w:rPr>
          <w:lang w:val="en-GB"/>
        </w:rPr>
        <w:fldChar w:fldCharType="begin"/>
      </w:r>
      <w:r>
        <w:rPr>
          <w:lang w:val="en-GB"/>
        </w:rPr>
        <w:instrText xml:space="preserve"> REF _Ref170744793 \h </w:instrText>
      </w:r>
      <w:r w:rsidR="00C40A34">
        <w:rPr>
          <w:lang w:val="en-GB"/>
        </w:rPr>
        <w:instrText xml:space="preserve"> \* MERGEFORMAT </w:instrText>
      </w:r>
      <w:r>
        <w:rPr>
          <w:lang w:val="en-GB"/>
        </w:rPr>
      </w:r>
      <w:r>
        <w:rPr>
          <w:lang w:val="en-GB"/>
        </w:rPr>
        <w:fldChar w:fldCharType="separate"/>
      </w:r>
      <w:r w:rsidRPr="00D87818">
        <w:t xml:space="preserve">Figure </w:t>
      </w:r>
      <w:r>
        <w:rPr>
          <w:noProof/>
        </w:rPr>
        <w:t>40</w:t>
      </w:r>
      <w:r>
        <w:rPr>
          <w:lang w:val="en-GB"/>
        </w:rPr>
        <w:fldChar w:fldCharType="end"/>
      </w:r>
      <w:r>
        <w:rPr>
          <w:lang w:val="en-GB"/>
        </w:rPr>
        <w:t xml:space="preserve">. </w:t>
      </w:r>
    </w:p>
    <w:p w14:paraId="23B6D224" w14:textId="77777777" w:rsidR="00C40A34" w:rsidRDefault="00C40A34" w:rsidP="00C40A34">
      <w:pPr>
        <w:pStyle w:val="BodyText"/>
        <w:keepNext/>
      </w:pPr>
      <w:r>
        <w:rPr>
          <w:noProof/>
        </w:rPr>
        <w:lastRenderedPageBreak/>
        <w:drawing>
          <wp:inline distT="0" distB="0" distL="0" distR="0" wp14:anchorId="575FF3A1" wp14:editId="7F39DEE8">
            <wp:extent cx="6096000" cy="3644265"/>
            <wp:effectExtent l="0" t="0" r="0" b="0"/>
            <wp:docPr id="1421683892" name="Chart 1" descr="Bar graph, see Appendix A39 for data information.">
              <a:extLst xmlns:a="http://schemas.openxmlformats.org/drawingml/2006/main">
                <a:ext uri="{FF2B5EF4-FFF2-40B4-BE49-F238E27FC236}">
                  <a16:creationId xmlns:a16="http://schemas.microsoft.com/office/drawing/2014/main" id="{6EE09E41-8E8D-35F4-0A5A-45B792BD785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14:paraId="7246DDC5" w14:textId="4DF65590" w:rsidR="00C40A34" w:rsidRPr="00C40A34" w:rsidRDefault="00C40A34" w:rsidP="00C40A34">
      <w:pPr>
        <w:pStyle w:val="BodyText"/>
        <w:rPr>
          <w:rFonts w:ascii="Arial Bold" w:hAnsi="Arial Bold" w:hint="eastAsia"/>
          <w:b/>
          <w:bCs/>
          <w:szCs w:val="18"/>
        </w:rPr>
      </w:pPr>
      <w:bookmarkStart w:id="142" w:name="_Ref170744793"/>
      <w:bookmarkStart w:id="143" w:name="_Toc171951146"/>
      <w:r w:rsidRPr="00C40A34">
        <w:rPr>
          <w:rFonts w:ascii="Arial Bold" w:hAnsi="Arial Bold"/>
          <w:b/>
          <w:bCs/>
          <w:szCs w:val="18"/>
        </w:rPr>
        <w:t xml:space="preserve">Figure </w:t>
      </w:r>
      <w:r w:rsidRPr="00C40A34">
        <w:rPr>
          <w:rFonts w:ascii="Arial Bold" w:hAnsi="Arial Bold"/>
          <w:b/>
          <w:bCs/>
          <w:szCs w:val="18"/>
        </w:rPr>
        <w:fldChar w:fldCharType="begin"/>
      </w:r>
      <w:r w:rsidRPr="00C40A34">
        <w:rPr>
          <w:rFonts w:ascii="Arial Bold" w:hAnsi="Arial Bold"/>
          <w:b/>
          <w:bCs/>
          <w:szCs w:val="18"/>
        </w:rPr>
        <w:instrText xml:space="preserve"> SEQ Figure \* ARABIC </w:instrText>
      </w:r>
      <w:r w:rsidRPr="00C40A34">
        <w:rPr>
          <w:rFonts w:ascii="Arial Bold" w:hAnsi="Arial Bold"/>
          <w:b/>
          <w:bCs/>
          <w:szCs w:val="18"/>
        </w:rPr>
        <w:fldChar w:fldCharType="separate"/>
      </w:r>
      <w:r w:rsidRPr="00C40A34">
        <w:rPr>
          <w:rFonts w:ascii="Arial Bold" w:hAnsi="Arial Bold"/>
          <w:b/>
          <w:bCs/>
          <w:szCs w:val="18"/>
        </w:rPr>
        <w:t>40</w:t>
      </w:r>
      <w:r w:rsidRPr="00C40A34">
        <w:rPr>
          <w:rFonts w:ascii="Arial Bold" w:hAnsi="Arial Bold"/>
          <w:b/>
          <w:bCs/>
          <w:szCs w:val="18"/>
        </w:rPr>
        <w:fldChar w:fldCharType="end"/>
      </w:r>
      <w:bookmarkEnd w:id="142"/>
      <w:r w:rsidRPr="00C40A34">
        <w:rPr>
          <w:rFonts w:ascii="Arial Bold" w:hAnsi="Arial Bold"/>
          <w:b/>
          <w:bCs/>
          <w:szCs w:val="18"/>
        </w:rPr>
        <w:t>: Total Residential Energy Consumption (TJ) by Fuel, Original and Modelled, City of Melbourne, 2022</w:t>
      </w:r>
      <w:bookmarkEnd w:id="143"/>
    </w:p>
    <w:p w14:paraId="145A622E" w14:textId="00AD4AC8" w:rsidR="00140B0D" w:rsidRPr="00054CA6" w:rsidRDefault="00140B0D" w:rsidP="00140B0D">
      <w:r w:rsidRPr="00A12C95">
        <w:rPr>
          <w:lang w:val="en-US"/>
        </w:rPr>
        <w:t>View</w:t>
      </w:r>
      <w:r w:rsidRPr="00A12C95">
        <w:t xml:space="preserve"> </w:t>
      </w:r>
      <w:hyperlink w:anchor="_Total_Residential_Energy" w:history="1">
        <w:r>
          <w:rPr>
            <w:rStyle w:val="Hyperlink"/>
            <w:color w:val="0070C0"/>
            <w:lang w:val="en-US"/>
          </w:rPr>
          <w:t>Total Residential Energy Consumption by Fuel, Original and Modelled, City of Melbourne, 2022</w:t>
        </w:r>
      </w:hyperlink>
      <w:r w:rsidRPr="00A12C95">
        <w:rPr>
          <w:lang w:val="en-US"/>
        </w:rPr>
        <w:t xml:space="preserve"> data table</w:t>
      </w:r>
      <w:r w:rsidR="00DF6521">
        <w:rPr>
          <w:lang w:val="en-US"/>
        </w:rPr>
        <w:t xml:space="preserve"> A.39</w:t>
      </w:r>
      <w:r w:rsidRPr="00A12C95">
        <w:rPr>
          <w:lang w:val="en-US"/>
        </w:rPr>
        <w:t xml:space="preserve"> in appendix</w:t>
      </w:r>
      <w:r w:rsidR="00C40A34">
        <w:rPr>
          <w:lang w:val="en-US"/>
        </w:rPr>
        <w:t>.</w:t>
      </w:r>
    </w:p>
    <w:p w14:paraId="6F037735" w14:textId="77777777" w:rsidR="00540725" w:rsidRDefault="00540725" w:rsidP="00C40A34">
      <w:pPr>
        <w:rPr>
          <w:lang w:val="en-GB"/>
        </w:rPr>
      </w:pPr>
      <w:r>
        <w:rPr>
          <w:lang w:val="en-GB"/>
        </w:rPr>
        <w:t xml:space="preserve">Our revised gas consumption results are broadly consistent with wider Victorian residential fuel-use trends; for example, 64% of total consumption in the </w:t>
      </w:r>
      <w:r w:rsidRPr="00134449">
        <w:rPr>
          <w:lang w:val="en-GB"/>
        </w:rPr>
        <w:t>Declared Transmission System</w:t>
      </w:r>
      <w:r>
        <w:rPr>
          <w:lang w:val="en-GB"/>
        </w:rPr>
        <w:t xml:space="preserve"> is associated with residential and small commercial customers.</w:t>
      </w:r>
      <w:r>
        <w:rPr>
          <w:rStyle w:val="FootnoteReference"/>
          <w:lang w:val="en-GB"/>
        </w:rPr>
        <w:footnoteReference w:id="24"/>
      </w:r>
      <w:r>
        <w:rPr>
          <w:lang w:val="en-GB"/>
        </w:rPr>
        <w:t xml:space="preserve"> Further, CSIRO modelling prepared for the City in 2018 indicated that gas contributed 56% - 73% of total energy consumption in apartment buildings, depending on archetype. A desktop search of real estate listings in large apartment buildings built since 2018 does not indicate there has been a significant shift away from gas in the sector since the CSIRO’s work was completed.</w:t>
      </w:r>
    </w:p>
    <w:p w14:paraId="39157F7C" w14:textId="096966F6" w:rsidR="00540725" w:rsidRDefault="00540725" w:rsidP="00C40A34">
      <w:pPr>
        <w:rPr>
          <w:lang w:val="en-GB"/>
        </w:rPr>
      </w:pPr>
      <w:r>
        <w:rPr>
          <w:lang w:val="en-GB"/>
        </w:rPr>
        <w:fldChar w:fldCharType="begin"/>
      </w:r>
      <w:r>
        <w:rPr>
          <w:lang w:val="en-GB"/>
        </w:rPr>
        <w:instrText xml:space="preserve"> REF _Ref171951613 \h </w:instrText>
      </w:r>
      <w:r w:rsidR="00C40A34">
        <w:rPr>
          <w:lang w:val="en-GB"/>
        </w:rPr>
        <w:instrText xml:space="preserve"> \* MERGEFORMAT </w:instrText>
      </w:r>
      <w:r>
        <w:rPr>
          <w:lang w:val="en-GB"/>
        </w:rPr>
      </w:r>
      <w:r>
        <w:rPr>
          <w:lang w:val="en-GB"/>
        </w:rPr>
        <w:fldChar w:fldCharType="separate"/>
      </w:r>
      <w:r w:rsidRPr="001D01D5">
        <w:t xml:space="preserve">Figure </w:t>
      </w:r>
      <w:r>
        <w:rPr>
          <w:noProof/>
        </w:rPr>
        <w:t>41</w:t>
      </w:r>
      <w:r>
        <w:rPr>
          <w:lang w:val="en-GB"/>
        </w:rPr>
        <w:fldChar w:fldCharType="end"/>
      </w:r>
      <w:r>
        <w:rPr>
          <w:lang w:val="en-GB"/>
        </w:rPr>
        <w:t xml:space="preserve"> shows the contribution each residential space-use type makes to the total residential energy use. These shares are broadly reflective of the distribution of residential space-use types, with high-rise apartments making up 57% of total energy use, mid-rise and low-rise apartments contributing 9.8% each, townhouses/terraces and standalone houses contributing 11.4% and 5.4% respectively, and institutional and student accommodation making up the balance.</w:t>
      </w:r>
    </w:p>
    <w:p w14:paraId="28653FD5" w14:textId="77777777" w:rsidR="00C40A34" w:rsidRDefault="00C40A34" w:rsidP="00C40A34">
      <w:pPr>
        <w:keepNext/>
      </w:pPr>
      <w:r>
        <w:rPr>
          <w:noProof/>
        </w:rPr>
        <w:lastRenderedPageBreak/>
        <w:drawing>
          <wp:inline distT="0" distB="0" distL="0" distR="0" wp14:anchorId="1353EF2A" wp14:editId="5E9FDBD4">
            <wp:extent cx="6120130" cy="3193415"/>
            <wp:effectExtent l="0" t="0" r="0" b="6985"/>
            <wp:docPr id="361987439" name="Chart 1" descr="Bar graph, see Appendix A40 for data information.">
              <a:extLst xmlns:a="http://schemas.openxmlformats.org/drawingml/2006/main">
                <a:ext uri="{FF2B5EF4-FFF2-40B4-BE49-F238E27FC236}">
                  <a16:creationId xmlns:a16="http://schemas.microsoft.com/office/drawing/2014/main" id="{A2AA3684-8CE2-D66C-59DB-1425CB1C4BE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14:paraId="4F4E8BBF" w14:textId="77777777" w:rsidR="00C40A34" w:rsidRPr="00C40A34" w:rsidRDefault="00C40A34" w:rsidP="00C40A34">
      <w:pPr>
        <w:pStyle w:val="BodyText"/>
        <w:rPr>
          <w:rFonts w:ascii="Arial Bold" w:hAnsi="Arial Bold" w:hint="eastAsia"/>
          <w:b/>
          <w:bCs/>
          <w:szCs w:val="18"/>
        </w:rPr>
      </w:pPr>
      <w:bookmarkStart w:id="144" w:name="_Ref171951613"/>
      <w:bookmarkStart w:id="145" w:name="_Toc171951147"/>
      <w:r w:rsidRPr="00C40A34">
        <w:rPr>
          <w:rFonts w:ascii="Arial Bold" w:hAnsi="Arial Bold"/>
          <w:b/>
          <w:bCs/>
          <w:szCs w:val="18"/>
        </w:rPr>
        <w:t xml:space="preserve">Figure </w:t>
      </w:r>
      <w:r w:rsidRPr="00C40A34">
        <w:rPr>
          <w:rFonts w:ascii="Arial Bold" w:hAnsi="Arial Bold"/>
          <w:b/>
          <w:bCs/>
          <w:szCs w:val="18"/>
        </w:rPr>
        <w:fldChar w:fldCharType="begin"/>
      </w:r>
      <w:r w:rsidRPr="00C40A34">
        <w:rPr>
          <w:rFonts w:ascii="Arial Bold" w:hAnsi="Arial Bold"/>
          <w:b/>
          <w:bCs/>
          <w:szCs w:val="18"/>
        </w:rPr>
        <w:instrText xml:space="preserve"> SEQ Figure \* ARABIC </w:instrText>
      </w:r>
      <w:r w:rsidRPr="00C40A34">
        <w:rPr>
          <w:rFonts w:ascii="Arial Bold" w:hAnsi="Arial Bold"/>
          <w:b/>
          <w:bCs/>
          <w:szCs w:val="18"/>
        </w:rPr>
        <w:fldChar w:fldCharType="separate"/>
      </w:r>
      <w:r w:rsidRPr="00C40A34">
        <w:rPr>
          <w:rFonts w:ascii="Arial Bold" w:hAnsi="Arial Bold"/>
          <w:b/>
          <w:bCs/>
          <w:szCs w:val="18"/>
        </w:rPr>
        <w:t>41</w:t>
      </w:r>
      <w:r w:rsidRPr="00C40A34">
        <w:rPr>
          <w:rFonts w:ascii="Arial Bold" w:hAnsi="Arial Bold"/>
          <w:b/>
          <w:bCs/>
          <w:szCs w:val="18"/>
        </w:rPr>
        <w:fldChar w:fldCharType="end"/>
      </w:r>
      <w:bookmarkEnd w:id="144"/>
      <w:r w:rsidRPr="00C40A34">
        <w:rPr>
          <w:rFonts w:ascii="Arial Bold" w:hAnsi="Arial Bold"/>
          <w:b/>
          <w:bCs/>
          <w:szCs w:val="18"/>
        </w:rPr>
        <w:t>: Breakdown of Total Energy Use (TJ) by Fuel by Residential Space-Use Type</w:t>
      </w:r>
      <w:bookmarkEnd w:id="145"/>
    </w:p>
    <w:p w14:paraId="7CDE2957" w14:textId="1A595123" w:rsidR="00540725" w:rsidRDefault="00140B0D" w:rsidP="00540725">
      <w:pPr>
        <w:rPr>
          <w:lang w:val="en-US"/>
        </w:rPr>
      </w:pPr>
      <w:r w:rsidRPr="00A12C95">
        <w:rPr>
          <w:lang w:val="en-US"/>
        </w:rPr>
        <w:t>View</w:t>
      </w:r>
      <w:r w:rsidRPr="00A12C95">
        <w:t xml:space="preserve"> </w:t>
      </w:r>
      <w:hyperlink w:anchor="_Breakdown_of_Total" w:history="1">
        <w:r>
          <w:rPr>
            <w:rStyle w:val="Hyperlink"/>
            <w:color w:val="0070C0"/>
            <w:lang w:val="en-US"/>
          </w:rPr>
          <w:t>Breakdown of Total Energy Use by Fuel by Residential Space-Use Type</w:t>
        </w:r>
      </w:hyperlink>
      <w:r w:rsidRPr="00A12C95">
        <w:rPr>
          <w:lang w:val="en-US"/>
        </w:rPr>
        <w:t xml:space="preserve"> data table</w:t>
      </w:r>
      <w:r w:rsidR="00DF6521">
        <w:rPr>
          <w:lang w:val="en-US"/>
        </w:rPr>
        <w:t xml:space="preserve"> A.40</w:t>
      </w:r>
      <w:r w:rsidRPr="00A12C95">
        <w:rPr>
          <w:lang w:val="en-US"/>
        </w:rPr>
        <w:t xml:space="preserve"> in appendix</w:t>
      </w:r>
      <w:r w:rsidR="00C40A34">
        <w:rPr>
          <w:lang w:val="en-US"/>
        </w:rPr>
        <w:t>.</w:t>
      </w:r>
    </w:p>
    <w:p w14:paraId="71E4DBEC" w14:textId="52248AF9" w:rsidR="00540725" w:rsidRDefault="00540725" w:rsidP="00540725">
      <w:pPr>
        <w:pStyle w:val="Heading3"/>
        <w:rPr>
          <w:rFonts w:hint="eastAsia"/>
        </w:rPr>
      </w:pPr>
      <w:bookmarkStart w:id="146" w:name="_4.2.4_Solar_Generation"/>
      <w:bookmarkEnd w:id="146"/>
      <w:r>
        <w:t>4.2.4</w:t>
      </w:r>
      <w:r>
        <w:tab/>
        <w:t xml:space="preserve">Solar Generation </w:t>
      </w:r>
    </w:p>
    <w:p w14:paraId="73D5ED89" w14:textId="4746A6A6" w:rsidR="00540725" w:rsidRDefault="00540725" w:rsidP="00C40A34">
      <w:pPr>
        <w:rPr>
          <w:lang w:val="en-GB"/>
        </w:rPr>
      </w:pPr>
      <w:r>
        <w:rPr>
          <w:lang w:val="en-GB"/>
        </w:rPr>
        <w:t xml:space="preserve">Modelled solar generation represents 0.64% of total energy consumption in the LGA. Of this 0.64%, 77%, or 0.49% of total energy consumption, is consumed behind the meter, and is therefore considered in our model – see </w:t>
      </w:r>
      <w:r>
        <w:rPr>
          <w:lang w:val="en-GB"/>
        </w:rPr>
        <w:fldChar w:fldCharType="begin"/>
      </w:r>
      <w:r>
        <w:rPr>
          <w:lang w:val="en-GB"/>
        </w:rPr>
        <w:instrText xml:space="preserve"> REF _Ref169776206 \h </w:instrText>
      </w:r>
      <w:r w:rsidR="00C40A34">
        <w:rPr>
          <w:lang w:val="en-GB"/>
        </w:rPr>
        <w:instrText xml:space="preserve"> \* MERGEFORMAT </w:instrText>
      </w:r>
      <w:r>
        <w:rPr>
          <w:lang w:val="en-GB"/>
        </w:rPr>
      </w:r>
      <w:r>
        <w:rPr>
          <w:lang w:val="en-GB"/>
        </w:rPr>
        <w:fldChar w:fldCharType="separate"/>
      </w:r>
      <w:r w:rsidRPr="00022458">
        <w:t xml:space="preserve">Figure </w:t>
      </w:r>
      <w:r>
        <w:rPr>
          <w:noProof/>
        </w:rPr>
        <w:t>42</w:t>
      </w:r>
      <w:r>
        <w:rPr>
          <w:lang w:val="en-GB"/>
        </w:rPr>
        <w:fldChar w:fldCharType="end"/>
      </w:r>
      <w:r>
        <w:rPr>
          <w:lang w:val="en-GB"/>
        </w:rPr>
        <w:t>.</w:t>
      </w:r>
    </w:p>
    <w:p w14:paraId="4CFCCC98" w14:textId="77777777" w:rsidR="00C40A34" w:rsidRDefault="00C40A34" w:rsidP="00C40A34">
      <w:pPr>
        <w:keepNext/>
      </w:pPr>
      <w:r>
        <w:rPr>
          <w:noProof/>
        </w:rPr>
        <w:drawing>
          <wp:inline distT="0" distB="0" distL="0" distR="0" wp14:anchorId="0C3220C7" wp14:editId="494DC314">
            <wp:extent cx="6070600" cy="2869324"/>
            <wp:effectExtent l="0" t="0" r="6350" b="7620"/>
            <wp:docPr id="1793616825" name="Chart 1" descr="Pie chart, see Appendix A41 for data information.">
              <a:extLst xmlns:a="http://schemas.openxmlformats.org/drawingml/2006/main">
                <a:ext uri="{FF2B5EF4-FFF2-40B4-BE49-F238E27FC236}">
                  <a16:creationId xmlns:a16="http://schemas.microsoft.com/office/drawing/2014/main" id="{745C8AF2-CE2D-DBBE-752F-3B77913FB3D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14:paraId="1941CBBF" w14:textId="34F81E84" w:rsidR="00C40A34" w:rsidRPr="00C40A34" w:rsidRDefault="00C40A34" w:rsidP="00C40A34">
      <w:pPr>
        <w:pStyle w:val="BodyText"/>
        <w:rPr>
          <w:rFonts w:ascii="Arial Bold" w:hAnsi="Arial Bold" w:hint="eastAsia"/>
          <w:b/>
          <w:bCs/>
          <w:szCs w:val="18"/>
        </w:rPr>
      </w:pPr>
      <w:bookmarkStart w:id="147" w:name="_Ref169776206"/>
      <w:bookmarkStart w:id="148" w:name="_Toc171951148"/>
      <w:r w:rsidRPr="00C40A34">
        <w:rPr>
          <w:rFonts w:ascii="Arial Bold" w:hAnsi="Arial Bold"/>
          <w:b/>
          <w:bCs/>
          <w:szCs w:val="18"/>
        </w:rPr>
        <w:t xml:space="preserve">Figure </w:t>
      </w:r>
      <w:r w:rsidRPr="00C40A34">
        <w:rPr>
          <w:rFonts w:ascii="Arial Bold" w:hAnsi="Arial Bold"/>
          <w:b/>
          <w:bCs/>
          <w:szCs w:val="18"/>
        </w:rPr>
        <w:fldChar w:fldCharType="begin"/>
      </w:r>
      <w:r w:rsidRPr="00C40A34">
        <w:rPr>
          <w:rFonts w:ascii="Arial Bold" w:hAnsi="Arial Bold"/>
          <w:b/>
          <w:bCs/>
          <w:szCs w:val="18"/>
        </w:rPr>
        <w:instrText xml:space="preserve"> SEQ Figure \* ARABIC </w:instrText>
      </w:r>
      <w:r w:rsidRPr="00C40A34">
        <w:rPr>
          <w:rFonts w:ascii="Arial Bold" w:hAnsi="Arial Bold"/>
          <w:b/>
          <w:bCs/>
          <w:szCs w:val="18"/>
        </w:rPr>
        <w:fldChar w:fldCharType="separate"/>
      </w:r>
      <w:r w:rsidRPr="00C40A34">
        <w:rPr>
          <w:rFonts w:ascii="Arial Bold" w:hAnsi="Arial Bold"/>
          <w:b/>
          <w:bCs/>
          <w:szCs w:val="18"/>
        </w:rPr>
        <w:t>42</w:t>
      </w:r>
      <w:r w:rsidRPr="00C40A34">
        <w:rPr>
          <w:rFonts w:ascii="Arial Bold" w:hAnsi="Arial Bold"/>
          <w:b/>
          <w:bCs/>
          <w:szCs w:val="18"/>
        </w:rPr>
        <w:fldChar w:fldCharType="end"/>
      </w:r>
      <w:bookmarkEnd w:id="147"/>
      <w:r w:rsidRPr="00C40A34">
        <w:rPr>
          <w:rFonts w:ascii="Arial Bold" w:hAnsi="Arial Bold"/>
          <w:b/>
          <w:bCs/>
          <w:szCs w:val="18"/>
        </w:rPr>
        <w:t>: Use of Solar Generation</w:t>
      </w:r>
      <w:bookmarkEnd w:id="148"/>
    </w:p>
    <w:p w14:paraId="3A530CB6" w14:textId="6331BC90" w:rsidR="00140B0D" w:rsidRPr="001D01D5" w:rsidRDefault="00140B0D" w:rsidP="00140B0D">
      <w:r w:rsidRPr="00A12C95">
        <w:rPr>
          <w:lang w:val="en-US"/>
        </w:rPr>
        <w:t>View</w:t>
      </w:r>
      <w:r w:rsidRPr="00A12C95">
        <w:t xml:space="preserve"> </w:t>
      </w:r>
      <w:hyperlink w:anchor="_Use_of_Solar" w:history="1">
        <w:r>
          <w:rPr>
            <w:rStyle w:val="Hyperlink"/>
            <w:color w:val="0070C0"/>
            <w:lang w:val="en-US"/>
          </w:rPr>
          <w:t>Use of Solar Generation</w:t>
        </w:r>
      </w:hyperlink>
      <w:r w:rsidRPr="00A12C95">
        <w:rPr>
          <w:lang w:val="en-US"/>
        </w:rPr>
        <w:t xml:space="preserve"> data table</w:t>
      </w:r>
      <w:r w:rsidR="00DF6521">
        <w:rPr>
          <w:lang w:val="en-US"/>
        </w:rPr>
        <w:t xml:space="preserve"> A.41</w:t>
      </w:r>
      <w:r w:rsidRPr="00A12C95">
        <w:rPr>
          <w:lang w:val="en-US"/>
        </w:rPr>
        <w:t xml:space="preserve"> in appendix</w:t>
      </w:r>
      <w:r w:rsidR="00C40A34">
        <w:rPr>
          <w:lang w:val="en-US"/>
        </w:rPr>
        <w:t>.</w:t>
      </w:r>
    </w:p>
    <w:p w14:paraId="570C51E6" w14:textId="0C92DF1F" w:rsidR="00540725" w:rsidRDefault="00540725" w:rsidP="00C40A34">
      <w:r w:rsidRPr="00E11154">
        <w:lastRenderedPageBreak/>
        <w:t>As shown in</w:t>
      </w:r>
      <w:r>
        <w:t xml:space="preserve"> </w:t>
      </w:r>
      <w:r>
        <w:fldChar w:fldCharType="begin"/>
      </w:r>
      <w:r>
        <w:instrText xml:space="preserve"> REF _Ref169776176 \h </w:instrText>
      </w:r>
      <w:r w:rsidR="00C40A34">
        <w:instrText xml:space="preserve"> \* MERGEFORMAT </w:instrText>
      </w:r>
      <w:r>
        <w:fldChar w:fldCharType="separate"/>
      </w:r>
      <w:r w:rsidRPr="00022458">
        <w:t xml:space="preserve">Figure </w:t>
      </w:r>
      <w:r>
        <w:rPr>
          <w:noProof/>
        </w:rPr>
        <w:t>43</w:t>
      </w:r>
      <w:r>
        <w:fldChar w:fldCharType="end"/>
      </w:r>
      <w:r w:rsidRPr="00E11154">
        <w:t>, the largest share of solar generation</w:t>
      </w:r>
      <w:r>
        <w:t xml:space="preserve"> is produced by installations between 10 and 100 kW in size. This size installation is generally associated with commercial or light industrial sites, given the roof area required, although average residential installations have been approaching 10 kW in recent years.</w:t>
      </w:r>
      <w:r>
        <w:rPr>
          <w:rStyle w:val="FootnoteReference"/>
        </w:rPr>
        <w:footnoteReference w:id="25"/>
      </w:r>
    </w:p>
    <w:p w14:paraId="6B6BA250" w14:textId="77777777" w:rsidR="00C40A34" w:rsidRDefault="00C40A34" w:rsidP="00C40A34">
      <w:pPr>
        <w:pStyle w:val="BodyText"/>
        <w:keepNext/>
      </w:pPr>
      <w:bookmarkStart w:id="149" w:name="_Toc403992346"/>
      <w:bookmarkStart w:id="150" w:name="_Toc403992581"/>
      <w:bookmarkStart w:id="151" w:name="_Toc419982306"/>
      <w:r>
        <w:rPr>
          <w:noProof/>
        </w:rPr>
        <w:drawing>
          <wp:inline distT="0" distB="0" distL="0" distR="0" wp14:anchorId="52B01613" wp14:editId="5499A0F2">
            <wp:extent cx="6092190" cy="2869324"/>
            <wp:effectExtent l="0" t="0" r="3810" b="7620"/>
            <wp:docPr id="1846252846" name="Chart 1" descr="Pie chart, see Appendix A42 for data information.">
              <a:extLst xmlns:a="http://schemas.openxmlformats.org/drawingml/2006/main">
                <a:ext uri="{FF2B5EF4-FFF2-40B4-BE49-F238E27FC236}">
                  <a16:creationId xmlns:a16="http://schemas.microsoft.com/office/drawing/2014/main" id="{E3536200-6B77-F966-6CBE-F49FC75E0AA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14:paraId="1B3EC8F5" w14:textId="55582FBD" w:rsidR="00C40A34" w:rsidRPr="00C40A34" w:rsidRDefault="00C40A34" w:rsidP="00C40A34">
      <w:pPr>
        <w:pStyle w:val="BodyText"/>
        <w:rPr>
          <w:rFonts w:ascii="Arial Bold" w:hAnsi="Arial Bold" w:hint="eastAsia"/>
          <w:b/>
          <w:bCs/>
          <w:szCs w:val="18"/>
        </w:rPr>
      </w:pPr>
      <w:bookmarkStart w:id="152" w:name="_Ref169776176"/>
      <w:bookmarkStart w:id="153" w:name="_Toc171951149"/>
      <w:r w:rsidRPr="00C40A34">
        <w:rPr>
          <w:rFonts w:ascii="Arial Bold" w:hAnsi="Arial Bold"/>
          <w:b/>
          <w:bCs/>
          <w:szCs w:val="18"/>
        </w:rPr>
        <w:t xml:space="preserve">Figure </w:t>
      </w:r>
      <w:r w:rsidRPr="00C40A34">
        <w:rPr>
          <w:rFonts w:ascii="Arial Bold" w:hAnsi="Arial Bold"/>
          <w:b/>
          <w:bCs/>
          <w:szCs w:val="18"/>
        </w:rPr>
        <w:fldChar w:fldCharType="begin"/>
      </w:r>
      <w:r w:rsidRPr="00C40A34">
        <w:rPr>
          <w:rFonts w:ascii="Arial Bold" w:hAnsi="Arial Bold"/>
          <w:b/>
          <w:bCs/>
          <w:szCs w:val="18"/>
        </w:rPr>
        <w:instrText xml:space="preserve"> SEQ Figure \* ARABIC </w:instrText>
      </w:r>
      <w:r w:rsidRPr="00C40A34">
        <w:rPr>
          <w:rFonts w:ascii="Arial Bold" w:hAnsi="Arial Bold"/>
          <w:b/>
          <w:bCs/>
          <w:szCs w:val="18"/>
        </w:rPr>
        <w:fldChar w:fldCharType="separate"/>
      </w:r>
      <w:r w:rsidRPr="00C40A34">
        <w:rPr>
          <w:rFonts w:ascii="Arial Bold" w:hAnsi="Arial Bold"/>
          <w:b/>
          <w:bCs/>
          <w:szCs w:val="18"/>
        </w:rPr>
        <w:t>43</w:t>
      </w:r>
      <w:r w:rsidRPr="00C40A34">
        <w:rPr>
          <w:rFonts w:ascii="Arial Bold" w:hAnsi="Arial Bold"/>
          <w:b/>
          <w:bCs/>
          <w:szCs w:val="18"/>
        </w:rPr>
        <w:fldChar w:fldCharType="end"/>
      </w:r>
      <w:bookmarkEnd w:id="152"/>
      <w:r w:rsidRPr="00C40A34">
        <w:rPr>
          <w:rFonts w:ascii="Arial Bold" w:hAnsi="Arial Bold"/>
          <w:b/>
          <w:bCs/>
          <w:szCs w:val="18"/>
        </w:rPr>
        <w:t>: Solar Generation by Installation Size</w:t>
      </w:r>
      <w:bookmarkEnd w:id="153"/>
    </w:p>
    <w:p w14:paraId="2D39A632" w14:textId="6D75AD6E" w:rsidR="00140B0D" w:rsidRPr="001D01D5" w:rsidRDefault="00140B0D" w:rsidP="00140B0D">
      <w:r w:rsidRPr="00A12C95">
        <w:rPr>
          <w:lang w:val="en-US"/>
        </w:rPr>
        <w:t>View</w:t>
      </w:r>
      <w:r w:rsidRPr="00A12C95">
        <w:t xml:space="preserve"> </w:t>
      </w:r>
      <w:hyperlink w:anchor="_Solar_Generation_by" w:history="1">
        <w:r>
          <w:rPr>
            <w:rStyle w:val="Hyperlink"/>
            <w:color w:val="0070C0"/>
            <w:lang w:val="en-US"/>
          </w:rPr>
          <w:t>Solar Generation by Installation Size</w:t>
        </w:r>
      </w:hyperlink>
      <w:r w:rsidRPr="00A12C95">
        <w:rPr>
          <w:lang w:val="en-US"/>
        </w:rPr>
        <w:t xml:space="preserve"> data table</w:t>
      </w:r>
      <w:r w:rsidR="00DF6521">
        <w:rPr>
          <w:lang w:val="en-US"/>
        </w:rPr>
        <w:t xml:space="preserve"> A.42</w:t>
      </w:r>
      <w:r w:rsidRPr="00A12C95">
        <w:rPr>
          <w:lang w:val="en-US"/>
        </w:rPr>
        <w:t xml:space="preserve"> in appendix</w:t>
      </w:r>
      <w:r w:rsidR="00C40A34">
        <w:rPr>
          <w:lang w:val="en-US"/>
        </w:rPr>
        <w:t>.</w:t>
      </w:r>
    </w:p>
    <w:p w14:paraId="45794606" w14:textId="77777777" w:rsidR="00540725" w:rsidRDefault="00540725" w:rsidP="00C40A34">
      <w:r>
        <w:t>Solar generation was relatively evenly distributed across the LGA, though postcodes with higher shares of industrial space and detached residential dwellings were slightly overrepresented in the data. This overrepresentation likely reflects the ease of installation on these buildings, and the greater share of roof space as a proportion of total floor space in these areas.</w:t>
      </w:r>
    </w:p>
    <w:p w14:paraId="017ED6FD" w14:textId="77777777" w:rsidR="00C40A34" w:rsidRDefault="00C40A34" w:rsidP="00C40A34">
      <w:pPr>
        <w:keepNext/>
      </w:pPr>
      <w:r>
        <w:rPr>
          <w:noProof/>
        </w:rPr>
        <w:lastRenderedPageBreak/>
        <w:drawing>
          <wp:inline distT="0" distB="0" distL="0" distR="0" wp14:anchorId="7BED64CA" wp14:editId="6D9DD285">
            <wp:extent cx="6123940" cy="3714750"/>
            <wp:effectExtent l="0" t="0" r="0" b="0"/>
            <wp:docPr id="1246384803" name="Chart 1" descr="Pie chart, see Appendix A43 for data information.">
              <a:extLst xmlns:a="http://schemas.openxmlformats.org/drawingml/2006/main">
                <a:ext uri="{FF2B5EF4-FFF2-40B4-BE49-F238E27FC236}">
                  <a16:creationId xmlns:a16="http://schemas.microsoft.com/office/drawing/2014/main" id="{5418AD7A-8699-F2AA-7A93-ADC3A97C0C9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14:paraId="7A0A65B9" w14:textId="77777777" w:rsidR="00C40A34" w:rsidRPr="00C40A34" w:rsidRDefault="00C40A34" w:rsidP="00C40A34">
      <w:pPr>
        <w:pStyle w:val="BodyText"/>
        <w:rPr>
          <w:rFonts w:ascii="Arial Bold" w:hAnsi="Arial Bold" w:hint="eastAsia"/>
          <w:b/>
          <w:bCs/>
          <w:szCs w:val="18"/>
        </w:rPr>
      </w:pPr>
      <w:bookmarkStart w:id="154" w:name="_Toc171951150"/>
      <w:r w:rsidRPr="00C40A34">
        <w:rPr>
          <w:rFonts w:ascii="Arial Bold" w:hAnsi="Arial Bold"/>
          <w:b/>
          <w:bCs/>
          <w:szCs w:val="18"/>
        </w:rPr>
        <w:t xml:space="preserve">Figure </w:t>
      </w:r>
      <w:r w:rsidRPr="00C40A34">
        <w:rPr>
          <w:rFonts w:ascii="Arial Bold" w:hAnsi="Arial Bold"/>
          <w:b/>
          <w:bCs/>
          <w:szCs w:val="18"/>
        </w:rPr>
        <w:fldChar w:fldCharType="begin"/>
      </w:r>
      <w:r w:rsidRPr="00C40A34">
        <w:rPr>
          <w:rFonts w:ascii="Arial Bold" w:hAnsi="Arial Bold"/>
          <w:b/>
          <w:bCs/>
          <w:szCs w:val="18"/>
        </w:rPr>
        <w:instrText xml:space="preserve"> SEQ Figure \* ARABIC </w:instrText>
      </w:r>
      <w:r w:rsidRPr="00C40A34">
        <w:rPr>
          <w:rFonts w:ascii="Arial Bold" w:hAnsi="Arial Bold"/>
          <w:b/>
          <w:bCs/>
          <w:szCs w:val="18"/>
        </w:rPr>
        <w:fldChar w:fldCharType="separate"/>
      </w:r>
      <w:r w:rsidRPr="00C40A34">
        <w:rPr>
          <w:rFonts w:ascii="Arial Bold" w:hAnsi="Arial Bold"/>
          <w:b/>
          <w:bCs/>
          <w:szCs w:val="18"/>
        </w:rPr>
        <w:t>44</w:t>
      </w:r>
      <w:r w:rsidRPr="00C40A34">
        <w:rPr>
          <w:rFonts w:ascii="Arial Bold" w:hAnsi="Arial Bold"/>
          <w:b/>
          <w:bCs/>
          <w:szCs w:val="18"/>
        </w:rPr>
        <w:fldChar w:fldCharType="end"/>
      </w:r>
      <w:r w:rsidRPr="00C40A34">
        <w:rPr>
          <w:rFonts w:ascii="Arial Bold" w:hAnsi="Arial Bold"/>
          <w:b/>
          <w:bCs/>
          <w:szCs w:val="18"/>
        </w:rPr>
        <w:t>: Solar Generation by Postcode (kWh)</w:t>
      </w:r>
      <w:bookmarkEnd w:id="154"/>
    </w:p>
    <w:p w14:paraId="597DE551" w14:textId="52F817C0" w:rsidR="00140B0D" w:rsidRPr="001D01D5" w:rsidRDefault="00140B0D" w:rsidP="00140B0D">
      <w:r w:rsidRPr="00A12C95">
        <w:rPr>
          <w:lang w:val="en-US"/>
        </w:rPr>
        <w:t>View</w:t>
      </w:r>
      <w:r w:rsidRPr="00A12C95">
        <w:t xml:space="preserve"> </w:t>
      </w:r>
      <w:hyperlink w:anchor="_Solar_Generation_by_1" w:history="1">
        <w:r>
          <w:rPr>
            <w:rStyle w:val="Hyperlink"/>
            <w:color w:val="0070C0"/>
            <w:lang w:val="en-US"/>
          </w:rPr>
          <w:t>Solar Generation by Postcode</w:t>
        </w:r>
      </w:hyperlink>
      <w:r w:rsidRPr="00A12C95">
        <w:rPr>
          <w:lang w:val="en-US"/>
        </w:rPr>
        <w:t xml:space="preserve"> data table</w:t>
      </w:r>
      <w:r w:rsidR="00DF6521">
        <w:rPr>
          <w:lang w:val="en-US"/>
        </w:rPr>
        <w:t xml:space="preserve"> A.43</w:t>
      </w:r>
      <w:r w:rsidRPr="00A12C95">
        <w:rPr>
          <w:lang w:val="en-US"/>
        </w:rPr>
        <w:t xml:space="preserve"> in appendix</w:t>
      </w:r>
      <w:r w:rsidR="00C40A34">
        <w:rPr>
          <w:lang w:val="en-US"/>
        </w:rPr>
        <w:t>.</w:t>
      </w:r>
    </w:p>
    <w:p w14:paraId="7E117C08" w14:textId="793559D5" w:rsidR="00540725" w:rsidRDefault="00540725" w:rsidP="00540725">
      <w:pPr>
        <w:pStyle w:val="Heading3"/>
        <w:rPr>
          <w:rFonts w:hint="eastAsia"/>
        </w:rPr>
      </w:pPr>
      <w:bookmarkStart w:id="155" w:name="_4.2.5_Change_in"/>
      <w:bookmarkEnd w:id="155"/>
      <w:r>
        <w:t>4.2.5</w:t>
      </w:r>
      <w:r>
        <w:tab/>
        <w:t>Change in Gas Use</w:t>
      </w:r>
    </w:p>
    <w:p w14:paraId="7FD047F2" w14:textId="77777777" w:rsidR="00540725" w:rsidRDefault="00540725" w:rsidP="00C40A34">
      <w:pPr>
        <w:rPr>
          <w:lang w:val="en-GB"/>
        </w:rPr>
      </w:pPr>
      <w:r>
        <w:rPr>
          <w:lang w:val="en-GB"/>
        </w:rPr>
        <w:t>While a longitudinal analysis of energy-use in the LGA is outside the scope of this report, there is understandable interest among policy-makers in the rate of change in gas connections. In response to this interest, and to provide additional context to the wider report’s findings, we have included some high-level analysis of gas connection trends and their relevance to the LGA’s building stock.</w:t>
      </w:r>
    </w:p>
    <w:p w14:paraId="746517A8" w14:textId="77777777" w:rsidR="00540725" w:rsidRDefault="00540725" w:rsidP="00C40A34">
      <w:pPr>
        <w:rPr>
          <w:lang w:val="en-GB"/>
        </w:rPr>
      </w:pPr>
      <w:r>
        <w:rPr>
          <w:lang w:val="en-GB"/>
        </w:rPr>
        <w:t xml:space="preserve">Data sourced from distributors indicated there were </w:t>
      </w:r>
      <w:r w:rsidRPr="00A64561">
        <w:rPr>
          <w:lang w:val="en-GB"/>
        </w:rPr>
        <w:t>23,171</w:t>
      </w:r>
      <w:r>
        <w:rPr>
          <w:lang w:val="en-GB"/>
        </w:rPr>
        <w:t xml:space="preserve"> gas connections in the LGA in 2022, split between residential, with </w:t>
      </w:r>
      <w:r w:rsidRPr="00A64561">
        <w:rPr>
          <w:lang w:val="en-GB"/>
        </w:rPr>
        <w:t>9,686</w:t>
      </w:r>
      <w:r>
        <w:rPr>
          <w:lang w:val="en-GB"/>
        </w:rPr>
        <w:t xml:space="preserve"> connections, commercial, with </w:t>
      </w:r>
      <w:r w:rsidRPr="00A64561">
        <w:rPr>
          <w:lang w:val="en-GB"/>
        </w:rPr>
        <w:t xml:space="preserve">13,364 </w:t>
      </w:r>
      <w:r>
        <w:rPr>
          <w:lang w:val="en-GB"/>
        </w:rPr>
        <w:t>connections, and industrial (or other very large consumers), with</w:t>
      </w:r>
      <w:r w:rsidRPr="00A64561">
        <w:rPr>
          <w:lang w:val="en-GB"/>
        </w:rPr>
        <w:t xml:space="preserve"> 121 </w:t>
      </w:r>
      <w:r>
        <w:rPr>
          <w:lang w:val="en-GB"/>
        </w:rPr>
        <w:t>connections.</w:t>
      </w:r>
      <w:r w:rsidRPr="00A64561">
        <w:rPr>
          <w:lang w:val="en-GB"/>
        </w:rPr>
        <w:t xml:space="preserve"> </w:t>
      </w:r>
      <w:r>
        <w:rPr>
          <w:lang w:val="en-GB"/>
        </w:rPr>
        <w:t>It is likely these numbers do not capture either the extent or the sectoral distribution of connections due to the issues discussed in Section 2.4.4. To overcome this challenge, we have developed an estimate of gas connection rates derived from Victoria-wide gas and electricity distributor RIN submissions.</w:t>
      </w:r>
    </w:p>
    <w:p w14:paraId="654974E6" w14:textId="754D1F12" w:rsidR="00540725" w:rsidRDefault="00540725" w:rsidP="00C40A34">
      <w:pPr>
        <w:rPr>
          <w:lang w:val="en-GB"/>
        </w:rPr>
      </w:pPr>
      <w:r>
        <w:rPr>
          <w:lang w:val="en-GB"/>
        </w:rPr>
        <w:t xml:space="preserve">As can be seen in </w:t>
      </w:r>
      <w:r>
        <w:rPr>
          <w:lang w:val="en-GB"/>
        </w:rPr>
        <w:fldChar w:fldCharType="begin"/>
      </w:r>
      <w:r>
        <w:rPr>
          <w:lang w:val="en-GB"/>
        </w:rPr>
        <w:instrText xml:space="preserve"> REF _Ref171022482 \h </w:instrText>
      </w:r>
      <w:r w:rsidR="00C40A34">
        <w:rPr>
          <w:lang w:val="en-GB"/>
        </w:rPr>
        <w:instrText xml:space="preserve"> \* MERGEFORMAT </w:instrText>
      </w:r>
      <w:r>
        <w:rPr>
          <w:lang w:val="en-GB"/>
        </w:rPr>
      </w:r>
      <w:r>
        <w:rPr>
          <w:lang w:val="en-GB"/>
        </w:rPr>
        <w:fldChar w:fldCharType="separate"/>
      </w:r>
      <w:r w:rsidRPr="00D27B92">
        <w:t xml:space="preserve">Figure </w:t>
      </w:r>
      <w:r>
        <w:rPr>
          <w:noProof/>
        </w:rPr>
        <w:t>45</w:t>
      </w:r>
      <w:r>
        <w:rPr>
          <w:lang w:val="en-GB"/>
        </w:rPr>
        <w:fldChar w:fldCharType="end"/>
      </w:r>
      <w:r>
        <w:rPr>
          <w:lang w:val="en-GB"/>
        </w:rPr>
        <w:t xml:space="preserve">, gas connections in Victoria have risen since 2011 across all customer types by between 6% - 21%. Residential connections have largely tracked population, suggesting limited behavioural change occurred during this period due to shifts in policy or consumer preference. Commercial and industrial connections have increased by a smaller amount, a result that may reflect structural changes in the economy (i.e. fewer, larger firms), or behaviour change as a result of policy or financial drivers. </w:t>
      </w:r>
    </w:p>
    <w:p w14:paraId="26A8362C" w14:textId="77777777" w:rsidR="00C40A34" w:rsidRDefault="00C40A34" w:rsidP="00C40A34">
      <w:pPr>
        <w:pStyle w:val="BodyText"/>
        <w:keepNext/>
      </w:pPr>
      <w:r>
        <w:rPr>
          <w:noProof/>
        </w:rPr>
        <w:lastRenderedPageBreak/>
        <w:drawing>
          <wp:inline distT="0" distB="0" distL="0" distR="0" wp14:anchorId="273AEB9A" wp14:editId="4E269239">
            <wp:extent cx="6105525" cy="3371850"/>
            <wp:effectExtent l="0" t="0" r="0" b="0"/>
            <wp:docPr id="364660038" name="Chart 1" descr="Line graph, see Appendix A44 for data information.">
              <a:extLst xmlns:a="http://schemas.openxmlformats.org/drawingml/2006/main">
                <a:ext uri="{FF2B5EF4-FFF2-40B4-BE49-F238E27FC236}">
                  <a16:creationId xmlns:a16="http://schemas.microsoft.com/office/drawing/2014/main" id="{30DDED96-8229-6FDA-F9BE-07D96A6E5F5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14:paraId="1E330B08" w14:textId="77777777" w:rsidR="00C40A34" w:rsidRPr="00C40A34" w:rsidRDefault="00C40A34" w:rsidP="00C40A34">
      <w:pPr>
        <w:pStyle w:val="BodyText"/>
        <w:rPr>
          <w:rFonts w:ascii="Arial Bold" w:hAnsi="Arial Bold" w:hint="eastAsia"/>
          <w:b/>
          <w:bCs/>
          <w:szCs w:val="18"/>
        </w:rPr>
      </w:pPr>
      <w:bookmarkStart w:id="156" w:name="_Ref171022482"/>
      <w:bookmarkStart w:id="157" w:name="_Toc171951151"/>
      <w:r w:rsidRPr="00C40A34">
        <w:rPr>
          <w:rFonts w:ascii="Arial Bold" w:hAnsi="Arial Bold"/>
          <w:b/>
          <w:bCs/>
          <w:szCs w:val="18"/>
        </w:rPr>
        <w:t xml:space="preserve">Figure </w:t>
      </w:r>
      <w:r w:rsidRPr="00C40A34">
        <w:rPr>
          <w:rFonts w:ascii="Arial Bold" w:hAnsi="Arial Bold"/>
          <w:b/>
          <w:bCs/>
          <w:szCs w:val="18"/>
        </w:rPr>
        <w:fldChar w:fldCharType="begin"/>
      </w:r>
      <w:r w:rsidRPr="00C40A34">
        <w:rPr>
          <w:rFonts w:ascii="Arial Bold" w:hAnsi="Arial Bold"/>
          <w:b/>
          <w:bCs/>
          <w:szCs w:val="18"/>
        </w:rPr>
        <w:instrText xml:space="preserve"> SEQ Figure \* ARABIC </w:instrText>
      </w:r>
      <w:r w:rsidRPr="00C40A34">
        <w:rPr>
          <w:rFonts w:ascii="Arial Bold" w:hAnsi="Arial Bold"/>
          <w:b/>
          <w:bCs/>
          <w:szCs w:val="18"/>
        </w:rPr>
        <w:fldChar w:fldCharType="separate"/>
      </w:r>
      <w:r w:rsidRPr="00C40A34">
        <w:rPr>
          <w:rFonts w:ascii="Arial Bold" w:hAnsi="Arial Bold"/>
          <w:b/>
          <w:bCs/>
          <w:szCs w:val="18"/>
        </w:rPr>
        <w:t>45</w:t>
      </w:r>
      <w:r w:rsidRPr="00C40A34">
        <w:rPr>
          <w:rFonts w:ascii="Arial Bold" w:hAnsi="Arial Bold"/>
          <w:b/>
          <w:bCs/>
          <w:szCs w:val="18"/>
        </w:rPr>
        <w:fldChar w:fldCharType="end"/>
      </w:r>
      <w:bookmarkEnd w:id="156"/>
      <w:r w:rsidRPr="00C40A34">
        <w:rPr>
          <w:rFonts w:ascii="Arial Bold" w:hAnsi="Arial Bold"/>
          <w:b/>
          <w:bCs/>
          <w:szCs w:val="18"/>
        </w:rPr>
        <w:t>: Change in Gas Connections by Customer Type (Victoria, FY2011 baseline)</w:t>
      </w:r>
      <w:bookmarkEnd w:id="157"/>
    </w:p>
    <w:p w14:paraId="67DC824E" w14:textId="0EA3F7A9" w:rsidR="00140B0D" w:rsidRPr="001D01D5" w:rsidRDefault="00140B0D" w:rsidP="00140B0D">
      <w:r w:rsidRPr="00A12C95">
        <w:rPr>
          <w:lang w:val="en-US"/>
        </w:rPr>
        <w:t>View</w:t>
      </w:r>
      <w:r w:rsidRPr="00A12C95">
        <w:t xml:space="preserve"> </w:t>
      </w:r>
      <w:hyperlink w:anchor="_Change_in_Gas" w:history="1">
        <w:r>
          <w:rPr>
            <w:rStyle w:val="Hyperlink"/>
            <w:color w:val="0070C0"/>
            <w:lang w:val="en-US"/>
          </w:rPr>
          <w:t>Change in Gas Connections by Customer Type (Victoria, FY2011 baseline)</w:t>
        </w:r>
      </w:hyperlink>
      <w:r w:rsidRPr="00A12C95">
        <w:rPr>
          <w:lang w:val="en-US"/>
        </w:rPr>
        <w:t xml:space="preserve"> data table</w:t>
      </w:r>
      <w:r w:rsidR="00DF6521">
        <w:rPr>
          <w:lang w:val="en-US"/>
        </w:rPr>
        <w:t xml:space="preserve"> A.44</w:t>
      </w:r>
      <w:r w:rsidRPr="00A12C95">
        <w:rPr>
          <w:lang w:val="en-US"/>
        </w:rPr>
        <w:t xml:space="preserve"> in appendix</w:t>
      </w:r>
      <w:r w:rsidR="00C40A34">
        <w:rPr>
          <w:lang w:val="en-US"/>
        </w:rPr>
        <w:t>.</w:t>
      </w:r>
    </w:p>
    <w:p w14:paraId="35CC8405" w14:textId="77777777" w:rsidR="00540725" w:rsidRDefault="00540725" w:rsidP="00540725">
      <w:pPr>
        <w:pStyle w:val="BodyText"/>
        <w:rPr>
          <w:lang w:val="en-GB"/>
        </w:rPr>
      </w:pPr>
      <w:r>
        <w:rPr>
          <w:lang w:val="en-GB"/>
        </w:rPr>
        <w:fldChar w:fldCharType="begin"/>
      </w:r>
      <w:r>
        <w:rPr>
          <w:lang w:val="en-GB"/>
        </w:rPr>
        <w:instrText xml:space="preserve"> REF _Ref169797611 \h </w:instrText>
      </w:r>
      <w:r>
        <w:rPr>
          <w:lang w:val="en-GB"/>
        </w:rPr>
      </w:r>
      <w:r>
        <w:rPr>
          <w:lang w:val="en-GB"/>
        </w:rPr>
        <w:fldChar w:fldCharType="separate"/>
      </w:r>
      <w:r w:rsidRPr="004555F5">
        <w:t xml:space="preserve">Figure </w:t>
      </w:r>
      <w:r>
        <w:rPr>
          <w:noProof/>
        </w:rPr>
        <w:t>46</w:t>
      </w:r>
      <w:r>
        <w:rPr>
          <w:lang w:val="en-GB"/>
        </w:rPr>
        <w:fldChar w:fldCharType="end"/>
      </w:r>
      <w:r>
        <w:rPr>
          <w:lang w:val="en-GB"/>
        </w:rPr>
        <w:t xml:space="preserve"> shows the share of electricity customers who are also connected to the gas network. In 2011, 77.7% of residential electricity customers were also connected to gas, by 2022 this figure had risen marginally to 78.7%. Similarly, in 2011 18.1% of non-residential electricity customers were also connected to the gas network, a figure that fell marginally to 17.9% by 2022.</w:t>
      </w:r>
    </w:p>
    <w:p w14:paraId="01F18C16" w14:textId="77777777" w:rsidR="00540725" w:rsidRDefault="00540725" w:rsidP="00540725">
      <w:pPr>
        <w:pStyle w:val="BodyText"/>
        <w:rPr>
          <w:lang w:val="en-GB"/>
        </w:rPr>
      </w:pPr>
      <w:r>
        <w:rPr>
          <w:lang w:val="en-GB"/>
        </w:rPr>
        <w:t>Our analysis did not identify any data which suggested that the rate of gas connections in the LGA’s building stock diverges significantly from these state-wide trends. As described in Section 4.2.3., our analysis of residential apartment energy-use indicated gas consumption in this archetype is broadly consistent with statewide data, indicating connection rates are also likely to be consistent.</w:t>
      </w:r>
    </w:p>
    <w:p w14:paraId="3B52B3E6" w14:textId="4081D18A" w:rsidR="00140B0D" w:rsidRDefault="00540725" w:rsidP="00540725">
      <w:pPr>
        <w:pStyle w:val="BodyText"/>
        <w:rPr>
          <w:lang w:val="en-GB"/>
        </w:rPr>
      </w:pPr>
      <w:r>
        <w:rPr>
          <w:lang w:val="en-GB"/>
        </w:rPr>
        <w:t>Using these connection figures and residential dwelling counts derived from CLUE data, of 106,073 dwellings in the LGA (apartments, houses/townhouses and student accommodation), 83,480 are likely to be connected to the gas network – noting this may be via apartment shared services, and not an individual metered connection. Using ANZIC industry counts included in the CLUE database, of 13,821 non-residential establishments in the LGA, 2,467 would be expected to be connected to the gas network.</w:t>
      </w:r>
      <w:r>
        <w:rPr>
          <w:rStyle w:val="FootnoteReference"/>
          <w:lang w:val="en-GB"/>
        </w:rPr>
        <w:footnoteReference w:id="26"/>
      </w:r>
    </w:p>
    <w:p w14:paraId="7BA1B1B6" w14:textId="77777777" w:rsidR="00C40A34" w:rsidRDefault="00C40A34" w:rsidP="00C40A34">
      <w:pPr>
        <w:keepNext/>
      </w:pPr>
      <w:r>
        <w:rPr>
          <w:noProof/>
        </w:rPr>
        <w:lastRenderedPageBreak/>
        <w:drawing>
          <wp:inline distT="0" distB="0" distL="0" distR="0" wp14:anchorId="71278055" wp14:editId="28D8DCB4">
            <wp:extent cx="6166485" cy="3086100"/>
            <wp:effectExtent l="0" t="0" r="5715" b="0"/>
            <wp:docPr id="2144777689" name="Chart 1" descr="Line graph, see Appendix A45 for data information.">
              <a:extLst xmlns:a="http://schemas.openxmlformats.org/drawingml/2006/main">
                <a:ext uri="{FF2B5EF4-FFF2-40B4-BE49-F238E27FC236}">
                  <a16:creationId xmlns:a16="http://schemas.microsoft.com/office/drawing/2014/main" id="{72314779-6C70-AECD-B3EE-FB731EA6252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p>
    <w:p w14:paraId="052B8204" w14:textId="77777777" w:rsidR="00C40A34" w:rsidRPr="00C40A34" w:rsidRDefault="00C40A34" w:rsidP="00C40A34">
      <w:pPr>
        <w:pStyle w:val="BodyText"/>
        <w:rPr>
          <w:rFonts w:ascii="Arial Bold" w:hAnsi="Arial Bold" w:hint="eastAsia"/>
          <w:b/>
          <w:bCs/>
          <w:szCs w:val="18"/>
        </w:rPr>
      </w:pPr>
      <w:bookmarkStart w:id="158" w:name="_Ref169797611"/>
      <w:bookmarkStart w:id="159" w:name="_Toc171951152"/>
      <w:r w:rsidRPr="00C40A34">
        <w:rPr>
          <w:rFonts w:ascii="Arial Bold" w:hAnsi="Arial Bold"/>
          <w:b/>
          <w:bCs/>
          <w:szCs w:val="18"/>
        </w:rPr>
        <w:t xml:space="preserve">Figure </w:t>
      </w:r>
      <w:r w:rsidRPr="00C40A34">
        <w:rPr>
          <w:rFonts w:ascii="Arial Bold" w:hAnsi="Arial Bold"/>
          <w:b/>
          <w:bCs/>
          <w:szCs w:val="18"/>
        </w:rPr>
        <w:fldChar w:fldCharType="begin"/>
      </w:r>
      <w:r w:rsidRPr="00C40A34">
        <w:rPr>
          <w:rFonts w:ascii="Arial Bold" w:hAnsi="Arial Bold"/>
          <w:b/>
          <w:bCs/>
          <w:szCs w:val="18"/>
        </w:rPr>
        <w:instrText xml:space="preserve"> SEQ Figure \* ARABIC </w:instrText>
      </w:r>
      <w:r w:rsidRPr="00C40A34">
        <w:rPr>
          <w:rFonts w:ascii="Arial Bold" w:hAnsi="Arial Bold"/>
          <w:b/>
          <w:bCs/>
          <w:szCs w:val="18"/>
        </w:rPr>
        <w:fldChar w:fldCharType="separate"/>
      </w:r>
      <w:r w:rsidRPr="00C40A34">
        <w:rPr>
          <w:rFonts w:ascii="Arial Bold" w:hAnsi="Arial Bold"/>
          <w:b/>
          <w:bCs/>
          <w:szCs w:val="18"/>
        </w:rPr>
        <w:t>46</w:t>
      </w:r>
      <w:r w:rsidRPr="00C40A34">
        <w:rPr>
          <w:rFonts w:ascii="Arial Bold" w:hAnsi="Arial Bold"/>
          <w:b/>
          <w:bCs/>
          <w:szCs w:val="18"/>
        </w:rPr>
        <w:fldChar w:fldCharType="end"/>
      </w:r>
      <w:bookmarkEnd w:id="158"/>
      <w:r w:rsidRPr="00C40A34">
        <w:rPr>
          <w:rFonts w:ascii="Arial Bold" w:hAnsi="Arial Bold"/>
          <w:b/>
          <w:bCs/>
          <w:szCs w:val="18"/>
        </w:rPr>
        <w:t>: Share of Electricity Customers with Gas Connections</w:t>
      </w:r>
      <w:bookmarkEnd w:id="159"/>
    </w:p>
    <w:p w14:paraId="509DCB82" w14:textId="7CB87A4A" w:rsidR="00540725" w:rsidRDefault="00140B0D" w:rsidP="00540725">
      <w:pPr>
        <w:rPr>
          <w:lang w:val="en-US"/>
        </w:rPr>
      </w:pPr>
      <w:r w:rsidRPr="00A12C95">
        <w:rPr>
          <w:lang w:val="en-US"/>
        </w:rPr>
        <w:t>View</w:t>
      </w:r>
      <w:r w:rsidRPr="00A12C95">
        <w:t xml:space="preserve"> </w:t>
      </w:r>
      <w:hyperlink w:anchor="_Figure_46:_Share" w:history="1">
        <w:r>
          <w:rPr>
            <w:rStyle w:val="Hyperlink"/>
            <w:color w:val="0070C0"/>
            <w:lang w:val="en-US"/>
          </w:rPr>
          <w:t>Share of Electricity Customers with Gas Connections</w:t>
        </w:r>
      </w:hyperlink>
      <w:r w:rsidRPr="00A12C95">
        <w:rPr>
          <w:lang w:val="en-US"/>
        </w:rPr>
        <w:t xml:space="preserve"> data table</w:t>
      </w:r>
      <w:r w:rsidR="00DF6521">
        <w:rPr>
          <w:lang w:val="en-US"/>
        </w:rPr>
        <w:t xml:space="preserve"> A.45</w:t>
      </w:r>
      <w:r w:rsidRPr="00A12C95">
        <w:rPr>
          <w:lang w:val="en-US"/>
        </w:rPr>
        <w:t xml:space="preserve"> in appendix</w:t>
      </w:r>
      <w:r w:rsidR="00C40A34">
        <w:rPr>
          <w:lang w:val="en-US"/>
        </w:rPr>
        <w:t>.</w:t>
      </w:r>
    </w:p>
    <w:p w14:paraId="509528BF" w14:textId="531C0DEF" w:rsidR="00540725" w:rsidRDefault="00540725" w:rsidP="00540725">
      <w:pPr>
        <w:pStyle w:val="Heading3"/>
        <w:rPr>
          <w:rFonts w:hint="eastAsia"/>
        </w:rPr>
      </w:pPr>
      <w:bookmarkStart w:id="160" w:name="_4.2.6_Industrial_Sector"/>
      <w:bookmarkStart w:id="161" w:name="_Ref170732836"/>
      <w:bookmarkEnd w:id="160"/>
      <w:r>
        <w:t>4.2.6</w:t>
      </w:r>
      <w:r>
        <w:tab/>
        <w:t>Industrial Sector</w:t>
      </w:r>
      <w:bookmarkEnd w:id="161"/>
    </w:p>
    <w:p w14:paraId="0548FE28" w14:textId="77777777" w:rsidR="00540725" w:rsidRDefault="00540725" w:rsidP="00C40A34">
      <w:pPr>
        <w:rPr>
          <w:lang w:val="en-GB"/>
        </w:rPr>
      </w:pPr>
      <w:r>
        <w:rPr>
          <w:lang w:val="en-GB"/>
        </w:rPr>
        <w:t>We were not able to balance industrial gas consumption in our model with actual results provided by the distributors. Though we used the distributor’s post-code level consumption breakdown as a guide only, due to the challenges identified in Section 2.4.4, this data did suggest the modelled shortfall is a result of a limited number of large sites in postcode 3027 consuming gas at a significantly above average MJ/m</w:t>
      </w:r>
      <w:r w:rsidRPr="00AF552C">
        <w:rPr>
          <w:vertAlign w:val="superscript"/>
          <w:lang w:val="en-GB"/>
        </w:rPr>
        <w:t>2</w:t>
      </w:r>
      <w:r>
        <w:rPr>
          <w:lang w:val="en-GB"/>
        </w:rPr>
        <w:t xml:space="preserve"> level.</w:t>
      </w:r>
    </w:p>
    <w:p w14:paraId="5C4B050B" w14:textId="02BFF9BA" w:rsidR="00540725" w:rsidRDefault="00540725" w:rsidP="00C40A34">
      <w:pPr>
        <w:rPr>
          <w:lang w:val="en-GB"/>
        </w:rPr>
      </w:pPr>
      <w:r>
        <w:rPr>
          <w:lang w:val="en-GB"/>
        </w:rPr>
        <w:t>A review of the more detailed land-use type descriptors provided by the City identified four categories likely to capture outlier industrial sites: “</w:t>
      </w:r>
      <w:r w:rsidRPr="005066A6">
        <w:rPr>
          <w:lang w:val="en-GB"/>
        </w:rPr>
        <w:t>Industrial (Manufacturing)</w:t>
      </w:r>
      <w:r>
        <w:rPr>
          <w:lang w:val="en-GB"/>
        </w:rPr>
        <w:t>”, “</w:t>
      </w:r>
      <w:r w:rsidRPr="005066A6">
        <w:rPr>
          <w:lang w:val="en-GB"/>
        </w:rPr>
        <w:t>Workshop/Studio</w:t>
      </w:r>
      <w:r>
        <w:rPr>
          <w:lang w:val="en-GB"/>
        </w:rPr>
        <w:t>”, “</w:t>
      </w:r>
      <w:r w:rsidRPr="005066A6">
        <w:rPr>
          <w:lang w:val="en-GB"/>
        </w:rPr>
        <w:t>Batching Plant</w:t>
      </w:r>
      <w:r>
        <w:rPr>
          <w:lang w:val="en-GB"/>
        </w:rPr>
        <w:t>” or “</w:t>
      </w:r>
      <w:r w:rsidRPr="005066A6">
        <w:rPr>
          <w:lang w:val="en-GB"/>
        </w:rPr>
        <w:t>Industry</w:t>
      </w:r>
      <w:r>
        <w:rPr>
          <w:lang w:val="en-GB"/>
        </w:rPr>
        <w:t xml:space="preserve">”. Although 140 of these sites were identified across the LGA, only four postcodes, 3003, 3031, 3051 and 3027, contained more than ten. </w:t>
      </w:r>
      <w:r>
        <w:rPr>
          <w:lang w:val="en-GB"/>
        </w:rPr>
        <w:fldChar w:fldCharType="begin"/>
      </w:r>
      <w:r>
        <w:rPr>
          <w:lang w:val="en-GB"/>
        </w:rPr>
        <w:instrText xml:space="preserve"> REF _Ref169600910 \h </w:instrText>
      </w:r>
      <w:r w:rsidR="00C40A34">
        <w:rPr>
          <w:lang w:val="en-GB"/>
        </w:rPr>
        <w:instrText xml:space="preserve"> \* MERGEFORMAT </w:instrText>
      </w:r>
      <w:r>
        <w:rPr>
          <w:lang w:val="en-GB"/>
        </w:rPr>
      </w:r>
      <w:r>
        <w:rPr>
          <w:lang w:val="en-GB"/>
        </w:rPr>
        <w:fldChar w:fldCharType="separate"/>
      </w:r>
      <w:r w:rsidRPr="005066A6">
        <w:t xml:space="preserve">Figure </w:t>
      </w:r>
      <w:r>
        <w:rPr>
          <w:noProof/>
        </w:rPr>
        <w:t>47</w:t>
      </w:r>
      <w:r>
        <w:rPr>
          <w:lang w:val="en-GB"/>
        </w:rPr>
        <w:fldChar w:fldCharType="end"/>
      </w:r>
      <w:r>
        <w:rPr>
          <w:lang w:val="en-GB"/>
        </w:rPr>
        <w:t xml:space="preserve"> shows the average floor area of these industrial sites by postcode; the average industrial site in postcode 3027 is almost five times the size of identified industrial sites in any other postcode. </w:t>
      </w:r>
    </w:p>
    <w:p w14:paraId="2BD05CEB" w14:textId="19DC140A" w:rsidR="00140B0D" w:rsidRDefault="00540725" w:rsidP="00C40A34">
      <w:pPr>
        <w:rPr>
          <w:lang w:val="en-GB"/>
        </w:rPr>
      </w:pPr>
      <w:r>
        <w:rPr>
          <w:lang w:val="en-GB"/>
        </w:rPr>
        <w:t xml:space="preserve">These averages suggest that the bulk of industrial sites in postcodes 3003, 3031 and 3051 are smaller workshops or light fabrication sites, and are likely to be reasonably accurately captured by the archetype averages described in </w:t>
      </w:r>
      <w:r>
        <w:rPr>
          <w:lang w:val="en-GB"/>
        </w:rPr>
        <w:fldChar w:fldCharType="begin"/>
      </w:r>
      <w:r>
        <w:rPr>
          <w:lang w:val="en-GB"/>
        </w:rPr>
        <w:instrText xml:space="preserve"> REF _Ref169271503 \h </w:instrText>
      </w:r>
      <w:r w:rsidR="00C40A34">
        <w:rPr>
          <w:lang w:val="en-GB"/>
        </w:rPr>
        <w:instrText xml:space="preserve"> \* MERGEFORMAT </w:instrText>
      </w:r>
      <w:r>
        <w:rPr>
          <w:lang w:val="en-GB"/>
        </w:rPr>
      </w:r>
      <w:r>
        <w:rPr>
          <w:lang w:val="en-GB"/>
        </w:rPr>
        <w:fldChar w:fldCharType="separate"/>
      </w:r>
      <w:r w:rsidRPr="00A225B1">
        <w:t xml:space="preserve">Table </w:t>
      </w:r>
      <w:r>
        <w:rPr>
          <w:noProof/>
        </w:rPr>
        <w:t>4</w:t>
      </w:r>
      <w:r>
        <w:rPr>
          <w:lang w:val="en-GB"/>
        </w:rPr>
        <w:fldChar w:fldCharType="end"/>
      </w:r>
      <w:r>
        <w:rPr>
          <w:lang w:val="en-GB"/>
        </w:rPr>
        <w:t>. Postcode 3027, on the other hand, is home to several large manufacturers producing food products and advanced materials – reflected in the larger average industrial site area. Absent fuel consumption figures for these large sites, which do not appear to be publicly available, we were unable to resolve the identified shortfall in modelled gas consumption without applying an unreasonably high fuel intensity to all manufacturing sites across the LGA.</w:t>
      </w:r>
    </w:p>
    <w:p w14:paraId="115952AA" w14:textId="77777777" w:rsidR="00C40A34" w:rsidRDefault="00C40A34" w:rsidP="00C40A34">
      <w:pPr>
        <w:pStyle w:val="BodyText"/>
        <w:keepNext/>
      </w:pPr>
      <w:r>
        <w:rPr>
          <w:noProof/>
        </w:rPr>
        <w:lastRenderedPageBreak/>
        <w:drawing>
          <wp:inline distT="0" distB="0" distL="0" distR="0" wp14:anchorId="6289BC3E" wp14:editId="79CD7CBA">
            <wp:extent cx="5953760" cy="2764465"/>
            <wp:effectExtent l="0" t="0" r="8890" b="0"/>
            <wp:docPr id="2051562636" name="Chart 1" descr="Bar graph, see Appendix A46 for data information.">
              <a:extLst xmlns:a="http://schemas.openxmlformats.org/drawingml/2006/main">
                <a:ext uri="{FF2B5EF4-FFF2-40B4-BE49-F238E27FC236}">
                  <a16:creationId xmlns:a16="http://schemas.microsoft.com/office/drawing/2014/main" id="{FDAC7205-BB73-B96E-C43F-087B33D0BB2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14:paraId="2AC4FF7A" w14:textId="77777777" w:rsidR="00C40A34" w:rsidRPr="00C40A34" w:rsidRDefault="00C40A34" w:rsidP="00C40A34">
      <w:pPr>
        <w:pStyle w:val="BodyText"/>
        <w:rPr>
          <w:rFonts w:ascii="Arial Bold" w:hAnsi="Arial Bold" w:hint="eastAsia"/>
          <w:b/>
          <w:bCs/>
          <w:szCs w:val="18"/>
        </w:rPr>
      </w:pPr>
      <w:bookmarkStart w:id="162" w:name="_Ref169600910"/>
      <w:bookmarkStart w:id="163" w:name="_Toc171951153"/>
      <w:r w:rsidRPr="00C40A34">
        <w:rPr>
          <w:rFonts w:ascii="Arial Bold" w:hAnsi="Arial Bold"/>
          <w:b/>
          <w:bCs/>
          <w:szCs w:val="18"/>
        </w:rPr>
        <w:t xml:space="preserve">Figure </w:t>
      </w:r>
      <w:r w:rsidRPr="00C40A34">
        <w:rPr>
          <w:rFonts w:ascii="Arial Bold" w:hAnsi="Arial Bold"/>
          <w:b/>
          <w:bCs/>
          <w:szCs w:val="18"/>
        </w:rPr>
        <w:fldChar w:fldCharType="begin"/>
      </w:r>
      <w:r w:rsidRPr="00C40A34">
        <w:rPr>
          <w:rFonts w:ascii="Arial Bold" w:hAnsi="Arial Bold"/>
          <w:b/>
          <w:bCs/>
          <w:szCs w:val="18"/>
        </w:rPr>
        <w:instrText xml:space="preserve"> SEQ Figure \* ARABIC </w:instrText>
      </w:r>
      <w:r w:rsidRPr="00C40A34">
        <w:rPr>
          <w:rFonts w:ascii="Arial Bold" w:hAnsi="Arial Bold"/>
          <w:b/>
          <w:bCs/>
          <w:szCs w:val="18"/>
        </w:rPr>
        <w:fldChar w:fldCharType="separate"/>
      </w:r>
      <w:r w:rsidRPr="00C40A34">
        <w:rPr>
          <w:rFonts w:ascii="Arial Bold" w:hAnsi="Arial Bold"/>
          <w:b/>
          <w:bCs/>
          <w:szCs w:val="18"/>
        </w:rPr>
        <w:t>47</w:t>
      </w:r>
      <w:r w:rsidRPr="00C40A34">
        <w:rPr>
          <w:rFonts w:ascii="Arial Bold" w:hAnsi="Arial Bold"/>
          <w:b/>
          <w:bCs/>
          <w:szCs w:val="18"/>
        </w:rPr>
        <w:fldChar w:fldCharType="end"/>
      </w:r>
      <w:bookmarkEnd w:id="162"/>
      <w:r w:rsidRPr="00C40A34">
        <w:rPr>
          <w:rFonts w:ascii="Arial Bold" w:hAnsi="Arial Bold"/>
          <w:b/>
          <w:bCs/>
          <w:szCs w:val="18"/>
        </w:rPr>
        <w:t>: Average Industrial Site floor Area by Postcode</w:t>
      </w:r>
      <w:bookmarkEnd w:id="163"/>
    </w:p>
    <w:p w14:paraId="29F32FA7" w14:textId="5C46421B" w:rsidR="00140B0D" w:rsidRPr="00AF552C" w:rsidRDefault="00140B0D" w:rsidP="00140B0D">
      <w:r w:rsidRPr="00A12C95">
        <w:rPr>
          <w:lang w:val="en-US"/>
        </w:rPr>
        <w:t>View</w:t>
      </w:r>
      <w:r w:rsidRPr="00A12C95">
        <w:t xml:space="preserve"> </w:t>
      </w:r>
      <w:hyperlink w:anchor="_Average_Industrial_Site" w:history="1">
        <w:r>
          <w:rPr>
            <w:rStyle w:val="Hyperlink"/>
            <w:color w:val="0070C0"/>
            <w:lang w:val="en-US"/>
          </w:rPr>
          <w:t>Average Industrial Site floor Area by Postcode</w:t>
        </w:r>
      </w:hyperlink>
      <w:r w:rsidRPr="00A12C95">
        <w:rPr>
          <w:lang w:val="en-US"/>
        </w:rPr>
        <w:t xml:space="preserve"> data table</w:t>
      </w:r>
      <w:r w:rsidR="00DF6521">
        <w:rPr>
          <w:lang w:val="en-US"/>
        </w:rPr>
        <w:t xml:space="preserve"> A.46</w:t>
      </w:r>
      <w:r w:rsidRPr="00A12C95">
        <w:rPr>
          <w:lang w:val="en-US"/>
        </w:rPr>
        <w:t xml:space="preserve"> in appendix</w:t>
      </w:r>
      <w:r w:rsidR="00C40A34">
        <w:rPr>
          <w:lang w:val="en-US"/>
        </w:rPr>
        <w:t>.</w:t>
      </w:r>
    </w:p>
    <w:p w14:paraId="03BB84F2" w14:textId="28A37F34" w:rsidR="00540725" w:rsidRDefault="00540725" w:rsidP="00540725">
      <w:pPr>
        <w:pStyle w:val="Heading2"/>
        <w:rPr>
          <w:rFonts w:hint="eastAsia"/>
          <w:lang w:val="en-GB"/>
        </w:rPr>
      </w:pPr>
      <w:bookmarkStart w:id="164" w:name="_4.3_Greenhouse_Gas"/>
      <w:bookmarkStart w:id="165" w:name="_Toc173876039"/>
      <w:bookmarkStart w:id="166" w:name="_Toc181219292"/>
      <w:bookmarkEnd w:id="164"/>
      <w:r>
        <w:rPr>
          <w:lang w:val="en-GB"/>
        </w:rPr>
        <w:t>4.3</w:t>
      </w:r>
      <w:r>
        <w:rPr>
          <w:lang w:val="en-GB"/>
        </w:rPr>
        <w:tab/>
        <w:t>Greenhouse Gas Emissions</w:t>
      </w:r>
      <w:bookmarkEnd w:id="165"/>
      <w:bookmarkEnd w:id="166"/>
    </w:p>
    <w:p w14:paraId="4BE7E2D9" w14:textId="77777777" w:rsidR="00540725" w:rsidRDefault="00540725" w:rsidP="00540725">
      <w:pPr>
        <w:pStyle w:val="BodyText"/>
      </w:pPr>
      <w:bookmarkStart w:id="167" w:name="_Hlk169276115"/>
      <w:r>
        <w:t xml:space="preserve">Total emissions arising from energy consumption in the City’s built form in 2022 was </w:t>
      </w:r>
      <w:r w:rsidRPr="007B2BA5">
        <w:t>3</w:t>
      </w:r>
      <w:r>
        <w:t>.2 Mt CO</w:t>
      </w:r>
      <w:r w:rsidRPr="00AF552C">
        <w:rPr>
          <w:vertAlign w:val="subscript"/>
        </w:rPr>
        <w:t>2</w:t>
      </w:r>
      <w:r>
        <w:t>-e, with 88.4% of this total, 2.83 Mt CO</w:t>
      </w:r>
      <w:r w:rsidRPr="00AF552C">
        <w:rPr>
          <w:vertAlign w:val="subscript"/>
        </w:rPr>
        <w:t>2</w:t>
      </w:r>
      <w:r>
        <w:t>-e resulting from electricity consumption, and 11.6%, or 370 kt CO</w:t>
      </w:r>
      <w:r w:rsidRPr="00AF552C">
        <w:rPr>
          <w:vertAlign w:val="subscript"/>
        </w:rPr>
        <w:t>2</w:t>
      </w:r>
      <w:r>
        <w:t>-e, derived from fossil gas.</w:t>
      </w:r>
      <w:r>
        <w:rPr>
          <w:rStyle w:val="FootnoteReference"/>
        </w:rPr>
        <w:footnoteReference w:id="27"/>
      </w:r>
    </w:p>
    <w:bookmarkEnd w:id="167"/>
    <w:p w14:paraId="3DBD74B8" w14:textId="77777777" w:rsidR="00BC43B4" w:rsidRDefault="00BC43B4" w:rsidP="00BC43B4">
      <w:pPr>
        <w:pStyle w:val="BodyText"/>
        <w:keepNext/>
      </w:pPr>
      <w:r>
        <w:rPr>
          <w:noProof/>
        </w:rPr>
        <w:drawing>
          <wp:inline distT="0" distB="0" distL="0" distR="0" wp14:anchorId="5A655C39" wp14:editId="42FF99DF">
            <wp:extent cx="6086475" cy="3486150"/>
            <wp:effectExtent l="0" t="0" r="0" b="0"/>
            <wp:docPr id="741735471" name="Chart 1" descr="Pie chart, see Appendix A47 for data information.">
              <a:extLst xmlns:a="http://schemas.openxmlformats.org/drawingml/2006/main">
                <a:ext uri="{FF2B5EF4-FFF2-40B4-BE49-F238E27FC236}">
                  <a16:creationId xmlns:a16="http://schemas.microsoft.com/office/drawing/2014/main" id="{E2C0F6A2-B63B-EFCA-27BD-1D76D011F9E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14:paraId="28337D94" w14:textId="77777777" w:rsidR="00BC43B4" w:rsidRPr="00BC43B4" w:rsidRDefault="00BC43B4" w:rsidP="00BC43B4">
      <w:pPr>
        <w:pStyle w:val="BodyText"/>
        <w:rPr>
          <w:rFonts w:ascii="Arial Bold" w:hAnsi="Arial Bold" w:hint="eastAsia"/>
          <w:b/>
          <w:bCs/>
          <w:szCs w:val="18"/>
        </w:rPr>
      </w:pPr>
      <w:bookmarkStart w:id="168" w:name="_Toc171951154"/>
      <w:r w:rsidRPr="00BC43B4">
        <w:rPr>
          <w:rFonts w:ascii="Arial Bold" w:hAnsi="Arial Bold"/>
          <w:b/>
          <w:bCs/>
          <w:szCs w:val="18"/>
        </w:rPr>
        <w:t xml:space="preserve">Figure </w:t>
      </w:r>
      <w:r w:rsidRPr="00BC43B4">
        <w:rPr>
          <w:rFonts w:ascii="Arial Bold" w:hAnsi="Arial Bold"/>
          <w:b/>
          <w:bCs/>
          <w:szCs w:val="18"/>
        </w:rPr>
        <w:fldChar w:fldCharType="begin"/>
      </w:r>
      <w:r w:rsidRPr="00BC43B4">
        <w:rPr>
          <w:rFonts w:ascii="Arial Bold" w:hAnsi="Arial Bold"/>
          <w:b/>
          <w:bCs/>
          <w:szCs w:val="18"/>
        </w:rPr>
        <w:instrText xml:space="preserve"> SEQ Figure \* ARABIC </w:instrText>
      </w:r>
      <w:r w:rsidRPr="00BC43B4">
        <w:rPr>
          <w:rFonts w:ascii="Arial Bold" w:hAnsi="Arial Bold"/>
          <w:b/>
          <w:bCs/>
          <w:szCs w:val="18"/>
        </w:rPr>
        <w:fldChar w:fldCharType="separate"/>
      </w:r>
      <w:r w:rsidRPr="00BC43B4">
        <w:rPr>
          <w:rFonts w:ascii="Arial Bold" w:hAnsi="Arial Bold"/>
          <w:b/>
          <w:bCs/>
          <w:szCs w:val="18"/>
        </w:rPr>
        <w:t>48</w:t>
      </w:r>
      <w:r w:rsidRPr="00BC43B4">
        <w:rPr>
          <w:rFonts w:ascii="Arial Bold" w:hAnsi="Arial Bold"/>
          <w:b/>
          <w:bCs/>
          <w:szCs w:val="18"/>
        </w:rPr>
        <w:fldChar w:fldCharType="end"/>
      </w:r>
      <w:r w:rsidRPr="00BC43B4">
        <w:rPr>
          <w:rFonts w:ascii="Arial Bold" w:hAnsi="Arial Bold"/>
          <w:b/>
          <w:bCs/>
          <w:szCs w:val="18"/>
        </w:rPr>
        <w:t>: Total Greenhouse Gas Emissions (kt CO2-e) by Fuel Type, Built Environment, City of Melbourne, 2022</w:t>
      </w:r>
      <w:bookmarkEnd w:id="168"/>
    </w:p>
    <w:p w14:paraId="1C66B41C" w14:textId="0F9DA067" w:rsidR="00140B0D" w:rsidRPr="00AF552C" w:rsidRDefault="00140B0D" w:rsidP="00140B0D">
      <w:r w:rsidRPr="00A12C95">
        <w:rPr>
          <w:lang w:val="en-US"/>
        </w:rPr>
        <w:lastRenderedPageBreak/>
        <w:t>View</w:t>
      </w:r>
      <w:r w:rsidRPr="00A12C95">
        <w:t xml:space="preserve"> </w:t>
      </w:r>
      <w:hyperlink w:anchor="_Total_Greenhouse_Gas" w:history="1">
        <w:r>
          <w:rPr>
            <w:rStyle w:val="Hyperlink"/>
            <w:color w:val="0070C0"/>
            <w:lang w:val="en-US"/>
          </w:rPr>
          <w:t>Total Greenhouse Gas Emissions by Fuel Type, Built Environment, City of Melbourne, 2022</w:t>
        </w:r>
      </w:hyperlink>
      <w:r w:rsidRPr="00A12C95">
        <w:rPr>
          <w:lang w:val="en-US"/>
        </w:rPr>
        <w:t xml:space="preserve"> data table</w:t>
      </w:r>
      <w:r w:rsidR="0023196F">
        <w:rPr>
          <w:lang w:val="en-US"/>
        </w:rPr>
        <w:t xml:space="preserve"> A.47</w:t>
      </w:r>
      <w:r w:rsidRPr="00A12C95">
        <w:rPr>
          <w:lang w:val="en-US"/>
        </w:rPr>
        <w:t xml:space="preserve"> in appendix</w:t>
      </w:r>
      <w:r w:rsidR="00BC43B4">
        <w:rPr>
          <w:lang w:val="en-US"/>
        </w:rPr>
        <w:t>.</w:t>
      </w:r>
    </w:p>
    <w:p w14:paraId="71F2AF69" w14:textId="4BE27E29" w:rsidR="00540725" w:rsidRDefault="00540725" w:rsidP="00BC43B4">
      <w:r>
        <w:t>The outsize contribution of electricity to the LGA’s total emissions reflects the very high emission intensity of the Victorian grid, given its ongoing reliance on brown coal to supply a large portion of total generation. The Victorian Government has set ambitious renewable energy targets, which, if met, will see 40% of electricity produced using renewable sources in 2025, rising to 65% in 2030 and 95% in 2035.</w:t>
      </w:r>
      <w:r>
        <w:rPr>
          <w:rStyle w:val="FootnoteReference"/>
        </w:rPr>
        <w:footnoteReference w:id="28"/>
      </w:r>
      <w:r>
        <w:t xml:space="preserve"> As the Victorian grid decarbonises, both the City’s total emissions, and share of electricity emissions as a proportion of total emissions will fall. </w:t>
      </w:r>
      <w:r>
        <w:fldChar w:fldCharType="begin"/>
      </w:r>
      <w:r>
        <w:instrText xml:space="preserve"> REF _Ref170666974 \h </w:instrText>
      </w:r>
      <w:r w:rsidR="00BC43B4">
        <w:instrText xml:space="preserve"> \* MERGEFORMAT </w:instrText>
      </w:r>
      <w:r>
        <w:fldChar w:fldCharType="separate"/>
      </w:r>
      <w:r w:rsidRPr="00D723CA">
        <w:t xml:space="preserve">Figure </w:t>
      </w:r>
      <w:r>
        <w:rPr>
          <w:noProof/>
        </w:rPr>
        <w:t>49</w:t>
      </w:r>
      <w:r>
        <w:fldChar w:fldCharType="end"/>
      </w:r>
      <w:r>
        <w:t xml:space="preserve"> demonstrates the influence of grid emission intensity on the City’s overall stationary energy emissions.</w:t>
      </w:r>
    </w:p>
    <w:p w14:paraId="66FEA2A0" w14:textId="77777777" w:rsidR="00BC43B4" w:rsidRDefault="00BC43B4" w:rsidP="00BC43B4">
      <w:pPr>
        <w:pStyle w:val="BodyText"/>
        <w:keepNext/>
      </w:pPr>
      <w:r>
        <w:rPr>
          <w:noProof/>
        </w:rPr>
        <w:drawing>
          <wp:inline distT="0" distB="0" distL="0" distR="0" wp14:anchorId="2D2E7792" wp14:editId="4AE5D280">
            <wp:extent cx="5826125" cy="2590800"/>
            <wp:effectExtent l="0" t="0" r="3175" b="0"/>
            <wp:docPr id="733489706" name="Chart 1" descr="Bar graph, see Appendix A48 for data information.">
              <a:extLst xmlns:a="http://schemas.openxmlformats.org/drawingml/2006/main">
                <a:ext uri="{FF2B5EF4-FFF2-40B4-BE49-F238E27FC236}">
                  <a16:creationId xmlns:a16="http://schemas.microsoft.com/office/drawing/2014/main" id="{825407E9-9921-31AC-123C-E97E7B4D83F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14:paraId="51B1CDBC" w14:textId="77777777" w:rsidR="00BC43B4" w:rsidRPr="00BC43B4" w:rsidRDefault="00BC43B4" w:rsidP="00BC43B4">
      <w:pPr>
        <w:pStyle w:val="BodyText"/>
        <w:rPr>
          <w:rFonts w:ascii="Arial Bold" w:hAnsi="Arial Bold" w:hint="eastAsia"/>
          <w:b/>
          <w:bCs/>
          <w:szCs w:val="18"/>
        </w:rPr>
      </w:pPr>
      <w:bookmarkStart w:id="169" w:name="_Ref170666974"/>
      <w:bookmarkStart w:id="170" w:name="_Toc171951155"/>
      <w:r w:rsidRPr="00BC43B4">
        <w:rPr>
          <w:rFonts w:ascii="Arial Bold" w:hAnsi="Arial Bold"/>
          <w:b/>
          <w:bCs/>
          <w:szCs w:val="18"/>
        </w:rPr>
        <w:t xml:space="preserve">Figure </w:t>
      </w:r>
      <w:r w:rsidRPr="00BC43B4">
        <w:rPr>
          <w:rFonts w:ascii="Arial Bold" w:hAnsi="Arial Bold"/>
          <w:b/>
          <w:bCs/>
          <w:szCs w:val="18"/>
        </w:rPr>
        <w:fldChar w:fldCharType="begin"/>
      </w:r>
      <w:r w:rsidRPr="00BC43B4">
        <w:rPr>
          <w:rFonts w:ascii="Arial Bold" w:hAnsi="Arial Bold"/>
          <w:b/>
          <w:bCs/>
          <w:szCs w:val="18"/>
        </w:rPr>
        <w:instrText xml:space="preserve"> SEQ Figure \* ARABIC </w:instrText>
      </w:r>
      <w:r w:rsidRPr="00BC43B4">
        <w:rPr>
          <w:rFonts w:ascii="Arial Bold" w:hAnsi="Arial Bold"/>
          <w:b/>
          <w:bCs/>
          <w:szCs w:val="18"/>
        </w:rPr>
        <w:fldChar w:fldCharType="separate"/>
      </w:r>
      <w:r w:rsidRPr="00BC43B4">
        <w:rPr>
          <w:rFonts w:ascii="Arial Bold" w:hAnsi="Arial Bold"/>
          <w:b/>
          <w:bCs/>
          <w:szCs w:val="18"/>
        </w:rPr>
        <w:t>49</w:t>
      </w:r>
      <w:r w:rsidRPr="00BC43B4">
        <w:rPr>
          <w:rFonts w:ascii="Arial Bold" w:hAnsi="Arial Bold"/>
          <w:b/>
          <w:bCs/>
          <w:szCs w:val="18"/>
        </w:rPr>
        <w:fldChar w:fldCharType="end"/>
      </w:r>
      <w:bookmarkEnd w:id="169"/>
      <w:r w:rsidRPr="00BC43B4">
        <w:rPr>
          <w:rFonts w:ascii="Arial Bold" w:hAnsi="Arial Bold"/>
          <w:b/>
          <w:bCs/>
          <w:szCs w:val="18"/>
        </w:rPr>
        <w:t>: Impact of Grid Emission Intensity of Stationary Energy Emissions in the City of Melbourne (kt CO</w:t>
      </w:r>
      <w:r w:rsidRPr="003B04A4">
        <w:rPr>
          <w:rFonts w:ascii="Arial Bold" w:hAnsi="Arial Bold"/>
          <w:b/>
          <w:bCs/>
          <w:szCs w:val="18"/>
          <w:vertAlign w:val="subscript"/>
        </w:rPr>
        <w:t>2</w:t>
      </w:r>
      <w:r w:rsidRPr="00BC43B4">
        <w:rPr>
          <w:rFonts w:ascii="Arial Bold" w:hAnsi="Arial Bold"/>
          <w:b/>
          <w:bCs/>
          <w:szCs w:val="18"/>
        </w:rPr>
        <w:t>-e)</w:t>
      </w:r>
      <w:bookmarkEnd w:id="170"/>
    </w:p>
    <w:p w14:paraId="1840F019" w14:textId="6BC1C694" w:rsidR="00140B0D" w:rsidRPr="00AF552C" w:rsidRDefault="00140B0D" w:rsidP="00140B0D">
      <w:r w:rsidRPr="00A12C95">
        <w:rPr>
          <w:lang w:val="en-US"/>
        </w:rPr>
        <w:t>View</w:t>
      </w:r>
      <w:r w:rsidRPr="00A12C95">
        <w:t xml:space="preserve"> </w:t>
      </w:r>
      <w:hyperlink w:anchor="_Impact_of_Grid" w:history="1">
        <w:r>
          <w:rPr>
            <w:rStyle w:val="Hyperlink"/>
            <w:color w:val="0070C0"/>
            <w:lang w:val="en-US"/>
          </w:rPr>
          <w:t>Impact of Grid Emission Intensity of Stationary Energy Emissions in the City of Melbourne (kt CO</w:t>
        </w:r>
        <w:r w:rsidRPr="00AF3749">
          <w:rPr>
            <w:rStyle w:val="Hyperlink"/>
            <w:color w:val="0070C0"/>
            <w:vertAlign w:val="subscript"/>
            <w:lang w:val="en-US"/>
          </w:rPr>
          <w:t>2</w:t>
        </w:r>
        <w:r>
          <w:rPr>
            <w:rStyle w:val="Hyperlink"/>
            <w:color w:val="0070C0"/>
            <w:lang w:val="en-US"/>
          </w:rPr>
          <w:t>-e)</w:t>
        </w:r>
      </w:hyperlink>
      <w:r w:rsidRPr="00A12C95">
        <w:rPr>
          <w:lang w:val="en-US"/>
        </w:rPr>
        <w:t xml:space="preserve"> data table</w:t>
      </w:r>
      <w:r w:rsidR="0023196F">
        <w:rPr>
          <w:lang w:val="en-US"/>
        </w:rPr>
        <w:t xml:space="preserve"> A.48</w:t>
      </w:r>
      <w:r w:rsidRPr="00A12C95">
        <w:rPr>
          <w:lang w:val="en-US"/>
        </w:rPr>
        <w:t xml:space="preserve"> in appendix</w:t>
      </w:r>
      <w:r w:rsidR="001F008C">
        <w:rPr>
          <w:lang w:val="en-US"/>
        </w:rPr>
        <w:t>.</w:t>
      </w:r>
    </w:p>
    <w:p w14:paraId="608798F4" w14:textId="5B61548A" w:rsidR="00540725" w:rsidRDefault="00540725" w:rsidP="00540725">
      <w:pPr>
        <w:pStyle w:val="Heading3"/>
        <w:rPr>
          <w:rFonts w:hint="eastAsia"/>
        </w:rPr>
      </w:pPr>
      <w:bookmarkStart w:id="171" w:name="_4.3.1_Greenhouse_Gas"/>
      <w:bookmarkEnd w:id="171"/>
      <w:r>
        <w:t>4.3.1</w:t>
      </w:r>
      <w:r>
        <w:tab/>
        <w:t>Greenhouse Gas Emissions by Postcode</w:t>
      </w:r>
    </w:p>
    <w:p w14:paraId="4D03C2A0" w14:textId="64C686DA" w:rsidR="00540725" w:rsidRDefault="00540725" w:rsidP="00BC43B4">
      <w:pPr>
        <w:rPr>
          <w:lang w:val="en-GB"/>
        </w:rPr>
      </w:pPr>
      <w:r>
        <w:rPr>
          <w:lang w:val="en-GB"/>
        </w:rPr>
        <w:t xml:space="preserve">The distribution of greenhouse gas emissions by postcode is shown in </w:t>
      </w:r>
      <w:r>
        <w:rPr>
          <w:lang w:val="en-GB"/>
        </w:rPr>
        <w:fldChar w:fldCharType="begin"/>
      </w:r>
      <w:r>
        <w:rPr>
          <w:lang w:val="en-GB"/>
        </w:rPr>
        <w:instrText xml:space="preserve"> REF _Ref171947478 \h </w:instrText>
      </w:r>
      <w:r w:rsidR="00BC43B4">
        <w:rPr>
          <w:lang w:val="en-GB"/>
        </w:rPr>
        <w:instrText xml:space="preserve"> \* MERGEFORMAT </w:instrText>
      </w:r>
      <w:r>
        <w:rPr>
          <w:lang w:val="en-GB"/>
        </w:rPr>
      </w:r>
      <w:r>
        <w:rPr>
          <w:lang w:val="en-GB"/>
        </w:rPr>
        <w:fldChar w:fldCharType="separate"/>
      </w:r>
      <w:r w:rsidRPr="00FE4924">
        <w:t xml:space="preserve">Figure </w:t>
      </w:r>
      <w:r>
        <w:rPr>
          <w:noProof/>
        </w:rPr>
        <w:t>50</w:t>
      </w:r>
      <w:r>
        <w:rPr>
          <w:lang w:val="en-GB"/>
        </w:rPr>
        <w:fldChar w:fldCharType="end"/>
      </w:r>
      <w:r>
        <w:rPr>
          <w:lang w:val="en-GB"/>
        </w:rPr>
        <w:t>.</w:t>
      </w:r>
    </w:p>
    <w:p w14:paraId="1FD3FCDD" w14:textId="77777777" w:rsidR="00BC43B4" w:rsidRDefault="00BC43B4" w:rsidP="00BC43B4">
      <w:pPr>
        <w:pStyle w:val="BodyText"/>
        <w:keepNext/>
      </w:pPr>
      <w:r>
        <w:rPr>
          <w:noProof/>
        </w:rPr>
        <w:lastRenderedPageBreak/>
        <w:drawing>
          <wp:inline distT="0" distB="0" distL="0" distR="0" wp14:anchorId="4DC44BCF" wp14:editId="10A01EDB">
            <wp:extent cx="6076950" cy="3400425"/>
            <wp:effectExtent l="0" t="0" r="0" b="0"/>
            <wp:docPr id="210474998" name="Chart 1" descr="Pie chart, see Appendix A49 for data information.">
              <a:extLst xmlns:a="http://schemas.openxmlformats.org/drawingml/2006/main">
                <a:ext uri="{FF2B5EF4-FFF2-40B4-BE49-F238E27FC236}">
                  <a16:creationId xmlns:a16="http://schemas.microsoft.com/office/drawing/2014/main" id="{D93F3E23-BEE1-5929-3C90-F7C249E2844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14:paraId="229874C4" w14:textId="77777777" w:rsidR="00BC43B4" w:rsidRPr="00BC43B4" w:rsidRDefault="00BC43B4" w:rsidP="00BC43B4">
      <w:pPr>
        <w:pStyle w:val="BodyText"/>
        <w:rPr>
          <w:rFonts w:ascii="Arial Bold" w:hAnsi="Arial Bold" w:hint="eastAsia"/>
          <w:b/>
          <w:bCs/>
          <w:szCs w:val="18"/>
        </w:rPr>
      </w:pPr>
      <w:bookmarkStart w:id="172" w:name="_Ref171947478"/>
      <w:bookmarkStart w:id="173" w:name="_Toc171951156"/>
      <w:r w:rsidRPr="00BC43B4">
        <w:rPr>
          <w:rFonts w:ascii="Arial Bold" w:hAnsi="Arial Bold"/>
          <w:b/>
          <w:bCs/>
          <w:szCs w:val="18"/>
        </w:rPr>
        <w:t xml:space="preserve">Figure </w:t>
      </w:r>
      <w:r w:rsidRPr="00BC43B4">
        <w:rPr>
          <w:rFonts w:ascii="Arial Bold" w:hAnsi="Arial Bold"/>
          <w:b/>
          <w:bCs/>
          <w:szCs w:val="18"/>
        </w:rPr>
        <w:fldChar w:fldCharType="begin"/>
      </w:r>
      <w:r w:rsidRPr="00BC43B4">
        <w:rPr>
          <w:rFonts w:ascii="Arial Bold" w:hAnsi="Arial Bold"/>
          <w:b/>
          <w:bCs/>
          <w:szCs w:val="18"/>
        </w:rPr>
        <w:instrText xml:space="preserve"> SEQ Figure \* ARABIC </w:instrText>
      </w:r>
      <w:r w:rsidRPr="00BC43B4">
        <w:rPr>
          <w:rFonts w:ascii="Arial Bold" w:hAnsi="Arial Bold"/>
          <w:b/>
          <w:bCs/>
          <w:szCs w:val="18"/>
        </w:rPr>
        <w:fldChar w:fldCharType="separate"/>
      </w:r>
      <w:r w:rsidRPr="00BC43B4">
        <w:rPr>
          <w:rFonts w:ascii="Arial Bold" w:hAnsi="Arial Bold"/>
          <w:b/>
          <w:bCs/>
          <w:szCs w:val="18"/>
        </w:rPr>
        <w:t>50</w:t>
      </w:r>
      <w:r w:rsidRPr="00BC43B4">
        <w:rPr>
          <w:rFonts w:ascii="Arial Bold" w:hAnsi="Arial Bold"/>
          <w:b/>
          <w:bCs/>
          <w:szCs w:val="18"/>
        </w:rPr>
        <w:fldChar w:fldCharType="end"/>
      </w:r>
      <w:bookmarkEnd w:id="172"/>
      <w:r w:rsidRPr="00BC43B4">
        <w:rPr>
          <w:rFonts w:ascii="Arial Bold" w:hAnsi="Arial Bold"/>
          <w:b/>
          <w:bCs/>
          <w:szCs w:val="18"/>
        </w:rPr>
        <w:t>: Greenhouse Gas Emissions (kt CO</w:t>
      </w:r>
      <w:r w:rsidRPr="001F008C">
        <w:rPr>
          <w:rFonts w:ascii="Arial Bold" w:hAnsi="Arial Bold"/>
          <w:b/>
          <w:bCs/>
          <w:szCs w:val="18"/>
          <w:vertAlign w:val="subscript"/>
        </w:rPr>
        <w:t>2</w:t>
      </w:r>
      <w:r w:rsidRPr="00BC43B4">
        <w:rPr>
          <w:rFonts w:ascii="Arial Bold" w:hAnsi="Arial Bold"/>
          <w:b/>
          <w:bCs/>
          <w:szCs w:val="18"/>
        </w:rPr>
        <w:t>-e) by Postcode, City of Melbourne Built Environment, 2022</w:t>
      </w:r>
      <w:bookmarkEnd w:id="173"/>
    </w:p>
    <w:p w14:paraId="7884253B" w14:textId="6183EAEE" w:rsidR="00540725" w:rsidRPr="00FE4924" w:rsidRDefault="00140B0D" w:rsidP="00540725">
      <w:r w:rsidRPr="00A12C95">
        <w:rPr>
          <w:lang w:val="en-US"/>
        </w:rPr>
        <w:t>View</w:t>
      </w:r>
      <w:r w:rsidRPr="00A12C95">
        <w:t xml:space="preserve"> </w:t>
      </w:r>
      <w:hyperlink w:anchor="_Figure_50:_Greenhouse" w:history="1">
        <w:r>
          <w:rPr>
            <w:rStyle w:val="Hyperlink"/>
            <w:color w:val="0070C0"/>
            <w:lang w:val="en-US"/>
          </w:rPr>
          <w:t>Greenhouse Gas Emissions by Postcode, City of Melbourne Built Environment, 2022</w:t>
        </w:r>
      </w:hyperlink>
      <w:r w:rsidRPr="00A12C95">
        <w:rPr>
          <w:lang w:val="en-US"/>
        </w:rPr>
        <w:t xml:space="preserve"> data table</w:t>
      </w:r>
      <w:r w:rsidR="0023196F">
        <w:rPr>
          <w:lang w:val="en-US"/>
        </w:rPr>
        <w:t xml:space="preserve"> A.49</w:t>
      </w:r>
      <w:r w:rsidRPr="00A12C95">
        <w:rPr>
          <w:lang w:val="en-US"/>
        </w:rPr>
        <w:t xml:space="preserve"> in appendix</w:t>
      </w:r>
      <w:r w:rsidR="00BC43B4">
        <w:rPr>
          <w:lang w:val="en-US"/>
        </w:rPr>
        <w:t>.</w:t>
      </w:r>
    </w:p>
    <w:p w14:paraId="67CBAA6C" w14:textId="51D0A56B" w:rsidR="00540725" w:rsidRDefault="00540725" w:rsidP="00BC43B4">
      <w:r>
        <w:t xml:space="preserve">As a function of energy consumption, and particularly electricity consumption, the distribution of emissions across the LGA also broadly reflects the distribution of floor area. As is the case with overall energy consumption, the CBD is slightly overrepresented in the modelled emissions data. As </w:t>
      </w:r>
      <w:r>
        <w:fldChar w:fldCharType="begin"/>
      </w:r>
      <w:r>
        <w:instrText xml:space="preserve"> REF _Ref171951629 \h </w:instrText>
      </w:r>
      <w:r w:rsidR="00BC43B4">
        <w:instrText xml:space="preserve"> \* MERGEFORMAT </w:instrText>
      </w:r>
      <w:r>
        <w:fldChar w:fldCharType="separate"/>
      </w:r>
      <w:r w:rsidRPr="00FE4924">
        <w:t xml:space="preserve">Figure </w:t>
      </w:r>
      <w:r>
        <w:rPr>
          <w:noProof/>
        </w:rPr>
        <w:t>51</w:t>
      </w:r>
      <w:r>
        <w:fldChar w:fldCharType="end"/>
      </w:r>
      <w:r>
        <w:t xml:space="preserve"> shows, the CBD contains 34% of total floor area in the LGA while accounting for 40% of total emissions.</w:t>
      </w:r>
    </w:p>
    <w:p w14:paraId="3BAEC693" w14:textId="77777777" w:rsidR="00BC43B4" w:rsidRDefault="00BC43B4" w:rsidP="00BC43B4">
      <w:pPr>
        <w:keepNext/>
      </w:pPr>
      <w:r>
        <w:rPr>
          <w:noProof/>
        </w:rPr>
        <w:lastRenderedPageBreak/>
        <w:drawing>
          <wp:inline distT="0" distB="0" distL="0" distR="0" wp14:anchorId="41EE5670" wp14:editId="5D95D209">
            <wp:extent cx="5962650" cy="3571355"/>
            <wp:effectExtent l="0" t="0" r="0" b="0"/>
            <wp:docPr id="1489562941" name="Chart 1" descr="Bar graph, see Appendix A50 for data information.">
              <a:extLst xmlns:a="http://schemas.openxmlformats.org/drawingml/2006/main">
                <a:ext uri="{FF2B5EF4-FFF2-40B4-BE49-F238E27FC236}">
                  <a16:creationId xmlns:a16="http://schemas.microsoft.com/office/drawing/2014/main" id="{F422C682-B674-FE75-99D7-55B1AAAABD9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14:paraId="3B04CB0C" w14:textId="77777777" w:rsidR="00BC43B4" w:rsidRPr="00BC43B4" w:rsidRDefault="00BC43B4" w:rsidP="00BC43B4">
      <w:pPr>
        <w:pStyle w:val="BodyText"/>
        <w:rPr>
          <w:rFonts w:ascii="Arial Bold" w:hAnsi="Arial Bold" w:hint="eastAsia"/>
          <w:b/>
          <w:bCs/>
          <w:szCs w:val="18"/>
        </w:rPr>
      </w:pPr>
      <w:bookmarkStart w:id="174" w:name="_Ref171951629"/>
      <w:bookmarkStart w:id="175" w:name="_Toc171951157"/>
      <w:r w:rsidRPr="00BC43B4">
        <w:rPr>
          <w:rFonts w:ascii="Arial Bold" w:hAnsi="Arial Bold"/>
          <w:b/>
          <w:bCs/>
          <w:szCs w:val="18"/>
        </w:rPr>
        <w:t xml:space="preserve">Figure </w:t>
      </w:r>
      <w:r w:rsidRPr="00BC43B4">
        <w:rPr>
          <w:rFonts w:ascii="Arial Bold" w:hAnsi="Arial Bold"/>
          <w:b/>
          <w:bCs/>
          <w:szCs w:val="18"/>
        </w:rPr>
        <w:fldChar w:fldCharType="begin"/>
      </w:r>
      <w:r w:rsidRPr="00BC43B4">
        <w:rPr>
          <w:rFonts w:ascii="Arial Bold" w:hAnsi="Arial Bold"/>
          <w:b/>
          <w:bCs/>
          <w:szCs w:val="18"/>
        </w:rPr>
        <w:instrText xml:space="preserve"> SEQ Figure \* ARABIC </w:instrText>
      </w:r>
      <w:r w:rsidRPr="00BC43B4">
        <w:rPr>
          <w:rFonts w:ascii="Arial Bold" w:hAnsi="Arial Bold"/>
          <w:b/>
          <w:bCs/>
          <w:szCs w:val="18"/>
        </w:rPr>
        <w:fldChar w:fldCharType="separate"/>
      </w:r>
      <w:r w:rsidRPr="00BC43B4">
        <w:rPr>
          <w:rFonts w:ascii="Arial Bold" w:hAnsi="Arial Bold"/>
          <w:b/>
          <w:bCs/>
          <w:szCs w:val="18"/>
        </w:rPr>
        <w:t>51</w:t>
      </w:r>
      <w:r w:rsidRPr="00BC43B4">
        <w:rPr>
          <w:rFonts w:ascii="Arial Bold" w:hAnsi="Arial Bold"/>
          <w:b/>
          <w:bCs/>
          <w:szCs w:val="18"/>
        </w:rPr>
        <w:fldChar w:fldCharType="end"/>
      </w:r>
      <w:bookmarkEnd w:id="174"/>
      <w:r w:rsidRPr="00BC43B4">
        <w:rPr>
          <w:rFonts w:ascii="Arial Bold" w:hAnsi="Arial Bold"/>
          <w:b/>
          <w:bCs/>
          <w:szCs w:val="18"/>
        </w:rPr>
        <w:t>: Comparison of Floor Area and Greenhouse Gas Emissions by Postcode, City of Melbourne Built Environment, 2022</w:t>
      </w:r>
      <w:bookmarkEnd w:id="175"/>
    </w:p>
    <w:p w14:paraId="44AA69E8" w14:textId="5885AA06" w:rsidR="00283DE5" w:rsidRPr="00283DE5" w:rsidRDefault="00140B0D" w:rsidP="00283DE5">
      <w:r w:rsidRPr="00A12C95">
        <w:rPr>
          <w:lang w:val="en-US"/>
        </w:rPr>
        <w:t>View</w:t>
      </w:r>
      <w:r w:rsidRPr="00A12C95">
        <w:t xml:space="preserve"> </w:t>
      </w:r>
      <w:hyperlink w:anchor="_Comparison_of_Floor_1" w:history="1">
        <w:r>
          <w:rPr>
            <w:rStyle w:val="Hyperlink"/>
            <w:color w:val="0070C0"/>
            <w:lang w:val="en-US"/>
          </w:rPr>
          <w:t>Comparison of Floor Area and Greenhouse Gas Emissions by Postcode, City of Melbourne Built Environment, 2022</w:t>
        </w:r>
      </w:hyperlink>
      <w:r w:rsidRPr="00A12C95">
        <w:rPr>
          <w:lang w:val="en-US"/>
        </w:rPr>
        <w:t xml:space="preserve"> data table</w:t>
      </w:r>
      <w:r w:rsidR="0023196F">
        <w:rPr>
          <w:lang w:val="en-US"/>
        </w:rPr>
        <w:t xml:space="preserve"> A.50</w:t>
      </w:r>
      <w:r w:rsidRPr="00A12C95">
        <w:rPr>
          <w:lang w:val="en-US"/>
        </w:rPr>
        <w:t xml:space="preserve"> in appendix</w:t>
      </w:r>
      <w:r w:rsidR="00BC43B4">
        <w:rPr>
          <w:lang w:val="en-US"/>
        </w:rPr>
        <w:t>.</w:t>
      </w:r>
    </w:p>
    <w:p w14:paraId="5775929B" w14:textId="62B57A51" w:rsidR="00540725" w:rsidRPr="00DF37E7" w:rsidRDefault="00540725" w:rsidP="00BC43B4">
      <w:pPr>
        <w:rPr>
          <w:lang w:val="en-GB"/>
        </w:rPr>
      </w:pPr>
      <w:r>
        <w:rPr>
          <w:lang w:val="en-GB"/>
        </w:rPr>
        <w:fldChar w:fldCharType="begin"/>
      </w:r>
      <w:r>
        <w:rPr>
          <w:lang w:val="en-GB"/>
        </w:rPr>
        <w:instrText xml:space="preserve"> REF _Ref171951645 \h </w:instrText>
      </w:r>
      <w:r w:rsidR="00BC43B4">
        <w:rPr>
          <w:lang w:val="en-GB"/>
        </w:rPr>
        <w:instrText xml:space="preserve"> \* MERGEFORMAT </w:instrText>
      </w:r>
      <w:r>
        <w:rPr>
          <w:lang w:val="en-GB"/>
        </w:rPr>
      </w:r>
      <w:r>
        <w:rPr>
          <w:lang w:val="en-GB"/>
        </w:rPr>
        <w:fldChar w:fldCharType="separate"/>
      </w:r>
      <w:r w:rsidRPr="002A50B0">
        <w:t xml:space="preserve">Figure </w:t>
      </w:r>
      <w:r>
        <w:rPr>
          <w:noProof/>
        </w:rPr>
        <w:t>52</w:t>
      </w:r>
      <w:r>
        <w:rPr>
          <w:lang w:val="en-GB"/>
        </w:rPr>
        <w:fldChar w:fldCharType="end"/>
      </w:r>
      <w:r>
        <w:rPr>
          <w:lang w:val="en-GB"/>
        </w:rPr>
        <w:t xml:space="preserve"> shows the contribution electricity and gas make to total emissions by postcode.</w:t>
      </w:r>
      <w:r>
        <w:rPr>
          <w:rStyle w:val="FootnoteReference"/>
          <w:lang w:val="en-GB"/>
        </w:rPr>
        <w:footnoteReference w:id="29"/>
      </w:r>
      <w:r>
        <w:rPr>
          <w:lang w:val="en-GB"/>
        </w:rPr>
        <w:t xml:space="preserve"> Results are broadly consistent across the LGA, though gas makes up a larger share of total emissions in postcodes 3181 and 3050, both the locations of large hospitals.</w:t>
      </w:r>
    </w:p>
    <w:p w14:paraId="57FA62BE" w14:textId="77777777" w:rsidR="00BC43B4" w:rsidRDefault="00BC43B4" w:rsidP="00BC43B4">
      <w:pPr>
        <w:keepNext/>
      </w:pPr>
      <w:r>
        <w:rPr>
          <w:noProof/>
        </w:rPr>
        <w:lastRenderedPageBreak/>
        <w:drawing>
          <wp:inline distT="0" distB="0" distL="0" distR="0" wp14:anchorId="2A75679E" wp14:editId="25A2DB07">
            <wp:extent cx="6153150" cy="3119755"/>
            <wp:effectExtent l="0" t="0" r="0" b="4445"/>
            <wp:docPr id="913257966" name="Chart 1" descr="Pie chart, see Appendix A51 for data information.">
              <a:extLst xmlns:a="http://schemas.openxmlformats.org/drawingml/2006/main">
                <a:ext uri="{FF2B5EF4-FFF2-40B4-BE49-F238E27FC236}">
                  <a16:creationId xmlns:a16="http://schemas.microsoft.com/office/drawing/2014/main" id="{B11F26C5-BB0B-8988-D3D6-3F6F811751A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p>
    <w:p w14:paraId="3BAB01EB" w14:textId="77777777" w:rsidR="00BC43B4" w:rsidRPr="00BC43B4" w:rsidRDefault="00BC43B4" w:rsidP="00BC43B4">
      <w:pPr>
        <w:pStyle w:val="BodyText"/>
        <w:rPr>
          <w:rFonts w:ascii="Arial Bold" w:hAnsi="Arial Bold" w:hint="eastAsia"/>
          <w:b/>
          <w:bCs/>
          <w:szCs w:val="18"/>
        </w:rPr>
      </w:pPr>
      <w:bookmarkStart w:id="176" w:name="_Ref171951645"/>
      <w:bookmarkStart w:id="177" w:name="_Toc171951158"/>
      <w:r w:rsidRPr="00BC43B4">
        <w:rPr>
          <w:rFonts w:ascii="Arial Bold" w:hAnsi="Arial Bold"/>
          <w:b/>
          <w:bCs/>
          <w:szCs w:val="18"/>
        </w:rPr>
        <w:t xml:space="preserve">Figure </w:t>
      </w:r>
      <w:r w:rsidRPr="00BC43B4">
        <w:rPr>
          <w:rFonts w:ascii="Arial Bold" w:hAnsi="Arial Bold"/>
          <w:b/>
          <w:bCs/>
          <w:szCs w:val="18"/>
        </w:rPr>
        <w:fldChar w:fldCharType="begin"/>
      </w:r>
      <w:r w:rsidRPr="00BC43B4">
        <w:rPr>
          <w:rFonts w:ascii="Arial Bold" w:hAnsi="Arial Bold"/>
          <w:b/>
          <w:bCs/>
          <w:szCs w:val="18"/>
        </w:rPr>
        <w:instrText xml:space="preserve"> SEQ Figure \* ARABIC </w:instrText>
      </w:r>
      <w:r w:rsidRPr="00BC43B4">
        <w:rPr>
          <w:rFonts w:ascii="Arial Bold" w:hAnsi="Arial Bold"/>
          <w:b/>
          <w:bCs/>
          <w:szCs w:val="18"/>
        </w:rPr>
        <w:fldChar w:fldCharType="separate"/>
      </w:r>
      <w:r w:rsidRPr="00BC43B4">
        <w:rPr>
          <w:rFonts w:ascii="Arial Bold" w:hAnsi="Arial Bold"/>
          <w:b/>
          <w:bCs/>
          <w:szCs w:val="18"/>
        </w:rPr>
        <w:t>52</w:t>
      </w:r>
      <w:r w:rsidRPr="00BC43B4">
        <w:rPr>
          <w:rFonts w:ascii="Arial Bold" w:hAnsi="Arial Bold"/>
          <w:b/>
          <w:bCs/>
          <w:szCs w:val="18"/>
        </w:rPr>
        <w:fldChar w:fldCharType="end"/>
      </w:r>
      <w:bookmarkEnd w:id="176"/>
      <w:r w:rsidRPr="00BC43B4">
        <w:rPr>
          <w:rFonts w:ascii="Arial Bold" w:hAnsi="Arial Bold"/>
          <w:b/>
          <w:bCs/>
          <w:szCs w:val="18"/>
        </w:rPr>
        <w:t>:  Percentage Shares of Greenhouse Gas Emissions by Postcode and Fuel, City of Melbourne Built Environment, 2022</w:t>
      </w:r>
      <w:bookmarkEnd w:id="177"/>
    </w:p>
    <w:p w14:paraId="4F15BA1C" w14:textId="57C9FCEA" w:rsidR="00540725" w:rsidRPr="002A50B0" w:rsidRDefault="00140B0D" w:rsidP="00540725">
      <w:r w:rsidRPr="00A12C95">
        <w:rPr>
          <w:lang w:val="en-US"/>
        </w:rPr>
        <w:t>View</w:t>
      </w:r>
      <w:r w:rsidRPr="00A12C95">
        <w:t xml:space="preserve"> </w:t>
      </w:r>
      <w:hyperlink w:anchor="_Percentage_Shares_of" w:history="1">
        <w:r>
          <w:rPr>
            <w:rStyle w:val="Hyperlink"/>
            <w:color w:val="0070C0"/>
            <w:lang w:val="en-US"/>
          </w:rPr>
          <w:t>Percentage Shares of Greenhouse Gas Emissions by Postcode and Fuel, City of Melbourne Built Environment, 2022</w:t>
        </w:r>
      </w:hyperlink>
      <w:r w:rsidRPr="00A12C95">
        <w:rPr>
          <w:lang w:val="en-US"/>
        </w:rPr>
        <w:t xml:space="preserve"> data table</w:t>
      </w:r>
      <w:r w:rsidR="0023196F">
        <w:rPr>
          <w:lang w:val="en-US"/>
        </w:rPr>
        <w:t xml:space="preserve"> A.51</w:t>
      </w:r>
      <w:r w:rsidRPr="00A12C95">
        <w:rPr>
          <w:lang w:val="en-US"/>
        </w:rPr>
        <w:t xml:space="preserve"> in appendix</w:t>
      </w:r>
      <w:r w:rsidR="00BC43B4">
        <w:rPr>
          <w:lang w:val="en-US"/>
        </w:rPr>
        <w:t>.</w:t>
      </w:r>
    </w:p>
    <w:p w14:paraId="0F91B40B" w14:textId="3B910777" w:rsidR="00540725" w:rsidRDefault="00540725" w:rsidP="00540725">
      <w:pPr>
        <w:pStyle w:val="Heading3"/>
        <w:rPr>
          <w:rFonts w:hint="eastAsia"/>
        </w:rPr>
      </w:pPr>
      <w:bookmarkStart w:id="178" w:name="_4.3.2_Greenhouse_Gas"/>
      <w:bookmarkEnd w:id="178"/>
      <w:r>
        <w:t>4.3.2</w:t>
      </w:r>
      <w:r>
        <w:tab/>
        <w:t>Greenhouse Gas Emissions by Space Use Type</w:t>
      </w:r>
    </w:p>
    <w:p w14:paraId="63B4C4BD" w14:textId="39DF573F" w:rsidR="00540725" w:rsidRDefault="00540725" w:rsidP="00BC43B4">
      <w:pPr>
        <w:rPr>
          <w:lang w:val="en-GB"/>
        </w:rPr>
      </w:pPr>
      <w:r>
        <w:rPr>
          <w:lang w:val="en-GB"/>
        </w:rPr>
        <w:t xml:space="preserve">As shown in </w:t>
      </w:r>
      <w:r>
        <w:rPr>
          <w:lang w:val="en-GB"/>
        </w:rPr>
        <w:fldChar w:fldCharType="begin"/>
      </w:r>
      <w:r>
        <w:rPr>
          <w:lang w:val="en-GB"/>
        </w:rPr>
        <w:instrText xml:space="preserve"> REF _Ref171951662 \h </w:instrText>
      </w:r>
      <w:r w:rsidR="00BC43B4">
        <w:rPr>
          <w:lang w:val="en-GB"/>
        </w:rPr>
        <w:instrText xml:space="preserve"> \* MERGEFORMAT </w:instrText>
      </w:r>
      <w:r>
        <w:rPr>
          <w:lang w:val="en-GB"/>
        </w:rPr>
      </w:r>
      <w:r>
        <w:rPr>
          <w:lang w:val="en-GB"/>
        </w:rPr>
        <w:fldChar w:fldCharType="separate"/>
      </w:r>
      <w:r w:rsidRPr="002A50B0">
        <w:t xml:space="preserve">Figure </w:t>
      </w:r>
      <w:r>
        <w:rPr>
          <w:noProof/>
        </w:rPr>
        <w:t>53</w:t>
      </w:r>
      <w:r>
        <w:rPr>
          <w:lang w:val="en-GB"/>
        </w:rPr>
        <w:fldChar w:fldCharType="end"/>
      </w:r>
      <w:r>
        <w:rPr>
          <w:lang w:val="en-GB"/>
        </w:rPr>
        <w:t xml:space="preserve">, offices are the single largest contributor to the total emissions in the LGA, accounting for 32% of all building-related emissions in 2022. Residential accommodation, including student and institutional accommodation, is the second largest source of emissions in the LGA at 23.9%. Commercial accommodation, hospitals/healthcare and retail were the next largest contributors to LGA emissions, at 9.1%, 8.4% and 5.8% respectively. </w:t>
      </w:r>
    </w:p>
    <w:p w14:paraId="28EC7016" w14:textId="4822DD8F" w:rsidR="00540725" w:rsidRPr="003217AC" w:rsidRDefault="00540725" w:rsidP="00BC43B4">
      <w:pPr>
        <w:rPr>
          <w:lang w:val="en-GB"/>
        </w:rPr>
      </w:pPr>
      <w:r>
        <w:rPr>
          <w:lang w:val="en-GB"/>
        </w:rPr>
        <w:fldChar w:fldCharType="begin"/>
      </w:r>
      <w:r>
        <w:rPr>
          <w:lang w:val="en-GB"/>
        </w:rPr>
        <w:instrText xml:space="preserve"> REF _Ref171951662 \h </w:instrText>
      </w:r>
      <w:r w:rsidR="00BC43B4">
        <w:rPr>
          <w:lang w:val="en-GB"/>
        </w:rPr>
        <w:instrText xml:space="preserve"> \* MERGEFORMAT </w:instrText>
      </w:r>
      <w:r>
        <w:rPr>
          <w:lang w:val="en-GB"/>
        </w:rPr>
      </w:r>
      <w:r>
        <w:rPr>
          <w:lang w:val="en-GB"/>
        </w:rPr>
        <w:fldChar w:fldCharType="separate"/>
      </w:r>
      <w:r w:rsidRPr="002A50B0">
        <w:t xml:space="preserve">Figure </w:t>
      </w:r>
      <w:r>
        <w:rPr>
          <w:noProof/>
        </w:rPr>
        <w:t>53</w:t>
      </w:r>
      <w:r>
        <w:rPr>
          <w:lang w:val="en-GB"/>
        </w:rPr>
        <w:fldChar w:fldCharType="end"/>
      </w:r>
      <w:r>
        <w:rPr>
          <w:lang w:val="en-GB"/>
        </w:rPr>
        <w:t xml:space="preserve"> shows the contribution each fuel makes to the total emissions of each space use. As one would expect, those space uses with above average gas consumption, such as hospitals and residential spaces, have higher gas emissions. Inversely, those spaces using very little gas have little to no gas associated emissions.</w:t>
      </w:r>
    </w:p>
    <w:p w14:paraId="0C268334" w14:textId="7C9A9056" w:rsidR="00540725" w:rsidRDefault="00540725" w:rsidP="00BC43B4">
      <w:pPr>
        <w:rPr>
          <w:lang w:val="en-GB"/>
        </w:rPr>
      </w:pPr>
      <w:r>
        <w:rPr>
          <w:lang w:val="en-GB"/>
        </w:rPr>
        <w:fldChar w:fldCharType="begin"/>
      </w:r>
      <w:r>
        <w:rPr>
          <w:lang w:val="en-GB"/>
        </w:rPr>
        <w:instrText xml:space="preserve"> REF _Ref171951645 \h </w:instrText>
      </w:r>
      <w:r w:rsidR="00BC43B4">
        <w:rPr>
          <w:lang w:val="en-GB"/>
        </w:rPr>
        <w:instrText xml:space="preserve"> \* MERGEFORMAT </w:instrText>
      </w:r>
      <w:r>
        <w:rPr>
          <w:lang w:val="en-GB"/>
        </w:rPr>
      </w:r>
      <w:r>
        <w:rPr>
          <w:lang w:val="en-GB"/>
        </w:rPr>
        <w:fldChar w:fldCharType="separate"/>
      </w:r>
      <w:r w:rsidRPr="002A50B0">
        <w:t xml:space="preserve">Figure </w:t>
      </w:r>
      <w:r>
        <w:rPr>
          <w:noProof/>
        </w:rPr>
        <w:t>52</w:t>
      </w:r>
      <w:r>
        <w:rPr>
          <w:lang w:val="en-GB"/>
        </w:rPr>
        <w:fldChar w:fldCharType="end"/>
      </w:r>
      <w:r>
        <w:rPr>
          <w:lang w:val="en-GB"/>
        </w:rPr>
        <w:t xml:space="preserve"> shows the contribution electricity and gas make to total emissions by postcode.</w:t>
      </w:r>
      <w:r>
        <w:rPr>
          <w:rStyle w:val="FootnoteReference"/>
          <w:lang w:val="en-GB"/>
        </w:rPr>
        <w:footnoteReference w:id="30"/>
      </w:r>
      <w:r>
        <w:rPr>
          <w:lang w:val="en-GB"/>
        </w:rPr>
        <w:t xml:space="preserve"> Results are broadly consistent across the LGA, though gas makes up a larger share of total emissions in postcodes 3181 and 3050, both the locations of large hospitals.</w:t>
      </w:r>
    </w:p>
    <w:p w14:paraId="34AB2869" w14:textId="77777777" w:rsidR="003B04A4" w:rsidRDefault="003B04A4" w:rsidP="003B04A4">
      <w:pPr>
        <w:keepNext/>
      </w:pPr>
      <w:r>
        <w:rPr>
          <w:noProof/>
        </w:rPr>
        <w:lastRenderedPageBreak/>
        <w:drawing>
          <wp:inline distT="0" distB="0" distL="0" distR="0" wp14:anchorId="3FC5B36E" wp14:editId="279938E1">
            <wp:extent cx="6120130" cy="3664585"/>
            <wp:effectExtent l="0" t="0" r="0" b="0"/>
            <wp:docPr id="187080678" name="Chart 1" descr="Pie chart, see Appendix A52 for data information.">
              <a:extLst xmlns:a="http://schemas.openxmlformats.org/drawingml/2006/main">
                <a:ext uri="{FF2B5EF4-FFF2-40B4-BE49-F238E27FC236}">
                  <a16:creationId xmlns:a16="http://schemas.microsoft.com/office/drawing/2014/main" id="{8F152C76-A7B4-3B37-AD28-4460E31920B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p w14:paraId="253A11B3" w14:textId="77777777" w:rsidR="003B04A4" w:rsidRPr="003B04A4" w:rsidRDefault="003B04A4" w:rsidP="003B04A4">
      <w:pPr>
        <w:pStyle w:val="BodyText"/>
        <w:rPr>
          <w:rFonts w:ascii="Arial Bold" w:hAnsi="Arial Bold" w:hint="eastAsia"/>
          <w:b/>
          <w:bCs/>
          <w:szCs w:val="18"/>
        </w:rPr>
      </w:pPr>
      <w:bookmarkStart w:id="179" w:name="_Ref171951662"/>
      <w:bookmarkStart w:id="180" w:name="_Toc171951159"/>
      <w:r w:rsidRPr="003B04A4">
        <w:rPr>
          <w:rFonts w:ascii="Arial Bold" w:hAnsi="Arial Bold"/>
          <w:b/>
          <w:bCs/>
          <w:szCs w:val="18"/>
        </w:rPr>
        <w:t xml:space="preserve">Figure </w:t>
      </w:r>
      <w:r w:rsidRPr="003B04A4">
        <w:rPr>
          <w:rFonts w:ascii="Arial Bold" w:hAnsi="Arial Bold"/>
          <w:b/>
          <w:bCs/>
          <w:szCs w:val="18"/>
        </w:rPr>
        <w:fldChar w:fldCharType="begin"/>
      </w:r>
      <w:r w:rsidRPr="003B04A4">
        <w:rPr>
          <w:rFonts w:ascii="Arial Bold" w:hAnsi="Arial Bold"/>
          <w:b/>
          <w:bCs/>
          <w:szCs w:val="18"/>
        </w:rPr>
        <w:instrText xml:space="preserve"> SEQ Figure \* ARABIC </w:instrText>
      </w:r>
      <w:r w:rsidRPr="003B04A4">
        <w:rPr>
          <w:rFonts w:ascii="Arial Bold" w:hAnsi="Arial Bold"/>
          <w:b/>
          <w:bCs/>
          <w:szCs w:val="18"/>
        </w:rPr>
        <w:fldChar w:fldCharType="separate"/>
      </w:r>
      <w:r w:rsidRPr="003B04A4">
        <w:rPr>
          <w:rFonts w:ascii="Arial Bold" w:hAnsi="Arial Bold"/>
          <w:b/>
          <w:bCs/>
          <w:szCs w:val="18"/>
        </w:rPr>
        <w:t>53</w:t>
      </w:r>
      <w:r w:rsidRPr="003B04A4">
        <w:rPr>
          <w:rFonts w:ascii="Arial Bold" w:hAnsi="Arial Bold"/>
          <w:b/>
          <w:bCs/>
          <w:szCs w:val="18"/>
        </w:rPr>
        <w:fldChar w:fldCharType="end"/>
      </w:r>
      <w:bookmarkEnd w:id="179"/>
      <w:r w:rsidRPr="003B04A4">
        <w:rPr>
          <w:rFonts w:ascii="Arial Bold" w:hAnsi="Arial Bold"/>
          <w:b/>
          <w:bCs/>
          <w:szCs w:val="18"/>
        </w:rPr>
        <w:t>: Greenhouse Gas Emissions by Space Use Type (kt CO</w:t>
      </w:r>
      <w:r w:rsidRPr="003B04A4">
        <w:rPr>
          <w:rFonts w:ascii="Arial Bold" w:hAnsi="Arial Bold"/>
          <w:b/>
          <w:bCs/>
          <w:szCs w:val="18"/>
          <w:vertAlign w:val="subscript"/>
        </w:rPr>
        <w:t>2</w:t>
      </w:r>
      <w:r w:rsidRPr="003B04A4">
        <w:rPr>
          <w:rFonts w:ascii="Arial Bold" w:hAnsi="Arial Bold"/>
          <w:b/>
          <w:bCs/>
          <w:szCs w:val="18"/>
        </w:rPr>
        <w:t>-e), City of Melbourne Built Environment, 2022</w:t>
      </w:r>
      <w:bookmarkEnd w:id="180"/>
    </w:p>
    <w:p w14:paraId="17F467EF" w14:textId="1A575FCB" w:rsidR="00283DE5" w:rsidRPr="00283DE5" w:rsidRDefault="003B45CC" w:rsidP="00283DE5">
      <w:r w:rsidRPr="00A12C95">
        <w:rPr>
          <w:lang w:val="en-US"/>
        </w:rPr>
        <w:t>View</w:t>
      </w:r>
      <w:r w:rsidRPr="00A12C95">
        <w:t xml:space="preserve"> </w:t>
      </w:r>
      <w:hyperlink w:anchor="_Greenhouse_Gas_Emissions" w:history="1">
        <w:r>
          <w:rPr>
            <w:rStyle w:val="Hyperlink"/>
            <w:color w:val="0070C0"/>
            <w:lang w:val="en-US"/>
          </w:rPr>
          <w:t>Greenhouse Gas Emissions by Space Use Type</w:t>
        </w:r>
        <w:r w:rsidR="003B04A4">
          <w:rPr>
            <w:rStyle w:val="Hyperlink"/>
            <w:color w:val="0070C0"/>
            <w:lang w:val="en-US"/>
          </w:rPr>
          <w:t>,</w:t>
        </w:r>
        <w:r>
          <w:rPr>
            <w:rStyle w:val="Hyperlink"/>
            <w:color w:val="0070C0"/>
            <w:lang w:val="en-US"/>
          </w:rPr>
          <w:t xml:space="preserve"> City of Melbourne Built Environment, 2022</w:t>
        </w:r>
      </w:hyperlink>
      <w:r w:rsidRPr="00A12C95">
        <w:rPr>
          <w:lang w:val="en-US"/>
        </w:rPr>
        <w:t xml:space="preserve"> data table </w:t>
      </w:r>
      <w:r w:rsidR="00302708">
        <w:rPr>
          <w:lang w:val="en-US"/>
        </w:rPr>
        <w:t xml:space="preserve">A.52 </w:t>
      </w:r>
      <w:r w:rsidRPr="00A12C95">
        <w:rPr>
          <w:lang w:val="en-US"/>
        </w:rPr>
        <w:t>in appendix</w:t>
      </w:r>
      <w:r w:rsidR="003B04A4">
        <w:rPr>
          <w:lang w:val="en-US"/>
        </w:rPr>
        <w:t>.</w:t>
      </w:r>
    </w:p>
    <w:p w14:paraId="0B7EA28A" w14:textId="77777777" w:rsidR="0080527F" w:rsidRDefault="0080527F" w:rsidP="0080527F">
      <w:pPr>
        <w:keepNext/>
      </w:pPr>
      <w:r>
        <w:rPr>
          <w:noProof/>
        </w:rPr>
        <w:drawing>
          <wp:inline distT="0" distB="0" distL="0" distR="0" wp14:anchorId="4E8BEC01" wp14:editId="60983778">
            <wp:extent cx="6120130" cy="3533775"/>
            <wp:effectExtent l="0" t="0" r="0" b="0"/>
            <wp:docPr id="1454410759" name="Chart 1" descr="Bar graph, see Appendix A53 for data information.">
              <a:extLst xmlns:a="http://schemas.openxmlformats.org/drawingml/2006/main">
                <a:ext uri="{FF2B5EF4-FFF2-40B4-BE49-F238E27FC236}">
                  <a16:creationId xmlns:a16="http://schemas.microsoft.com/office/drawing/2014/main" id="{D594ACFC-CDDC-BBA0-600A-E5DA9BF8717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p w14:paraId="142E47FA" w14:textId="77777777" w:rsidR="0080527F" w:rsidRPr="0080527F" w:rsidRDefault="0080527F" w:rsidP="0080527F">
      <w:pPr>
        <w:pStyle w:val="BodyText"/>
        <w:rPr>
          <w:rFonts w:ascii="Arial Bold" w:hAnsi="Arial Bold" w:hint="eastAsia"/>
          <w:b/>
          <w:bCs/>
          <w:szCs w:val="18"/>
        </w:rPr>
      </w:pPr>
      <w:r w:rsidRPr="0080527F">
        <w:rPr>
          <w:rFonts w:ascii="Arial Bold" w:hAnsi="Arial Bold"/>
          <w:b/>
          <w:bCs/>
          <w:szCs w:val="18"/>
        </w:rPr>
        <w:t xml:space="preserve">Figure </w:t>
      </w:r>
      <w:r w:rsidRPr="0080527F">
        <w:rPr>
          <w:rFonts w:ascii="Arial Bold" w:hAnsi="Arial Bold"/>
          <w:b/>
          <w:bCs/>
          <w:szCs w:val="18"/>
        </w:rPr>
        <w:fldChar w:fldCharType="begin"/>
      </w:r>
      <w:r w:rsidRPr="0080527F">
        <w:rPr>
          <w:rFonts w:ascii="Arial Bold" w:hAnsi="Arial Bold"/>
          <w:b/>
          <w:bCs/>
          <w:szCs w:val="18"/>
        </w:rPr>
        <w:instrText xml:space="preserve"> SEQ Figure \* ARABIC </w:instrText>
      </w:r>
      <w:r w:rsidRPr="0080527F">
        <w:rPr>
          <w:rFonts w:ascii="Arial Bold" w:hAnsi="Arial Bold"/>
          <w:b/>
          <w:bCs/>
          <w:szCs w:val="18"/>
        </w:rPr>
        <w:fldChar w:fldCharType="separate"/>
      </w:r>
      <w:r w:rsidRPr="0080527F">
        <w:rPr>
          <w:rFonts w:ascii="Arial Bold" w:hAnsi="Arial Bold"/>
          <w:b/>
          <w:bCs/>
          <w:szCs w:val="18"/>
        </w:rPr>
        <w:t>54</w:t>
      </w:r>
      <w:r w:rsidRPr="0080527F">
        <w:rPr>
          <w:rFonts w:ascii="Arial Bold" w:hAnsi="Arial Bold"/>
          <w:b/>
          <w:bCs/>
          <w:szCs w:val="18"/>
        </w:rPr>
        <w:fldChar w:fldCharType="end"/>
      </w:r>
      <w:r w:rsidRPr="0080527F">
        <w:rPr>
          <w:rFonts w:ascii="Arial Bold" w:hAnsi="Arial Bold"/>
          <w:b/>
          <w:bCs/>
          <w:szCs w:val="18"/>
        </w:rPr>
        <w:t>: Share of Total Emissions by Fuel by Space-Use</w:t>
      </w:r>
    </w:p>
    <w:p w14:paraId="2226FDE3" w14:textId="174E4C84" w:rsidR="003B45CC" w:rsidRPr="00AF552C" w:rsidRDefault="003B45CC" w:rsidP="003B45CC">
      <w:r w:rsidRPr="00A12C95">
        <w:rPr>
          <w:lang w:val="en-US"/>
        </w:rPr>
        <w:t>View</w:t>
      </w:r>
      <w:r w:rsidRPr="00A12C95">
        <w:t xml:space="preserve"> </w:t>
      </w:r>
      <w:hyperlink w:anchor="_Share_of_Total_1" w:history="1">
        <w:r>
          <w:rPr>
            <w:rStyle w:val="Hyperlink"/>
            <w:color w:val="0070C0"/>
            <w:lang w:val="en-US"/>
          </w:rPr>
          <w:t>Share of Total Emissions by Fuel by Space-Use</w:t>
        </w:r>
      </w:hyperlink>
      <w:r w:rsidRPr="00A12C95">
        <w:rPr>
          <w:lang w:val="en-US"/>
        </w:rPr>
        <w:t xml:space="preserve"> data table</w:t>
      </w:r>
      <w:r w:rsidR="00302708">
        <w:rPr>
          <w:lang w:val="en-US"/>
        </w:rPr>
        <w:t xml:space="preserve"> A.53</w:t>
      </w:r>
      <w:r w:rsidRPr="00A12C95">
        <w:rPr>
          <w:lang w:val="en-US"/>
        </w:rPr>
        <w:t xml:space="preserve"> in appendix</w:t>
      </w:r>
      <w:r w:rsidR="0080527F">
        <w:rPr>
          <w:lang w:val="en-US"/>
        </w:rPr>
        <w:t>.</w:t>
      </w:r>
    </w:p>
    <w:p w14:paraId="2C8AB0C4" w14:textId="73395C6F" w:rsidR="00540725" w:rsidRPr="00B661A8" w:rsidRDefault="00540725" w:rsidP="00540725">
      <w:pPr>
        <w:pStyle w:val="Heading3"/>
        <w:rPr>
          <w:rFonts w:hint="eastAsia"/>
          <w:u w:val="single"/>
        </w:rPr>
      </w:pPr>
      <w:bookmarkStart w:id="181" w:name="_4.3.3_Power_Purchase"/>
      <w:bookmarkEnd w:id="181"/>
      <w:r>
        <w:lastRenderedPageBreak/>
        <w:t>4.3.3</w:t>
      </w:r>
      <w:r>
        <w:tab/>
        <w:t>Power P</w:t>
      </w:r>
      <w:r w:rsidRPr="00B661A8">
        <w:t xml:space="preserve">urchase </w:t>
      </w:r>
      <w:r>
        <w:t>A</w:t>
      </w:r>
      <w:r w:rsidRPr="00B661A8">
        <w:t>greements</w:t>
      </w:r>
    </w:p>
    <w:p w14:paraId="5FAC1928" w14:textId="77777777" w:rsidR="00540725" w:rsidRDefault="00540725" w:rsidP="00540725">
      <w:pPr>
        <w:pStyle w:val="BodyText"/>
      </w:pPr>
      <w:r>
        <w:t>Power Purchase Agreements (PPAs) are a contracting model in which a large consumer of electricity contracts with a project developer to purchase some or all of the output of a, generally, new renewable generation facility. There are a range of approaches parties use when designing PPAs, such as Contracts for Difference (CFDs) and supply-linked agreements, though all “renewable” agreements rely on the exchange of Large Generation Certificates (LGCs) under the Commonwealth Renewable Energy Target (RET).</w:t>
      </w:r>
    </w:p>
    <w:p w14:paraId="684DF815" w14:textId="77777777" w:rsidR="00540725" w:rsidRDefault="00540725" w:rsidP="00540725">
      <w:pPr>
        <w:pStyle w:val="BodyText"/>
      </w:pPr>
      <w:r>
        <w:t>These agreements have been increasing in popularity in recent years, led in no small part by the City of Melbourne itself, which, along with 13 project partners signed the Australian first Melbourne Renewable Energy Project (MREP) in 2017. A number of other PPA’s signed in recent years would influence the City’s emission profile, a non-exhaustive list of these agreements is discussed in more detail below:</w:t>
      </w:r>
    </w:p>
    <w:p w14:paraId="7D28DF2F" w14:textId="77777777" w:rsidR="0080527F" w:rsidRPr="0080527F" w:rsidRDefault="0080527F" w:rsidP="0080527F">
      <w:pPr>
        <w:pStyle w:val="BodyText"/>
        <w:rPr>
          <w:rFonts w:ascii="Arial Bold" w:hAnsi="Arial Bold" w:hint="eastAsia"/>
          <w:b/>
          <w:bCs/>
          <w:szCs w:val="18"/>
        </w:rPr>
      </w:pPr>
      <w:bookmarkStart w:id="182" w:name="_Toc171951167"/>
      <w:r w:rsidRPr="0080527F">
        <w:rPr>
          <w:rFonts w:ascii="Arial Bold" w:hAnsi="Arial Bold"/>
          <w:b/>
          <w:bCs/>
          <w:szCs w:val="18"/>
        </w:rPr>
        <w:t xml:space="preserve">Table </w:t>
      </w:r>
      <w:r w:rsidRPr="0080527F">
        <w:rPr>
          <w:rFonts w:ascii="Arial Bold" w:hAnsi="Arial Bold"/>
          <w:b/>
          <w:bCs/>
          <w:szCs w:val="18"/>
        </w:rPr>
        <w:fldChar w:fldCharType="begin"/>
      </w:r>
      <w:r w:rsidRPr="0080527F">
        <w:rPr>
          <w:rFonts w:ascii="Arial Bold" w:hAnsi="Arial Bold"/>
          <w:b/>
          <w:bCs/>
          <w:szCs w:val="18"/>
        </w:rPr>
        <w:instrText xml:space="preserve"> SEQ Table \* ARABIC </w:instrText>
      </w:r>
      <w:r w:rsidRPr="0080527F">
        <w:rPr>
          <w:rFonts w:ascii="Arial Bold" w:hAnsi="Arial Bold"/>
          <w:b/>
          <w:bCs/>
          <w:szCs w:val="18"/>
        </w:rPr>
        <w:fldChar w:fldCharType="separate"/>
      </w:r>
      <w:r w:rsidRPr="0080527F">
        <w:rPr>
          <w:rFonts w:ascii="Arial Bold" w:hAnsi="Arial Bold"/>
          <w:b/>
          <w:bCs/>
          <w:szCs w:val="18"/>
        </w:rPr>
        <w:t>6</w:t>
      </w:r>
      <w:r w:rsidRPr="0080527F">
        <w:rPr>
          <w:rFonts w:ascii="Arial Bold" w:hAnsi="Arial Bold"/>
          <w:b/>
          <w:bCs/>
          <w:szCs w:val="18"/>
        </w:rPr>
        <w:fldChar w:fldCharType="end"/>
      </w:r>
      <w:r w:rsidRPr="0080527F">
        <w:rPr>
          <w:rFonts w:ascii="Arial Bold" w:hAnsi="Arial Bold"/>
          <w:b/>
          <w:bCs/>
          <w:szCs w:val="18"/>
        </w:rPr>
        <w:t>: Power Purchase Agreements Relevant to LGA Emissions</w:t>
      </w:r>
      <w:bookmarkEnd w:id="182"/>
    </w:p>
    <w:tbl>
      <w:tblPr>
        <w:tblStyle w:val="GridTable2-Accent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410"/>
        <w:gridCol w:w="5380"/>
      </w:tblGrid>
      <w:tr w:rsidR="0080527F" w:rsidRPr="0080527F" w14:paraId="317D3776" w14:textId="77777777" w:rsidTr="0080527F">
        <w:trPr>
          <w:cnfStyle w:val="100000000000" w:firstRow="1" w:lastRow="0" w:firstColumn="0" w:lastColumn="0" w:oddVBand="0" w:evenVBand="0" w:oddHBand="0" w:evenHBand="0" w:firstRowFirstColumn="0" w:firstRowLastColumn="0" w:lastRowFirstColumn="0" w:lastRowLastColumn="0"/>
          <w:trHeight w:val="373"/>
        </w:trPr>
        <w:tc>
          <w:tcPr>
            <w:cnfStyle w:val="001000000000" w:firstRow="0" w:lastRow="0" w:firstColumn="1" w:lastColumn="0" w:oddVBand="0" w:evenVBand="0" w:oddHBand="0" w:evenHBand="0" w:firstRowFirstColumn="0" w:firstRowLastColumn="0" w:lastRowFirstColumn="0" w:lastRowLastColumn="0"/>
            <w:tcW w:w="1838" w:type="dxa"/>
            <w:tcBorders>
              <w:top w:val="none" w:sz="0" w:space="0" w:color="auto"/>
              <w:bottom w:val="none" w:sz="0" w:space="0" w:color="auto"/>
              <w:right w:val="none" w:sz="0" w:space="0" w:color="auto"/>
            </w:tcBorders>
            <w:shd w:val="clear" w:color="auto" w:fill="auto"/>
            <w:vAlign w:val="center"/>
          </w:tcPr>
          <w:p w14:paraId="2406FD7F" w14:textId="77777777" w:rsidR="0080527F" w:rsidRPr="0080527F" w:rsidRDefault="0080527F" w:rsidP="0080527F">
            <w:pPr>
              <w:spacing w:after="0"/>
              <w:rPr>
                <w:lang w:val="en-GB"/>
              </w:rPr>
            </w:pPr>
            <w:r w:rsidRPr="0080527F">
              <w:rPr>
                <w:lang w:val="en-GB"/>
              </w:rPr>
              <w:t>Deal</w:t>
            </w:r>
          </w:p>
        </w:tc>
        <w:tc>
          <w:tcPr>
            <w:tcW w:w="2410" w:type="dxa"/>
            <w:tcBorders>
              <w:top w:val="none" w:sz="0" w:space="0" w:color="auto"/>
              <w:left w:val="none" w:sz="0" w:space="0" w:color="auto"/>
              <w:bottom w:val="none" w:sz="0" w:space="0" w:color="auto"/>
              <w:right w:val="none" w:sz="0" w:space="0" w:color="auto"/>
            </w:tcBorders>
            <w:shd w:val="clear" w:color="auto" w:fill="auto"/>
            <w:vAlign w:val="center"/>
          </w:tcPr>
          <w:p w14:paraId="3B37A882" w14:textId="77777777" w:rsidR="0080527F" w:rsidRPr="0080527F" w:rsidRDefault="0080527F" w:rsidP="0080527F">
            <w:pPr>
              <w:spacing w:after="0"/>
              <w:cnfStyle w:val="100000000000" w:firstRow="1" w:lastRow="0" w:firstColumn="0" w:lastColumn="0" w:oddVBand="0" w:evenVBand="0" w:oddHBand="0" w:evenHBand="0" w:firstRowFirstColumn="0" w:firstRowLastColumn="0" w:lastRowFirstColumn="0" w:lastRowLastColumn="0"/>
              <w:rPr>
                <w:lang w:val="en-GB"/>
              </w:rPr>
            </w:pPr>
            <w:r w:rsidRPr="0080527F">
              <w:rPr>
                <w:lang w:val="en-GB"/>
              </w:rPr>
              <w:t>Annual offtake</w:t>
            </w:r>
          </w:p>
        </w:tc>
        <w:tc>
          <w:tcPr>
            <w:tcW w:w="5380" w:type="dxa"/>
            <w:tcBorders>
              <w:top w:val="none" w:sz="0" w:space="0" w:color="auto"/>
              <w:left w:val="none" w:sz="0" w:space="0" w:color="auto"/>
              <w:bottom w:val="none" w:sz="0" w:space="0" w:color="auto"/>
            </w:tcBorders>
            <w:shd w:val="clear" w:color="auto" w:fill="auto"/>
            <w:vAlign w:val="center"/>
          </w:tcPr>
          <w:p w14:paraId="614865FB" w14:textId="77777777" w:rsidR="0080527F" w:rsidRPr="0080527F" w:rsidRDefault="0080527F" w:rsidP="0080527F">
            <w:pPr>
              <w:spacing w:after="0"/>
              <w:cnfStyle w:val="100000000000" w:firstRow="1" w:lastRow="0" w:firstColumn="0" w:lastColumn="0" w:oddVBand="0" w:evenVBand="0" w:oddHBand="0" w:evenHBand="0" w:firstRowFirstColumn="0" w:firstRowLastColumn="0" w:lastRowFirstColumn="0" w:lastRowLastColumn="0"/>
              <w:rPr>
                <w:lang w:val="en-GB"/>
              </w:rPr>
            </w:pPr>
            <w:r w:rsidRPr="0080527F">
              <w:rPr>
                <w:lang w:val="en-GB"/>
              </w:rPr>
              <w:t>Relevance to City of Melbourne</w:t>
            </w:r>
          </w:p>
        </w:tc>
      </w:tr>
      <w:tr w:rsidR="0080527F" w:rsidRPr="0080527F" w14:paraId="4BC9B39C" w14:textId="77777777" w:rsidTr="008052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shd w:val="clear" w:color="auto" w:fill="auto"/>
          </w:tcPr>
          <w:p w14:paraId="2BC56536" w14:textId="77777777" w:rsidR="0080527F" w:rsidRPr="0080527F" w:rsidRDefault="0080527F" w:rsidP="0080527F">
            <w:pPr>
              <w:spacing w:after="0"/>
              <w:rPr>
                <w:b w:val="0"/>
                <w:bCs w:val="0"/>
                <w:lang w:val="en-GB"/>
              </w:rPr>
            </w:pPr>
            <w:r w:rsidRPr="0080527F">
              <w:rPr>
                <w:b w:val="0"/>
                <w:bCs w:val="0"/>
                <w:lang w:val="en-GB"/>
              </w:rPr>
              <w:t>MREP 1</w:t>
            </w:r>
          </w:p>
        </w:tc>
        <w:tc>
          <w:tcPr>
            <w:tcW w:w="2410" w:type="dxa"/>
            <w:shd w:val="clear" w:color="auto" w:fill="auto"/>
          </w:tcPr>
          <w:p w14:paraId="4EC89D10" w14:textId="77777777" w:rsidR="0080527F" w:rsidRPr="0080527F" w:rsidRDefault="0080527F" w:rsidP="0080527F">
            <w:pPr>
              <w:spacing w:after="0"/>
              <w:cnfStyle w:val="000000100000" w:firstRow="0" w:lastRow="0" w:firstColumn="0" w:lastColumn="0" w:oddVBand="0" w:evenVBand="0" w:oddHBand="1" w:evenHBand="0" w:firstRowFirstColumn="0" w:firstRowLastColumn="0" w:lastRowFirstColumn="0" w:lastRowLastColumn="0"/>
              <w:rPr>
                <w:lang w:val="en-GB"/>
              </w:rPr>
            </w:pPr>
            <w:r w:rsidRPr="0080527F">
              <w:rPr>
                <w:lang w:val="en-GB"/>
              </w:rPr>
              <w:t>88 GWh</w:t>
            </w:r>
          </w:p>
        </w:tc>
        <w:tc>
          <w:tcPr>
            <w:tcW w:w="5380" w:type="dxa"/>
            <w:shd w:val="clear" w:color="auto" w:fill="auto"/>
          </w:tcPr>
          <w:p w14:paraId="013E3D7E" w14:textId="77777777" w:rsidR="0080527F" w:rsidRPr="0080527F" w:rsidRDefault="0080527F" w:rsidP="0080527F">
            <w:pPr>
              <w:spacing w:after="0"/>
              <w:cnfStyle w:val="000000100000" w:firstRow="0" w:lastRow="0" w:firstColumn="0" w:lastColumn="0" w:oddVBand="0" w:evenVBand="0" w:oddHBand="1" w:evenHBand="0" w:firstRowFirstColumn="0" w:firstRowLastColumn="0" w:lastRowFirstColumn="0" w:lastRowLastColumn="0"/>
              <w:rPr>
                <w:lang w:val="en-GB"/>
              </w:rPr>
            </w:pPr>
            <w:r w:rsidRPr="0080527F">
              <w:rPr>
                <w:lang w:val="en-GB"/>
              </w:rPr>
              <w:t>All project participants, except the other member LGAs, have a footprint in the City of Melbourne. Some participants, such as the City itself, contracted for their entire electricity supply, while others contracted for a portion of their needs.</w:t>
            </w:r>
          </w:p>
        </w:tc>
      </w:tr>
      <w:tr w:rsidR="0080527F" w:rsidRPr="0080527F" w14:paraId="4E7233D2" w14:textId="77777777" w:rsidTr="0080527F">
        <w:tc>
          <w:tcPr>
            <w:cnfStyle w:val="001000000000" w:firstRow="0" w:lastRow="0" w:firstColumn="1" w:lastColumn="0" w:oddVBand="0" w:evenVBand="0" w:oddHBand="0" w:evenHBand="0" w:firstRowFirstColumn="0" w:firstRowLastColumn="0" w:lastRowFirstColumn="0" w:lastRowLastColumn="0"/>
            <w:tcW w:w="1838" w:type="dxa"/>
            <w:shd w:val="clear" w:color="auto" w:fill="auto"/>
          </w:tcPr>
          <w:p w14:paraId="13FC414A" w14:textId="77777777" w:rsidR="0080527F" w:rsidRPr="0080527F" w:rsidRDefault="0080527F" w:rsidP="0080527F">
            <w:pPr>
              <w:spacing w:after="0"/>
              <w:rPr>
                <w:b w:val="0"/>
                <w:bCs w:val="0"/>
                <w:lang w:val="en-GB"/>
              </w:rPr>
            </w:pPr>
            <w:r w:rsidRPr="0080527F">
              <w:rPr>
                <w:b w:val="0"/>
                <w:bCs w:val="0"/>
                <w:lang w:val="en-GB"/>
              </w:rPr>
              <w:t>MREP 2</w:t>
            </w:r>
          </w:p>
        </w:tc>
        <w:tc>
          <w:tcPr>
            <w:tcW w:w="2410" w:type="dxa"/>
            <w:shd w:val="clear" w:color="auto" w:fill="auto"/>
          </w:tcPr>
          <w:p w14:paraId="4F617C1D" w14:textId="77777777" w:rsidR="0080527F" w:rsidRPr="0080527F" w:rsidRDefault="0080527F" w:rsidP="0080527F">
            <w:pPr>
              <w:spacing w:after="0"/>
              <w:cnfStyle w:val="000000000000" w:firstRow="0" w:lastRow="0" w:firstColumn="0" w:lastColumn="0" w:oddVBand="0" w:evenVBand="0" w:oddHBand="0" w:evenHBand="0" w:firstRowFirstColumn="0" w:firstRowLastColumn="0" w:lastRowFirstColumn="0" w:lastRowLastColumn="0"/>
              <w:rPr>
                <w:lang w:val="en-GB"/>
              </w:rPr>
            </w:pPr>
            <w:r w:rsidRPr="0080527F">
              <w:rPr>
                <w:lang w:val="en-GB"/>
              </w:rPr>
              <w:t>110 GWh</w:t>
            </w:r>
          </w:p>
        </w:tc>
        <w:tc>
          <w:tcPr>
            <w:tcW w:w="5380" w:type="dxa"/>
            <w:shd w:val="clear" w:color="auto" w:fill="auto"/>
          </w:tcPr>
          <w:p w14:paraId="69E34245" w14:textId="77777777" w:rsidR="0080527F" w:rsidRPr="0080527F" w:rsidRDefault="0080527F" w:rsidP="0080527F">
            <w:pPr>
              <w:spacing w:after="0"/>
              <w:cnfStyle w:val="000000000000" w:firstRow="0" w:lastRow="0" w:firstColumn="0" w:lastColumn="0" w:oddVBand="0" w:evenVBand="0" w:oddHBand="0" w:evenHBand="0" w:firstRowFirstColumn="0" w:firstRowLastColumn="0" w:lastRowFirstColumn="0" w:lastRowLastColumn="0"/>
              <w:rPr>
                <w:lang w:val="en-GB"/>
              </w:rPr>
            </w:pPr>
            <w:r w:rsidRPr="0080527F">
              <w:rPr>
                <w:lang w:val="en-GB"/>
              </w:rPr>
              <w:t>The majority of project participants have a footprint in the LGA, including major commercial property owners.</w:t>
            </w:r>
          </w:p>
        </w:tc>
      </w:tr>
      <w:tr w:rsidR="0080527F" w:rsidRPr="0080527F" w14:paraId="4090CB04" w14:textId="77777777" w:rsidTr="008052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shd w:val="clear" w:color="auto" w:fill="auto"/>
          </w:tcPr>
          <w:p w14:paraId="0E3AE891" w14:textId="77777777" w:rsidR="0080527F" w:rsidRPr="0080527F" w:rsidRDefault="0080527F" w:rsidP="0080527F">
            <w:pPr>
              <w:spacing w:after="0"/>
              <w:rPr>
                <w:b w:val="0"/>
                <w:bCs w:val="0"/>
                <w:lang w:val="en-GB"/>
              </w:rPr>
            </w:pPr>
            <w:r w:rsidRPr="0080527F">
              <w:rPr>
                <w:b w:val="0"/>
                <w:bCs w:val="0"/>
                <w:lang w:val="en-GB"/>
              </w:rPr>
              <w:t>CSL</w:t>
            </w:r>
          </w:p>
        </w:tc>
        <w:tc>
          <w:tcPr>
            <w:tcW w:w="2410" w:type="dxa"/>
            <w:shd w:val="clear" w:color="auto" w:fill="auto"/>
          </w:tcPr>
          <w:p w14:paraId="04F8BE06" w14:textId="77777777" w:rsidR="0080527F" w:rsidRPr="0080527F" w:rsidRDefault="0080527F" w:rsidP="0080527F">
            <w:pPr>
              <w:spacing w:after="0"/>
              <w:cnfStyle w:val="000000100000" w:firstRow="0" w:lastRow="0" w:firstColumn="0" w:lastColumn="0" w:oddVBand="0" w:evenVBand="0" w:oddHBand="1" w:evenHBand="0" w:firstRowFirstColumn="0" w:firstRowLastColumn="0" w:lastRowFirstColumn="0" w:lastRowLastColumn="0"/>
              <w:rPr>
                <w:lang w:val="en-GB"/>
              </w:rPr>
            </w:pPr>
            <w:r w:rsidRPr="0080527F">
              <w:rPr>
                <w:lang w:val="en-GB"/>
              </w:rPr>
              <w:t>114 GWh</w:t>
            </w:r>
          </w:p>
        </w:tc>
        <w:tc>
          <w:tcPr>
            <w:tcW w:w="5380" w:type="dxa"/>
            <w:shd w:val="clear" w:color="auto" w:fill="auto"/>
          </w:tcPr>
          <w:p w14:paraId="559E9A42" w14:textId="77777777" w:rsidR="0080527F" w:rsidRPr="0080527F" w:rsidRDefault="0080527F" w:rsidP="0080527F">
            <w:pPr>
              <w:spacing w:after="0"/>
              <w:cnfStyle w:val="000000100000" w:firstRow="0" w:lastRow="0" w:firstColumn="0" w:lastColumn="0" w:oddVBand="0" w:evenVBand="0" w:oddHBand="1" w:evenHBand="0" w:firstRowFirstColumn="0" w:firstRowLastColumn="0" w:lastRowFirstColumn="0" w:lastRowLastColumn="0"/>
              <w:rPr>
                <w:lang w:val="en-GB"/>
              </w:rPr>
            </w:pPr>
            <w:r w:rsidRPr="0080527F">
              <w:rPr>
                <w:lang w:val="en-GB"/>
              </w:rPr>
              <w:t xml:space="preserve">CSL’s global headquarters, along with a major vaccine production facility, are both within the LGA. These facilities are very likely to be supplied with 100% renewable energy given CSL’s PPA was designed to offset the firm’s entire electricity demand. </w:t>
            </w:r>
          </w:p>
        </w:tc>
      </w:tr>
      <w:tr w:rsidR="0080527F" w:rsidRPr="0080527F" w14:paraId="6DE25258" w14:textId="77777777" w:rsidTr="0080527F">
        <w:tc>
          <w:tcPr>
            <w:cnfStyle w:val="001000000000" w:firstRow="0" w:lastRow="0" w:firstColumn="1" w:lastColumn="0" w:oddVBand="0" w:evenVBand="0" w:oddHBand="0" w:evenHBand="0" w:firstRowFirstColumn="0" w:firstRowLastColumn="0" w:lastRowFirstColumn="0" w:lastRowLastColumn="0"/>
            <w:tcW w:w="1838" w:type="dxa"/>
            <w:shd w:val="clear" w:color="auto" w:fill="auto"/>
          </w:tcPr>
          <w:p w14:paraId="0DC927A8" w14:textId="77777777" w:rsidR="0080527F" w:rsidRPr="0080527F" w:rsidRDefault="0080527F" w:rsidP="0080527F">
            <w:pPr>
              <w:spacing w:after="0"/>
              <w:rPr>
                <w:b w:val="0"/>
                <w:bCs w:val="0"/>
                <w:lang w:val="en-GB"/>
              </w:rPr>
            </w:pPr>
            <w:r w:rsidRPr="0080527F">
              <w:rPr>
                <w:b w:val="0"/>
                <w:bCs w:val="0"/>
                <w:lang w:val="en-GB"/>
              </w:rPr>
              <w:t>Equinix</w:t>
            </w:r>
          </w:p>
        </w:tc>
        <w:tc>
          <w:tcPr>
            <w:tcW w:w="2410" w:type="dxa"/>
            <w:shd w:val="clear" w:color="auto" w:fill="auto"/>
          </w:tcPr>
          <w:p w14:paraId="79030B47" w14:textId="77777777" w:rsidR="0080527F" w:rsidRPr="0080527F" w:rsidRDefault="0080527F" w:rsidP="0080527F">
            <w:pPr>
              <w:spacing w:after="0"/>
              <w:cnfStyle w:val="000000000000" w:firstRow="0" w:lastRow="0" w:firstColumn="0" w:lastColumn="0" w:oddVBand="0" w:evenVBand="0" w:oddHBand="0" w:evenHBand="0" w:firstRowFirstColumn="0" w:firstRowLastColumn="0" w:lastRowFirstColumn="0" w:lastRowLastColumn="0"/>
              <w:rPr>
                <w:lang w:val="en-GB"/>
              </w:rPr>
            </w:pPr>
            <w:r w:rsidRPr="0080527F">
              <w:rPr>
                <w:lang w:val="en-GB"/>
              </w:rPr>
              <w:t>Contracted for capacity, but annual generation ~400 GWh</w:t>
            </w:r>
          </w:p>
        </w:tc>
        <w:tc>
          <w:tcPr>
            <w:tcW w:w="5380" w:type="dxa"/>
            <w:shd w:val="clear" w:color="auto" w:fill="auto"/>
          </w:tcPr>
          <w:p w14:paraId="04D4AC4A" w14:textId="77777777" w:rsidR="0080527F" w:rsidRPr="0080527F" w:rsidRDefault="0080527F" w:rsidP="0080527F">
            <w:pPr>
              <w:spacing w:after="0"/>
              <w:cnfStyle w:val="000000000000" w:firstRow="0" w:lastRow="0" w:firstColumn="0" w:lastColumn="0" w:oddVBand="0" w:evenVBand="0" w:oddHBand="0" w:evenHBand="0" w:firstRowFirstColumn="0" w:firstRowLastColumn="0" w:lastRowFirstColumn="0" w:lastRowLastColumn="0"/>
              <w:rPr>
                <w:lang w:val="en-GB"/>
              </w:rPr>
            </w:pPr>
            <w:r w:rsidRPr="0080527F">
              <w:rPr>
                <w:lang w:val="en-GB"/>
              </w:rPr>
              <w:t>Equinix’s ME1 data centre is in Port Melbourne and is likely covered by their PPA.</w:t>
            </w:r>
          </w:p>
        </w:tc>
      </w:tr>
      <w:tr w:rsidR="0080527F" w:rsidRPr="0080527F" w14:paraId="7AF232A0" w14:textId="77777777" w:rsidTr="008052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shd w:val="clear" w:color="auto" w:fill="auto"/>
          </w:tcPr>
          <w:p w14:paraId="1E7DF467" w14:textId="77777777" w:rsidR="0080527F" w:rsidRPr="0080527F" w:rsidRDefault="0080527F" w:rsidP="0080527F">
            <w:pPr>
              <w:spacing w:after="0"/>
              <w:rPr>
                <w:b w:val="0"/>
                <w:bCs w:val="0"/>
                <w:lang w:val="en-GB"/>
              </w:rPr>
            </w:pPr>
            <w:r w:rsidRPr="0080527F">
              <w:rPr>
                <w:b w:val="0"/>
                <w:bCs w:val="0"/>
                <w:lang w:val="en-GB"/>
              </w:rPr>
              <w:t>Amazon</w:t>
            </w:r>
          </w:p>
        </w:tc>
        <w:tc>
          <w:tcPr>
            <w:tcW w:w="2410" w:type="dxa"/>
            <w:shd w:val="clear" w:color="auto" w:fill="auto"/>
          </w:tcPr>
          <w:p w14:paraId="6115E5C3" w14:textId="77777777" w:rsidR="0080527F" w:rsidRPr="0080527F" w:rsidRDefault="0080527F" w:rsidP="0080527F">
            <w:pPr>
              <w:spacing w:after="0"/>
              <w:cnfStyle w:val="000000100000" w:firstRow="0" w:lastRow="0" w:firstColumn="0" w:lastColumn="0" w:oddVBand="0" w:evenVBand="0" w:oddHBand="1" w:evenHBand="0" w:firstRowFirstColumn="0" w:firstRowLastColumn="0" w:lastRowFirstColumn="0" w:lastRowLastColumn="0"/>
              <w:rPr>
                <w:lang w:val="en-GB"/>
              </w:rPr>
            </w:pPr>
            <w:r w:rsidRPr="0080527F">
              <w:rPr>
                <w:lang w:val="en-GB"/>
              </w:rPr>
              <w:t>325 GWh</w:t>
            </w:r>
          </w:p>
        </w:tc>
        <w:tc>
          <w:tcPr>
            <w:tcW w:w="5380" w:type="dxa"/>
            <w:shd w:val="clear" w:color="auto" w:fill="auto"/>
          </w:tcPr>
          <w:p w14:paraId="201C5B95" w14:textId="77777777" w:rsidR="0080527F" w:rsidRPr="0080527F" w:rsidRDefault="0080527F" w:rsidP="0080527F">
            <w:pPr>
              <w:spacing w:after="0"/>
              <w:cnfStyle w:val="000000100000" w:firstRow="0" w:lastRow="0" w:firstColumn="0" w:lastColumn="0" w:oddVBand="0" w:evenVBand="0" w:oddHBand="1" w:evenHBand="0" w:firstRowFirstColumn="0" w:firstRowLastColumn="0" w:lastRowFirstColumn="0" w:lastRowLastColumn="0"/>
              <w:rPr>
                <w:lang w:val="en-GB"/>
              </w:rPr>
            </w:pPr>
            <w:r w:rsidRPr="0080527F">
              <w:rPr>
                <w:lang w:val="en-GB"/>
              </w:rPr>
              <w:t>The electricity supply to Amazon’s corporate office in Melbourne CBD is likely covered by their PPA.</w:t>
            </w:r>
          </w:p>
        </w:tc>
      </w:tr>
      <w:tr w:rsidR="0080527F" w:rsidRPr="0080527F" w14:paraId="75D47582" w14:textId="77777777" w:rsidTr="0080527F">
        <w:tc>
          <w:tcPr>
            <w:cnfStyle w:val="001000000000" w:firstRow="0" w:lastRow="0" w:firstColumn="1" w:lastColumn="0" w:oddVBand="0" w:evenVBand="0" w:oddHBand="0" w:evenHBand="0" w:firstRowFirstColumn="0" w:firstRowLastColumn="0" w:lastRowFirstColumn="0" w:lastRowLastColumn="0"/>
            <w:tcW w:w="1838" w:type="dxa"/>
            <w:shd w:val="clear" w:color="auto" w:fill="auto"/>
          </w:tcPr>
          <w:p w14:paraId="388D199D" w14:textId="77777777" w:rsidR="0080527F" w:rsidRPr="0080527F" w:rsidRDefault="0080527F" w:rsidP="0080527F">
            <w:pPr>
              <w:spacing w:after="0"/>
              <w:rPr>
                <w:b w:val="0"/>
                <w:bCs w:val="0"/>
                <w:lang w:val="en-GB"/>
              </w:rPr>
            </w:pPr>
            <w:r w:rsidRPr="0080527F">
              <w:rPr>
                <w:b w:val="0"/>
                <w:bCs w:val="0"/>
                <w:lang w:val="en-GB"/>
              </w:rPr>
              <w:t>Telstra Club 1 (includes Coca-Cola Amatil, ANZ and the University of Melbourne)</w:t>
            </w:r>
          </w:p>
        </w:tc>
        <w:tc>
          <w:tcPr>
            <w:tcW w:w="2410" w:type="dxa"/>
            <w:shd w:val="clear" w:color="auto" w:fill="auto"/>
          </w:tcPr>
          <w:p w14:paraId="181C6EAF" w14:textId="77777777" w:rsidR="0080527F" w:rsidRPr="0080527F" w:rsidRDefault="0080527F" w:rsidP="0080527F">
            <w:pPr>
              <w:spacing w:after="0"/>
              <w:cnfStyle w:val="000000000000" w:firstRow="0" w:lastRow="0" w:firstColumn="0" w:lastColumn="0" w:oddVBand="0" w:evenVBand="0" w:oddHBand="0" w:evenHBand="0" w:firstRowFirstColumn="0" w:firstRowLastColumn="0" w:lastRowFirstColumn="0" w:lastRowLastColumn="0"/>
              <w:rPr>
                <w:lang w:val="en-GB"/>
              </w:rPr>
            </w:pPr>
            <w:r w:rsidRPr="0080527F">
              <w:rPr>
                <w:lang w:val="en-GB"/>
              </w:rPr>
              <w:t>Total offtake not made public, but likely 600+ GWh</w:t>
            </w:r>
          </w:p>
        </w:tc>
        <w:tc>
          <w:tcPr>
            <w:tcW w:w="5380" w:type="dxa"/>
            <w:shd w:val="clear" w:color="auto" w:fill="auto"/>
          </w:tcPr>
          <w:p w14:paraId="15CEF077" w14:textId="77777777" w:rsidR="0080527F" w:rsidRPr="0080527F" w:rsidRDefault="0080527F" w:rsidP="0080527F">
            <w:pPr>
              <w:spacing w:after="0"/>
              <w:cnfStyle w:val="000000000000" w:firstRow="0" w:lastRow="0" w:firstColumn="0" w:lastColumn="0" w:oddVBand="0" w:evenVBand="0" w:oddHBand="0" w:evenHBand="0" w:firstRowFirstColumn="0" w:firstRowLastColumn="0" w:lastRowFirstColumn="0" w:lastRowLastColumn="0"/>
              <w:rPr>
                <w:lang w:val="en-GB"/>
              </w:rPr>
            </w:pPr>
            <w:r w:rsidRPr="0080527F">
              <w:rPr>
                <w:lang w:val="en-GB"/>
              </w:rPr>
              <w:t>Telstra, ANZ and the University of Melbourne all have a significant presence in the LGA.</w:t>
            </w:r>
          </w:p>
          <w:p w14:paraId="3EEBC43F" w14:textId="77777777" w:rsidR="0080527F" w:rsidRPr="0080527F" w:rsidRDefault="0080527F" w:rsidP="0080527F">
            <w:pPr>
              <w:spacing w:after="0"/>
              <w:cnfStyle w:val="000000000000" w:firstRow="0" w:lastRow="0" w:firstColumn="0" w:lastColumn="0" w:oddVBand="0" w:evenVBand="0" w:oddHBand="0" w:evenHBand="0" w:firstRowFirstColumn="0" w:firstRowLastColumn="0" w:lastRowFirstColumn="0" w:lastRowLastColumn="0"/>
              <w:rPr>
                <w:lang w:val="en-GB"/>
              </w:rPr>
            </w:pPr>
          </w:p>
        </w:tc>
      </w:tr>
      <w:tr w:rsidR="0080527F" w:rsidRPr="0080527F" w14:paraId="350E6A00" w14:textId="77777777" w:rsidTr="008052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shd w:val="clear" w:color="auto" w:fill="auto"/>
          </w:tcPr>
          <w:p w14:paraId="72ACE725" w14:textId="77777777" w:rsidR="0080527F" w:rsidRPr="0080527F" w:rsidRDefault="0080527F" w:rsidP="0080527F">
            <w:pPr>
              <w:spacing w:after="0"/>
              <w:rPr>
                <w:b w:val="0"/>
                <w:bCs w:val="0"/>
                <w:lang w:val="en-GB"/>
              </w:rPr>
            </w:pPr>
            <w:r w:rsidRPr="0080527F">
              <w:rPr>
                <w:b w:val="0"/>
                <w:bCs w:val="0"/>
                <w:lang w:val="en-GB"/>
              </w:rPr>
              <w:t>IFM &amp; QIC</w:t>
            </w:r>
          </w:p>
        </w:tc>
        <w:tc>
          <w:tcPr>
            <w:tcW w:w="2410" w:type="dxa"/>
            <w:shd w:val="clear" w:color="auto" w:fill="auto"/>
          </w:tcPr>
          <w:p w14:paraId="6E2C7E6F" w14:textId="77777777" w:rsidR="0080527F" w:rsidRPr="0080527F" w:rsidRDefault="0080527F" w:rsidP="0080527F">
            <w:pPr>
              <w:spacing w:after="0"/>
              <w:cnfStyle w:val="000000100000" w:firstRow="0" w:lastRow="0" w:firstColumn="0" w:lastColumn="0" w:oddVBand="0" w:evenVBand="0" w:oddHBand="1" w:evenHBand="0" w:firstRowFirstColumn="0" w:firstRowLastColumn="0" w:lastRowFirstColumn="0" w:lastRowLastColumn="0"/>
              <w:rPr>
                <w:lang w:val="en-GB"/>
              </w:rPr>
            </w:pPr>
            <w:r w:rsidRPr="0080527F">
              <w:rPr>
                <w:lang w:val="en-GB"/>
              </w:rPr>
              <w:t>Up to 400 GWh nationwide</w:t>
            </w:r>
          </w:p>
        </w:tc>
        <w:tc>
          <w:tcPr>
            <w:tcW w:w="5380" w:type="dxa"/>
            <w:shd w:val="clear" w:color="auto" w:fill="auto"/>
          </w:tcPr>
          <w:p w14:paraId="3BFB5C3D" w14:textId="77777777" w:rsidR="0080527F" w:rsidRPr="0080527F" w:rsidRDefault="0080527F" w:rsidP="0080527F">
            <w:pPr>
              <w:spacing w:after="0"/>
              <w:cnfStyle w:val="000000100000" w:firstRow="0" w:lastRow="0" w:firstColumn="0" w:lastColumn="0" w:oddVBand="0" w:evenVBand="0" w:oddHBand="1" w:evenHBand="0" w:firstRowFirstColumn="0" w:firstRowLastColumn="0" w:lastRowFirstColumn="0" w:lastRowLastColumn="0"/>
              <w:rPr>
                <w:lang w:val="en-GB"/>
              </w:rPr>
            </w:pPr>
            <w:r w:rsidRPr="0080527F">
              <w:rPr>
                <w:lang w:val="en-GB"/>
              </w:rPr>
              <w:t>Major infrastructure assets in the LGA including the Port of Melbourne, Citylink and Southern Cross Station are covered by the deal.</w:t>
            </w:r>
          </w:p>
        </w:tc>
      </w:tr>
    </w:tbl>
    <w:p w14:paraId="49609A3E" w14:textId="77777777" w:rsidR="0080527F" w:rsidRDefault="0080527F" w:rsidP="003B04A4"/>
    <w:p w14:paraId="0531566B" w14:textId="2861C21D" w:rsidR="00540725" w:rsidRDefault="00540725" w:rsidP="0080527F">
      <w:r>
        <w:t>Several other PPAs, such as those signed by the supermarket chain Aldi and the National Broadband Network Company, would also have a small influence on the City’s emissions. It would be difficult to match all PPAs relevant to the City to specific buildings in the combined space-use model, as many participants, such as the City of Melbourne, University of Melbourne, Port of Melbourne, major banks and commercial property owners have multiple distinct sites across the LGA. None of the datasets SPR used in our analysis contained sufficient detail to allow an accurate allocation of renewable consumption to specific site.  Because of the commercial nature of many agreements, a similar challenge would confront efforts to identify which of an off</w:t>
      </w:r>
      <w:r w:rsidR="0080527F">
        <w:t>ic</w:t>
      </w:r>
      <w:r>
        <w:t>er’s facilities are covered by PPAs, and to what extent their consumption is offset by renewable generation.</w:t>
      </w:r>
    </w:p>
    <w:p w14:paraId="50CCE7FD" w14:textId="77777777" w:rsidR="00540725" w:rsidRDefault="00540725" w:rsidP="0080527F">
      <w:r>
        <w:t xml:space="preserve">Our analysis of the PPAs described above suggests there is likely to be over 400 GWh of electricity consumption in the LGA covered by renewable energy agreements. At a 2022 emission intensity of 1.07 kg </w:t>
      </w:r>
      <w:r>
        <w:lastRenderedPageBreak/>
        <w:t>CO</w:t>
      </w:r>
      <w:r w:rsidRPr="00D452F9">
        <w:rPr>
          <w:vertAlign w:val="subscript"/>
        </w:rPr>
        <w:t>2</w:t>
      </w:r>
      <w:r>
        <w:t>-e/kWh, this would represent a 428 kt/CO</w:t>
      </w:r>
      <w:r w:rsidRPr="00C5679A">
        <w:rPr>
          <w:vertAlign w:val="subscript"/>
        </w:rPr>
        <w:t>2</w:t>
      </w:r>
      <w:r>
        <w:t>-e, or 15.1%, reduction on the electricity emission totals described above. Further work would need to be done to refine this estimate using publicly available data, and to develop an approach to allocating renewable consumption to specific sites.</w:t>
      </w:r>
    </w:p>
    <w:p w14:paraId="00664828" w14:textId="77777777" w:rsidR="0080527F" w:rsidRPr="0080527F" w:rsidRDefault="0080527F" w:rsidP="0080527F">
      <w:pPr>
        <w:pStyle w:val="BodyText"/>
        <w:rPr>
          <w:rFonts w:ascii="Arial Bold" w:hAnsi="Arial Bold" w:hint="eastAsia"/>
          <w:b/>
          <w:bCs/>
          <w:szCs w:val="18"/>
        </w:rPr>
      </w:pPr>
      <w:r w:rsidRPr="0080527F">
        <w:rPr>
          <w:rFonts w:ascii="Arial Bold" w:hAnsi="Arial Bold"/>
          <w:b/>
          <w:bCs/>
          <w:szCs w:val="18"/>
        </w:rPr>
        <w:t xml:space="preserve">Table </w:t>
      </w:r>
      <w:r w:rsidRPr="0080527F">
        <w:rPr>
          <w:rFonts w:ascii="Arial Bold" w:hAnsi="Arial Bold"/>
          <w:b/>
          <w:bCs/>
          <w:szCs w:val="18"/>
        </w:rPr>
        <w:fldChar w:fldCharType="begin"/>
      </w:r>
      <w:r w:rsidRPr="0080527F">
        <w:rPr>
          <w:rFonts w:ascii="Arial Bold" w:hAnsi="Arial Bold"/>
          <w:b/>
          <w:bCs/>
          <w:szCs w:val="18"/>
        </w:rPr>
        <w:instrText xml:space="preserve"> SEQ Table \* ARABIC </w:instrText>
      </w:r>
      <w:r w:rsidRPr="0080527F">
        <w:rPr>
          <w:rFonts w:ascii="Arial Bold" w:hAnsi="Arial Bold"/>
          <w:b/>
          <w:bCs/>
          <w:szCs w:val="18"/>
        </w:rPr>
        <w:fldChar w:fldCharType="separate"/>
      </w:r>
      <w:r w:rsidRPr="0080527F">
        <w:rPr>
          <w:rFonts w:ascii="Arial Bold" w:hAnsi="Arial Bold"/>
          <w:b/>
          <w:bCs/>
          <w:szCs w:val="18"/>
        </w:rPr>
        <w:t>7</w:t>
      </w:r>
      <w:r w:rsidRPr="0080527F">
        <w:rPr>
          <w:rFonts w:ascii="Arial Bold" w:hAnsi="Arial Bold"/>
          <w:b/>
          <w:bCs/>
          <w:szCs w:val="18"/>
        </w:rPr>
        <w:fldChar w:fldCharType="end"/>
      </w:r>
      <w:r w:rsidRPr="0080527F">
        <w:rPr>
          <w:rFonts w:ascii="Arial Bold" w:hAnsi="Arial Bold"/>
          <w:b/>
          <w:bCs/>
          <w:szCs w:val="18"/>
        </w:rPr>
        <w:t>: Potential Emission Savings by Total PPA Offtake in LGA</w:t>
      </w:r>
    </w:p>
    <w:tbl>
      <w:tblPr>
        <w:tblStyle w:val="GridTable2-Accent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7"/>
        <w:gridCol w:w="3341"/>
        <w:gridCol w:w="3050"/>
      </w:tblGrid>
      <w:tr w:rsidR="0080527F" w14:paraId="04D0385A" w14:textId="77777777" w:rsidTr="0080527F">
        <w:trPr>
          <w:cnfStyle w:val="100000000000" w:firstRow="1" w:lastRow="0" w:firstColumn="0" w:lastColumn="0" w:oddVBand="0" w:evenVBand="0" w:oddHBand="0" w:evenHBand="0" w:firstRowFirstColumn="0" w:firstRowLastColumn="0" w:lastRowFirstColumn="0" w:lastRowLastColumn="0"/>
          <w:trHeight w:val="513"/>
        </w:trPr>
        <w:tc>
          <w:tcPr>
            <w:cnfStyle w:val="001000000000" w:firstRow="0" w:lastRow="0" w:firstColumn="1" w:lastColumn="0" w:oddVBand="0" w:evenVBand="0" w:oddHBand="0" w:evenHBand="0" w:firstRowFirstColumn="0" w:firstRowLastColumn="0" w:lastRowFirstColumn="0" w:lastRowLastColumn="0"/>
            <w:tcW w:w="3237" w:type="dxa"/>
            <w:tcBorders>
              <w:top w:val="none" w:sz="0" w:space="0" w:color="auto"/>
              <w:bottom w:val="none" w:sz="0" w:space="0" w:color="auto"/>
              <w:right w:val="none" w:sz="0" w:space="0" w:color="auto"/>
            </w:tcBorders>
            <w:shd w:val="clear" w:color="auto" w:fill="auto"/>
          </w:tcPr>
          <w:p w14:paraId="6EEAE146" w14:textId="77777777" w:rsidR="0080527F" w:rsidRPr="0046210C" w:rsidRDefault="0080527F" w:rsidP="0080527F">
            <w:pPr>
              <w:spacing w:after="0"/>
              <w:rPr>
                <w:lang w:val="en-GB"/>
              </w:rPr>
            </w:pPr>
            <w:r w:rsidRPr="0046210C">
              <w:rPr>
                <w:lang w:val="en-GB"/>
              </w:rPr>
              <w:t>Annual PPA offtake in LGA</w:t>
            </w:r>
          </w:p>
        </w:tc>
        <w:tc>
          <w:tcPr>
            <w:tcW w:w="3341" w:type="dxa"/>
            <w:tcBorders>
              <w:top w:val="none" w:sz="0" w:space="0" w:color="auto"/>
              <w:left w:val="none" w:sz="0" w:space="0" w:color="auto"/>
              <w:bottom w:val="none" w:sz="0" w:space="0" w:color="auto"/>
              <w:right w:val="none" w:sz="0" w:space="0" w:color="auto"/>
            </w:tcBorders>
            <w:shd w:val="clear" w:color="auto" w:fill="auto"/>
          </w:tcPr>
          <w:p w14:paraId="43D123DB" w14:textId="77777777" w:rsidR="0080527F" w:rsidRPr="0046210C" w:rsidRDefault="0080527F" w:rsidP="0080527F">
            <w:pPr>
              <w:spacing w:after="0"/>
              <w:cnfStyle w:val="100000000000" w:firstRow="1" w:lastRow="0" w:firstColumn="0" w:lastColumn="0" w:oddVBand="0" w:evenVBand="0" w:oddHBand="0" w:evenHBand="0" w:firstRowFirstColumn="0" w:firstRowLastColumn="0" w:lastRowFirstColumn="0" w:lastRowLastColumn="0"/>
              <w:rPr>
                <w:lang w:val="en-GB"/>
              </w:rPr>
            </w:pPr>
            <w:r w:rsidRPr="0046210C">
              <w:rPr>
                <w:lang w:val="en-GB"/>
              </w:rPr>
              <w:t>Avoided emissions</w:t>
            </w:r>
          </w:p>
        </w:tc>
        <w:tc>
          <w:tcPr>
            <w:tcW w:w="3050" w:type="dxa"/>
            <w:tcBorders>
              <w:top w:val="none" w:sz="0" w:space="0" w:color="auto"/>
              <w:left w:val="none" w:sz="0" w:space="0" w:color="auto"/>
              <w:bottom w:val="none" w:sz="0" w:space="0" w:color="auto"/>
            </w:tcBorders>
            <w:shd w:val="clear" w:color="auto" w:fill="auto"/>
          </w:tcPr>
          <w:p w14:paraId="4959604D" w14:textId="77777777" w:rsidR="0080527F" w:rsidRPr="0046210C" w:rsidRDefault="0080527F" w:rsidP="0080527F">
            <w:pPr>
              <w:spacing w:after="0"/>
              <w:cnfStyle w:val="100000000000" w:firstRow="1" w:lastRow="0" w:firstColumn="0" w:lastColumn="0" w:oddVBand="0" w:evenVBand="0" w:oddHBand="0" w:evenHBand="0" w:firstRowFirstColumn="0" w:firstRowLastColumn="0" w:lastRowFirstColumn="0" w:lastRowLastColumn="0"/>
              <w:rPr>
                <w:lang w:val="en-GB"/>
              </w:rPr>
            </w:pPr>
            <w:r w:rsidRPr="0046210C">
              <w:rPr>
                <w:lang w:val="en-GB"/>
              </w:rPr>
              <w:t xml:space="preserve">% electricity emissions </w:t>
            </w:r>
            <w:r>
              <w:rPr>
                <w:lang w:val="en-GB"/>
              </w:rPr>
              <w:t>reduction</w:t>
            </w:r>
          </w:p>
        </w:tc>
      </w:tr>
      <w:tr w:rsidR="0080527F" w14:paraId="4583A40E" w14:textId="77777777" w:rsidTr="008052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7" w:type="dxa"/>
            <w:shd w:val="clear" w:color="auto" w:fill="auto"/>
          </w:tcPr>
          <w:p w14:paraId="430E8805" w14:textId="77777777" w:rsidR="0080527F" w:rsidRPr="0080527F" w:rsidRDefault="0080527F" w:rsidP="0080527F">
            <w:pPr>
              <w:spacing w:after="0"/>
              <w:rPr>
                <w:b w:val="0"/>
                <w:bCs w:val="0"/>
                <w:lang w:val="en-GB"/>
              </w:rPr>
            </w:pPr>
            <w:r w:rsidRPr="0080527F">
              <w:rPr>
                <w:b w:val="0"/>
                <w:bCs w:val="0"/>
                <w:lang w:val="en-GB"/>
              </w:rPr>
              <w:t>200 GWh</w:t>
            </w:r>
          </w:p>
        </w:tc>
        <w:tc>
          <w:tcPr>
            <w:tcW w:w="3341" w:type="dxa"/>
            <w:shd w:val="clear" w:color="auto" w:fill="auto"/>
          </w:tcPr>
          <w:p w14:paraId="1F8511EB" w14:textId="77777777" w:rsidR="0080527F" w:rsidRPr="0046210C" w:rsidRDefault="0080527F" w:rsidP="0080527F">
            <w:pPr>
              <w:spacing w:after="0"/>
              <w:jc w:val="right"/>
              <w:cnfStyle w:val="000000100000" w:firstRow="0" w:lastRow="0" w:firstColumn="0" w:lastColumn="0" w:oddVBand="0" w:evenVBand="0" w:oddHBand="1" w:evenHBand="0" w:firstRowFirstColumn="0" w:firstRowLastColumn="0" w:lastRowFirstColumn="0" w:lastRowLastColumn="0"/>
              <w:rPr>
                <w:lang w:val="en-GB"/>
              </w:rPr>
            </w:pPr>
            <w:r w:rsidRPr="0046210C">
              <w:rPr>
                <w:lang w:val="en-GB"/>
              </w:rPr>
              <w:t>214 kt/CO</w:t>
            </w:r>
            <w:r w:rsidRPr="0080527F">
              <w:rPr>
                <w:vertAlign w:val="subscript"/>
                <w:lang w:val="en-GB"/>
              </w:rPr>
              <w:t>2</w:t>
            </w:r>
            <w:r w:rsidRPr="0046210C">
              <w:rPr>
                <w:lang w:val="en-GB"/>
              </w:rPr>
              <w:t>-e</w:t>
            </w:r>
          </w:p>
        </w:tc>
        <w:tc>
          <w:tcPr>
            <w:tcW w:w="3050" w:type="dxa"/>
            <w:shd w:val="clear" w:color="auto" w:fill="auto"/>
          </w:tcPr>
          <w:p w14:paraId="4F0D1FA4" w14:textId="77777777" w:rsidR="0080527F" w:rsidRPr="0046210C" w:rsidRDefault="0080527F" w:rsidP="0080527F">
            <w:pPr>
              <w:spacing w:after="0"/>
              <w:jc w:val="right"/>
              <w:cnfStyle w:val="000000100000" w:firstRow="0" w:lastRow="0" w:firstColumn="0" w:lastColumn="0" w:oddVBand="0" w:evenVBand="0" w:oddHBand="1" w:evenHBand="0" w:firstRowFirstColumn="0" w:firstRowLastColumn="0" w:lastRowFirstColumn="0" w:lastRowLastColumn="0"/>
              <w:rPr>
                <w:lang w:val="en-GB"/>
              </w:rPr>
            </w:pPr>
            <w:r w:rsidRPr="0046210C">
              <w:rPr>
                <w:lang w:val="en-GB"/>
              </w:rPr>
              <w:t>7.</w:t>
            </w:r>
            <w:r>
              <w:rPr>
                <w:lang w:val="en-GB"/>
              </w:rPr>
              <w:t>6</w:t>
            </w:r>
            <w:r w:rsidRPr="0046210C">
              <w:rPr>
                <w:lang w:val="en-GB"/>
              </w:rPr>
              <w:t>%</w:t>
            </w:r>
          </w:p>
        </w:tc>
      </w:tr>
      <w:tr w:rsidR="0080527F" w14:paraId="6207932B" w14:textId="77777777" w:rsidTr="0080527F">
        <w:tc>
          <w:tcPr>
            <w:cnfStyle w:val="001000000000" w:firstRow="0" w:lastRow="0" w:firstColumn="1" w:lastColumn="0" w:oddVBand="0" w:evenVBand="0" w:oddHBand="0" w:evenHBand="0" w:firstRowFirstColumn="0" w:firstRowLastColumn="0" w:lastRowFirstColumn="0" w:lastRowLastColumn="0"/>
            <w:tcW w:w="3237" w:type="dxa"/>
            <w:shd w:val="clear" w:color="auto" w:fill="auto"/>
          </w:tcPr>
          <w:p w14:paraId="66397FE1" w14:textId="77777777" w:rsidR="0080527F" w:rsidRPr="0080527F" w:rsidRDefault="0080527F" w:rsidP="0080527F">
            <w:pPr>
              <w:spacing w:after="0"/>
              <w:rPr>
                <w:b w:val="0"/>
                <w:bCs w:val="0"/>
                <w:lang w:val="en-GB"/>
              </w:rPr>
            </w:pPr>
            <w:r w:rsidRPr="0080527F">
              <w:rPr>
                <w:b w:val="0"/>
                <w:bCs w:val="0"/>
                <w:lang w:val="en-GB"/>
              </w:rPr>
              <w:t>300 GWh</w:t>
            </w:r>
          </w:p>
        </w:tc>
        <w:tc>
          <w:tcPr>
            <w:tcW w:w="3341" w:type="dxa"/>
            <w:shd w:val="clear" w:color="auto" w:fill="auto"/>
          </w:tcPr>
          <w:p w14:paraId="46EBCFED" w14:textId="77777777" w:rsidR="0080527F" w:rsidRPr="0046210C" w:rsidRDefault="0080527F" w:rsidP="0080527F">
            <w:pPr>
              <w:spacing w:after="0"/>
              <w:jc w:val="right"/>
              <w:cnfStyle w:val="000000000000" w:firstRow="0" w:lastRow="0" w:firstColumn="0" w:lastColumn="0" w:oddVBand="0" w:evenVBand="0" w:oddHBand="0" w:evenHBand="0" w:firstRowFirstColumn="0" w:firstRowLastColumn="0" w:lastRowFirstColumn="0" w:lastRowLastColumn="0"/>
              <w:rPr>
                <w:lang w:val="en-GB"/>
              </w:rPr>
            </w:pPr>
            <w:r w:rsidRPr="0046210C">
              <w:rPr>
                <w:lang w:val="en-GB"/>
              </w:rPr>
              <w:t>321 kt/CO</w:t>
            </w:r>
            <w:r w:rsidRPr="0080527F">
              <w:rPr>
                <w:vertAlign w:val="subscript"/>
                <w:lang w:val="en-GB"/>
              </w:rPr>
              <w:t>2</w:t>
            </w:r>
            <w:r w:rsidRPr="0046210C">
              <w:rPr>
                <w:lang w:val="en-GB"/>
              </w:rPr>
              <w:t>-e</w:t>
            </w:r>
          </w:p>
        </w:tc>
        <w:tc>
          <w:tcPr>
            <w:tcW w:w="3050" w:type="dxa"/>
            <w:shd w:val="clear" w:color="auto" w:fill="auto"/>
          </w:tcPr>
          <w:p w14:paraId="5F94943B" w14:textId="77777777" w:rsidR="0080527F" w:rsidRPr="0046210C" w:rsidRDefault="0080527F" w:rsidP="0080527F">
            <w:pPr>
              <w:spacing w:after="0"/>
              <w:jc w:val="right"/>
              <w:cnfStyle w:val="000000000000" w:firstRow="0" w:lastRow="0" w:firstColumn="0" w:lastColumn="0" w:oddVBand="0" w:evenVBand="0" w:oddHBand="0" w:evenHBand="0" w:firstRowFirstColumn="0" w:firstRowLastColumn="0" w:lastRowFirstColumn="0" w:lastRowLastColumn="0"/>
              <w:rPr>
                <w:lang w:val="en-GB"/>
              </w:rPr>
            </w:pPr>
            <w:r w:rsidRPr="0046210C">
              <w:rPr>
                <w:lang w:val="en-GB"/>
              </w:rPr>
              <w:t>11</w:t>
            </w:r>
            <w:r>
              <w:rPr>
                <w:lang w:val="en-GB"/>
              </w:rPr>
              <w:t>.3</w:t>
            </w:r>
            <w:r w:rsidRPr="0046210C">
              <w:rPr>
                <w:lang w:val="en-GB"/>
              </w:rPr>
              <w:t>%</w:t>
            </w:r>
          </w:p>
        </w:tc>
      </w:tr>
      <w:tr w:rsidR="0080527F" w14:paraId="5909E313" w14:textId="77777777" w:rsidTr="008052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7" w:type="dxa"/>
            <w:shd w:val="clear" w:color="auto" w:fill="auto"/>
          </w:tcPr>
          <w:p w14:paraId="57A5BC80" w14:textId="77777777" w:rsidR="0080527F" w:rsidRPr="0080527F" w:rsidRDefault="0080527F" w:rsidP="0080527F">
            <w:pPr>
              <w:spacing w:after="0"/>
              <w:rPr>
                <w:b w:val="0"/>
                <w:bCs w:val="0"/>
                <w:lang w:val="en-GB"/>
              </w:rPr>
            </w:pPr>
            <w:r w:rsidRPr="0080527F">
              <w:rPr>
                <w:b w:val="0"/>
                <w:bCs w:val="0"/>
                <w:lang w:val="en-GB"/>
              </w:rPr>
              <w:t>400 GWh</w:t>
            </w:r>
          </w:p>
        </w:tc>
        <w:tc>
          <w:tcPr>
            <w:tcW w:w="3341" w:type="dxa"/>
            <w:shd w:val="clear" w:color="auto" w:fill="auto"/>
          </w:tcPr>
          <w:p w14:paraId="0C3D5936" w14:textId="77777777" w:rsidR="0080527F" w:rsidRPr="0046210C" w:rsidRDefault="0080527F" w:rsidP="0080527F">
            <w:pPr>
              <w:spacing w:after="0"/>
              <w:jc w:val="right"/>
              <w:cnfStyle w:val="000000100000" w:firstRow="0" w:lastRow="0" w:firstColumn="0" w:lastColumn="0" w:oddVBand="0" w:evenVBand="0" w:oddHBand="1" w:evenHBand="0" w:firstRowFirstColumn="0" w:firstRowLastColumn="0" w:lastRowFirstColumn="0" w:lastRowLastColumn="0"/>
              <w:rPr>
                <w:lang w:val="en-GB"/>
              </w:rPr>
            </w:pPr>
            <w:r w:rsidRPr="0046210C">
              <w:rPr>
                <w:lang w:val="en-GB"/>
              </w:rPr>
              <w:t>428 kt/CO</w:t>
            </w:r>
            <w:r w:rsidRPr="0080527F">
              <w:rPr>
                <w:vertAlign w:val="subscript"/>
                <w:lang w:val="en-GB"/>
              </w:rPr>
              <w:t>2</w:t>
            </w:r>
            <w:r w:rsidRPr="0046210C">
              <w:rPr>
                <w:lang w:val="en-GB"/>
              </w:rPr>
              <w:t>-e</w:t>
            </w:r>
          </w:p>
        </w:tc>
        <w:tc>
          <w:tcPr>
            <w:tcW w:w="3050" w:type="dxa"/>
            <w:shd w:val="clear" w:color="auto" w:fill="auto"/>
          </w:tcPr>
          <w:p w14:paraId="289436DF" w14:textId="77777777" w:rsidR="0080527F" w:rsidRPr="0046210C" w:rsidRDefault="0080527F" w:rsidP="0080527F">
            <w:pPr>
              <w:spacing w:after="0"/>
              <w:jc w:val="right"/>
              <w:cnfStyle w:val="000000100000" w:firstRow="0" w:lastRow="0" w:firstColumn="0" w:lastColumn="0" w:oddVBand="0" w:evenVBand="0" w:oddHBand="1" w:evenHBand="0" w:firstRowFirstColumn="0" w:firstRowLastColumn="0" w:lastRowFirstColumn="0" w:lastRowLastColumn="0"/>
              <w:rPr>
                <w:lang w:val="en-GB"/>
              </w:rPr>
            </w:pPr>
            <w:r w:rsidRPr="0046210C">
              <w:rPr>
                <w:lang w:val="en-GB"/>
              </w:rPr>
              <w:t>1</w:t>
            </w:r>
            <w:r>
              <w:rPr>
                <w:lang w:val="en-GB"/>
              </w:rPr>
              <w:t>5.1</w:t>
            </w:r>
            <w:r w:rsidRPr="0046210C">
              <w:rPr>
                <w:lang w:val="en-GB"/>
              </w:rPr>
              <w:t>%</w:t>
            </w:r>
          </w:p>
        </w:tc>
      </w:tr>
      <w:tr w:rsidR="0080527F" w14:paraId="17CEBEC9" w14:textId="77777777" w:rsidTr="0080527F">
        <w:tc>
          <w:tcPr>
            <w:cnfStyle w:val="001000000000" w:firstRow="0" w:lastRow="0" w:firstColumn="1" w:lastColumn="0" w:oddVBand="0" w:evenVBand="0" w:oddHBand="0" w:evenHBand="0" w:firstRowFirstColumn="0" w:firstRowLastColumn="0" w:lastRowFirstColumn="0" w:lastRowLastColumn="0"/>
            <w:tcW w:w="3237" w:type="dxa"/>
            <w:shd w:val="clear" w:color="auto" w:fill="auto"/>
          </w:tcPr>
          <w:p w14:paraId="6B59367A" w14:textId="77777777" w:rsidR="0080527F" w:rsidRPr="0080527F" w:rsidRDefault="0080527F" w:rsidP="0080527F">
            <w:pPr>
              <w:spacing w:after="0"/>
              <w:rPr>
                <w:b w:val="0"/>
                <w:bCs w:val="0"/>
                <w:lang w:val="en-GB"/>
              </w:rPr>
            </w:pPr>
            <w:r w:rsidRPr="0080527F">
              <w:rPr>
                <w:b w:val="0"/>
                <w:bCs w:val="0"/>
                <w:lang w:val="en-GB"/>
              </w:rPr>
              <w:t>600 GWh</w:t>
            </w:r>
          </w:p>
        </w:tc>
        <w:tc>
          <w:tcPr>
            <w:tcW w:w="3341" w:type="dxa"/>
            <w:shd w:val="clear" w:color="auto" w:fill="auto"/>
          </w:tcPr>
          <w:p w14:paraId="588BD9B5" w14:textId="77777777" w:rsidR="0080527F" w:rsidRPr="0046210C" w:rsidRDefault="0080527F" w:rsidP="0080527F">
            <w:pPr>
              <w:spacing w:after="0"/>
              <w:jc w:val="right"/>
              <w:cnfStyle w:val="000000000000" w:firstRow="0" w:lastRow="0" w:firstColumn="0" w:lastColumn="0" w:oddVBand="0" w:evenVBand="0" w:oddHBand="0" w:evenHBand="0" w:firstRowFirstColumn="0" w:firstRowLastColumn="0" w:lastRowFirstColumn="0" w:lastRowLastColumn="0"/>
              <w:rPr>
                <w:lang w:val="en-GB"/>
              </w:rPr>
            </w:pPr>
            <w:r w:rsidRPr="0046210C">
              <w:rPr>
                <w:lang w:val="en-GB"/>
              </w:rPr>
              <w:t>642 kt/CO</w:t>
            </w:r>
            <w:r w:rsidRPr="0080527F">
              <w:rPr>
                <w:vertAlign w:val="subscript"/>
                <w:lang w:val="en-GB"/>
              </w:rPr>
              <w:t>2</w:t>
            </w:r>
            <w:r w:rsidRPr="0046210C">
              <w:rPr>
                <w:lang w:val="en-GB"/>
              </w:rPr>
              <w:t>-e</w:t>
            </w:r>
          </w:p>
        </w:tc>
        <w:tc>
          <w:tcPr>
            <w:tcW w:w="3050" w:type="dxa"/>
            <w:shd w:val="clear" w:color="auto" w:fill="auto"/>
          </w:tcPr>
          <w:p w14:paraId="082BEA78" w14:textId="77777777" w:rsidR="0080527F" w:rsidRPr="0046210C" w:rsidRDefault="0080527F" w:rsidP="0080527F">
            <w:pPr>
              <w:spacing w:after="0"/>
              <w:jc w:val="right"/>
              <w:cnfStyle w:val="000000000000" w:firstRow="0" w:lastRow="0" w:firstColumn="0" w:lastColumn="0" w:oddVBand="0" w:evenVBand="0" w:oddHBand="0" w:evenHBand="0" w:firstRowFirstColumn="0" w:firstRowLastColumn="0" w:lastRowFirstColumn="0" w:lastRowLastColumn="0"/>
              <w:rPr>
                <w:lang w:val="en-GB"/>
              </w:rPr>
            </w:pPr>
            <w:r w:rsidRPr="0046210C">
              <w:rPr>
                <w:lang w:val="en-GB"/>
              </w:rPr>
              <w:t>2</w:t>
            </w:r>
            <w:r>
              <w:rPr>
                <w:lang w:val="en-GB"/>
              </w:rPr>
              <w:t>2.7</w:t>
            </w:r>
            <w:r w:rsidRPr="0046210C">
              <w:rPr>
                <w:lang w:val="en-GB"/>
              </w:rPr>
              <w:t>%</w:t>
            </w:r>
          </w:p>
        </w:tc>
      </w:tr>
    </w:tbl>
    <w:p w14:paraId="3240FEF8" w14:textId="19C3F8C9" w:rsidR="00540725" w:rsidRDefault="00540725" w:rsidP="00540725">
      <w:pPr>
        <w:pStyle w:val="Heading2"/>
        <w:rPr>
          <w:rFonts w:hint="eastAsia"/>
        </w:rPr>
      </w:pPr>
      <w:bookmarkStart w:id="183" w:name="_Toc173876040"/>
      <w:bookmarkStart w:id="184" w:name="_Toc181219293"/>
      <w:r>
        <w:t>4.4</w:t>
      </w:r>
      <w:r>
        <w:tab/>
        <w:t>Validation of Results</w:t>
      </w:r>
      <w:bookmarkEnd w:id="183"/>
      <w:bookmarkEnd w:id="184"/>
    </w:p>
    <w:p w14:paraId="02823050" w14:textId="77777777" w:rsidR="00540725" w:rsidRDefault="00540725" w:rsidP="00504313">
      <w:pPr>
        <w:rPr>
          <w:lang w:val="en-GB"/>
        </w:rPr>
      </w:pPr>
      <w:r>
        <w:rPr>
          <w:lang w:val="en-GB"/>
        </w:rPr>
        <w:t>Data provided by utility distributors has, to date, been the primary source of information on the allocation of electricity and gas consumption data to sectoral end-use. Throughout the process of developing a bottom-up model of the City’s fuel-use, it has become clear there are several shortcomings in the use of distributor data as the sole input to assumptions about the distribution of fuel-use across sectors. These shortcomings include:</w:t>
      </w:r>
    </w:p>
    <w:p w14:paraId="578413B9" w14:textId="77777777" w:rsidR="00540725" w:rsidRPr="00504313" w:rsidRDefault="00540725" w:rsidP="00907604">
      <w:pPr>
        <w:pStyle w:val="ListParagraph"/>
        <w:numPr>
          <w:ilvl w:val="0"/>
          <w:numId w:val="18"/>
        </w:numPr>
        <w:rPr>
          <w:lang w:val="en-GB"/>
        </w:rPr>
      </w:pPr>
      <w:r w:rsidRPr="00504313">
        <w:rPr>
          <w:lang w:val="en-GB"/>
        </w:rPr>
        <w:t>The use of embedded networks in large apartment buildings, which leads to a misallocation of this consumption from residential to commercial.</w:t>
      </w:r>
    </w:p>
    <w:p w14:paraId="00F595ED" w14:textId="77777777" w:rsidR="00540725" w:rsidRPr="00504313" w:rsidRDefault="00540725" w:rsidP="00907604">
      <w:pPr>
        <w:pStyle w:val="ListParagraph"/>
        <w:numPr>
          <w:ilvl w:val="0"/>
          <w:numId w:val="18"/>
        </w:numPr>
        <w:rPr>
          <w:lang w:val="en-GB"/>
        </w:rPr>
      </w:pPr>
      <w:r w:rsidRPr="00504313">
        <w:rPr>
          <w:lang w:val="en-GB"/>
        </w:rPr>
        <w:t>The use of large, centralised gas hot water systems in major apartments leading to a significant misallocation from residential to commercial.</w:t>
      </w:r>
    </w:p>
    <w:p w14:paraId="688556EC" w14:textId="77777777" w:rsidR="00540725" w:rsidRPr="00504313" w:rsidRDefault="00540725" w:rsidP="00907604">
      <w:pPr>
        <w:pStyle w:val="ListParagraph"/>
        <w:numPr>
          <w:ilvl w:val="0"/>
          <w:numId w:val="18"/>
        </w:numPr>
        <w:rPr>
          <w:lang w:val="en-GB"/>
        </w:rPr>
      </w:pPr>
      <w:r w:rsidRPr="00504313">
        <w:rPr>
          <w:lang w:val="en-GB"/>
        </w:rPr>
        <w:t>The omission, or inconsistent use of several postcodes from energy data, including postcode 3050, which obscures the hospital complex’s 545 TJ total energy consumption among surrounding postcodes.</w:t>
      </w:r>
    </w:p>
    <w:p w14:paraId="5E6493EB" w14:textId="77777777" w:rsidR="00540725" w:rsidRPr="005A2090" w:rsidRDefault="00540725" w:rsidP="00504313">
      <w:pPr>
        <w:rPr>
          <w:lang w:val="en-GB"/>
        </w:rPr>
      </w:pPr>
      <w:r>
        <w:rPr>
          <w:lang w:val="en-GB"/>
        </w:rPr>
        <w:t xml:space="preserve">As a result of these shortcomings in the distributor allocation of consumption to postcodes and customer type, these sub-categories were not used in balancing the bottom-up fuel-use model with actual consumption. Instead, the whole-of-LGA figures, adjusted in line with the correspondences provided by council staff, were used to calibrate the model’s outputs. </w:t>
      </w:r>
    </w:p>
    <w:p w14:paraId="538B9129" w14:textId="77777777" w:rsidR="00540725" w:rsidRDefault="00540725" w:rsidP="00504313">
      <w:r>
        <w:t xml:space="preserve">Our modelled results returned a total energy consumption across the LGA’s building stock of </w:t>
      </w:r>
      <w:r w:rsidRPr="00D15C2C">
        <w:t>1</w:t>
      </w:r>
      <w:r>
        <w:t xml:space="preserve">6,272 TJ, which represents 94.3% of the 17,249 TJ of energy consumption provided in distributor data (including behind the meter solar consumption). Modelled electricity use was 9,611 TJ, which represents 93.1% of actual consumption at 10,323 TJ. Modelled gas consumption was 6,661 TJ, which represents 96.1% of actual consumption provided by distributors. </w:t>
      </w:r>
    </w:p>
    <w:p w14:paraId="2C4CB63A" w14:textId="77777777" w:rsidR="00540725" w:rsidRDefault="00540725" w:rsidP="00504313">
      <w:r>
        <w:t>There are two main factors contributing to the “missing” 977 TJ in our modelled results. Quantifiable factors include:</w:t>
      </w:r>
    </w:p>
    <w:p w14:paraId="15F78ADE" w14:textId="77777777" w:rsidR="00540725" w:rsidRDefault="00540725" w:rsidP="00907604">
      <w:pPr>
        <w:pStyle w:val="ListParagraph"/>
        <w:numPr>
          <w:ilvl w:val="0"/>
          <w:numId w:val="19"/>
        </w:numPr>
      </w:pPr>
      <w:r>
        <w:t>~265 TJ, or 27%, is associated with gas consumed by outlier manufacturing sites in postcode 3027.</w:t>
      </w:r>
    </w:p>
    <w:p w14:paraId="5497182D" w14:textId="77777777" w:rsidR="00540725" w:rsidRDefault="00540725" w:rsidP="00907604">
      <w:pPr>
        <w:pStyle w:val="ListParagraph"/>
        <w:numPr>
          <w:ilvl w:val="0"/>
          <w:numId w:val="19"/>
        </w:numPr>
      </w:pPr>
      <w:r>
        <w:t>~362 TJ, or 37%, is associated with electricity consumed by Metro Trains and Yarra Trams – a total drawn from the City’s emissions reporting for 2022.</w:t>
      </w:r>
    </w:p>
    <w:p w14:paraId="438752A9" w14:textId="77777777" w:rsidR="00540725" w:rsidRDefault="00540725" w:rsidP="00504313">
      <w:r>
        <w:t xml:space="preserve">Factoring in these known omissions brings to 97.9% the total share of energy accounted for in our modelled results and leaves 350 TJ, or 36% of the identified shortfall, unaccounted for. Given our model applies only a nominal energy intensity to construction sites, it is possible the unaccounted-for shortfall reflects a higher energy intensity for these spaces. </w:t>
      </w:r>
    </w:p>
    <w:p w14:paraId="44817369" w14:textId="77777777" w:rsidR="00504313" w:rsidRDefault="00504313" w:rsidP="00504313">
      <w:pPr>
        <w:pStyle w:val="Caption"/>
        <w:rPr>
          <w:rFonts w:hint="eastAsia"/>
        </w:rPr>
      </w:pPr>
      <w:r>
        <w:rPr>
          <w:noProof/>
        </w:rPr>
        <w:lastRenderedPageBreak/>
        <w:drawing>
          <wp:inline distT="0" distB="0" distL="0" distR="0" wp14:anchorId="58576295" wp14:editId="7CDFF2A8">
            <wp:extent cx="5965190" cy="3450772"/>
            <wp:effectExtent l="0" t="0" r="0" b="0"/>
            <wp:docPr id="635213741" name="Chart 1" descr="Bar graph, see Appendix A54 for data information.">
              <a:extLst xmlns:a="http://schemas.openxmlformats.org/drawingml/2006/main">
                <a:ext uri="{FF2B5EF4-FFF2-40B4-BE49-F238E27FC236}">
                  <a16:creationId xmlns:a16="http://schemas.microsoft.com/office/drawing/2014/main" id="{CC34A9DB-9814-6655-38AC-8B242F6CC56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p>
    <w:p w14:paraId="353549A7" w14:textId="77777777" w:rsidR="00504313" w:rsidRPr="00504313" w:rsidRDefault="00504313" w:rsidP="00504313">
      <w:pPr>
        <w:pStyle w:val="BodyText"/>
        <w:rPr>
          <w:rFonts w:ascii="Arial Bold" w:hAnsi="Arial Bold" w:hint="eastAsia"/>
          <w:b/>
          <w:bCs/>
          <w:szCs w:val="18"/>
        </w:rPr>
      </w:pPr>
      <w:bookmarkStart w:id="185" w:name="_Toc171951161"/>
      <w:r w:rsidRPr="00504313">
        <w:rPr>
          <w:rFonts w:ascii="Arial Bold" w:hAnsi="Arial Bold"/>
          <w:b/>
          <w:bCs/>
          <w:szCs w:val="18"/>
        </w:rPr>
        <w:t xml:space="preserve">Figure </w:t>
      </w:r>
      <w:r w:rsidRPr="00504313">
        <w:rPr>
          <w:rFonts w:ascii="Arial Bold" w:hAnsi="Arial Bold"/>
          <w:b/>
          <w:bCs/>
          <w:szCs w:val="18"/>
        </w:rPr>
        <w:fldChar w:fldCharType="begin"/>
      </w:r>
      <w:r w:rsidRPr="00504313">
        <w:rPr>
          <w:rFonts w:ascii="Arial Bold" w:hAnsi="Arial Bold"/>
          <w:b/>
          <w:bCs/>
          <w:szCs w:val="18"/>
        </w:rPr>
        <w:instrText xml:space="preserve"> SEQ Figure \* ARABIC </w:instrText>
      </w:r>
      <w:r w:rsidRPr="00504313">
        <w:rPr>
          <w:rFonts w:ascii="Arial Bold" w:hAnsi="Arial Bold"/>
          <w:b/>
          <w:bCs/>
          <w:szCs w:val="18"/>
        </w:rPr>
        <w:fldChar w:fldCharType="separate"/>
      </w:r>
      <w:r w:rsidRPr="00504313">
        <w:rPr>
          <w:rFonts w:ascii="Arial Bold" w:hAnsi="Arial Bold"/>
          <w:b/>
          <w:bCs/>
          <w:szCs w:val="18"/>
        </w:rPr>
        <w:t>55</w:t>
      </w:r>
      <w:r w:rsidRPr="00504313">
        <w:rPr>
          <w:rFonts w:ascii="Arial Bold" w:hAnsi="Arial Bold"/>
          <w:b/>
          <w:bCs/>
          <w:szCs w:val="18"/>
        </w:rPr>
        <w:fldChar w:fldCharType="end"/>
      </w:r>
      <w:r w:rsidRPr="00504313">
        <w:rPr>
          <w:rFonts w:ascii="Arial Bold" w:hAnsi="Arial Bold"/>
          <w:b/>
          <w:bCs/>
          <w:szCs w:val="18"/>
        </w:rPr>
        <w:t>: Composition of Shortfall between Modelled and Actual Consumption (TJ)</w:t>
      </w:r>
      <w:bookmarkEnd w:id="185"/>
    </w:p>
    <w:p w14:paraId="1BAE7062" w14:textId="2DA283DC" w:rsidR="003B45CC" w:rsidRPr="00AF552C" w:rsidRDefault="003B45CC" w:rsidP="003B45CC">
      <w:r w:rsidRPr="00A12C95">
        <w:rPr>
          <w:lang w:val="en-US"/>
        </w:rPr>
        <w:t>View</w:t>
      </w:r>
      <w:r w:rsidRPr="00A12C95">
        <w:t xml:space="preserve"> </w:t>
      </w:r>
      <w:hyperlink w:anchor="_Composition_of_Shortfall" w:history="1">
        <w:r>
          <w:rPr>
            <w:rStyle w:val="Hyperlink"/>
            <w:color w:val="0070C0"/>
            <w:lang w:val="en-US"/>
          </w:rPr>
          <w:t>Composition of Shortfall between Modelled and Actual Consumption (TJ)</w:t>
        </w:r>
      </w:hyperlink>
      <w:r w:rsidRPr="00A12C95">
        <w:rPr>
          <w:lang w:val="en-US"/>
        </w:rPr>
        <w:t xml:space="preserve"> data table</w:t>
      </w:r>
      <w:r w:rsidR="00302708">
        <w:rPr>
          <w:lang w:val="en-US"/>
        </w:rPr>
        <w:t xml:space="preserve"> A.54</w:t>
      </w:r>
      <w:r w:rsidRPr="00A12C95">
        <w:rPr>
          <w:lang w:val="en-US"/>
        </w:rPr>
        <w:t xml:space="preserve"> in appendix</w:t>
      </w:r>
    </w:p>
    <w:p w14:paraId="376893B3" w14:textId="77777777" w:rsidR="00D452F9" w:rsidRDefault="00D452F9">
      <w:pPr>
        <w:spacing w:after="0" w:line="240" w:lineRule="auto"/>
        <w:rPr>
          <w:rFonts w:ascii="Arial Bold" w:eastAsia="MS Gothic" w:hAnsi="Arial Bold" w:hint="eastAsia"/>
          <w:bCs/>
          <w:sz w:val="28"/>
          <w:szCs w:val="32"/>
          <w:lang w:val="en-US"/>
        </w:rPr>
      </w:pPr>
      <w:bookmarkStart w:id="186" w:name="_Toc173876041"/>
      <w:r>
        <w:rPr>
          <w:rFonts w:hint="eastAsia"/>
        </w:rPr>
        <w:br w:type="page"/>
      </w:r>
    </w:p>
    <w:p w14:paraId="554762F9" w14:textId="0338DC50" w:rsidR="00540725" w:rsidRDefault="00540725" w:rsidP="00907604">
      <w:pPr>
        <w:pStyle w:val="Heading1"/>
        <w:numPr>
          <w:ilvl w:val="0"/>
          <w:numId w:val="20"/>
        </w:numPr>
        <w:ind w:hanging="720"/>
        <w:rPr>
          <w:rFonts w:hint="eastAsia"/>
        </w:rPr>
      </w:pPr>
      <w:bookmarkStart w:id="187" w:name="_Toc181219294"/>
      <w:r>
        <w:lastRenderedPageBreak/>
        <w:t>Future Opportunities</w:t>
      </w:r>
      <w:bookmarkEnd w:id="186"/>
      <w:bookmarkEnd w:id="187"/>
    </w:p>
    <w:p w14:paraId="2EACDA1A" w14:textId="21F81F06" w:rsidR="00540725" w:rsidRDefault="00421A8A" w:rsidP="00540725">
      <w:pPr>
        <w:pStyle w:val="Heading2"/>
        <w:rPr>
          <w:rFonts w:hint="eastAsia"/>
        </w:rPr>
      </w:pPr>
      <w:bookmarkStart w:id="188" w:name="_Toc173876042"/>
      <w:bookmarkStart w:id="189" w:name="_Toc181219295"/>
      <w:r>
        <w:t>5.1</w:t>
      </w:r>
      <w:r>
        <w:tab/>
      </w:r>
      <w:r w:rsidR="00540725">
        <w:t>Overview</w:t>
      </w:r>
      <w:bookmarkEnd w:id="188"/>
      <w:bookmarkEnd w:id="189"/>
    </w:p>
    <w:p w14:paraId="3837E3A6" w14:textId="77777777" w:rsidR="00540725" w:rsidRPr="009C2C11" w:rsidRDefault="00540725" w:rsidP="00540725">
      <w:pPr>
        <w:pStyle w:val="BodyText"/>
      </w:pPr>
      <w:r>
        <w:t xml:space="preserve">Overall, the City of Melbourne has excellent data resources in at least its CLUE and Pathway products, both of which have provided major inputs into this study.  At the same time, there would be opportunities to build on these resources, in particular to assist in guiding the city’s transition to zero emissions and ensuring that the needs and circumstances of all parts of the built environment are taken into account.  The following opportunities are identified, and could developed or scoped in further detail if required.  </w:t>
      </w:r>
    </w:p>
    <w:p w14:paraId="532526BA" w14:textId="62F6392F" w:rsidR="00540725" w:rsidRDefault="00421A8A" w:rsidP="00540725">
      <w:pPr>
        <w:pStyle w:val="Heading2"/>
        <w:rPr>
          <w:rFonts w:hint="eastAsia"/>
        </w:rPr>
      </w:pPr>
      <w:bookmarkStart w:id="190" w:name="_Toc173876043"/>
      <w:bookmarkStart w:id="191" w:name="_Toc181219296"/>
      <w:r>
        <w:t>5.2</w:t>
      </w:r>
      <w:r>
        <w:tab/>
      </w:r>
      <w:r w:rsidR="00540725">
        <w:t>A Digital Twin?</w:t>
      </w:r>
      <w:bookmarkEnd w:id="190"/>
      <w:bookmarkEnd w:id="191"/>
    </w:p>
    <w:p w14:paraId="534B9C17" w14:textId="77777777" w:rsidR="00540725" w:rsidRDefault="00540725" w:rsidP="00540725">
      <w:pPr>
        <w:pStyle w:val="BodyText"/>
      </w:pPr>
      <w:r>
        <w:t>One opportunity to build on the current project would be develop the building stock and energy model built for this project into a full ‘digital twin’ of Melbourne’s built environment.  A digital twin implies an accurate and detailed model of a system, ideally accepting new data on a regular or even real-time basis, that can used for simulating many kinds of potential changes and understanding the likely consequences.</w:t>
      </w:r>
    </w:p>
    <w:p w14:paraId="16AFF520" w14:textId="77777777" w:rsidR="00540725" w:rsidRDefault="00540725" w:rsidP="00540725">
      <w:pPr>
        <w:pStyle w:val="BodyText"/>
      </w:pPr>
      <w:r>
        <w:t>Practically that might mean:</w:t>
      </w:r>
    </w:p>
    <w:p w14:paraId="775B8D23" w14:textId="77777777" w:rsidR="00540725" w:rsidRDefault="00540725" w:rsidP="00907604">
      <w:pPr>
        <w:pStyle w:val="BodyText"/>
        <w:numPr>
          <w:ilvl w:val="0"/>
          <w:numId w:val="6"/>
        </w:numPr>
        <w:spacing w:before="120" w:after="0"/>
        <w:jc w:val="both"/>
      </w:pPr>
      <w:r>
        <w:t>adding greater resolution of individual buildings</w:t>
      </w:r>
    </w:p>
    <w:p w14:paraId="0E42609E" w14:textId="77777777" w:rsidR="00540725" w:rsidRDefault="00540725" w:rsidP="00907604">
      <w:pPr>
        <w:pStyle w:val="BodyText"/>
        <w:numPr>
          <w:ilvl w:val="0"/>
          <w:numId w:val="6"/>
        </w:numPr>
        <w:spacing w:before="120" w:after="0"/>
        <w:jc w:val="both"/>
      </w:pPr>
      <w:r>
        <w:t>modelling stock turnover (demolitions, new construction, vacancies)</w:t>
      </w:r>
    </w:p>
    <w:p w14:paraId="23814C44" w14:textId="77777777" w:rsidR="00540725" w:rsidRDefault="00540725" w:rsidP="00907604">
      <w:pPr>
        <w:pStyle w:val="BodyText"/>
        <w:numPr>
          <w:ilvl w:val="0"/>
          <w:numId w:val="6"/>
        </w:numPr>
        <w:spacing w:before="120" w:after="0"/>
        <w:jc w:val="both"/>
      </w:pPr>
      <w:r>
        <w:t>simulating effects such as weather-impacts</w:t>
      </w:r>
    </w:p>
    <w:p w14:paraId="32578F64" w14:textId="77777777" w:rsidR="00540725" w:rsidRDefault="00540725" w:rsidP="00907604">
      <w:pPr>
        <w:pStyle w:val="BodyText"/>
        <w:numPr>
          <w:ilvl w:val="0"/>
          <w:numId w:val="6"/>
        </w:numPr>
        <w:spacing w:before="120" w:after="0"/>
        <w:jc w:val="both"/>
      </w:pPr>
      <w:r>
        <w:t>charactering energy loads and load profiles</w:t>
      </w:r>
    </w:p>
    <w:p w14:paraId="6424BC21" w14:textId="77777777" w:rsidR="00540725" w:rsidRDefault="00540725" w:rsidP="00907604">
      <w:pPr>
        <w:pStyle w:val="BodyText"/>
        <w:numPr>
          <w:ilvl w:val="0"/>
          <w:numId w:val="6"/>
        </w:numPr>
        <w:spacing w:before="120" w:after="0"/>
        <w:jc w:val="both"/>
      </w:pPr>
      <w:r>
        <w:t>integrating other developments, as noted further below.</w:t>
      </w:r>
    </w:p>
    <w:p w14:paraId="70521ECB" w14:textId="77777777" w:rsidR="00540725" w:rsidRDefault="00540725" w:rsidP="00540725">
      <w:pPr>
        <w:pStyle w:val="BodyText"/>
      </w:pPr>
      <w:r>
        <w:t>A use-case, value analysis and/or benefit cost analysis can help to scope the case for a digital twin, and importantly establish key limitations and areas where adding information (and cost) might not be justified by the added value created.  There is the danger of seeking create levels of certainty and precision, or spatial resolution, that are simply not necessary or valuable.  At the same time, the process of working through each potential element of digital twin can create value in itself, by leading to greater understanding of:</w:t>
      </w:r>
    </w:p>
    <w:p w14:paraId="197445AA" w14:textId="77777777" w:rsidR="00540725" w:rsidRDefault="00540725" w:rsidP="00907604">
      <w:pPr>
        <w:pStyle w:val="BodyText"/>
        <w:numPr>
          <w:ilvl w:val="0"/>
          <w:numId w:val="7"/>
        </w:numPr>
        <w:spacing w:before="120" w:after="0"/>
        <w:jc w:val="both"/>
      </w:pPr>
      <w:r>
        <w:t>what are inherent data limitations, and which limitations might be overcome or relaxed?</w:t>
      </w:r>
    </w:p>
    <w:p w14:paraId="1CA13E3C" w14:textId="77777777" w:rsidR="00540725" w:rsidRDefault="00540725" w:rsidP="00907604">
      <w:pPr>
        <w:pStyle w:val="BodyText"/>
        <w:numPr>
          <w:ilvl w:val="0"/>
          <w:numId w:val="7"/>
        </w:numPr>
        <w:spacing w:before="120" w:after="0"/>
        <w:jc w:val="both"/>
      </w:pPr>
      <w:r>
        <w:t>what frequency of updating data (on the building stock and its energy use and emissions) is necessary and valuable?  why?</w:t>
      </w:r>
    </w:p>
    <w:p w14:paraId="70DD5577" w14:textId="77777777" w:rsidR="00540725" w:rsidRDefault="00540725" w:rsidP="00907604">
      <w:pPr>
        <w:pStyle w:val="BodyText"/>
        <w:numPr>
          <w:ilvl w:val="0"/>
          <w:numId w:val="7"/>
        </w:numPr>
        <w:spacing w:before="120" w:after="0"/>
        <w:jc w:val="both"/>
      </w:pPr>
      <w:r>
        <w:t>what synergies can be realised with existing data systems – inside and outside of the City of Melbourne’s control?</w:t>
      </w:r>
    </w:p>
    <w:p w14:paraId="7624B5FB" w14:textId="77777777" w:rsidR="00540725" w:rsidRDefault="00540725" w:rsidP="00540725">
      <w:pPr>
        <w:pStyle w:val="BodyText"/>
      </w:pPr>
      <w:r>
        <w:t>Overall, if this were considered an interesting potential, a likely next step would be a feasibility and scoping analysis, which would also generate cost and benefit estimates for a digital twin project.</w:t>
      </w:r>
    </w:p>
    <w:p w14:paraId="796652D8" w14:textId="5F42F92C" w:rsidR="00540725" w:rsidRDefault="00421A8A" w:rsidP="00540725">
      <w:pPr>
        <w:pStyle w:val="Heading2"/>
        <w:rPr>
          <w:rFonts w:hint="eastAsia"/>
        </w:rPr>
      </w:pPr>
      <w:bookmarkStart w:id="192" w:name="_Toc173876044"/>
      <w:bookmarkStart w:id="193" w:name="_Toc181219297"/>
      <w:r>
        <w:t>5.3</w:t>
      </w:r>
      <w:r>
        <w:tab/>
      </w:r>
      <w:r w:rsidR="00540725">
        <w:t>Improving Energy Data Access</w:t>
      </w:r>
      <w:bookmarkEnd w:id="192"/>
      <w:bookmarkEnd w:id="193"/>
    </w:p>
    <w:p w14:paraId="658521A0" w14:textId="77777777" w:rsidR="00540725" w:rsidRDefault="00540725" w:rsidP="00540725">
      <w:pPr>
        <w:pStyle w:val="BodyText"/>
      </w:pPr>
      <w:r>
        <w:t>With or without a digital twin, there would be value for the City of Melbourne in improving its access to energy data, to the extent that this is feasible.  There would be a number of pathways that could be explored:</w:t>
      </w:r>
    </w:p>
    <w:p w14:paraId="3F67EC63" w14:textId="77777777" w:rsidR="00540725" w:rsidRDefault="00540725" w:rsidP="00907604">
      <w:pPr>
        <w:pStyle w:val="ListParagraph"/>
        <w:numPr>
          <w:ilvl w:val="0"/>
          <w:numId w:val="22"/>
        </w:numPr>
      </w:pPr>
      <w:r>
        <w:t>Building on existing collaborative processes between Victorian local governments and energy distributors.  We understand that consultative arrangements already exist, and it is possible a co-ordinated approach between Councils would have value not only for the Councils, for inventories, abatement policy development, emissions pathway analyses and the like, but also for distributors, by standardising reporting arrangements and reducing associated administrative costs.</w:t>
      </w:r>
    </w:p>
    <w:p w14:paraId="10E47612" w14:textId="77777777" w:rsidR="00540725" w:rsidRDefault="00540725" w:rsidP="00907604">
      <w:pPr>
        <w:pStyle w:val="ListParagraph"/>
        <w:numPr>
          <w:ilvl w:val="0"/>
          <w:numId w:val="22"/>
        </w:numPr>
      </w:pPr>
      <w:r>
        <w:t xml:space="preserve">Exploring alternative/additional energy data sources.  This general strategy is based on the observation that vast quantities of energy-related data already exist and, to the greatest extent </w:t>
      </w:r>
      <w:r>
        <w:lastRenderedPageBreak/>
        <w:t>possible, we should avoid duplicating existing data collections.  However, some parties hold energy data for specific reasons – such as AEMO for market settlements, or the AER as regulation information notices – and don’t necessarily have a mandate to make that data available in a statistical manner.  Collaborative projects could be framed that access such data sources, but supply to data owners the expertise, or system design resources, that they may not have in-house.  There is also an existing project being conducted by CSIRO to access AEMO data for statistical purposes, and it may be that a collaborative project with either CSIRO could achieve a similar end.  There are also existing data services providers – such as Geoscape Australia, for example – that hold data that is likely to add value to the City of Melbourne, but such providers will require payment for data services, and so again there would a need to scope out a value case and benefit cost analysis for accessing such data.  We also note that this study does not capture data on minor fuels used in the built environment, such as diesel and LPG, and that different data capture strategies are likely to be required if these fuels were to be brought within the scope of future Baseline Study or model.</w:t>
      </w:r>
    </w:p>
    <w:p w14:paraId="27925DCB" w14:textId="77777777" w:rsidR="00540725" w:rsidRDefault="00540725" w:rsidP="00907604">
      <w:pPr>
        <w:pStyle w:val="ListParagraph"/>
        <w:numPr>
          <w:ilvl w:val="0"/>
          <w:numId w:val="22"/>
        </w:numPr>
      </w:pPr>
      <w:r>
        <w:t>To the extent that the above collaborative approaches do not yield the quantity and/or quality of data required, the City of Melbourne, or representative bodies such as MAV or ALGA, could make representations to the National Government for regulatory changes that would require energy companies (and potentially others) to provide specific information.  The National Energy Law, for example, already imposes a range of reporting obligations on energy companies, and these certainly capable of being tailored where a reasonable use case is made.  In some cases, state government or indeed City of Melbourne regulatory powers may be able to be used for similar purposes.</w:t>
      </w:r>
    </w:p>
    <w:p w14:paraId="3524F2A3" w14:textId="77777777" w:rsidR="00540725" w:rsidRDefault="00540725" w:rsidP="00540725">
      <w:pPr>
        <w:pStyle w:val="BodyText"/>
      </w:pPr>
      <w:r>
        <w:t>Overall, we would argue that is necessary for all levels of government to have access to appropriate information resources, including models building upon such information, to enable efficient decision-making leading cost-effective solutions, be they in the area of emissions abatement, or indeed in many other aspects of the built environment.</w:t>
      </w:r>
    </w:p>
    <w:p w14:paraId="657D3267" w14:textId="5326B081" w:rsidR="00540725" w:rsidRDefault="00421A8A" w:rsidP="00540725">
      <w:pPr>
        <w:pStyle w:val="Heading2"/>
        <w:rPr>
          <w:rFonts w:hint="eastAsia"/>
        </w:rPr>
      </w:pPr>
      <w:bookmarkStart w:id="194" w:name="_Toc173876045"/>
      <w:bookmarkStart w:id="195" w:name="_Toc181219298"/>
      <w:r>
        <w:t>5.4</w:t>
      </w:r>
      <w:r>
        <w:tab/>
      </w:r>
      <w:r w:rsidR="00540725">
        <w:t>Gas Connections and Exposure</w:t>
      </w:r>
      <w:bookmarkEnd w:id="194"/>
      <w:bookmarkEnd w:id="195"/>
    </w:p>
    <w:p w14:paraId="0F03756F" w14:textId="77777777" w:rsidR="00540725" w:rsidRDefault="00540725" w:rsidP="00540725">
      <w:pPr>
        <w:pStyle w:val="BodyText"/>
      </w:pPr>
      <w:r>
        <w:t>It was noted in Chapter 3 that Melbourne has a relatively high use of fossil gas.  As the emissions-intensity of electricity consumption continues to fall and, indeed, to fall rapidly, gas use will occupy a higher and higher share of the LGA’s total greenhouse gas emissions.  Therefore, understanding the city’s degree of exposure to gas, the exact nature of gas demand and end-use, by sector and potentially for key gas-using sites or buildings, will be critical if the City is to map effective abatement strategies, including gas substitution possibilities such as electrification and green hydrogen.</w:t>
      </w:r>
    </w:p>
    <w:p w14:paraId="12BCD8E7" w14:textId="77777777" w:rsidR="00540725" w:rsidRDefault="00540725" w:rsidP="00540725">
      <w:pPr>
        <w:pStyle w:val="BodyText"/>
      </w:pPr>
      <w:r>
        <w:t>This study was not able to capture complete information on the number of gas connections in the city, nor to explore trends over time, nor to investigate the apparent misallocation of reported consumption between sectors, nor to identify specific gas emissions abatement opportunities, but these could all form valuable follow-on projects.</w:t>
      </w:r>
    </w:p>
    <w:p w14:paraId="71D9C485" w14:textId="214AC07E" w:rsidR="00540725" w:rsidRDefault="00421A8A" w:rsidP="00540725">
      <w:pPr>
        <w:pStyle w:val="Heading2"/>
        <w:rPr>
          <w:rFonts w:hint="eastAsia"/>
        </w:rPr>
      </w:pPr>
      <w:bookmarkStart w:id="196" w:name="_Toc173876046"/>
      <w:bookmarkStart w:id="197" w:name="_Toc181219299"/>
      <w:r>
        <w:t>5.5</w:t>
      </w:r>
      <w:r>
        <w:tab/>
      </w:r>
      <w:r w:rsidR="00540725">
        <w:t>Greenhouse Gas Emissions Abatement Opportunity Analysis</w:t>
      </w:r>
      <w:bookmarkEnd w:id="196"/>
      <w:bookmarkEnd w:id="197"/>
    </w:p>
    <w:p w14:paraId="4A5521C5" w14:textId="77777777" w:rsidR="00540725" w:rsidRDefault="00540725" w:rsidP="00540725">
      <w:pPr>
        <w:pStyle w:val="BodyText"/>
      </w:pPr>
      <w:r>
        <w:t>A key rationale for a Buildings Baseline Study for the City of Melbourne is to enable the City to identify strategic and cost-effective emissions abatement opportunities and strategies.  In this context, it would be feasible to build on the existing project, along with the other opportunities discussed in this Chapter, to model a range of opportunities by building type and fuel.  It would be ideal to add detail to the model such as the end-use of the different fuels in different contexts, in order to establish feasible and optimal abatement options.  For example, with electrification emerging as a key opportunity for rapid and cost-effective abatement, mapping the end-uses of fossil gas by sector would enable efficient targeting of abatement strategies.  As noted in Chapter, there are some large industrial gas users in the city, and it may be that alternative strategies, such as green hydrogen or other innovative solutions, may be preferred options in some cases.  Exploring these options would require at least additional analysis, but might also be facilitated through targeted consultations or other complementary strategies.</w:t>
      </w:r>
    </w:p>
    <w:p w14:paraId="3EFD5B5B" w14:textId="65166ECA" w:rsidR="00540725" w:rsidRDefault="00421A8A" w:rsidP="00540725">
      <w:pPr>
        <w:pStyle w:val="Heading2"/>
        <w:rPr>
          <w:rFonts w:hint="eastAsia"/>
        </w:rPr>
      </w:pPr>
      <w:bookmarkStart w:id="198" w:name="_Toc173876047"/>
      <w:bookmarkStart w:id="199" w:name="_Toc181219300"/>
      <w:r>
        <w:lastRenderedPageBreak/>
        <w:t>5.6</w:t>
      </w:r>
      <w:r>
        <w:tab/>
      </w:r>
      <w:r w:rsidR="00540725">
        <w:t>NABERS/CBD Data Matching</w:t>
      </w:r>
      <w:bookmarkEnd w:id="198"/>
      <w:bookmarkEnd w:id="199"/>
    </w:p>
    <w:p w14:paraId="18A69544" w14:textId="77777777" w:rsidR="00540725" w:rsidRDefault="00540725" w:rsidP="00540725">
      <w:pPr>
        <w:pStyle w:val="BodyText"/>
      </w:pPr>
      <w:r>
        <w:t>A specific opportunity to build on the existing project would be to undertake a detailed matching of NABERS energy data with individual buildings in the City, beyond the existing point-in-time matching of the limited CBD dataset conducted for this report.  This could be done as a one-off exercise, with the key benefit being to help validate the wider model of the energy use of the whole class of buildings.  Alternatively, it may be possible to explore with NABERS standing data-sharing arrangements that could see a model or digital twin of the city being updated regularly when new NABERS ratings are undertaken.</w:t>
      </w:r>
    </w:p>
    <w:p w14:paraId="49B9180F" w14:textId="77777777" w:rsidR="00540725" w:rsidRPr="00B320E1" w:rsidRDefault="00540725" w:rsidP="00540725">
      <w:pPr>
        <w:pStyle w:val="BodyText"/>
      </w:pPr>
      <w:r>
        <w:t>Similarly, there are projects underway that may well lead to a wider range of building types and spaces being rated under NABERS and CBD in coming years.  The CBD data, by intention, will be publicly disclosed, but it may again be possible to automate the process of data capture by the City from the CBD program.  Accessing this growing pool of NABERS and CBD data would add detail and accuracy the city’s digital twin, enabling more accurate assessment of the need and case for specific policy interventions.</w:t>
      </w:r>
    </w:p>
    <w:p w14:paraId="3B0A9F21" w14:textId="77777777" w:rsidR="00D452F9" w:rsidRDefault="00D452F9">
      <w:pPr>
        <w:spacing w:after="0" w:line="240" w:lineRule="auto"/>
        <w:rPr>
          <w:rFonts w:ascii="Arial Bold" w:eastAsia="MS Gothic" w:hAnsi="Arial Bold" w:hint="eastAsia"/>
          <w:bCs/>
          <w:sz w:val="28"/>
          <w:szCs w:val="32"/>
          <w:lang w:val="en-US"/>
        </w:rPr>
      </w:pPr>
      <w:bookmarkStart w:id="200" w:name="_Toc173876048"/>
      <w:r>
        <w:rPr>
          <w:rFonts w:hint="eastAsia"/>
        </w:rPr>
        <w:br w:type="page"/>
      </w:r>
    </w:p>
    <w:p w14:paraId="5CDCE6CB" w14:textId="41F6FB11" w:rsidR="00540725" w:rsidRDefault="00540725" w:rsidP="00907604">
      <w:pPr>
        <w:pStyle w:val="Heading1"/>
        <w:numPr>
          <w:ilvl w:val="0"/>
          <w:numId w:val="20"/>
        </w:numPr>
        <w:ind w:hanging="720"/>
        <w:rPr>
          <w:rFonts w:hint="eastAsia"/>
        </w:rPr>
      </w:pPr>
      <w:bookmarkStart w:id="201" w:name="_Toc181219301"/>
      <w:r>
        <w:lastRenderedPageBreak/>
        <w:t>Summary and Conclusion</w:t>
      </w:r>
      <w:bookmarkEnd w:id="200"/>
      <w:bookmarkEnd w:id="201"/>
    </w:p>
    <w:p w14:paraId="218ED071" w14:textId="77777777" w:rsidR="00540725" w:rsidRPr="004C7735" w:rsidRDefault="00540725" w:rsidP="00907604">
      <w:r>
        <w:t xml:space="preserve">In summary, this baseline study identified several key insights into the nature and distribution of energy use and associated emissions across the City’s buildings, both by space-use type and by geographic location. </w:t>
      </w:r>
      <w:r w:rsidRPr="004C7735">
        <w:t xml:space="preserve"> In 2022, total energy consumption in the City of Melbourne's buildings was 16,</w:t>
      </w:r>
      <w:r>
        <w:t>272</w:t>
      </w:r>
      <w:r w:rsidRPr="004C7735">
        <w:t xml:space="preserve"> TJ, with 6</w:t>
      </w:r>
      <w:r>
        <w:t>9.1</w:t>
      </w:r>
      <w:r w:rsidRPr="004C7735">
        <w:t xml:space="preserve">% coming from electricity and </w:t>
      </w:r>
      <w:r>
        <w:t>40.9</w:t>
      </w:r>
      <w:r w:rsidRPr="004C7735">
        <w:t>% from fossil gas. This high reliance on gas is characteristic of Melbourne and the wider Victoria region, reflecting historical factors such as the development of the gas network and the region's heating-dominated climate. The distribution of energy consumption by postcode shows that the Central Business District (CBD) is slightly overrepresented, accounting for 3</w:t>
      </w:r>
      <w:r>
        <w:t>8</w:t>
      </w:r>
      <w:r w:rsidRPr="004C7735">
        <w:t>% of total energy consumption despite having 34% of the total floor area</w:t>
      </w:r>
      <w:r>
        <w:t xml:space="preserve"> – this reflects the CBD’s concentration of more energy intensive space-uses.</w:t>
      </w:r>
    </w:p>
    <w:p w14:paraId="7EDF3898" w14:textId="77777777" w:rsidR="00540725" w:rsidRPr="004C7735" w:rsidRDefault="00540725" w:rsidP="00907604">
      <w:r w:rsidRPr="004C7735">
        <w:t>When examining energy consumption by space-use type, office spaces emerge as the largest contributor, accounting for 3</w:t>
      </w:r>
      <w:r>
        <w:t>1</w:t>
      </w:r>
      <w:r w:rsidRPr="004C7735">
        <w:t>% of total energy use. Residential accommodations, including student and institutional housing, are the second-largest consumers at 2</w:t>
      </w:r>
      <w:r>
        <w:t>8</w:t>
      </w:r>
      <w:r w:rsidRPr="004C7735">
        <w:t>%. Hospitals and healthcare facilities, commercial accommodation, retail, and educational spaces also contribute significantly to the total energy consumption. The data indicates a</w:t>
      </w:r>
      <w:r>
        <w:t xml:space="preserve"> slightly above average</w:t>
      </w:r>
      <w:r w:rsidRPr="004C7735">
        <w:t xml:space="preserve"> electrification rate in the CBD</w:t>
      </w:r>
      <w:r>
        <w:t xml:space="preserve"> and surrounds</w:t>
      </w:r>
      <w:r w:rsidRPr="004C7735">
        <w:t xml:space="preserve"> compared to other postcodes, </w:t>
      </w:r>
      <w:r>
        <w:t>reflecting the high share of office space and non-gas intensive spaces uses in these areas</w:t>
      </w:r>
      <w:r w:rsidRPr="004C7735">
        <w:t>. In contrast, areas with high rates of non-apartment housing and major hospitals show above-average gas consumption</w:t>
      </w:r>
      <w:r>
        <w:t>, suggesting areas for possible future work.</w:t>
      </w:r>
    </w:p>
    <w:p w14:paraId="548B0C3D" w14:textId="77777777" w:rsidR="00540725" w:rsidRDefault="00540725" w:rsidP="00907604">
      <w:r w:rsidRPr="004C7735">
        <w:t xml:space="preserve">In terms of energy efficiency, there are positive </w:t>
      </w:r>
      <w:r>
        <w:t>signs</w:t>
      </w:r>
      <w:r w:rsidRPr="004C7735">
        <w:t xml:space="preserve">, especially in office buildings where progress </w:t>
      </w:r>
      <w:r>
        <w:t xml:space="preserve">appears to </w:t>
      </w:r>
      <w:r w:rsidRPr="004C7735">
        <w:t>ha</w:t>
      </w:r>
      <w:r>
        <w:t>ve</w:t>
      </w:r>
      <w:r w:rsidRPr="004C7735">
        <w:t xml:space="preserve"> been made in reducing both energy intensity. Larger office spaces tend to be more energy-efficient than smaller ones, which is encouraging given that a substantial portion of office space in the LGA is associated with these larger, more efficient spaces. </w:t>
      </w:r>
      <w:r>
        <w:t xml:space="preserve">A review of CBD/NABERS data indicates the construction or refurbishment of modern, efficient office space is a driver of this trend. </w:t>
      </w:r>
      <w:r w:rsidRPr="004C7735">
        <w:t xml:space="preserve">Residential energy consumption, however, appears underreported in distributor data due to misallocation </w:t>
      </w:r>
      <w:r>
        <w:t xml:space="preserve">of this consumption to a commercial user class. </w:t>
      </w:r>
    </w:p>
    <w:p w14:paraId="75616516" w14:textId="77777777" w:rsidR="00540725" w:rsidRDefault="00540725" w:rsidP="00907604">
      <w:r>
        <w:t>This problem appears to be primarily associated with those buildings</w:t>
      </w:r>
      <w:r w:rsidRPr="004C7735">
        <w:t xml:space="preserve"> </w:t>
      </w:r>
      <w:r>
        <w:t xml:space="preserve">using </w:t>
      </w:r>
      <w:r w:rsidRPr="004C7735">
        <w:t xml:space="preserve">embedded </w:t>
      </w:r>
      <w:r>
        <w:t xml:space="preserve">electricity </w:t>
      </w:r>
      <w:r w:rsidRPr="004C7735">
        <w:t xml:space="preserve">networks and central gas services. </w:t>
      </w:r>
      <w:r>
        <w:t>Our</w:t>
      </w:r>
      <w:r w:rsidRPr="004C7735">
        <w:t xml:space="preserve"> revised analysis suggests that total residential energy consumption is</w:t>
      </w:r>
      <w:r>
        <w:t xml:space="preserve"> significantly</w:t>
      </w:r>
      <w:r w:rsidRPr="004C7735">
        <w:t xml:space="preserve"> higher than initially reported, with</w:t>
      </w:r>
      <w:r>
        <w:t xml:space="preserve"> the underreporting of residential gas use particularly pronounced</w:t>
      </w:r>
      <w:r w:rsidRPr="004C7735">
        <w:t>.</w:t>
      </w:r>
      <w:r>
        <w:t xml:space="preserve"> This misallocation has serious implications for the allocation of the City’s human and financial resources, and it suggests additional efforts may be required to understand and influence the energy-use patterns in this building class. </w:t>
      </w:r>
    </w:p>
    <w:p w14:paraId="346FF088" w14:textId="77777777" w:rsidR="00540725" w:rsidRPr="004C7735" w:rsidRDefault="00540725" w:rsidP="00907604">
      <w:r>
        <w:t>The Victorian Government’s move to restrict new gas connections in apartment buildings should, over time, drive changes in the proportion of total residential energy consumption derived from gas, but existing users may require support or advice on fuel switching as existing plant comes up for replacement.</w:t>
      </w:r>
    </w:p>
    <w:p w14:paraId="118E1F18" w14:textId="43F7E2F4" w:rsidR="00540725" w:rsidRPr="00D61879" w:rsidRDefault="00540725" w:rsidP="00907604">
      <w:pPr>
        <w:rPr>
          <w:rFonts w:ascii="Helvetica Light" w:hAnsi="Helvetica Light" w:cstheme="minorBidi"/>
          <w:szCs w:val="20"/>
        </w:rPr>
      </w:pPr>
      <w:r w:rsidRPr="004C7735">
        <w:t xml:space="preserve">Greenhouse gas emissions from the </w:t>
      </w:r>
      <w:r>
        <w:t>C</w:t>
      </w:r>
      <w:r w:rsidRPr="004C7735">
        <w:t>ity's built environment totalled 3.2 Mt CO</w:t>
      </w:r>
      <w:r w:rsidRPr="001F008C">
        <w:rPr>
          <w:vertAlign w:val="subscript"/>
        </w:rPr>
        <w:t>2</w:t>
      </w:r>
      <w:r w:rsidRPr="004C7735">
        <w:t>-e in 2022, with electricity consumption contributing 8</w:t>
      </w:r>
      <w:r>
        <w:t>8</w:t>
      </w:r>
      <w:r w:rsidRPr="004C7735">
        <w:t>.</w:t>
      </w:r>
      <w:r>
        <w:t>4</w:t>
      </w:r>
      <w:r w:rsidRPr="004C7735">
        <w:t>% due to the high emission intensity of the Victorian grid. As the grid decarbonizes, both total emissions and the share from electricity are expected to decrease. Offices and residential accommodations are the largest sources of emissions, accounting for 3</w:t>
      </w:r>
      <w:r>
        <w:t>2</w:t>
      </w:r>
      <w:r w:rsidRPr="004C7735">
        <w:t>% and 2</w:t>
      </w:r>
      <w:r>
        <w:t>4</w:t>
      </w:r>
      <w:r w:rsidRPr="004C7735">
        <w:t>%, respectively. PPAs play</w:t>
      </w:r>
      <w:r>
        <w:t xml:space="preserve"> </w:t>
      </w:r>
      <w:r w:rsidRPr="004C7735">
        <w:t xml:space="preserve">role in offsetting </w:t>
      </w:r>
      <w:r>
        <w:t xml:space="preserve">the City’s </w:t>
      </w:r>
      <w:r w:rsidRPr="004C7735">
        <w:t>emissions, with several large agreements</w:t>
      </w:r>
      <w:r>
        <w:t xml:space="preserve"> covering consumption within the LGA signed in recent years, though the scale of associated emission reductions was not able to be quantified in this report.</w:t>
      </w:r>
    </w:p>
    <w:p w14:paraId="2B7ECEC5" w14:textId="77777777" w:rsidR="00DB61D7" w:rsidRDefault="00DB61D7">
      <w:pPr>
        <w:spacing w:after="0" w:line="240" w:lineRule="auto"/>
        <w:rPr>
          <w:rFonts w:ascii="Arial Bold" w:eastAsia="MS Gothic" w:hAnsi="Arial Bold" w:hint="eastAsia"/>
          <w:bCs/>
          <w:sz w:val="28"/>
          <w:szCs w:val="32"/>
          <w:lang w:val="en-US"/>
        </w:rPr>
      </w:pPr>
      <w:bookmarkStart w:id="202" w:name="_Ref171021855"/>
      <w:bookmarkStart w:id="203" w:name="_Toc173876049"/>
      <w:r>
        <w:rPr>
          <w:rFonts w:hint="eastAsia"/>
        </w:rPr>
        <w:br w:type="page"/>
      </w:r>
    </w:p>
    <w:p w14:paraId="144B9591" w14:textId="3C693764" w:rsidR="00540725" w:rsidRDefault="00540725" w:rsidP="00907604">
      <w:pPr>
        <w:pStyle w:val="Heading1"/>
        <w:numPr>
          <w:ilvl w:val="0"/>
          <w:numId w:val="21"/>
        </w:numPr>
        <w:ind w:hanging="720"/>
        <w:rPr>
          <w:rFonts w:hint="eastAsia"/>
        </w:rPr>
      </w:pPr>
      <w:bookmarkStart w:id="204" w:name="_Toc181219302"/>
      <w:r>
        <w:lastRenderedPageBreak/>
        <w:t>Glossary of Terms</w:t>
      </w:r>
      <w:bookmarkEnd w:id="202"/>
      <w:bookmarkEnd w:id="203"/>
      <w:bookmarkEnd w:id="204"/>
    </w:p>
    <w:p w14:paraId="32B597D8" w14:textId="77777777" w:rsidR="00540725" w:rsidRDefault="00540725" w:rsidP="00907604">
      <w:r w:rsidRPr="00EB793B">
        <w:rPr>
          <w:b/>
          <w:bCs/>
        </w:rPr>
        <w:t>Baseline Study:</w:t>
      </w:r>
      <w:r>
        <w:t xml:space="preserve"> A comprehensive analysis of the current state of a subject, in this case, buildings in the City of Melbourne, including their energy use and greenhouse gas emissions. It serves as a reference point for future comparisons and helps in planning and implementing improvements.</w:t>
      </w:r>
    </w:p>
    <w:p w14:paraId="3A12B8D0" w14:textId="77777777" w:rsidR="00540725" w:rsidRDefault="00540725" w:rsidP="00907604">
      <w:r w:rsidRPr="00EB793B">
        <w:rPr>
          <w:b/>
          <w:bCs/>
        </w:rPr>
        <w:t>Behind-the-Meter:</w:t>
      </w:r>
      <w:r>
        <w:t xml:space="preserve"> Refers to energy systems, like solar panels, that generate electricity for use on-site, reducing reliance on the grid. Behind-the-meter systems can lower energy costs and contribute to sustainability by generating renewable energy locally.</w:t>
      </w:r>
    </w:p>
    <w:p w14:paraId="346B5536" w14:textId="77777777" w:rsidR="00540725" w:rsidRDefault="00540725" w:rsidP="00907604">
      <w:r w:rsidRPr="00EB793B">
        <w:rPr>
          <w:b/>
          <w:bCs/>
        </w:rPr>
        <w:t>Bottom-Up Data:</w:t>
      </w:r>
      <w:r>
        <w:t xml:space="preserve"> Detailed data collected from individual buildings or smaller units, used to build a comprehensive model from the ground up. This data provides a granular view of energy use and emissions, allowing for more precise analysis and targeted interventions.</w:t>
      </w:r>
    </w:p>
    <w:p w14:paraId="663D270D" w14:textId="4A68C04F" w:rsidR="00540725" w:rsidRDefault="00540725" w:rsidP="00907604">
      <w:r w:rsidRPr="00EB793B">
        <w:rPr>
          <w:b/>
          <w:bCs/>
        </w:rPr>
        <w:t>Building Envelope:</w:t>
      </w:r>
      <w:r>
        <w:t xml:space="preserve"> The physical barrier between the conditioned interior of a building and the outside environment, including walls, roofs, windows, and doors. A well-designed building envelope improves energy efficiency by minimizing heat loss in winter and heat gain in summer.</w:t>
      </w:r>
    </w:p>
    <w:p w14:paraId="53101768" w14:textId="77777777" w:rsidR="00540725" w:rsidRDefault="00540725" w:rsidP="00907604">
      <w:r w:rsidRPr="00EB793B">
        <w:rPr>
          <w:b/>
          <w:bCs/>
        </w:rPr>
        <w:t>CLUE (Census of Land Use and Employment):</w:t>
      </w:r>
      <w:r>
        <w:t xml:space="preserve"> A data collection program by the City of Melbourne that captures information on land use, employment, and building characteristics through regular censuses. This data includes industry structure, floor space use, employment type, building information, and spatial distribution.</w:t>
      </w:r>
    </w:p>
    <w:p w14:paraId="6E790877" w14:textId="77777777" w:rsidR="00540725" w:rsidRDefault="00540725" w:rsidP="00907604">
      <w:r w:rsidRPr="00EB793B">
        <w:rPr>
          <w:b/>
          <w:bCs/>
        </w:rPr>
        <w:t>Demand Response:</w:t>
      </w:r>
      <w:r>
        <w:t xml:space="preserve"> A strategy to adjust the demand for power instead of adjusting the supply. During peak demand periods, demand response can help balance the grid by incentivizing consumers to reduce or shift their energy use.</w:t>
      </w:r>
    </w:p>
    <w:p w14:paraId="17FDE729" w14:textId="77777777" w:rsidR="00540725" w:rsidRDefault="00540725" w:rsidP="00907604">
      <w:r w:rsidRPr="00EB793B">
        <w:rPr>
          <w:b/>
          <w:bCs/>
        </w:rPr>
        <w:t>Embedded Network:</w:t>
      </w:r>
      <w:r>
        <w:t xml:space="preserve"> A private electricity network within a building or a precinct that buys electricity in bulk and then onsells it to individual occupants. Embedded networks are common in apartment buildings and commercial complexes.</w:t>
      </w:r>
    </w:p>
    <w:p w14:paraId="6310A0D7" w14:textId="77777777" w:rsidR="00540725" w:rsidRDefault="00540725" w:rsidP="00907604">
      <w:r w:rsidRPr="00EB793B">
        <w:rPr>
          <w:b/>
          <w:bCs/>
        </w:rPr>
        <w:t>Energy Distributors:</w:t>
      </w:r>
      <w:r>
        <w:t xml:space="preserve"> Companies responsible for the delivery of electricity and gas to consumers, often involved in providing consumption data for studies. These companies maintain the infrastructure for energy delivery and play a key role in managing energy supply and demand.</w:t>
      </w:r>
    </w:p>
    <w:p w14:paraId="1DE16470" w14:textId="77777777" w:rsidR="00540725" w:rsidRDefault="00540725" w:rsidP="00907604">
      <w:r w:rsidRPr="00EB793B">
        <w:rPr>
          <w:b/>
          <w:bCs/>
        </w:rPr>
        <w:t>Energy Efficiency:</w:t>
      </w:r>
      <w:r>
        <w:t xml:space="preserve"> The practice of using less energy to provide the same service, reducing energy waste and emissions. Energy efficiency measures include upgrading lighting, improving insulation, and optimizing HVAC systems.</w:t>
      </w:r>
    </w:p>
    <w:p w14:paraId="51720519" w14:textId="77777777" w:rsidR="00540725" w:rsidRDefault="00540725" w:rsidP="00907604">
      <w:r w:rsidRPr="00EB793B">
        <w:rPr>
          <w:b/>
          <w:bCs/>
        </w:rPr>
        <w:t>Energy Intensity</w:t>
      </w:r>
      <w:r>
        <w:t>: A measure of the energy consumption per unit area (e.g., kWh/m²) or unit of output, used to assess the energy efficiency of buildings. High energy intensity indicates greater energy consumption per unit area, suggesting potential areas for efficiency improvements.</w:t>
      </w:r>
    </w:p>
    <w:p w14:paraId="41745A9D" w14:textId="4D0FC9B1" w:rsidR="00540725" w:rsidRDefault="00540725" w:rsidP="00907604">
      <w:r w:rsidRPr="00EB793B">
        <w:rPr>
          <w:b/>
          <w:bCs/>
        </w:rPr>
        <w:t>NABERS (National Australian Built Environment Ratings Scheme):</w:t>
      </w:r>
      <w:r>
        <w:t xml:space="preserve"> A program that provides performance ratings for buildings in Australia, focusing on energy and water usage, indoor environment quality, and waste management. NABERS helps building owners and tenants understand and improve their environmental performance</w:t>
      </w:r>
      <w:r w:rsidR="00D452F9">
        <w:t>.</w:t>
      </w:r>
    </w:p>
    <w:p w14:paraId="4F46A37A" w14:textId="77777777" w:rsidR="00540725" w:rsidRDefault="00540725" w:rsidP="00907604">
      <w:r w:rsidRPr="00EB793B">
        <w:rPr>
          <w:b/>
          <w:bCs/>
        </w:rPr>
        <w:t>Net Zero Greenhouse Gas Emissions:</w:t>
      </w:r>
      <w:r>
        <w:t xml:space="preserve"> A state where the total greenhouse gases emitted are balanced by the total greenhouse gases removed from the atmosphere. </w:t>
      </w:r>
    </w:p>
    <w:p w14:paraId="1674C8FC" w14:textId="77777777" w:rsidR="00540725" w:rsidRDefault="00540725" w:rsidP="00907604">
      <w:r w:rsidRPr="00EB793B">
        <w:rPr>
          <w:b/>
          <w:bCs/>
        </w:rPr>
        <w:t>Property Data:</w:t>
      </w:r>
      <w:r>
        <w:t xml:space="preserve"> Information maintained by the City of Melbourne on property valuations, ownership, and occupancy. This data is used in conjunction with CLUE for detailed building analyses, providing insights into building characteristics and usage patterns.</w:t>
      </w:r>
    </w:p>
    <w:p w14:paraId="0A7A4576" w14:textId="77777777" w:rsidR="00540725" w:rsidRDefault="00540725" w:rsidP="00907604">
      <w:r w:rsidRPr="00EB793B">
        <w:rPr>
          <w:b/>
          <w:bCs/>
        </w:rPr>
        <w:lastRenderedPageBreak/>
        <w:t>Renewable Energy:</w:t>
      </w:r>
      <w:r>
        <w:t xml:space="preserve"> Energy generated from natural sources that are continuously replenished, such as solar, wind, and hydroelectric power. Renewable energy reduces dependence on fossil fuels and lowers greenhouse gas emissions.</w:t>
      </w:r>
    </w:p>
    <w:p w14:paraId="7075D616" w14:textId="77777777" w:rsidR="00540725" w:rsidRDefault="00540725" w:rsidP="00907604">
      <w:r w:rsidRPr="00EB793B">
        <w:rPr>
          <w:b/>
          <w:bCs/>
        </w:rPr>
        <w:t>Retrofitting:</w:t>
      </w:r>
      <w:r>
        <w:t xml:space="preserve"> The process of making modifications to existing buildings to improve their energy efficiency and reduce greenhouse gas emissions. Retrofits can include upgrading insulation, installing energy-efficient windows, and replacing old HVAC systems with more efficient ones.</w:t>
      </w:r>
    </w:p>
    <w:p w14:paraId="73A31056" w14:textId="77777777" w:rsidR="00540725" w:rsidRDefault="00540725" w:rsidP="00907604">
      <w:r w:rsidRPr="00EB793B">
        <w:rPr>
          <w:b/>
          <w:bCs/>
        </w:rPr>
        <w:t>Spatially Disaggregated:</w:t>
      </w:r>
      <w:r>
        <w:t xml:space="preserve"> Data that is broken down and analysed in smaller geographical units, providing detailed insights into specific areas. </w:t>
      </w:r>
    </w:p>
    <w:p w14:paraId="673D431C" w14:textId="77777777" w:rsidR="00540725" w:rsidRDefault="00540725" w:rsidP="00907604">
      <w:r w:rsidRPr="00EB793B">
        <w:rPr>
          <w:b/>
          <w:bCs/>
        </w:rPr>
        <w:t>Top-Down Data:</w:t>
      </w:r>
      <w:r>
        <w:t xml:space="preserve"> Aggregate data collected from broad sources, such as energy distributors, providing a high-level overview of consumption patterns. This data is useful for understanding overall trends and making broad policy decisions.</w:t>
      </w:r>
    </w:p>
    <w:p w14:paraId="344478F7" w14:textId="77777777" w:rsidR="00540725" w:rsidRDefault="00540725" w:rsidP="00540725">
      <w:pPr>
        <w:rPr>
          <w:rFonts w:ascii="Helvetica Light" w:hAnsi="Helvetica Light" w:cstheme="minorBidi"/>
          <w:szCs w:val="20"/>
        </w:rPr>
      </w:pPr>
    </w:p>
    <w:p w14:paraId="1C78D081" w14:textId="5D67CF54" w:rsidR="00283DE5" w:rsidRPr="00283DE5" w:rsidRDefault="00283DE5" w:rsidP="00283DE5">
      <w:pPr>
        <w:rPr>
          <w:rFonts w:ascii="Helvetica Light" w:hAnsi="Helvetica Light" w:cstheme="minorBidi"/>
          <w:szCs w:val="20"/>
        </w:rPr>
      </w:pPr>
    </w:p>
    <w:p w14:paraId="39BA7757" w14:textId="77777777" w:rsidR="00DB61D7" w:rsidRDefault="00DB61D7">
      <w:pPr>
        <w:spacing w:after="0" w:line="240" w:lineRule="auto"/>
        <w:rPr>
          <w:rFonts w:ascii="Arial Bold" w:eastAsia="MS Gothic" w:hAnsi="Arial Bold" w:hint="eastAsia"/>
          <w:bCs/>
          <w:sz w:val="28"/>
          <w:szCs w:val="32"/>
          <w:lang w:val="en-US"/>
        </w:rPr>
      </w:pPr>
      <w:r>
        <w:rPr>
          <w:rFonts w:hint="eastAsia"/>
        </w:rPr>
        <w:br w:type="page"/>
      </w:r>
    </w:p>
    <w:p w14:paraId="4674AEAF" w14:textId="2ACDF19A" w:rsidR="00283DE5" w:rsidRDefault="00283DE5" w:rsidP="00907604">
      <w:pPr>
        <w:pStyle w:val="Heading1"/>
        <w:numPr>
          <w:ilvl w:val="0"/>
          <w:numId w:val="21"/>
        </w:numPr>
        <w:ind w:hanging="720"/>
        <w:rPr>
          <w:rFonts w:hint="eastAsia"/>
        </w:rPr>
      </w:pPr>
      <w:bookmarkStart w:id="205" w:name="_Toc181219303"/>
      <w:r>
        <w:lastRenderedPageBreak/>
        <w:t>Appendix</w:t>
      </w:r>
      <w:r w:rsidR="005A2447">
        <w:t xml:space="preserve"> 1: Accessible Data Tables</w:t>
      </w:r>
      <w:bookmarkEnd w:id="205"/>
    </w:p>
    <w:p w14:paraId="28465006" w14:textId="6E935692" w:rsidR="00F86B01" w:rsidRPr="00F86B01" w:rsidRDefault="003B3A7A" w:rsidP="00077DBC">
      <w:pPr>
        <w:pStyle w:val="Heading3"/>
        <w:rPr>
          <w:rFonts w:hint="eastAsia"/>
        </w:rPr>
      </w:pPr>
      <w:bookmarkStart w:id="206" w:name="_Figure_1:_Floor"/>
      <w:bookmarkStart w:id="207" w:name="_Floor_Area_Shares"/>
      <w:bookmarkEnd w:id="206"/>
      <w:bookmarkEnd w:id="207"/>
      <w:r>
        <w:rPr>
          <w:lang w:eastAsia="en-AU"/>
        </w:rPr>
        <w:t>Table A.1</w:t>
      </w:r>
      <w:r>
        <w:rPr>
          <w:lang w:eastAsia="en-AU"/>
        </w:rPr>
        <w:tab/>
      </w:r>
      <w:r w:rsidR="00F86B01" w:rsidRPr="001006A3">
        <w:rPr>
          <w:lang w:eastAsia="en-AU"/>
        </w:rPr>
        <w:t>Floor Area Shares by Space Use Type, City of Melbourne, 2022</w:t>
      </w:r>
    </w:p>
    <w:tbl>
      <w:tblPr>
        <w:tblW w:w="5812" w:type="dxa"/>
        <w:tblInd w:w="-5" w:type="dxa"/>
        <w:tblLook w:val="04A0" w:firstRow="1" w:lastRow="0" w:firstColumn="1" w:lastColumn="0" w:noHBand="0" w:noVBand="1"/>
      </w:tblPr>
      <w:tblGrid>
        <w:gridCol w:w="3402"/>
        <w:gridCol w:w="2410"/>
      </w:tblGrid>
      <w:tr w:rsidR="00A91679" w:rsidRPr="001006A3" w14:paraId="348A27E0" w14:textId="77777777" w:rsidTr="00077DBC">
        <w:trPr>
          <w:trHeight w:val="300"/>
        </w:trPr>
        <w:tc>
          <w:tcPr>
            <w:tcW w:w="3402" w:type="dxa"/>
            <w:tcBorders>
              <w:top w:val="single" w:sz="4" w:space="0" w:color="auto"/>
              <w:left w:val="single" w:sz="4" w:space="0" w:color="auto"/>
              <w:bottom w:val="single" w:sz="4" w:space="0" w:color="auto"/>
              <w:right w:val="single" w:sz="4" w:space="0" w:color="auto"/>
            </w:tcBorders>
            <w:shd w:val="clear" w:color="auto" w:fill="auto"/>
            <w:noWrap/>
            <w:hideMark/>
          </w:tcPr>
          <w:p w14:paraId="476536A9" w14:textId="77777777" w:rsidR="00A91679" w:rsidRPr="009546F6" w:rsidRDefault="00A91679" w:rsidP="009546F6">
            <w:pPr>
              <w:spacing w:after="0"/>
              <w:rPr>
                <w:b/>
                <w:bCs/>
                <w:lang w:eastAsia="en-AU"/>
              </w:rPr>
            </w:pPr>
            <w:r w:rsidRPr="009546F6">
              <w:rPr>
                <w:b/>
                <w:bCs/>
                <w:lang w:eastAsia="en-AU"/>
              </w:rPr>
              <w:t>Space Use Type</w:t>
            </w:r>
          </w:p>
        </w:tc>
        <w:tc>
          <w:tcPr>
            <w:tcW w:w="2410" w:type="dxa"/>
            <w:tcBorders>
              <w:top w:val="single" w:sz="4" w:space="0" w:color="auto"/>
              <w:left w:val="nil"/>
              <w:bottom w:val="single" w:sz="4" w:space="0" w:color="auto"/>
              <w:right w:val="single" w:sz="4" w:space="0" w:color="auto"/>
            </w:tcBorders>
            <w:shd w:val="clear" w:color="auto" w:fill="auto"/>
            <w:noWrap/>
            <w:hideMark/>
          </w:tcPr>
          <w:p w14:paraId="10EECF0F" w14:textId="77777777" w:rsidR="00A91679" w:rsidRPr="009546F6" w:rsidRDefault="00A91679" w:rsidP="009546F6">
            <w:pPr>
              <w:spacing w:after="0"/>
              <w:rPr>
                <w:b/>
                <w:bCs/>
                <w:lang w:eastAsia="en-AU"/>
              </w:rPr>
            </w:pPr>
            <w:r w:rsidRPr="009546F6">
              <w:rPr>
                <w:b/>
                <w:bCs/>
                <w:lang w:eastAsia="en-AU"/>
              </w:rPr>
              <w:t>Floor Area Share (%)</w:t>
            </w:r>
          </w:p>
        </w:tc>
      </w:tr>
      <w:tr w:rsidR="00A91679" w:rsidRPr="001006A3" w14:paraId="7E98467F" w14:textId="77777777" w:rsidTr="00077DBC">
        <w:trPr>
          <w:trHeight w:val="300"/>
        </w:trPr>
        <w:tc>
          <w:tcPr>
            <w:tcW w:w="3402" w:type="dxa"/>
            <w:tcBorders>
              <w:top w:val="nil"/>
              <w:left w:val="single" w:sz="4" w:space="0" w:color="auto"/>
              <w:bottom w:val="single" w:sz="4" w:space="0" w:color="auto"/>
              <w:right w:val="single" w:sz="4" w:space="0" w:color="auto"/>
            </w:tcBorders>
            <w:shd w:val="clear" w:color="auto" w:fill="auto"/>
            <w:noWrap/>
            <w:vAlign w:val="bottom"/>
            <w:hideMark/>
          </w:tcPr>
          <w:p w14:paraId="33288368" w14:textId="77777777" w:rsidR="00A91679" w:rsidRPr="001006A3" w:rsidRDefault="00A91679" w:rsidP="009546F6">
            <w:pPr>
              <w:spacing w:after="0"/>
              <w:rPr>
                <w:lang w:eastAsia="en-AU"/>
              </w:rPr>
            </w:pPr>
            <w:r w:rsidRPr="001006A3">
              <w:rPr>
                <w:lang w:eastAsia="en-AU"/>
              </w:rPr>
              <w:t>Residential</w:t>
            </w:r>
          </w:p>
        </w:tc>
        <w:tc>
          <w:tcPr>
            <w:tcW w:w="2410" w:type="dxa"/>
            <w:tcBorders>
              <w:top w:val="nil"/>
              <w:left w:val="nil"/>
              <w:bottom w:val="single" w:sz="4" w:space="0" w:color="auto"/>
              <w:right w:val="single" w:sz="4" w:space="0" w:color="auto"/>
            </w:tcBorders>
            <w:shd w:val="clear" w:color="auto" w:fill="auto"/>
            <w:noWrap/>
            <w:vAlign w:val="bottom"/>
            <w:hideMark/>
          </w:tcPr>
          <w:p w14:paraId="34460E1D" w14:textId="77777777" w:rsidR="00A91679" w:rsidRPr="001006A3" w:rsidRDefault="00A91679" w:rsidP="00C825F9">
            <w:pPr>
              <w:spacing w:after="0"/>
              <w:jc w:val="right"/>
              <w:rPr>
                <w:lang w:eastAsia="en-AU"/>
              </w:rPr>
            </w:pPr>
            <w:r w:rsidRPr="001006A3">
              <w:rPr>
                <w:lang w:eastAsia="en-AU"/>
              </w:rPr>
              <w:t>33%</w:t>
            </w:r>
          </w:p>
        </w:tc>
      </w:tr>
      <w:tr w:rsidR="00A91679" w:rsidRPr="001006A3" w14:paraId="1C60B047" w14:textId="77777777" w:rsidTr="00077DBC">
        <w:trPr>
          <w:trHeight w:val="300"/>
        </w:trPr>
        <w:tc>
          <w:tcPr>
            <w:tcW w:w="3402" w:type="dxa"/>
            <w:tcBorders>
              <w:top w:val="nil"/>
              <w:left w:val="single" w:sz="4" w:space="0" w:color="auto"/>
              <w:bottom w:val="single" w:sz="4" w:space="0" w:color="auto"/>
              <w:right w:val="single" w:sz="4" w:space="0" w:color="auto"/>
            </w:tcBorders>
            <w:shd w:val="clear" w:color="auto" w:fill="auto"/>
            <w:noWrap/>
            <w:vAlign w:val="bottom"/>
            <w:hideMark/>
          </w:tcPr>
          <w:p w14:paraId="32D57FC8" w14:textId="77777777" w:rsidR="00A91679" w:rsidRPr="001006A3" w:rsidRDefault="00A91679" w:rsidP="009546F6">
            <w:pPr>
              <w:spacing w:after="0"/>
              <w:rPr>
                <w:lang w:eastAsia="en-AU"/>
              </w:rPr>
            </w:pPr>
            <w:r w:rsidRPr="001006A3">
              <w:rPr>
                <w:lang w:eastAsia="en-AU"/>
              </w:rPr>
              <w:t>Office</w:t>
            </w:r>
          </w:p>
        </w:tc>
        <w:tc>
          <w:tcPr>
            <w:tcW w:w="2410" w:type="dxa"/>
            <w:tcBorders>
              <w:top w:val="nil"/>
              <w:left w:val="nil"/>
              <w:bottom w:val="single" w:sz="4" w:space="0" w:color="auto"/>
              <w:right w:val="single" w:sz="4" w:space="0" w:color="auto"/>
            </w:tcBorders>
            <w:shd w:val="clear" w:color="auto" w:fill="auto"/>
            <w:noWrap/>
            <w:vAlign w:val="bottom"/>
            <w:hideMark/>
          </w:tcPr>
          <w:p w14:paraId="4393E90F" w14:textId="77777777" w:rsidR="00A91679" w:rsidRPr="001006A3" w:rsidRDefault="00A91679" w:rsidP="00C825F9">
            <w:pPr>
              <w:spacing w:after="0"/>
              <w:jc w:val="right"/>
              <w:rPr>
                <w:lang w:eastAsia="en-AU"/>
              </w:rPr>
            </w:pPr>
            <w:r w:rsidRPr="001006A3">
              <w:rPr>
                <w:lang w:eastAsia="en-AU"/>
              </w:rPr>
              <w:t>19%</w:t>
            </w:r>
          </w:p>
        </w:tc>
      </w:tr>
      <w:tr w:rsidR="00A91679" w:rsidRPr="001006A3" w14:paraId="5EFA2D20" w14:textId="77777777" w:rsidTr="00077DBC">
        <w:trPr>
          <w:trHeight w:val="300"/>
        </w:trPr>
        <w:tc>
          <w:tcPr>
            <w:tcW w:w="3402" w:type="dxa"/>
            <w:tcBorders>
              <w:top w:val="nil"/>
              <w:left w:val="single" w:sz="4" w:space="0" w:color="auto"/>
              <w:bottom w:val="single" w:sz="4" w:space="0" w:color="auto"/>
              <w:right w:val="single" w:sz="4" w:space="0" w:color="auto"/>
            </w:tcBorders>
            <w:shd w:val="clear" w:color="auto" w:fill="auto"/>
            <w:noWrap/>
            <w:vAlign w:val="bottom"/>
            <w:hideMark/>
          </w:tcPr>
          <w:p w14:paraId="445766BD" w14:textId="77777777" w:rsidR="00A91679" w:rsidRPr="001006A3" w:rsidRDefault="00A91679" w:rsidP="009546F6">
            <w:pPr>
              <w:spacing w:after="0"/>
              <w:rPr>
                <w:lang w:eastAsia="en-AU"/>
              </w:rPr>
            </w:pPr>
            <w:r w:rsidRPr="001006A3">
              <w:rPr>
                <w:lang w:eastAsia="en-AU"/>
              </w:rPr>
              <w:t>Unoccupied</w:t>
            </w:r>
          </w:p>
        </w:tc>
        <w:tc>
          <w:tcPr>
            <w:tcW w:w="2410" w:type="dxa"/>
            <w:tcBorders>
              <w:top w:val="nil"/>
              <w:left w:val="nil"/>
              <w:bottom w:val="single" w:sz="4" w:space="0" w:color="auto"/>
              <w:right w:val="single" w:sz="4" w:space="0" w:color="auto"/>
            </w:tcBorders>
            <w:shd w:val="clear" w:color="auto" w:fill="auto"/>
            <w:noWrap/>
            <w:vAlign w:val="bottom"/>
            <w:hideMark/>
          </w:tcPr>
          <w:p w14:paraId="680D3D6B" w14:textId="77777777" w:rsidR="00A91679" w:rsidRPr="001006A3" w:rsidRDefault="00A91679" w:rsidP="00C825F9">
            <w:pPr>
              <w:spacing w:after="0"/>
              <w:jc w:val="right"/>
              <w:rPr>
                <w:lang w:eastAsia="en-AU"/>
              </w:rPr>
            </w:pPr>
            <w:r w:rsidRPr="001006A3">
              <w:rPr>
                <w:lang w:eastAsia="en-AU"/>
              </w:rPr>
              <w:t>12%</w:t>
            </w:r>
          </w:p>
        </w:tc>
      </w:tr>
      <w:tr w:rsidR="00A91679" w:rsidRPr="001006A3" w14:paraId="782B6096" w14:textId="77777777" w:rsidTr="00077DBC">
        <w:trPr>
          <w:trHeight w:val="300"/>
        </w:trPr>
        <w:tc>
          <w:tcPr>
            <w:tcW w:w="3402" w:type="dxa"/>
            <w:tcBorders>
              <w:top w:val="nil"/>
              <w:left w:val="single" w:sz="4" w:space="0" w:color="auto"/>
              <w:bottom w:val="single" w:sz="4" w:space="0" w:color="auto"/>
              <w:right w:val="single" w:sz="4" w:space="0" w:color="auto"/>
            </w:tcBorders>
            <w:shd w:val="clear" w:color="auto" w:fill="auto"/>
            <w:noWrap/>
            <w:vAlign w:val="bottom"/>
            <w:hideMark/>
          </w:tcPr>
          <w:p w14:paraId="3EA21D1C" w14:textId="77777777" w:rsidR="00A91679" w:rsidRPr="001006A3" w:rsidRDefault="00A91679" w:rsidP="009546F6">
            <w:pPr>
              <w:spacing w:after="0"/>
              <w:rPr>
                <w:lang w:eastAsia="en-AU"/>
              </w:rPr>
            </w:pPr>
            <w:r w:rsidRPr="001006A3">
              <w:rPr>
                <w:lang w:eastAsia="en-AU"/>
              </w:rPr>
              <w:t>Transport</w:t>
            </w:r>
          </w:p>
        </w:tc>
        <w:tc>
          <w:tcPr>
            <w:tcW w:w="2410" w:type="dxa"/>
            <w:tcBorders>
              <w:top w:val="nil"/>
              <w:left w:val="nil"/>
              <w:bottom w:val="single" w:sz="4" w:space="0" w:color="auto"/>
              <w:right w:val="single" w:sz="4" w:space="0" w:color="auto"/>
            </w:tcBorders>
            <w:shd w:val="clear" w:color="auto" w:fill="auto"/>
            <w:noWrap/>
            <w:vAlign w:val="bottom"/>
            <w:hideMark/>
          </w:tcPr>
          <w:p w14:paraId="6C439801" w14:textId="77777777" w:rsidR="00A91679" w:rsidRPr="001006A3" w:rsidRDefault="00A91679" w:rsidP="00C825F9">
            <w:pPr>
              <w:spacing w:after="0"/>
              <w:jc w:val="right"/>
              <w:rPr>
                <w:lang w:eastAsia="en-AU"/>
              </w:rPr>
            </w:pPr>
            <w:r w:rsidRPr="001006A3">
              <w:rPr>
                <w:lang w:eastAsia="en-AU"/>
              </w:rPr>
              <w:t>9%</w:t>
            </w:r>
          </w:p>
        </w:tc>
      </w:tr>
      <w:tr w:rsidR="00A91679" w:rsidRPr="001006A3" w14:paraId="04068590" w14:textId="77777777" w:rsidTr="00077DBC">
        <w:trPr>
          <w:trHeight w:val="300"/>
        </w:trPr>
        <w:tc>
          <w:tcPr>
            <w:tcW w:w="3402" w:type="dxa"/>
            <w:tcBorders>
              <w:top w:val="nil"/>
              <w:left w:val="single" w:sz="4" w:space="0" w:color="auto"/>
              <w:bottom w:val="single" w:sz="4" w:space="0" w:color="auto"/>
              <w:right w:val="single" w:sz="4" w:space="0" w:color="auto"/>
            </w:tcBorders>
            <w:shd w:val="clear" w:color="auto" w:fill="auto"/>
            <w:noWrap/>
            <w:vAlign w:val="bottom"/>
            <w:hideMark/>
          </w:tcPr>
          <w:p w14:paraId="33254F02" w14:textId="77777777" w:rsidR="00A91679" w:rsidRPr="001006A3" w:rsidRDefault="00A91679" w:rsidP="009546F6">
            <w:pPr>
              <w:spacing w:after="0"/>
              <w:rPr>
                <w:lang w:eastAsia="en-AU"/>
              </w:rPr>
            </w:pPr>
            <w:r w:rsidRPr="001006A3">
              <w:rPr>
                <w:lang w:eastAsia="en-AU"/>
              </w:rPr>
              <w:t>Parking</w:t>
            </w:r>
          </w:p>
        </w:tc>
        <w:tc>
          <w:tcPr>
            <w:tcW w:w="2410" w:type="dxa"/>
            <w:tcBorders>
              <w:top w:val="nil"/>
              <w:left w:val="nil"/>
              <w:bottom w:val="single" w:sz="4" w:space="0" w:color="auto"/>
              <w:right w:val="single" w:sz="4" w:space="0" w:color="auto"/>
            </w:tcBorders>
            <w:shd w:val="clear" w:color="auto" w:fill="auto"/>
            <w:noWrap/>
            <w:vAlign w:val="bottom"/>
            <w:hideMark/>
          </w:tcPr>
          <w:p w14:paraId="3954C496" w14:textId="77777777" w:rsidR="00A91679" w:rsidRPr="001006A3" w:rsidRDefault="00A91679" w:rsidP="00C825F9">
            <w:pPr>
              <w:spacing w:after="0"/>
              <w:jc w:val="right"/>
              <w:rPr>
                <w:lang w:eastAsia="en-AU"/>
              </w:rPr>
            </w:pPr>
            <w:r w:rsidRPr="001006A3">
              <w:rPr>
                <w:lang w:eastAsia="en-AU"/>
              </w:rPr>
              <w:t>6%</w:t>
            </w:r>
          </w:p>
        </w:tc>
      </w:tr>
      <w:tr w:rsidR="00A91679" w:rsidRPr="001006A3" w14:paraId="64D7B5C2" w14:textId="77777777" w:rsidTr="00077DBC">
        <w:trPr>
          <w:trHeight w:val="300"/>
        </w:trPr>
        <w:tc>
          <w:tcPr>
            <w:tcW w:w="3402" w:type="dxa"/>
            <w:tcBorders>
              <w:top w:val="nil"/>
              <w:left w:val="single" w:sz="4" w:space="0" w:color="auto"/>
              <w:bottom w:val="single" w:sz="4" w:space="0" w:color="auto"/>
              <w:right w:val="single" w:sz="4" w:space="0" w:color="auto"/>
            </w:tcBorders>
            <w:shd w:val="clear" w:color="auto" w:fill="auto"/>
            <w:noWrap/>
            <w:vAlign w:val="bottom"/>
            <w:hideMark/>
          </w:tcPr>
          <w:p w14:paraId="093E9B57" w14:textId="77777777" w:rsidR="00A91679" w:rsidRPr="001006A3" w:rsidRDefault="00A91679" w:rsidP="009546F6">
            <w:pPr>
              <w:spacing w:after="0"/>
              <w:rPr>
                <w:lang w:eastAsia="en-AU"/>
              </w:rPr>
            </w:pPr>
            <w:r w:rsidRPr="001006A3">
              <w:rPr>
                <w:lang w:eastAsia="en-AU"/>
              </w:rPr>
              <w:t>Education</w:t>
            </w:r>
          </w:p>
        </w:tc>
        <w:tc>
          <w:tcPr>
            <w:tcW w:w="2410" w:type="dxa"/>
            <w:tcBorders>
              <w:top w:val="nil"/>
              <w:left w:val="nil"/>
              <w:bottom w:val="single" w:sz="4" w:space="0" w:color="auto"/>
              <w:right w:val="single" w:sz="4" w:space="0" w:color="auto"/>
            </w:tcBorders>
            <w:shd w:val="clear" w:color="auto" w:fill="auto"/>
            <w:noWrap/>
            <w:vAlign w:val="bottom"/>
            <w:hideMark/>
          </w:tcPr>
          <w:p w14:paraId="41DA0AA8" w14:textId="77777777" w:rsidR="00A91679" w:rsidRPr="001006A3" w:rsidRDefault="00A91679" w:rsidP="00C825F9">
            <w:pPr>
              <w:spacing w:after="0"/>
              <w:jc w:val="right"/>
              <w:rPr>
                <w:lang w:eastAsia="en-AU"/>
              </w:rPr>
            </w:pPr>
            <w:r w:rsidRPr="001006A3">
              <w:rPr>
                <w:lang w:eastAsia="en-AU"/>
              </w:rPr>
              <w:t>5%</w:t>
            </w:r>
          </w:p>
        </w:tc>
      </w:tr>
      <w:tr w:rsidR="00A91679" w:rsidRPr="001006A3" w14:paraId="2564A2D5" w14:textId="77777777" w:rsidTr="00077DBC">
        <w:trPr>
          <w:trHeight w:val="300"/>
        </w:trPr>
        <w:tc>
          <w:tcPr>
            <w:tcW w:w="3402" w:type="dxa"/>
            <w:tcBorders>
              <w:top w:val="nil"/>
              <w:left w:val="single" w:sz="4" w:space="0" w:color="auto"/>
              <w:bottom w:val="single" w:sz="4" w:space="0" w:color="auto"/>
              <w:right w:val="single" w:sz="4" w:space="0" w:color="auto"/>
            </w:tcBorders>
            <w:shd w:val="clear" w:color="auto" w:fill="auto"/>
            <w:noWrap/>
            <w:vAlign w:val="bottom"/>
            <w:hideMark/>
          </w:tcPr>
          <w:p w14:paraId="4264AE71" w14:textId="593D8D93" w:rsidR="00A91679" w:rsidRPr="001006A3" w:rsidRDefault="00A91679" w:rsidP="009546F6">
            <w:pPr>
              <w:spacing w:after="0"/>
              <w:rPr>
                <w:lang w:eastAsia="en-AU"/>
              </w:rPr>
            </w:pPr>
            <w:r w:rsidRPr="001006A3">
              <w:rPr>
                <w:lang w:eastAsia="en-AU"/>
              </w:rPr>
              <w:t xml:space="preserve">Commercial </w:t>
            </w:r>
            <w:r w:rsidR="00077DBC" w:rsidRPr="001006A3">
              <w:rPr>
                <w:lang w:eastAsia="en-AU"/>
              </w:rPr>
              <w:t>accommodation</w:t>
            </w:r>
          </w:p>
        </w:tc>
        <w:tc>
          <w:tcPr>
            <w:tcW w:w="2410" w:type="dxa"/>
            <w:tcBorders>
              <w:top w:val="nil"/>
              <w:left w:val="nil"/>
              <w:bottom w:val="single" w:sz="4" w:space="0" w:color="auto"/>
              <w:right w:val="single" w:sz="4" w:space="0" w:color="auto"/>
            </w:tcBorders>
            <w:shd w:val="clear" w:color="auto" w:fill="auto"/>
            <w:noWrap/>
            <w:vAlign w:val="bottom"/>
            <w:hideMark/>
          </w:tcPr>
          <w:p w14:paraId="2B84EC29" w14:textId="77777777" w:rsidR="00A91679" w:rsidRPr="001006A3" w:rsidRDefault="00A91679" w:rsidP="00C825F9">
            <w:pPr>
              <w:spacing w:after="0"/>
              <w:jc w:val="right"/>
              <w:rPr>
                <w:lang w:eastAsia="en-AU"/>
              </w:rPr>
            </w:pPr>
            <w:r w:rsidRPr="001006A3">
              <w:rPr>
                <w:lang w:eastAsia="en-AU"/>
              </w:rPr>
              <w:t>4%</w:t>
            </w:r>
          </w:p>
        </w:tc>
      </w:tr>
      <w:tr w:rsidR="00A91679" w:rsidRPr="001006A3" w14:paraId="5FE3D097" w14:textId="77777777" w:rsidTr="00077DBC">
        <w:trPr>
          <w:trHeight w:val="300"/>
        </w:trPr>
        <w:tc>
          <w:tcPr>
            <w:tcW w:w="3402" w:type="dxa"/>
            <w:tcBorders>
              <w:top w:val="nil"/>
              <w:left w:val="single" w:sz="4" w:space="0" w:color="auto"/>
              <w:bottom w:val="single" w:sz="4" w:space="0" w:color="auto"/>
              <w:right w:val="single" w:sz="4" w:space="0" w:color="auto"/>
            </w:tcBorders>
            <w:shd w:val="clear" w:color="auto" w:fill="auto"/>
            <w:noWrap/>
            <w:vAlign w:val="bottom"/>
            <w:hideMark/>
          </w:tcPr>
          <w:p w14:paraId="20C7993A" w14:textId="77777777" w:rsidR="00A91679" w:rsidRPr="001006A3" w:rsidRDefault="00A91679" w:rsidP="009546F6">
            <w:pPr>
              <w:spacing w:after="0"/>
              <w:rPr>
                <w:lang w:eastAsia="en-AU"/>
              </w:rPr>
            </w:pPr>
            <w:r w:rsidRPr="001006A3">
              <w:rPr>
                <w:lang w:eastAsia="en-AU"/>
              </w:rPr>
              <w:t>Entertainment/recreation</w:t>
            </w:r>
          </w:p>
        </w:tc>
        <w:tc>
          <w:tcPr>
            <w:tcW w:w="2410" w:type="dxa"/>
            <w:tcBorders>
              <w:top w:val="nil"/>
              <w:left w:val="nil"/>
              <w:bottom w:val="single" w:sz="4" w:space="0" w:color="auto"/>
              <w:right w:val="single" w:sz="4" w:space="0" w:color="auto"/>
            </w:tcBorders>
            <w:shd w:val="clear" w:color="auto" w:fill="auto"/>
            <w:noWrap/>
            <w:vAlign w:val="bottom"/>
            <w:hideMark/>
          </w:tcPr>
          <w:p w14:paraId="244E035D" w14:textId="77777777" w:rsidR="00A91679" w:rsidRPr="001006A3" w:rsidRDefault="00A91679" w:rsidP="00C825F9">
            <w:pPr>
              <w:spacing w:after="0"/>
              <w:jc w:val="right"/>
              <w:rPr>
                <w:lang w:eastAsia="en-AU"/>
              </w:rPr>
            </w:pPr>
            <w:r w:rsidRPr="001006A3">
              <w:rPr>
                <w:lang w:eastAsia="en-AU"/>
              </w:rPr>
              <w:t>3%</w:t>
            </w:r>
          </w:p>
        </w:tc>
      </w:tr>
      <w:tr w:rsidR="00A91679" w:rsidRPr="001006A3" w14:paraId="1F329356" w14:textId="77777777" w:rsidTr="00077DBC">
        <w:trPr>
          <w:trHeight w:val="300"/>
        </w:trPr>
        <w:tc>
          <w:tcPr>
            <w:tcW w:w="3402" w:type="dxa"/>
            <w:tcBorders>
              <w:top w:val="nil"/>
              <w:left w:val="single" w:sz="4" w:space="0" w:color="auto"/>
              <w:bottom w:val="single" w:sz="4" w:space="0" w:color="auto"/>
              <w:right w:val="single" w:sz="4" w:space="0" w:color="auto"/>
            </w:tcBorders>
            <w:shd w:val="clear" w:color="auto" w:fill="auto"/>
            <w:noWrap/>
            <w:vAlign w:val="bottom"/>
            <w:hideMark/>
          </w:tcPr>
          <w:p w14:paraId="41C60779" w14:textId="77777777" w:rsidR="00A91679" w:rsidRPr="001006A3" w:rsidRDefault="00A91679" w:rsidP="009546F6">
            <w:pPr>
              <w:spacing w:after="0"/>
              <w:rPr>
                <w:lang w:eastAsia="en-AU"/>
              </w:rPr>
            </w:pPr>
            <w:r w:rsidRPr="001006A3">
              <w:rPr>
                <w:lang w:eastAsia="en-AU"/>
              </w:rPr>
              <w:t>Manufacturing/light industrial</w:t>
            </w:r>
          </w:p>
        </w:tc>
        <w:tc>
          <w:tcPr>
            <w:tcW w:w="2410" w:type="dxa"/>
            <w:tcBorders>
              <w:top w:val="nil"/>
              <w:left w:val="nil"/>
              <w:bottom w:val="single" w:sz="4" w:space="0" w:color="auto"/>
              <w:right w:val="single" w:sz="4" w:space="0" w:color="auto"/>
            </w:tcBorders>
            <w:shd w:val="clear" w:color="auto" w:fill="auto"/>
            <w:noWrap/>
            <w:vAlign w:val="bottom"/>
            <w:hideMark/>
          </w:tcPr>
          <w:p w14:paraId="651985E5" w14:textId="77777777" w:rsidR="00A91679" w:rsidRPr="001006A3" w:rsidRDefault="00A91679" w:rsidP="00C825F9">
            <w:pPr>
              <w:spacing w:after="0"/>
              <w:jc w:val="right"/>
              <w:rPr>
                <w:lang w:eastAsia="en-AU"/>
              </w:rPr>
            </w:pPr>
            <w:r w:rsidRPr="001006A3">
              <w:rPr>
                <w:lang w:eastAsia="en-AU"/>
              </w:rPr>
              <w:t>3%</w:t>
            </w:r>
          </w:p>
        </w:tc>
      </w:tr>
      <w:tr w:rsidR="00A91679" w:rsidRPr="001006A3" w14:paraId="7F5D56D0" w14:textId="77777777" w:rsidTr="00077DBC">
        <w:trPr>
          <w:trHeight w:val="300"/>
        </w:trPr>
        <w:tc>
          <w:tcPr>
            <w:tcW w:w="3402" w:type="dxa"/>
            <w:tcBorders>
              <w:top w:val="nil"/>
              <w:left w:val="single" w:sz="4" w:space="0" w:color="auto"/>
              <w:bottom w:val="single" w:sz="4" w:space="0" w:color="auto"/>
              <w:right w:val="single" w:sz="4" w:space="0" w:color="auto"/>
            </w:tcBorders>
            <w:shd w:val="clear" w:color="auto" w:fill="auto"/>
            <w:noWrap/>
            <w:vAlign w:val="bottom"/>
            <w:hideMark/>
          </w:tcPr>
          <w:p w14:paraId="724B085B" w14:textId="77777777" w:rsidR="00A91679" w:rsidRPr="001006A3" w:rsidRDefault="00A91679" w:rsidP="009546F6">
            <w:pPr>
              <w:spacing w:after="0"/>
              <w:rPr>
                <w:lang w:eastAsia="en-AU"/>
              </w:rPr>
            </w:pPr>
            <w:r w:rsidRPr="001006A3">
              <w:rPr>
                <w:lang w:eastAsia="en-AU"/>
              </w:rPr>
              <w:t>Retail</w:t>
            </w:r>
          </w:p>
        </w:tc>
        <w:tc>
          <w:tcPr>
            <w:tcW w:w="2410" w:type="dxa"/>
            <w:tcBorders>
              <w:top w:val="nil"/>
              <w:left w:val="nil"/>
              <w:bottom w:val="single" w:sz="4" w:space="0" w:color="auto"/>
              <w:right w:val="single" w:sz="4" w:space="0" w:color="auto"/>
            </w:tcBorders>
            <w:shd w:val="clear" w:color="auto" w:fill="auto"/>
            <w:noWrap/>
            <w:vAlign w:val="bottom"/>
            <w:hideMark/>
          </w:tcPr>
          <w:p w14:paraId="438C7B27" w14:textId="77777777" w:rsidR="00A91679" w:rsidRPr="001006A3" w:rsidRDefault="00A91679" w:rsidP="00C825F9">
            <w:pPr>
              <w:spacing w:after="0"/>
              <w:jc w:val="right"/>
              <w:rPr>
                <w:lang w:eastAsia="en-AU"/>
              </w:rPr>
            </w:pPr>
            <w:r w:rsidRPr="001006A3">
              <w:rPr>
                <w:lang w:eastAsia="en-AU"/>
              </w:rPr>
              <w:t>2%</w:t>
            </w:r>
          </w:p>
        </w:tc>
      </w:tr>
      <w:tr w:rsidR="00A91679" w:rsidRPr="001006A3" w14:paraId="12EAD4CF" w14:textId="77777777" w:rsidTr="00077DBC">
        <w:trPr>
          <w:trHeight w:val="300"/>
        </w:trPr>
        <w:tc>
          <w:tcPr>
            <w:tcW w:w="3402" w:type="dxa"/>
            <w:tcBorders>
              <w:top w:val="nil"/>
              <w:left w:val="single" w:sz="4" w:space="0" w:color="auto"/>
              <w:bottom w:val="single" w:sz="4" w:space="0" w:color="auto"/>
              <w:right w:val="single" w:sz="4" w:space="0" w:color="auto"/>
            </w:tcBorders>
            <w:shd w:val="clear" w:color="auto" w:fill="auto"/>
            <w:noWrap/>
            <w:vAlign w:val="bottom"/>
            <w:hideMark/>
          </w:tcPr>
          <w:p w14:paraId="3AD86CFD" w14:textId="77777777" w:rsidR="00A91679" w:rsidRPr="001006A3" w:rsidRDefault="00A91679" w:rsidP="009546F6">
            <w:pPr>
              <w:spacing w:after="0"/>
              <w:rPr>
                <w:lang w:eastAsia="en-AU"/>
              </w:rPr>
            </w:pPr>
            <w:r w:rsidRPr="001006A3">
              <w:rPr>
                <w:lang w:eastAsia="en-AU"/>
              </w:rPr>
              <w:t>Community/public use</w:t>
            </w:r>
          </w:p>
        </w:tc>
        <w:tc>
          <w:tcPr>
            <w:tcW w:w="2410" w:type="dxa"/>
            <w:tcBorders>
              <w:top w:val="nil"/>
              <w:left w:val="nil"/>
              <w:bottom w:val="single" w:sz="4" w:space="0" w:color="auto"/>
              <w:right w:val="single" w:sz="4" w:space="0" w:color="auto"/>
            </w:tcBorders>
            <w:shd w:val="clear" w:color="auto" w:fill="auto"/>
            <w:noWrap/>
            <w:vAlign w:val="bottom"/>
            <w:hideMark/>
          </w:tcPr>
          <w:p w14:paraId="1BD9F077" w14:textId="77777777" w:rsidR="00A91679" w:rsidRPr="001006A3" w:rsidRDefault="00A91679" w:rsidP="00C825F9">
            <w:pPr>
              <w:spacing w:after="0"/>
              <w:jc w:val="right"/>
              <w:rPr>
                <w:lang w:eastAsia="en-AU"/>
              </w:rPr>
            </w:pPr>
            <w:r w:rsidRPr="001006A3">
              <w:rPr>
                <w:lang w:eastAsia="en-AU"/>
              </w:rPr>
              <w:t>2%</w:t>
            </w:r>
          </w:p>
        </w:tc>
      </w:tr>
      <w:tr w:rsidR="00A91679" w:rsidRPr="001006A3" w14:paraId="2308BB2D" w14:textId="77777777" w:rsidTr="00077DBC">
        <w:trPr>
          <w:trHeight w:val="300"/>
        </w:trPr>
        <w:tc>
          <w:tcPr>
            <w:tcW w:w="3402" w:type="dxa"/>
            <w:tcBorders>
              <w:top w:val="nil"/>
              <w:left w:val="single" w:sz="4" w:space="0" w:color="auto"/>
              <w:bottom w:val="single" w:sz="4" w:space="0" w:color="auto"/>
              <w:right w:val="single" w:sz="4" w:space="0" w:color="auto"/>
            </w:tcBorders>
            <w:shd w:val="clear" w:color="auto" w:fill="auto"/>
            <w:noWrap/>
            <w:vAlign w:val="bottom"/>
            <w:hideMark/>
          </w:tcPr>
          <w:p w14:paraId="55F2B8ED" w14:textId="77777777" w:rsidR="00A91679" w:rsidRPr="001006A3" w:rsidRDefault="00A91679" w:rsidP="009546F6">
            <w:pPr>
              <w:spacing w:after="0"/>
              <w:rPr>
                <w:lang w:eastAsia="en-AU"/>
              </w:rPr>
            </w:pPr>
            <w:r w:rsidRPr="001006A3">
              <w:rPr>
                <w:lang w:eastAsia="en-AU"/>
              </w:rPr>
              <w:t>Hospitals/healthcare</w:t>
            </w:r>
          </w:p>
        </w:tc>
        <w:tc>
          <w:tcPr>
            <w:tcW w:w="2410" w:type="dxa"/>
            <w:tcBorders>
              <w:top w:val="nil"/>
              <w:left w:val="nil"/>
              <w:bottom w:val="single" w:sz="4" w:space="0" w:color="auto"/>
              <w:right w:val="single" w:sz="4" w:space="0" w:color="auto"/>
            </w:tcBorders>
            <w:shd w:val="clear" w:color="auto" w:fill="auto"/>
            <w:noWrap/>
            <w:vAlign w:val="bottom"/>
            <w:hideMark/>
          </w:tcPr>
          <w:p w14:paraId="5BAD50FC" w14:textId="77777777" w:rsidR="00A91679" w:rsidRPr="001006A3" w:rsidRDefault="00A91679" w:rsidP="00C825F9">
            <w:pPr>
              <w:spacing w:after="0"/>
              <w:jc w:val="right"/>
              <w:rPr>
                <w:lang w:eastAsia="en-AU"/>
              </w:rPr>
            </w:pPr>
            <w:r w:rsidRPr="001006A3">
              <w:rPr>
                <w:lang w:eastAsia="en-AU"/>
              </w:rPr>
              <w:t>2%</w:t>
            </w:r>
          </w:p>
        </w:tc>
      </w:tr>
      <w:tr w:rsidR="00A91679" w:rsidRPr="001006A3" w14:paraId="38409BD8" w14:textId="77777777" w:rsidTr="00077DBC">
        <w:trPr>
          <w:trHeight w:val="300"/>
        </w:trPr>
        <w:tc>
          <w:tcPr>
            <w:tcW w:w="3402" w:type="dxa"/>
            <w:tcBorders>
              <w:top w:val="nil"/>
              <w:left w:val="single" w:sz="4" w:space="0" w:color="auto"/>
              <w:bottom w:val="single" w:sz="4" w:space="0" w:color="auto"/>
              <w:right w:val="single" w:sz="4" w:space="0" w:color="auto"/>
            </w:tcBorders>
            <w:shd w:val="clear" w:color="auto" w:fill="auto"/>
            <w:noWrap/>
            <w:vAlign w:val="bottom"/>
            <w:hideMark/>
          </w:tcPr>
          <w:p w14:paraId="210168D8" w14:textId="77777777" w:rsidR="00A91679" w:rsidRPr="001006A3" w:rsidRDefault="00A91679" w:rsidP="009546F6">
            <w:pPr>
              <w:spacing w:after="0"/>
              <w:rPr>
                <w:lang w:eastAsia="en-AU"/>
              </w:rPr>
            </w:pPr>
            <w:r w:rsidRPr="001006A3">
              <w:rPr>
                <w:lang w:eastAsia="en-AU"/>
              </w:rPr>
              <w:t>Other</w:t>
            </w:r>
          </w:p>
        </w:tc>
        <w:tc>
          <w:tcPr>
            <w:tcW w:w="2410" w:type="dxa"/>
            <w:tcBorders>
              <w:top w:val="nil"/>
              <w:left w:val="nil"/>
              <w:bottom w:val="single" w:sz="4" w:space="0" w:color="auto"/>
              <w:right w:val="single" w:sz="4" w:space="0" w:color="auto"/>
            </w:tcBorders>
            <w:shd w:val="clear" w:color="auto" w:fill="auto"/>
            <w:noWrap/>
            <w:vAlign w:val="bottom"/>
            <w:hideMark/>
          </w:tcPr>
          <w:p w14:paraId="4E1FE27C" w14:textId="77777777" w:rsidR="00A91679" w:rsidRPr="001006A3" w:rsidRDefault="00A91679" w:rsidP="00C825F9">
            <w:pPr>
              <w:spacing w:after="0"/>
              <w:jc w:val="right"/>
              <w:rPr>
                <w:lang w:eastAsia="en-AU"/>
              </w:rPr>
            </w:pPr>
            <w:r w:rsidRPr="001006A3">
              <w:rPr>
                <w:lang w:eastAsia="en-AU"/>
              </w:rPr>
              <w:t>0%</w:t>
            </w:r>
          </w:p>
        </w:tc>
      </w:tr>
    </w:tbl>
    <w:p w14:paraId="65DACECB" w14:textId="77777777" w:rsidR="00A91679" w:rsidRDefault="00A91679" w:rsidP="00077DBC"/>
    <w:p w14:paraId="5A0D81DD" w14:textId="4AE0EDBC" w:rsidR="00077DBC" w:rsidRDefault="00077DBC" w:rsidP="00077DBC">
      <w:r>
        <w:t xml:space="preserve">Return to </w:t>
      </w:r>
      <w:hyperlink w:anchor="_Melbourne’s_Buildings" w:history="1">
        <w:r w:rsidRPr="00077DBC">
          <w:rPr>
            <w:rStyle w:val="Hyperlink"/>
          </w:rPr>
          <w:t>Executive Summary</w:t>
        </w:r>
      </w:hyperlink>
    </w:p>
    <w:p w14:paraId="2B002E02" w14:textId="19F0717B" w:rsidR="00AC0F27" w:rsidRPr="00AC0F27" w:rsidRDefault="003B3A7A" w:rsidP="00077DBC">
      <w:pPr>
        <w:pStyle w:val="Heading3"/>
        <w:rPr>
          <w:rFonts w:hint="eastAsia"/>
          <w:lang w:eastAsia="en-AU"/>
        </w:rPr>
      </w:pPr>
      <w:bookmarkStart w:id="208" w:name="_Total_Energy_Use"/>
      <w:bookmarkEnd w:id="208"/>
      <w:r>
        <w:rPr>
          <w:lang w:eastAsia="en-AU"/>
        </w:rPr>
        <w:t>Table A.2</w:t>
      </w:r>
      <w:r>
        <w:rPr>
          <w:lang w:eastAsia="en-AU"/>
        </w:rPr>
        <w:tab/>
      </w:r>
      <w:r w:rsidR="00AC0F27" w:rsidRPr="00AC0F27">
        <w:rPr>
          <w:lang w:eastAsia="en-AU"/>
        </w:rPr>
        <w:t>Total Energy Use Shares by Space-Use Type, City of Melbourne, 2022</w:t>
      </w:r>
    </w:p>
    <w:tbl>
      <w:tblPr>
        <w:tblW w:w="6840" w:type="dxa"/>
        <w:tblInd w:w="-5" w:type="dxa"/>
        <w:tblLook w:val="04A0" w:firstRow="1" w:lastRow="0" w:firstColumn="1" w:lastColumn="0" w:noHBand="0" w:noVBand="1"/>
      </w:tblPr>
      <w:tblGrid>
        <w:gridCol w:w="3426"/>
        <w:gridCol w:w="3414"/>
      </w:tblGrid>
      <w:tr w:rsidR="0050072A" w:rsidRPr="0050072A" w14:paraId="247ECD85" w14:textId="77777777" w:rsidTr="00AC0F27">
        <w:trPr>
          <w:trHeight w:val="300"/>
        </w:trPr>
        <w:tc>
          <w:tcPr>
            <w:tcW w:w="3426" w:type="dxa"/>
            <w:tcBorders>
              <w:top w:val="single" w:sz="4" w:space="0" w:color="auto"/>
              <w:left w:val="single" w:sz="4" w:space="0" w:color="auto"/>
              <w:bottom w:val="single" w:sz="4" w:space="0" w:color="auto"/>
              <w:right w:val="single" w:sz="4" w:space="0" w:color="auto"/>
            </w:tcBorders>
            <w:shd w:val="clear" w:color="auto" w:fill="auto"/>
            <w:noWrap/>
            <w:hideMark/>
          </w:tcPr>
          <w:p w14:paraId="318C0366" w14:textId="77777777" w:rsidR="0050072A" w:rsidRPr="009546F6" w:rsidRDefault="0050072A" w:rsidP="009546F6">
            <w:pPr>
              <w:spacing w:after="0"/>
              <w:rPr>
                <w:b/>
                <w:bCs/>
                <w:lang w:eastAsia="en-AU"/>
              </w:rPr>
            </w:pPr>
            <w:r w:rsidRPr="009546F6">
              <w:rPr>
                <w:b/>
                <w:bCs/>
                <w:lang w:eastAsia="en-AU"/>
              </w:rPr>
              <w:t>Space Use Type</w:t>
            </w:r>
          </w:p>
        </w:tc>
        <w:tc>
          <w:tcPr>
            <w:tcW w:w="3414" w:type="dxa"/>
            <w:tcBorders>
              <w:top w:val="single" w:sz="4" w:space="0" w:color="auto"/>
              <w:left w:val="nil"/>
              <w:bottom w:val="single" w:sz="4" w:space="0" w:color="auto"/>
              <w:right w:val="single" w:sz="4" w:space="0" w:color="auto"/>
            </w:tcBorders>
            <w:shd w:val="clear" w:color="auto" w:fill="auto"/>
            <w:noWrap/>
            <w:vAlign w:val="bottom"/>
            <w:hideMark/>
          </w:tcPr>
          <w:p w14:paraId="636B3FE3" w14:textId="77777777" w:rsidR="0050072A" w:rsidRPr="009546F6" w:rsidRDefault="0050072A" w:rsidP="009546F6">
            <w:pPr>
              <w:spacing w:after="0"/>
              <w:rPr>
                <w:b/>
                <w:bCs/>
                <w:lang w:eastAsia="en-AU"/>
              </w:rPr>
            </w:pPr>
            <w:r w:rsidRPr="009546F6">
              <w:rPr>
                <w:b/>
                <w:bCs/>
                <w:lang w:eastAsia="en-AU"/>
              </w:rPr>
              <w:t>Share of Total Energy Use (%)</w:t>
            </w:r>
          </w:p>
        </w:tc>
      </w:tr>
      <w:tr w:rsidR="0050072A" w:rsidRPr="0050072A" w14:paraId="288D032D" w14:textId="77777777" w:rsidTr="00AC0F27">
        <w:trPr>
          <w:trHeight w:val="300"/>
        </w:trPr>
        <w:tc>
          <w:tcPr>
            <w:tcW w:w="3426" w:type="dxa"/>
            <w:tcBorders>
              <w:top w:val="nil"/>
              <w:left w:val="single" w:sz="4" w:space="0" w:color="auto"/>
              <w:bottom w:val="single" w:sz="4" w:space="0" w:color="auto"/>
              <w:right w:val="single" w:sz="4" w:space="0" w:color="auto"/>
            </w:tcBorders>
            <w:shd w:val="clear" w:color="auto" w:fill="auto"/>
            <w:noWrap/>
            <w:vAlign w:val="bottom"/>
            <w:hideMark/>
          </w:tcPr>
          <w:p w14:paraId="2F9F29EE" w14:textId="77777777" w:rsidR="0050072A" w:rsidRPr="0050072A" w:rsidRDefault="0050072A" w:rsidP="009546F6">
            <w:pPr>
              <w:spacing w:after="0"/>
              <w:rPr>
                <w:lang w:eastAsia="en-AU"/>
              </w:rPr>
            </w:pPr>
            <w:r w:rsidRPr="0050072A">
              <w:rPr>
                <w:lang w:eastAsia="en-AU"/>
              </w:rPr>
              <w:t>Office</w:t>
            </w:r>
          </w:p>
        </w:tc>
        <w:tc>
          <w:tcPr>
            <w:tcW w:w="3414" w:type="dxa"/>
            <w:tcBorders>
              <w:top w:val="nil"/>
              <w:left w:val="nil"/>
              <w:bottom w:val="single" w:sz="4" w:space="0" w:color="auto"/>
              <w:right w:val="single" w:sz="4" w:space="0" w:color="auto"/>
            </w:tcBorders>
            <w:shd w:val="clear" w:color="auto" w:fill="auto"/>
            <w:noWrap/>
            <w:vAlign w:val="bottom"/>
            <w:hideMark/>
          </w:tcPr>
          <w:p w14:paraId="0818554C" w14:textId="77777777" w:rsidR="0050072A" w:rsidRPr="0050072A" w:rsidRDefault="0050072A" w:rsidP="00C825F9">
            <w:pPr>
              <w:spacing w:after="0"/>
              <w:jc w:val="right"/>
              <w:rPr>
                <w:lang w:eastAsia="en-AU"/>
              </w:rPr>
            </w:pPr>
            <w:r w:rsidRPr="0050072A">
              <w:rPr>
                <w:lang w:eastAsia="en-AU"/>
              </w:rPr>
              <w:t>31%</w:t>
            </w:r>
          </w:p>
        </w:tc>
      </w:tr>
      <w:tr w:rsidR="0050072A" w:rsidRPr="0050072A" w14:paraId="2CFFA20A" w14:textId="77777777" w:rsidTr="00AC0F27">
        <w:trPr>
          <w:trHeight w:val="300"/>
        </w:trPr>
        <w:tc>
          <w:tcPr>
            <w:tcW w:w="3426" w:type="dxa"/>
            <w:tcBorders>
              <w:top w:val="nil"/>
              <w:left w:val="single" w:sz="4" w:space="0" w:color="auto"/>
              <w:bottom w:val="single" w:sz="4" w:space="0" w:color="auto"/>
              <w:right w:val="single" w:sz="4" w:space="0" w:color="auto"/>
            </w:tcBorders>
            <w:shd w:val="clear" w:color="auto" w:fill="auto"/>
            <w:noWrap/>
            <w:vAlign w:val="bottom"/>
            <w:hideMark/>
          </w:tcPr>
          <w:p w14:paraId="44BFA286" w14:textId="77777777" w:rsidR="0050072A" w:rsidRPr="0050072A" w:rsidRDefault="0050072A" w:rsidP="009546F6">
            <w:pPr>
              <w:spacing w:after="0"/>
              <w:rPr>
                <w:lang w:eastAsia="en-AU"/>
              </w:rPr>
            </w:pPr>
            <w:r w:rsidRPr="0050072A">
              <w:rPr>
                <w:lang w:eastAsia="en-AU"/>
              </w:rPr>
              <w:t>Residential</w:t>
            </w:r>
          </w:p>
        </w:tc>
        <w:tc>
          <w:tcPr>
            <w:tcW w:w="3414" w:type="dxa"/>
            <w:tcBorders>
              <w:top w:val="nil"/>
              <w:left w:val="nil"/>
              <w:bottom w:val="single" w:sz="4" w:space="0" w:color="auto"/>
              <w:right w:val="single" w:sz="4" w:space="0" w:color="auto"/>
            </w:tcBorders>
            <w:shd w:val="clear" w:color="auto" w:fill="auto"/>
            <w:noWrap/>
            <w:vAlign w:val="bottom"/>
            <w:hideMark/>
          </w:tcPr>
          <w:p w14:paraId="06CACBF8" w14:textId="77777777" w:rsidR="0050072A" w:rsidRPr="0050072A" w:rsidRDefault="0050072A" w:rsidP="00C825F9">
            <w:pPr>
              <w:spacing w:after="0"/>
              <w:jc w:val="right"/>
              <w:rPr>
                <w:lang w:eastAsia="en-AU"/>
              </w:rPr>
            </w:pPr>
            <w:r w:rsidRPr="0050072A">
              <w:rPr>
                <w:lang w:eastAsia="en-AU"/>
              </w:rPr>
              <w:t>28%</w:t>
            </w:r>
          </w:p>
        </w:tc>
      </w:tr>
      <w:tr w:rsidR="0050072A" w:rsidRPr="0050072A" w14:paraId="3E963941" w14:textId="77777777" w:rsidTr="00AC0F27">
        <w:trPr>
          <w:trHeight w:val="300"/>
        </w:trPr>
        <w:tc>
          <w:tcPr>
            <w:tcW w:w="3426" w:type="dxa"/>
            <w:tcBorders>
              <w:top w:val="nil"/>
              <w:left w:val="single" w:sz="4" w:space="0" w:color="auto"/>
              <w:bottom w:val="single" w:sz="4" w:space="0" w:color="auto"/>
              <w:right w:val="single" w:sz="4" w:space="0" w:color="auto"/>
            </w:tcBorders>
            <w:shd w:val="clear" w:color="auto" w:fill="auto"/>
            <w:noWrap/>
            <w:vAlign w:val="bottom"/>
            <w:hideMark/>
          </w:tcPr>
          <w:p w14:paraId="65F83545" w14:textId="77777777" w:rsidR="0050072A" w:rsidRPr="0050072A" w:rsidRDefault="0050072A" w:rsidP="009546F6">
            <w:pPr>
              <w:spacing w:after="0"/>
              <w:rPr>
                <w:lang w:eastAsia="en-AU"/>
              </w:rPr>
            </w:pPr>
            <w:r w:rsidRPr="0050072A">
              <w:rPr>
                <w:lang w:eastAsia="en-AU"/>
              </w:rPr>
              <w:t>Hospitals/healthcare</w:t>
            </w:r>
          </w:p>
        </w:tc>
        <w:tc>
          <w:tcPr>
            <w:tcW w:w="3414" w:type="dxa"/>
            <w:tcBorders>
              <w:top w:val="nil"/>
              <w:left w:val="nil"/>
              <w:bottom w:val="single" w:sz="4" w:space="0" w:color="auto"/>
              <w:right w:val="single" w:sz="4" w:space="0" w:color="auto"/>
            </w:tcBorders>
            <w:shd w:val="clear" w:color="auto" w:fill="auto"/>
            <w:noWrap/>
            <w:vAlign w:val="bottom"/>
            <w:hideMark/>
          </w:tcPr>
          <w:p w14:paraId="7E207786" w14:textId="77777777" w:rsidR="0050072A" w:rsidRPr="0050072A" w:rsidRDefault="0050072A" w:rsidP="00C825F9">
            <w:pPr>
              <w:spacing w:after="0"/>
              <w:jc w:val="right"/>
              <w:rPr>
                <w:lang w:eastAsia="en-AU"/>
              </w:rPr>
            </w:pPr>
            <w:r w:rsidRPr="0050072A">
              <w:rPr>
                <w:lang w:eastAsia="en-AU"/>
              </w:rPr>
              <w:t>10%</w:t>
            </w:r>
          </w:p>
        </w:tc>
      </w:tr>
      <w:tr w:rsidR="0050072A" w:rsidRPr="0050072A" w14:paraId="770B27AB" w14:textId="77777777" w:rsidTr="00AC0F27">
        <w:trPr>
          <w:trHeight w:val="300"/>
        </w:trPr>
        <w:tc>
          <w:tcPr>
            <w:tcW w:w="3426" w:type="dxa"/>
            <w:tcBorders>
              <w:top w:val="nil"/>
              <w:left w:val="single" w:sz="4" w:space="0" w:color="auto"/>
              <w:bottom w:val="single" w:sz="4" w:space="0" w:color="auto"/>
              <w:right w:val="single" w:sz="4" w:space="0" w:color="auto"/>
            </w:tcBorders>
            <w:shd w:val="clear" w:color="auto" w:fill="auto"/>
            <w:noWrap/>
            <w:vAlign w:val="bottom"/>
            <w:hideMark/>
          </w:tcPr>
          <w:p w14:paraId="241F49E8" w14:textId="77777777" w:rsidR="0050072A" w:rsidRPr="0050072A" w:rsidRDefault="0050072A" w:rsidP="009546F6">
            <w:pPr>
              <w:spacing w:after="0"/>
              <w:rPr>
                <w:lang w:eastAsia="en-AU"/>
              </w:rPr>
            </w:pPr>
            <w:r w:rsidRPr="0050072A">
              <w:rPr>
                <w:lang w:eastAsia="en-AU"/>
              </w:rPr>
              <w:t>Commercial accommodation</w:t>
            </w:r>
          </w:p>
        </w:tc>
        <w:tc>
          <w:tcPr>
            <w:tcW w:w="3414" w:type="dxa"/>
            <w:tcBorders>
              <w:top w:val="nil"/>
              <w:left w:val="nil"/>
              <w:bottom w:val="single" w:sz="4" w:space="0" w:color="auto"/>
              <w:right w:val="single" w:sz="4" w:space="0" w:color="auto"/>
            </w:tcBorders>
            <w:shd w:val="clear" w:color="auto" w:fill="auto"/>
            <w:noWrap/>
            <w:vAlign w:val="bottom"/>
            <w:hideMark/>
          </w:tcPr>
          <w:p w14:paraId="5F631435" w14:textId="77777777" w:rsidR="0050072A" w:rsidRPr="0050072A" w:rsidRDefault="0050072A" w:rsidP="00C825F9">
            <w:pPr>
              <w:spacing w:after="0"/>
              <w:jc w:val="right"/>
              <w:rPr>
                <w:lang w:eastAsia="en-AU"/>
              </w:rPr>
            </w:pPr>
            <w:r w:rsidRPr="0050072A">
              <w:rPr>
                <w:lang w:eastAsia="en-AU"/>
              </w:rPr>
              <w:t>8%</w:t>
            </w:r>
          </w:p>
        </w:tc>
      </w:tr>
      <w:tr w:rsidR="0050072A" w:rsidRPr="0050072A" w14:paraId="17C3C953" w14:textId="77777777" w:rsidTr="00AC0F27">
        <w:trPr>
          <w:trHeight w:val="300"/>
        </w:trPr>
        <w:tc>
          <w:tcPr>
            <w:tcW w:w="3426" w:type="dxa"/>
            <w:tcBorders>
              <w:top w:val="nil"/>
              <w:left w:val="single" w:sz="4" w:space="0" w:color="auto"/>
              <w:bottom w:val="single" w:sz="4" w:space="0" w:color="auto"/>
              <w:right w:val="single" w:sz="4" w:space="0" w:color="auto"/>
            </w:tcBorders>
            <w:shd w:val="clear" w:color="auto" w:fill="auto"/>
            <w:noWrap/>
            <w:vAlign w:val="bottom"/>
            <w:hideMark/>
          </w:tcPr>
          <w:p w14:paraId="01FDB2FA" w14:textId="77777777" w:rsidR="0050072A" w:rsidRPr="0050072A" w:rsidRDefault="0050072A" w:rsidP="009546F6">
            <w:pPr>
              <w:spacing w:after="0"/>
              <w:rPr>
                <w:lang w:eastAsia="en-AU"/>
              </w:rPr>
            </w:pPr>
            <w:r w:rsidRPr="0050072A">
              <w:rPr>
                <w:lang w:eastAsia="en-AU"/>
              </w:rPr>
              <w:t>Retail</w:t>
            </w:r>
          </w:p>
        </w:tc>
        <w:tc>
          <w:tcPr>
            <w:tcW w:w="3414" w:type="dxa"/>
            <w:tcBorders>
              <w:top w:val="nil"/>
              <w:left w:val="nil"/>
              <w:bottom w:val="single" w:sz="4" w:space="0" w:color="auto"/>
              <w:right w:val="single" w:sz="4" w:space="0" w:color="auto"/>
            </w:tcBorders>
            <w:shd w:val="clear" w:color="auto" w:fill="auto"/>
            <w:noWrap/>
            <w:vAlign w:val="bottom"/>
            <w:hideMark/>
          </w:tcPr>
          <w:p w14:paraId="7CC7CB00" w14:textId="77777777" w:rsidR="0050072A" w:rsidRPr="0050072A" w:rsidRDefault="0050072A" w:rsidP="00C825F9">
            <w:pPr>
              <w:spacing w:after="0"/>
              <w:jc w:val="right"/>
              <w:rPr>
                <w:lang w:eastAsia="en-AU"/>
              </w:rPr>
            </w:pPr>
            <w:r w:rsidRPr="0050072A">
              <w:rPr>
                <w:lang w:eastAsia="en-AU"/>
              </w:rPr>
              <w:t>5%</w:t>
            </w:r>
          </w:p>
        </w:tc>
      </w:tr>
      <w:tr w:rsidR="0050072A" w:rsidRPr="0050072A" w14:paraId="2C324951" w14:textId="77777777" w:rsidTr="00AC0F27">
        <w:trPr>
          <w:trHeight w:val="300"/>
        </w:trPr>
        <w:tc>
          <w:tcPr>
            <w:tcW w:w="3426" w:type="dxa"/>
            <w:tcBorders>
              <w:top w:val="nil"/>
              <w:left w:val="single" w:sz="4" w:space="0" w:color="auto"/>
              <w:bottom w:val="single" w:sz="4" w:space="0" w:color="auto"/>
              <w:right w:val="single" w:sz="4" w:space="0" w:color="auto"/>
            </w:tcBorders>
            <w:shd w:val="clear" w:color="auto" w:fill="auto"/>
            <w:noWrap/>
            <w:vAlign w:val="bottom"/>
            <w:hideMark/>
          </w:tcPr>
          <w:p w14:paraId="4D0F252E" w14:textId="77777777" w:rsidR="0050072A" w:rsidRPr="0050072A" w:rsidRDefault="0050072A" w:rsidP="009546F6">
            <w:pPr>
              <w:spacing w:after="0"/>
              <w:rPr>
                <w:lang w:eastAsia="en-AU"/>
              </w:rPr>
            </w:pPr>
            <w:r w:rsidRPr="0050072A">
              <w:rPr>
                <w:lang w:eastAsia="en-AU"/>
              </w:rPr>
              <w:t>Education</w:t>
            </w:r>
          </w:p>
        </w:tc>
        <w:tc>
          <w:tcPr>
            <w:tcW w:w="3414" w:type="dxa"/>
            <w:tcBorders>
              <w:top w:val="nil"/>
              <w:left w:val="nil"/>
              <w:bottom w:val="single" w:sz="4" w:space="0" w:color="auto"/>
              <w:right w:val="single" w:sz="4" w:space="0" w:color="auto"/>
            </w:tcBorders>
            <w:shd w:val="clear" w:color="auto" w:fill="auto"/>
            <w:noWrap/>
            <w:vAlign w:val="bottom"/>
            <w:hideMark/>
          </w:tcPr>
          <w:p w14:paraId="5912401C" w14:textId="77777777" w:rsidR="0050072A" w:rsidRPr="0050072A" w:rsidRDefault="0050072A" w:rsidP="00C825F9">
            <w:pPr>
              <w:spacing w:after="0"/>
              <w:jc w:val="right"/>
              <w:rPr>
                <w:lang w:eastAsia="en-AU"/>
              </w:rPr>
            </w:pPr>
            <w:r w:rsidRPr="0050072A">
              <w:rPr>
                <w:lang w:eastAsia="en-AU"/>
              </w:rPr>
              <w:t>5%</w:t>
            </w:r>
          </w:p>
        </w:tc>
      </w:tr>
      <w:tr w:rsidR="0050072A" w:rsidRPr="0050072A" w14:paraId="5248C85C" w14:textId="77777777" w:rsidTr="00AC0F27">
        <w:trPr>
          <w:trHeight w:val="300"/>
        </w:trPr>
        <w:tc>
          <w:tcPr>
            <w:tcW w:w="3426" w:type="dxa"/>
            <w:tcBorders>
              <w:top w:val="nil"/>
              <w:left w:val="single" w:sz="4" w:space="0" w:color="auto"/>
              <w:bottom w:val="single" w:sz="4" w:space="0" w:color="auto"/>
              <w:right w:val="single" w:sz="4" w:space="0" w:color="auto"/>
            </w:tcBorders>
            <w:shd w:val="clear" w:color="auto" w:fill="auto"/>
            <w:noWrap/>
            <w:vAlign w:val="bottom"/>
            <w:hideMark/>
          </w:tcPr>
          <w:p w14:paraId="2033656B" w14:textId="77777777" w:rsidR="0050072A" w:rsidRPr="0050072A" w:rsidRDefault="0050072A" w:rsidP="009546F6">
            <w:pPr>
              <w:spacing w:after="0"/>
              <w:rPr>
                <w:lang w:eastAsia="en-AU"/>
              </w:rPr>
            </w:pPr>
            <w:r w:rsidRPr="0050072A">
              <w:rPr>
                <w:lang w:eastAsia="en-AU"/>
              </w:rPr>
              <w:t>Entertainment/recreation</w:t>
            </w:r>
          </w:p>
        </w:tc>
        <w:tc>
          <w:tcPr>
            <w:tcW w:w="3414" w:type="dxa"/>
            <w:tcBorders>
              <w:top w:val="nil"/>
              <w:left w:val="nil"/>
              <w:bottom w:val="single" w:sz="4" w:space="0" w:color="auto"/>
              <w:right w:val="single" w:sz="4" w:space="0" w:color="auto"/>
            </w:tcBorders>
            <w:shd w:val="clear" w:color="auto" w:fill="auto"/>
            <w:noWrap/>
            <w:vAlign w:val="bottom"/>
            <w:hideMark/>
          </w:tcPr>
          <w:p w14:paraId="6EC68E2A" w14:textId="77777777" w:rsidR="0050072A" w:rsidRPr="0050072A" w:rsidRDefault="0050072A" w:rsidP="00C825F9">
            <w:pPr>
              <w:spacing w:after="0"/>
              <w:jc w:val="right"/>
              <w:rPr>
                <w:lang w:eastAsia="en-AU"/>
              </w:rPr>
            </w:pPr>
            <w:r w:rsidRPr="0050072A">
              <w:rPr>
                <w:lang w:eastAsia="en-AU"/>
              </w:rPr>
              <w:t>4%</w:t>
            </w:r>
          </w:p>
        </w:tc>
      </w:tr>
      <w:tr w:rsidR="0050072A" w:rsidRPr="0050072A" w14:paraId="6D22DEFA" w14:textId="77777777" w:rsidTr="00AC0F27">
        <w:trPr>
          <w:trHeight w:val="300"/>
        </w:trPr>
        <w:tc>
          <w:tcPr>
            <w:tcW w:w="3426" w:type="dxa"/>
            <w:tcBorders>
              <w:top w:val="nil"/>
              <w:left w:val="single" w:sz="4" w:space="0" w:color="auto"/>
              <w:bottom w:val="single" w:sz="4" w:space="0" w:color="auto"/>
              <w:right w:val="single" w:sz="4" w:space="0" w:color="auto"/>
            </w:tcBorders>
            <w:shd w:val="clear" w:color="auto" w:fill="auto"/>
            <w:noWrap/>
            <w:vAlign w:val="bottom"/>
            <w:hideMark/>
          </w:tcPr>
          <w:p w14:paraId="4D3B48DD" w14:textId="77777777" w:rsidR="0050072A" w:rsidRPr="0050072A" w:rsidRDefault="0050072A" w:rsidP="009546F6">
            <w:pPr>
              <w:spacing w:after="0"/>
              <w:rPr>
                <w:lang w:eastAsia="en-AU"/>
              </w:rPr>
            </w:pPr>
            <w:r w:rsidRPr="0050072A">
              <w:rPr>
                <w:lang w:eastAsia="en-AU"/>
              </w:rPr>
              <w:t>Manufacturing/light industrial</w:t>
            </w:r>
          </w:p>
        </w:tc>
        <w:tc>
          <w:tcPr>
            <w:tcW w:w="3414" w:type="dxa"/>
            <w:tcBorders>
              <w:top w:val="nil"/>
              <w:left w:val="nil"/>
              <w:bottom w:val="single" w:sz="4" w:space="0" w:color="auto"/>
              <w:right w:val="single" w:sz="4" w:space="0" w:color="auto"/>
            </w:tcBorders>
            <w:shd w:val="clear" w:color="auto" w:fill="auto"/>
            <w:noWrap/>
            <w:vAlign w:val="bottom"/>
            <w:hideMark/>
          </w:tcPr>
          <w:p w14:paraId="76671F26" w14:textId="77777777" w:rsidR="0050072A" w:rsidRPr="0050072A" w:rsidRDefault="0050072A" w:rsidP="00C825F9">
            <w:pPr>
              <w:spacing w:after="0"/>
              <w:jc w:val="right"/>
              <w:rPr>
                <w:lang w:eastAsia="en-AU"/>
              </w:rPr>
            </w:pPr>
            <w:r w:rsidRPr="0050072A">
              <w:rPr>
                <w:lang w:eastAsia="en-AU"/>
              </w:rPr>
              <w:t>3%</w:t>
            </w:r>
          </w:p>
        </w:tc>
      </w:tr>
      <w:tr w:rsidR="0050072A" w:rsidRPr="0050072A" w14:paraId="7490C2DC" w14:textId="77777777" w:rsidTr="00AC0F27">
        <w:trPr>
          <w:trHeight w:val="300"/>
        </w:trPr>
        <w:tc>
          <w:tcPr>
            <w:tcW w:w="3426" w:type="dxa"/>
            <w:tcBorders>
              <w:top w:val="nil"/>
              <w:left w:val="single" w:sz="4" w:space="0" w:color="auto"/>
              <w:bottom w:val="single" w:sz="4" w:space="0" w:color="auto"/>
              <w:right w:val="single" w:sz="4" w:space="0" w:color="auto"/>
            </w:tcBorders>
            <w:shd w:val="clear" w:color="auto" w:fill="auto"/>
            <w:noWrap/>
            <w:vAlign w:val="bottom"/>
            <w:hideMark/>
          </w:tcPr>
          <w:p w14:paraId="6DD1057E" w14:textId="77777777" w:rsidR="0050072A" w:rsidRPr="0050072A" w:rsidRDefault="0050072A" w:rsidP="009546F6">
            <w:pPr>
              <w:spacing w:after="0"/>
              <w:rPr>
                <w:lang w:eastAsia="en-AU"/>
              </w:rPr>
            </w:pPr>
            <w:r w:rsidRPr="0050072A">
              <w:rPr>
                <w:lang w:eastAsia="en-AU"/>
              </w:rPr>
              <w:t>Community/public use</w:t>
            </w:r>
          </w:p>
        </w:tc>
        <w:tc>
          <w:tcPr>
            <w:tcW w:w="3414" w:type="dxa"/>
            <w:tcBorders>
              <w:top w:val="nil"/>
              <w:left w:val="nil"/>
              <w:bottom w:val="single" w:sz="4" w:space="0" w:color="auto"/>
              <w:right w:val="single" w:sz="4" w:space="0" w:color="auto"/>
            </w:tcBorders>
            <w:shd w:val="clear" w:color="auto" w:fill="auto"/>
            <w:noWrap/>
            <w:vAlign w:val="bottom"/>
            <w:hideMark/>
          </w:tcPr>
          <w:p w14:paraId="06CCA98A" w14:textId="77777777" w:rsidR="0050072A" w:rsidRPr="0050072A" w:rsidRDefault="0050072A" w:rsidP="00C825F9">
            <w:pPr>
              <w:spacing w:after="0"/>
              <w:jc w:val="right"/>
              <w:rPr>
                <w:lang w:eastAsia="en-AU"/>
              </w:rPr>
            </w:pPr>
            <w:r w:rsidRPr="0050072A">
              <w:rPr>
                <w:lang w:eastAsia="en-AU"/>
              </w:rPr>
              <w:t>2%</w:t>
            </w:r>
          </w:p>
        </w:tc>
      </w:tr>
      <w:tr w:rsidR="0050072A" w:rsidRPr="0050072A" w14:paraId="15D75296" w14:textId="77777777" w:rsidTr="00AC0F27">
        <w:trPr>
          <w:trHeight w:val="300"/>
        </w:trPr>
        <w:tc>
          <w:tcPr>
            <w:tcW w:w="3426" w:type="dxa"/>
            <w:tcBorders>
              <w:top w:val="nil"/>
              <w:left w:val="single" w:sz="4" w:space="0" w:color="auto"/>
              <w:bottom w:val="single" w:sz="4" w:space="0" w:color="auto"/>
              <w:right w:val="single" w:sz="4" w:space="0" w:color="auto"/>
            </w:tcBorders>
            <w:shd w:val="clear" w:color="auto" w:fill="auto"/>
            <w:noWrap/>
            <w:vAlign w:val="bottom"/>
            <w:hideMark/>
          </w:tcPr>
          <w:p w14:paraId="709066CF" w14:textId="77777777" w:rsidR="0050072A" w:rsidRPr="0050072A" w:rsidRDefault="0050072A" w:rsidP="009546F6">
            <w:pPr>
              <w:spacing w:after="0"/>
              <w:rPr>
                <w:lang w:eastAsia="en-AU"/>
              </w:rPr>
            </w:pPr>
            <w:r w:rsidRPr="0050072A">
              <w:rPr>
                <w:lang w:eastAsia="en-AU"/>
              </w:rPr>
              <w:t>Transport</w:t>
            </w:r>
          </w:p>
        </w:tc>
        <w:tc>
          <w:tcPr>
            <w:tcW w:w="3414" w:type="dxa"/>
            <w:tcBorders>
              <w:top w:val="nil"/>
              <w:left w:val="nil"/>
              <w:bottom w:val="single" w:sz="4" w:space="0" w:color="auto"/>
              <w:right w:val="single" w:sz="4" w:space="0" w:color="auto"/>
            </w:tcBorders>
            <w:shd w:val="clear" w:color="auto" w:fill="auto"/>
            <w:noWrap/>
            <w:vAlign w:val="bottom"/>
            <w:hideMark/>
          </w:tcPr>
          <w:p w14:paraId="6EC4FAD3" w14:textId="77777777" w:rsidR="0050072A" w:rsidRPr="0050072A" w:rsidRDefault="0050072A" w:rsidP="00C825F9">
            <w:pPr>
              <w:spacing w:after="0"/>
              <w:jc w:val="right"/>
              <w:rPr>
                <w:lang w:eastAsia="en-AU"/>
              </w:rPr>
            </w:pPr>
            <w:r w:rsidRPr="0050072A">
              <w:rPr>
                <w:lang w:eastAsia="en-AU"/>
              </w:rPr>
              <w:t>1%</w:t>
            </w:r>
          </w:p>
        </w:tc>
      </w:tr>
      <w:tr w:rsidR="0050072A" w:rsidRPr="0050072A" w14:paraId="15E65FDB" w14:textId="77777777" w:rsidTr="00AC0F27">
        <w:trPr>
          <w:trHeight w:val="300"/>
        </w:trPr>
        <w:tc>
          <w:tcPr>
            <w:tcW w:w="3426" w:type="dxa"/>
            <w:tcBorders>
              <w:top w:val="nil"/>
              <w:left w:val="single" w:sz="4" w:space="0" w:color="auto"/>
              <w:bottom w:val="single" w:sz="4" w:space="0" w:color="auto"/>
              <w:right w:val="single" w:sz="4" w:space="0" w:color="auto"/>
            </w:tcBorders>
            <w:shd w:val="clear" w:color="auto" w:fill="auto"/>
            <w:noWrap/>
            <w:vAlign w:val="bottom"/>
            <w:hideMark/>
          </w:tcPr>
          <w:p w14:paraId="0088078F" w14:textId="77777777" w:rsidR="0050072A" w:rsidRPr="0050072A" w:rsidRDefault="0050072A" w:rsidP="009546F6">
            <w:pPr>
              <w:spacing w:after="0"/>
              <w:rPr>
                <w:lang w:eastAsia="en-AU"/>
              </w:rPr>
            </w:pPr>
            <w:r w:rsidRPr="0050072A">
              <w:rPr>
                <w:lang w:eastAsia="en-AU"/>
              </w:rPr>
              <w:t>Parking</w:t>
            </w:r>
          </w:p>
        </w:tc>
        <w:tc>
          <w:tcPr>
            <w:tcW w:w="3414" w:type="dxa"/>
            <w:tcBorders>
              <w:top w:val="nil"/>
              <w:left w:val="nil"/>
              <w:bottom w:val="single" w:sz="4" w:space="0" w:color="auto"/>
              <w:right w:val="single" w:sz="4" w:space="0" w:color="auto"/>
            </w:tcBorders>
            <w:shd w:val="clear" w:color="auto" w:fill="auto"/>
            <w:noWrap/>
            <w:vAlign w:val="bottom"/>
            <w:hideMark/>
          </w:tcPr>
          <w:p w14:paraId="7D969BDD" w14:textId="77777777" w:rsidR="0050072A" w:rsidRPr="0050072A" w:rsidRDefault="0050072A" w:rsidP="00C825F9">
            <w:pPr>
              <w:spacing w:after="0"/>
              <w:jc w:val="right"/>
              <w:rPr>
                <w:lang w:eastAsia="en-AU"/>
              </w:rPr>
            </w:pPr>
            <w:r w:rsidRPr="0050072A">
              <w:rPr>
                <w:lang w:eastAsia="en-AU"/>
              </w:rPr>
              <w:t>1%</w:t>
            </w:r>
          </w:p>
        </w:tc>
      </w:tr>
      <w:tr w:rsidR="0050072A" w:rsidRPr="0050072A" w14:paraId="4F9F1F31" w14:textId="77777777" w:rsidTr="00AC0F27">
        <w:trPr>
          <w:trHeight w:val="300"/>
        </w:trPr>
        <w:tc>
          <w:tcPr>
            <w:tcW w:w="3426" w:type="dxa"/>
            <w:tcBorders>
              <w:top w:val="nil"/>
              <w:left w:val="single" w:sz="4" w:space="0" w:color="auto"/>
              <w:bottom w:val="single" w:sz="4" w:space="0" w:color="auto"/>
              <w:right w:val="single" w:sz="4" w:space="0" w:color="auto"/>
            </w:tcBorders>
            <w:shd w:val="clear" w:color="auto" w:fill="auto"/>
            <w:noWrap/>
            <w:vAlign w:val="bottom"/>
            <w:hideMark/>
          </w:tcPr>
          <w:p w14:paraId="41F8093C" w14:textId="77777777" w:rsidR="0050072A" w:rsidRPr="0050072A" w:rsidRDefault="0050072A" w:rsidP="009546F6">
            <w:pPr>
              <w:spacing w:after="0"/>
              <w:rPr>
                <w:lang w:eastAsia="en-AU"/>
              </w:rPr>
            </w:pPr>
            <w:r w:rsidRPr="0050072A">
              <w:rPr>
                <w:lang w:eastAsia="en-AU"/>
              </w:rPr>
              <w:t>Other</w:t>
            </w:r>
          </w:p>
        </w:tc>
        <w:tc>
          <w:tcPr>
            <w:tcW w:w="3414" w:type="dxa"/>
            <w:tcBorders>
              <w:top w:val="nil"/>
              <w:left w:val="nil"/>
              <w:bottom w:val="single" w:sz="4" w:space="0" w:color="auto"/>
              <w:right w:val="single" w:sz="4" w:space="0" w:color="auto"/>
            </w:tcBorders>
            <w:shd w:val="clear" w:color="auto" w:fill="auto"/>
            <w:noWrap/>
            <w:vAlign w:val="bottom"/>
            <w:hideMark/>
          </w:tcPr>
          <w:p w14:paraId="638710DF" w14:textId="77777777" w:rsidR="0050072A" w:rsidRPr="0050072A" w:rsidRDefault="0050072A" w:rsidP="00C825F9">
            <w:pPr>
              <w:spacing w:after="0"/>
              <w:jc w:val="right"/>
              <w:rPr>
                <w:lang w:eastAsia="en-AU"/>
              </w:rPr>
            </w:pPr>
            <w:r w:rsidRPr="0050072A">
              <w:rPr>
                <w:lang w:eastAsia="en-AU"/>
              </w:rPr>
              <w:t>1%</w:t>
            </w:r>
          </w:p>
        </w:tc>
      </w:tr>
      <w:tr w:rsidR="0050072A" w:rsidRPr="0050072A" w14:paraId="5B642FD7" w14:textId="77777777" w:rsidTr="00AC0F27">
        <w:trPr>
          <w:trHeight w:val="300"/>
        </w:trPr>
        <w:tc>
          <w:tcPr>
            <w:tcW w:w="3426" w:type="dxa"/>
            <w:tcBorders>
              <w:top w:val="nil"/>
              <w:left w:val="single" w:sz="4" w:space="0" w:color="auto"/>
              <w:bottom w:val="single" w:sz="4" w:space="0" w:color="auto"/>
              <w:right w:val="single" w:sz="4" w:space="0" w:color="auto"/>
            </w:tcBorders>
            <w:shd w:val="clear" w:color="auto" w:fill="auto"/>
            <w:noWrap/>
            <w:vAlign w:val="bottom"/>
            <w:hideMark/>
          </w:tcPr>
          <w:p w14:paraId="267C6F06" w14:textId="77777777" w:rsidR="0050072A" w:rsidRPr="0050072A" w:rsidRDefault="0050072A" w:rsidP="009546F6">
            <w:pPr>
              <w:spacing w:after="0"/>
              <w:rPr>
                <w:lang w:eastAsia="en-AU"/>
              </w:rPr>
            </w:pPr>
            <w:r w:rsidRPr="0050072A">
              <w:rPr>
                <w:lang w:eastAsia="en-AU"/>
              </w:rPr>
              <w:t>Unoccupied</w:t>
            </w:r>
          </w:p>
        </w:tc>
        <w:tc>
          <w:tcPr>
            <w:tcW w:w="3414" w:type="dxa"/>
            <w:tcBorders>
              <w:top w:val="nil"/>
              <w:left w:val="nil"/>
              <w:bottom w:val="single" w:sz="4" w:space="0" w:color="auto"/>
              <w:right w:val="single" w:sz="4" w:space="0" w:color="auto"/>
            </w:tcBorders>
            <w:shd w:val="clear" w:color="auto" w:fill="auto"/>
            <w:noWrap/>
            <w:vAlign w:val="bottom"/>
            <w:hideMark/>
          </w:tcPr>
          <w:p w14:paraId="0EBBF2F4" w14:textId="77777777" w:rsidR="0050072A" w:rsidRPr="0050072A" w:rsidRDefault="0050072A" w:rsidP="00C825F9">
            <w:pPr>
              <w:spacing w:after="0"/>
              <w:jc w:val="right"/>
              <w:rPr>
                <w:lang w:eastAsia="en-AU"/>
              </w:rPr>
            </w:pPr>
            <w:r w:rsidRPr="0050072A">
              <w:rPr>
                <w:lang w:eastAsia="en-AU"/>
              </w:rPr>
              <w:t>0%</w:t>
            </w:r>
          </w:p>
        </w:tc>
      </w:tr>
    </w:tbl>
    <w:p w14:paraId="203C5EA4" w14:textId="77777777" w:rsidR="00A91679" w:rsidRDefault="00A91679" w:rsidP="00077DBC"/>
    <w:p w14:paraId="66906DCE" w14:textId="77777777" w:rsidR="00077DBC" w:rsidRDefault="00077DBC" w:rsidP="00077DBC">
      <w:r>
        <w:t xml:space="preserve">Return to </w:t>
      </w:r>
      <w:hyperlink w:anchor="_Melbourne’s_Buildings" w:history="1">
        <w:r w:rsidRPr="00077DBC">
          <w:rPr>
            <w:rStyle w:val="Hyperlink"/>
          </w:rPr>
          <w:t>Executive Summary</w:t>
        </w:r>
      </w:hyperlink>
    </w:p>
    <w:p w14:paraId="4CDEBA68" w14:textId="7594FCB6" w:rsidR="00077DBC" w:rsidRDefault="003B3A7A" w:rsidP="00077DBC">
      <w:pPr>
        <w:pStyle w:val="Heading3"/>
        <w:rPr>
          <w:rFonts w:hint="eastAsia"/>
        </w:rPr>
      </w:pPr>
      <w:bookmarkStart w:id="209" w:name="_Greenhouse_Gas_Emission"/>
      <w:bookmarkEnd w:id="209"/>
      <w:r>
        <w:rPr>
          <w:lang w:eastAsia="en-AU"/>
        </w:rPr>
        <w:t>Table A.3</w:t>
      </w:r>
      <w:r>
        <w:rPr>
          <w:lang w:eastAsia="en-AU"/>
        </w:rPr>
        <w:tab/>
      </w:r>
      <w:r w:rsidR="00077DBC" w:rsidRPr="0050072A">
        <w:rPr>
          <w:lang w:eastAsia="en-AU"/>
        </w:rPr>
        <w:t>Greenhouse Gas Emission Shares by Space Use Type, City of Melbourne, 2022</w:t>
      </w:r>
    </w:p>
    <w:tbl>
      <w:tblPr>
        <w:tblW w:w="6840" w:type="dxa"/>
        <w:tblInd w:w="-5" w:type="dxa"/>
        <w:tblLook w:val="04A0" w:firstRow="1" w:lastRow="0" w:firstColumn="1" w:lastColumn="0" w:noHBand="0" w:noVBand="1"/>
      </w:tblPr>
      <w:tblGrid>
        <w:gridCol w:w="3402"/>
        <w:gridCol w:w="3438"/>
      </w:tblGrid>
      <w:tr w:rsidR="0050072A" w:rsidRPr="0050072A" w14:paraId="27D675F3" w14:textId="77777777" w:rsidTr="009546F6">
        <w:trPr>
          <w:trHeight w:val="300"/>
        </w:trPr>
        <w:tc>
          <w:tcPr>
            <w:tcW w:w="3402" w:type="dxa"/>
            <w:tcBorders>
              <w:top w:val="single" w:sz="4" w:space="0" w:color="auto"/>
              <w:left w:val="single" w:sz="4" w:space="0" w:color="auto"/>
              <w:bottom w:val="single" w:sz="4" w:space="0" w:color="auto"/>
              <w:right w:val="single" w:sz="4" w:space="0" w:color="auto"/>
            </w:tcBorders>
            <w:shd w:val="clear" w:color="auto" w:fill="auto"/>
            <w:noWrap/>
            <w:hideMark/>
          </w:tcPr>
          <w:p w14:paraId="1988A9D6" w14:textId="77777777" w:rsidR="0050072A" w:rsidRPr="009546F6" w:rsidRDefault="0050072A" w:rsidP="009546F6">
            <w:pPr>
              <w:spacing w:after="0"/>
              <w:rPr>
                <w:b/>
                <w:bCs/>
                <w:lang w:eastAsia="en-AU"/>
              </w:rPr>
            </w:pPr>
            <w:r w:rsidRPr="009546F6">
              <w:rPr>
                <w:b/>
                <w:bCs/>
                <w:lang w:eastAsia="en-AU"/>
              </w:rPr>
              <w:t>Space Use Type</w:t>
            </w:r>
          </w:p>
        </w:tc>
        <w:tc>
          <w:tcPr>
            <w:tcW w:w="3438" w:type="dxa"/>
            <w:tcBorders>
              <w:top w:val="single" w:sz="4" w:space="0" w:color="auto"/>
              <w:left w:val="nil"/>
              <w:bottom w:val="single" w:sz="4" w:space="0" w:color="auto"/>
              <w:right w:val="single" w:sz="4" w:space="0" w:color="auto"/>
            </w:tcBorders>
            <w:shd w:val="clear" w:color="auto" w:fill="auto"/>
            <w:noWrap/>
            <w:vAlign w:val="bottom"/>
            <w:hideMark/>
          </w:tcPr>
          <w:p w14:paraId="2AE82B6B" w14:textId="77777777" w:rsidR="0050072A" w:rsidRPr="009546F6" w:rsidRDefault="0050072A" w:rsidP="009546F6">
            <w:pPr>
              <w:spacing w:after="0"/>
              <w:rPr>
                <w:b/>
                <w:bCs/>
                <w:lang w:eastAsia="en-AU"/>
              </w:rPr>
            </w:pPr>
            <w:r w:rsidRPr="009546F6">
              <w:rPr>
                <w:b/>
                <w:bCs/>
                <w:lang w:eastAsia="en-AU"/>
              </w:rPr>
              <w:t>Share of Greenhouse Gas Emissions (%)</w:t>
            </w:r>
          </w:p>
        </w:tc>
      </w:tr>
      <w:tr w:rsidR="0050072A" w:rsidRPr="0050072A" w14:paraId="1DE8C453" w14:textId="77777777" w:rsidTr="009546F6">
        <w:trPr>
          <w:trHeight w:val="300"/>
        </w:trPr>
        <w:tc>
          <w:tcPr>
            <w:tcW w:w="3402" w:type="dxa"/>
            <w:tcBorders>
              <w:top w:val="nil"/>
              <w:left w:val="single" w:sz="4" w:space="0" w:color="auto"/>
              <w:bottom w:val="single" w:sz="4" w:space="0" w:color="auto"/>
              <w:right w:val="single" w:sz="4" w:space="0" w:color="auto"/>
            </w:tcBorders>
            <w:shd w:val="clear" w:color="auto" w:fill="auto"/>
            <w:noWrap/>
            <w:vAlign w:val="bottom"/>
            <w:hideMark/>
          </w:tcPr>
          <w:p w14:paraId="6977A917" w14:textId="77777777" w:rsidR="0050072A" w:rsidRPr="0050072A" w:rsidRDefault="0050072A" w:rsidP="009546F6">
            <w:pPr>
              <w:spacing w:after="0"/>
              <w:rPr>
                <w:lang w:eastAsia="en-AU"/>
              </w:rPr>
            </w:pPr>
            <w:r w:rsidRPr="0050072A">
              <w:rPr>
                <w:lang w:eastAsia="en-AU"/>
              </w:rPr>
              <w:t>Office</w:t>
            </w:r>
          </w:p>
        </w:tc>
        <w:tc>
          <w:tcPr>
            <w:tcW w:w="3438" w:type="dxa"/>
            <w:tcBorders>
              <w:top w:val="nil"/>
              <w:left w:val="nil"/>
              <w:bottom w:val="single" w:sz="4" w:space="0" w:color="auto"/>
              <w:right w:val="single" w:sz="4" w:space="0" w:color="auto"/>
            </w:tcBorders>
            <w:shd w:val="clear" w:color="auto" w:fill="auto"/>
            <w:noWrap/>
            <w:vAlign w:val="bottom"/>
            <w:hideMark/>
          </w:tcPr>
          <w:p w14:paraId="2E9ED1F1" w14:textId="77777777" w:rsidR="0050072A" w:rsidRPr="0050072A" w:rsidRDefault="0050072A" w:rsidP="00C825F9">
            <w:pPr>
              <w:spacing w:after="0"/>
              <w:jc w:val="right"/>
              <w:rPr>
                <w:lang w:eastAsia="en-AU"/>
              </w:rPr>
            </w:pPr>
            <w:r w:rsidRPr="0050072A">
              <w:rPr>
                <w:lang w:eastAsia="en-AU"/>
              </w:rPr>
              <w:t>32%</w:t>
            </w:r>
          </w:p>
        </w:tc>
      </w:tr>
      <w:tr w:rsidR="0050072A" w:rsidRPr="0050072A" w14:paraId="48FDBAC5" w14:textId="77777777" w:rsidTr="009546F6">
        <w:trPr>
          <w:trHeight w:val="300"/>
        </w:trPr>
        <w:tc>
          <w:tcPr>
            <w:tcW w:w="3402" w:type="dxa"/>
            <w:tcBorders>
              <w:top w:val="nil"/>
              <w:left w:val="single" w:sz="4" w:space="0" w:color="auto"/>
              <w:bottom w:val="single" w:sz="4" w:space="0" w:color="auto"/>
              <w:right w:val="single" w:sz="4" w:space="0" w:color="auto"/>
            </w:tcBorders>
            <w:shd w:val="clear" w:color="auto" w:fill="auto"/>
            <w:noWrap/>
            <w:vAlign w:val="bottom"/>
            <w:hideMark/>
          </w:tcPr>
          <w:p w14:paraId="05C0595B" w14:textId="77777777" w:rsidR="0050072A" w:rsidRPr="0050072A" w:rsidRDefault="0050072A" w:rsidP="009546F6">
            <w:pPr>
              <w:spacing w:after="0"/>
              <w:rPr>
                <w:lang w:eastAsia="en-AU"/>
              </w:rPr>
            </w:pPr>
            <w:r w:rsidRPr="0050072A">
              <w:rPr>
                <w:lang w:eastAsia="en-AU"/>
              </w:rPr>
              <w:t>Residential</w:t>
            </w:r>
          </w:p>
        </w:tc>
        <w:tc>
          <w:tcPr>
            <w:tcW w:w="3438" w:type="dxa"/>
            <w:tcBorders>
              <w:top w:val="nil"/>
              <w:left w:val="nil"/>
              <w:bottom w:val="single" w:sz="4" w:space="0" w:color="auto"/>
              <w:right w:val="single" w:sz="4" w:space="0" w:color="auto"/>
            </w:tcBorders>
            <w:shd w:val="clear" w:color="auto" w:fill="auto"/>
            <w:noWrap/>
            <w:vAlign w:val="bottom"/>
            <w:hideMark/>
          </w:tcPr>
          <w:p w14:paraId="3F30AA30" w14:textId="77777777" w:rsidR="0050072A" w:rsidRPr="0050072A" w:rsidRDefault="0050072A" w:rsidP="00C825F9">
            <w:pPr>
              <w:spacing w:after="0"/>
              <w:jc w:val="right"/>
              <w:rPr>
                <w:lang w:eastAsia="en-AU"/>
              </w:rPr>
            </w:pPr>
            <w:r w:rsidRPr="0050072A">
              <w:rPr>
                <w:lang w:eastAsia="en-AU"/>
              </w:rPr>
              <w:t>24%</w:t>
            </w:r>
          </w:p>
        </w:tc>
      </w:tr>
      <w:tr w:rsidR="0050072A" w:rsidRPr="0050072A" w14:paraId="626553E7" w14:textId="77777777" w:rsidTr="009546F6">
        <w:trPr>
          <w:trHeight w:val="300"/>
        </w:trPr>
        <w:tc>
          <w:tcPr>
            <w:tcW w:w="3402" w:type="dxa"/>
            <w:tcBorders>
              <w:top w:val="nil"/>
              <w:left w:val="single" w:sz="4" w:space="0" w:color="auto"/>
              <w:bottom w:val="single" w:sz="4" w:space="0" w:color="auto"/>
              <w:right w:val="single" w:sz="4" w:space="0" w:color="auto"/>
            </w:tcBorders>
            <w:shd w:val="clear" w:color="auto" w:fill="auto"/>
            <w:noWrap/>
            <w:vAlign w:val="bottom"/>
            <w:hideMark/>
          </w:tcPr>
          <w:p w14:paraId="48F2EE68" w14:textId="77777777" w:rsidR="0050072A" w:rsidRPr="0050072A" w:rsidRDefault="0050072A" w:rsidP="009546F6">
            <w:pPr>
              <w:spacing w:after="0"/>
              <w:rPr>
                <w:lang w:eastAsia="en-AU"/>
              </w:rPr>
            </w:pPr>
            <w:r w:rsidRPr="0050072A">
              <w:rPr>
                <w:lang w:eastAsia="en-AU"/>
              </w:rPr>
              <w:lastRenderedPageBreak/>
              <w:t>Commercial accommodation</w:t>
            </w:r>
          </w:p>
        </w:tc>
        <w:tc>
          <w:tcPr>
            <w:tcW w:w="3438" w:type="dxa"/>
            <w:tcBorders>
              <w:top w:val="nil"/>
              <w:left w:val="nil"/>
              <w:bottom w:val="single" w:sz="4" w:space="0" w:color="auto"/>
              <w:right w:val="single" w:sz="4" w:space="0" w:color="auto"/>
            </w:tcBorders>
            <w:shd w:val="clear" w:color="auto" w:fill="auto"/>
            <w:noWrap/>
            <w:vAlign w:val="bottom"/>
            <w:hideMark/>
          </w:tcPr>
          <w:p w14:paraId="2AB0F9A1" w14:textId="77777777" w:rsidR="0050072A" w:rsidRPr="0050072A" w:rsidRDefault="0050072A" w:rsidP="00C825F9">
            <w:pPr>
              <w:spacing w:after="0"/>
              <w:jc w:val="right"/>
              <w:rPr>
                <w:lang w:eastAsia="en-AU"/>
              </w:rPr>
            </w:pPr>
            <w:r w:rsidRPr="0050072A">
              <w:rPr>
                <w:lang w:eastAsia="en-AU"/>
              </w:rPr>
              <w:t>9%</w:t>
            </w:r>
          </w:p>
        </w:tc>
      </w:tr>
      <w:tr w:rsidR="0050072A" w:rsidRPr="0050072A" w14:paraId="7C435E06" w14:textId="77777777" w:rsidTr="009546F6">
        <w:trPr>
          <w:trHeight w:val="300"/>
        </w:trPr>
        <w:tc>
          <w:tcPr>
            <w:tcW w:w="3402" w:type="dxa"/>
            <w:tcBorders>
              <w:top w:val="nil"/>
              <w:left w:val="single" w:sz="4" w:space="0" w:color="auto"/>
              <w:bottom w:val="single" w:sz="4" w:space="0" w:color="auto"/>
              <w:right w:val="single" w:sz="4" w:space="0" w:color="auto"/>
            </w:tcBorders>
            <w:shd w:val="clear" w:color="auto" w:fill="auto"/>
            <w:noWrap/>
            <w:vAlign w:val="bottom"/>
            <w:hideMark/>
          </w:tcPr>
          <w:p w14:paraId="6450AA85" w14:textId="77777777" w:rsidR="0050072A" w:rsidRPr="0050072A" w:rsidRDefault="0050072A" w:rsidP="009546F6">
            <w:pPr>
              <w:spacing w:after="0"/>
              <w:rPr>
                <w:lang w:eastAsia="en-AU"/>
              </w:rPr>
            </w:pPr>
            <w:r w:rsidRPr="0050072A">
              <w:rPr>
                <w:lang w:eastAsia="en-AU"/>
              </w:rPr>
              <w:t>Hospitals/healthcare</w:t>
            </w:r>
          </w:p>
        </w:tc>
        <w:tc>
          <w:tcPr>
            <w:tcW w:w="3438" w:type="dxa"/>
            <w:tcBorders>
              <w:top w:val="nil"/>
              <w:left w:val="nil"/>
              <w:bottom w:val="single" w:sz="4" w:space="0" w:color="auto"/>
              <w:right w:val="single" w:sz="4" w:space="0" w:color="auto"/>
            </w:tcBorders>
            <w:shd w:val="clear" w:color="auto" w:fill="auto"/>
            <w:noWrap/>
            <w:vAlign w:val="bottom"/>
            <w:hideMark/>
          </w:tcPr>
          <w:p w14:paraId="05AA95D9" w14:textId="77777777" w:rsidR="0050072A" w:rsidRPr="0050072A" w:rsidRDefault="0050072A" w:rsidP="00C825F9">
            <w:pPr>
              <w:spacing w:after="0"/>
              <w:jc w:val="right"/>
              <w:rPr>
                <w:lang w:eastAsia="en-AU"/>
              </w:rPr>
            </w:pPr>
            <w:r w:rsidRPr="0050072A">
              <w:rPr>
                <w:lang w:eastAsia="en-AU"/>
              </w:rPr>
              <w:t>8%</w:t>
            </w:r>
          </w:p>
        </w:tc>
      </w:tr>
      <w:tr w:rsidR="0050072A" w:rsidRPr="0050072A" w14:paraId="012B4ECB" w14:textId="77777777" w:rsidTr="009546F6">
        <w:trPr>
          <w:trHeight w:val="300"/>
        </w:trPr>
        <w:tc>
          <w:tcPr>
            <w:tcW w:w="3402" w:type="dxa"/>
            <w:tcBorders>
              <w:top w:val="nil"/>
              <w:left w:val="single" w:sz="4" w:space="0" w:color="auto"/>
              <w:bottom w:val="single" w:sz="4" w:space="0" w:color="auto"/>
              <w:right w:val="single" w:sz="4" w:space="0" w:color="auto"/>
            </w:tcBorders>
            <w:shd w:val="clear" w:color="auto" w:fill="auto"/>
            <w:noWrap/>
            <w:vAlign w:val="bottom"/>
            <w:hideMark/>
          </w:tcPr>
          <w:p w14:paraId="3F7B1539" w14:textId="77777777" w:rsidR="0050072A" w:rsidRPr="0050072A" w:rsidRDefault="0050072A" w:rsidP="009546F6">
            <w:pPr>
              <w:spacing w:after="0"/>
              <w:rPr>
                <w:lang w:eastAsia="en-AU"/>
              </w:rPr>
            </w:pPr>
            <w:r w:rsidRPr="0050072A">
              <w:rPr>
                <w:lang w:eastAsia="en-AU"/>
              </w:rPr>
              <w:t>Retail</w:t>
            </w:r>
          </w:p>
        </w:tc>
        <w:tc>
          <w:tcPr>
            <w:tcW w:w="3438" w:type="dxa"/>
            <w:tcBorders>
              <w:top w:val="nil"/>
              <w:left w:val="nil"/>
              <w:bottom w:val="single" w:sz="4" w:space="0" w:color="auto"/>
              <w:right w:val="single" w:sz="4" w:space="0" w:color="auto"/>
            </w:tcBorders>
            <w:shd w:val="clear" w:color="auto" w:fill="auto"/>
            <w:noWrap/>
            <w:vAlign w:val="bottom"/>
            <w:hideMark/>
          </w:tcPr>
          <w:p w14:paraId="6FEA0E16" w14:textId="77777777" w:rsidR="0050072A" w:rsidRPr="0050072A" w:rsidRDefault="0050072A" w:rsidP="00C825F9">
            <w:pPr>
              <w:spacing w:after="0"/>
              <w:jc w:val="right"/>
              <w:rPr>
                <w:lang w:eastAsia="en-AU"/>
              </w:rPr>
            </w:pPr>
            <w:r w:rsidRPr="0050072A">
              <w:rPr>
                <w:lang w:eastAsia="en-AU"/>
              </w:rPr>
              <w:t>6%</w:t>
            </w:r>
          </w:p>
        </w:tc>
      </w:tr>
      <w:tr w:rsidR="0050072A" w:rsidRPr="0050072A" w14:paraId="31BE1D9A" w14:textId="77777777" w:rsidTr="009546F6">
        <w:trPr>
          <w:trHeight w:val="300"/>
        </w:trPr>
        <w:tc>
          <w:tcPr>
            <w:tcW w:w="3402" w:type="dxa"/>
            <w:tcBorders>
              <w:top w:val="nil"/>
              <w:left w:val="single" w:sz="4" w:space="0" w:color="auto"/>
              <w:bottom w:val="single" w:sz="4" w:space="0" w:color="auto"/>
              <w:right w:val="single" w:sz="4" w:space="0" w:color="auto"/>
            </w:tcBorders>
            <w:shd w:val="clear" w:color="auto" w:fill="auto"/>
            <w:noWrap/>
            <w:vAlign w:val="bottom"/>
            <w:hideMark/>
          </w:tcPr>
          <w:p w14:paraId="757A6B54" w14:textId="77777777" w:rsidR="0050072A" w:rsidRPr="0050072A" w:rsidRDefault="0050072A" w:rsidP="009546F6">
            <w:pPr>
              <w:spacing w:after="0"/>
              <w:rPr>
                <w:lang w:eastAsia="en-AU"/>
              </w:rPr>
            </w:pPr>
            <w:r w:rsidRPr="0050072A">
              <w:rPr>
                <w:lang w:eastAsia="en-AU"/>
              </w:rPr>
              <w:t>Education</w:t>
            </w:r>
          </w:p>
        </w:tc>
        <w:tc>
          <w:tcPr>
            <w:tcW w:w="3438" w:type="dxa"/>
            <w:tcBorders>
              <w:top w:val="nil"/>
              <w:left w:val="nil"/>
              <w:bottom w:val="single" w:sz="4" w:space="0" w:color="auto"/>
              <w:right w:val="single" w:sz="4" w:space="0" w:color="auto"/>
            </w:tcBorders>
            <w:shd w:val="clear" w:color="auto" w:fill="auto"/>
            <w:noWrap/>
            <w:vAlign w:val="bottom"/>
            <w:hideMark/>
          </w:tcPr>
          <w:p w14:paraId="74746E73" w14:textId="77777777" w:rsidR="0050072A" w:rsidRPr="0050072A" w:rsidRDefault="0050072A" w:rsidP="00C825F9">
            <w:pPr>
              <w:spacing w:after="0"/>
              <w:jc w:val="right"/>
              <w:rPr>
                <w:lang w:eastAsia="en-AU"/>
              </w:rPr>
            </w:pPr>
            <w:r w:rsidRPr="0050072A">
              <w:rPr>
                <w:lang w:eastAsia="en-AU"/>
              </w:rPr>
              <w:t>6%</w:t>
            </w:r>
          </w:p>
        </w:tc>
      </w:tr>
      <w:tr w:rsidR="0050072A" w:rsidRPr="0050072A" w14:paraId="4902803E" w14:textId="77777777" w:rsidTr="009546F6">
        <w:trPr>
          <w:trHeight w:val="300"/>
        </w:trPr>
        <w:tc>
          <w:tcPr>
            <w:tcW w:w="3402" w:type="dxa"/>
            <w:tcBorders>
              <w:top w:val="nil"/>
              <w:left w:val="single" w:sz="4" w:space="0" w:color="auto"/>
              <w:bottom w:val="single" w:sz="4" w:space="0" w:color="auto"/>
              <w:right w:val="single" w:sz="4" w:space="0" w:color="auto"/>
            </w:tcBorders>
            <w:shd w:val="clear" w:color="auto" w:fill="auto"/>
            <w:noWrap/>
            <w:vAlign w:val="bottom"/>
            <w:hideMark/>
          </w:tcPr>
          <w:p w14:paraId="65825F1B" w14:textId="77777777" w:rsidR="0050072A" w:rsidRPr="0050072A" w:rsidRDefault="0050072A" w:rsidP="009546F6">
            <w:pPr>
              <w:spacing w:after="0"/>
              <w:rPr>
                <w:lang w:eastAsia="en-AU"/>
              </w:rPr>
            </w:pPr>
            <w:r w:rsidRPr="0050072A">
              <w:rPr>
                <w:lang w:eastAsia="en-AU"/>
              </w:rPr>
              <w:t>Entertainment/recreation</w:t>
            </w:r>
          </w:p>
        </w:tc>
        <w:tc>
          <w:tcPr>
            <w:tcW w:w="3438" w:type="dxa"/>
            <w:tcBorders>
              <w:top w:val="nil"/>
              <w:left w:val="nil"/>
              <w:bottom w:val="single" w:sz="4" w:space="0" w:color="auto"/>
              <w:right w:val="single" w:sz="4" w:space="0" w:color="auto"/>
            </w:tcBorders>
            <w:shd w:val="clear" w:color="auto" w:fill="auto"/>
            <w:noWrap/>
            <w:vAlign w:val="bottom"/>
            <w:hideMark/>
          </w:tcPr>
          <w:p w14:paraId="5587778F" w14:textId="77777777" w:rsidR="0050072A" w:rsidRPr="0050072A" w:rsidRDefault="0050072A" w:rsidP="00C825F9">
            <w:pPr>
              <w:spacing w:after="0"/>
              <w:jc w:val="right"/>
              <w:rPr>
                <w:lang w:eastAsia="en-AU"/>
              </w:rPr>
            </w:pPr>
            <w:r w:rsidRPr="0050072A">
              <w:rPr>
                <w:lang w:eastAsia="en-AU"/>
              </w:rPr>
              <w:t>4%</w:t>
            </w:r>
          </w:p>
        </w:tc>
      </w:tr>
      <w:tr w:rsidR="0050072A" w:rsidRPr="0050072A" w14:paraId="0DC2F2BB" w14:textId="77777777" w:rsidTr="009546F6">
        <w:trPr>
          <w:trHeight w:val="300"/>
        </w:trPr>
        <w:tc>
          <w:tcPr>
            <w:tcW w:w="3402" w:type="dxa"/>
            <w:tcBorders>
              <w:top w:val="nil"/>
              <w:left w:val="single" w:sz="4" w:space="0" w:color="auto"/>
              <w:bottom w:val="single" w:sz="4" w:space="0" w:color="auto"/>
              <w:right w:val="single" w:sz="4" w:space="0" w:color="auto"/>
            </w:tcBorders>
            <w:shd w:val="clear" w:color="auto" w:fill="auto"/>
            <w:noWrap/>
            <w:vAlign w:val="bottom"/>
            <w:hideMark/>
          </w:tcPr>
          <w:p w14:paraId="7FFE9573" w14:textId="77777777" w:rsidR="0050072A" w:rsidRPr="0050072A" w:rsidRDefault="0050072A" w:rsidP="009546F6">
            <w:pPr>
              <w:spacing w:after="0"/>
              <w:rPr>
                <w:lang w:eastAsia="en-AU"/>
              </w:rPr>
            </w:pPr>
            <w:r w:rsidRPr="0050072A">
              <w:rPr>
                <w:lang w:eastAsia="en-AU"/>
              </w:rPr>
              <w:t>Manufacturing/light industrial</w:t>
            </w:r>
          </w:p>
        </w:tc>
        <w:tc>
          <w:tcPr>
            <w:tcW w:w="3438" w:type="dxa"/>
            <w:tcBorders>
              <w:top w:val="nil"/>
              <w:left w:val="nil"/>
              <w:bottom w:val="single" w:sz="4" w:space="0" w:color="auto"/>
              <w:right w:val="single" w:sz="4" w:space="0" w:color="auto"/>
            </w:tcBorders>
            <w:shd w:val="clear" w:color="auto" w:fill="auto"/>
            <w:noWrap/>
            <w:vAlign w:val="bottom"/>
            <w:hideMark/>
          </w:tcPr>
          <w:p w14:paraId="64B84F31" w14:textId="77777777" w:rsidR="0050072A" w:rsidRPr="0050072A" w:rsidRDefault="0050072A" w:rsidP="00C825F9">
            <w:pPr>
              <w:spacing w:after="0"/>
              <w:jc w:val="right"/>
              <w:rPr>
                <w:lang w:eastAsia="en-AU"/>
              </w:rPr>
            </w:pPr>
            <w:r w:rsidRPr="0050072A">
              <w:rPr>
                <w:lang w:eastAsia="en-AU"/>
              </w:rPr>
              <w:t>4%</w:t>
            </w:r>
          </w:p>
        </w:tc>
      </w:tr>
      <w:tr w:rsidR="0050072A" w:rsidRPr="0050072A" w14:paraId="6CD2B8EC" w14:textId="77777777" w:rsidTr="009546F6">
        <w:trPr>
          <w:trHeight w:val="300"/>
        </w:trPr>
        <w:tc>
          <w:tcPr>
            <w:tcW w:w="3402" w:type="dxa"/>
            <w:tcBorders>
              <w:top w:val="nil"/>
              <w:left w:val="single" w:sz="4" w:space="0" w:color="auto"/>
              <w:bottom w:val="single" w:sz="4" w:space="0" w:color="auto"/>
              <w:right w:val="single" w:sz="4" w:space="0" w:color="auto"/>
            </w:tcBorders>
            <w:shd w:val="clear" w:color="auto" w:fill="auto"/>
            <w:noWrap/>
            <w:vAlign w:val="bottom"/>
            <w:hideMark/>
          </w:tcPr>
          <w:p w14:paraId="0AE6A0F1" w14:textId="77777777" w:rsidR="0050072A" w:rsidRPr="0050072A" w:rsidRDefault="0050072A" w:rsidP="009546F6">
            <w:pPr>
              <w:spacing w:after="0"/>
              <w:rPr>
                <w:lang w:eastAsia="en-AU"/>
              </w:rPr>
            </w:pPr>
            <w:r w:rsidRPr="0050072A">
              <w:rPr>
                <w:lang w:eastAsia="en-AU"/>
              </w:rPr>
              <w:t>Community/public use</w:t>
            </w:r>
          </w:p>
        </w:tc>
        <w:tc>
          <w:tcPr>
            <w:tcW w:w="3438" w:type="dxa"/>
            <w:tcBorders>
              <w:top w:val="nil"/>
              <w:left w:val="nil"/>
              <w:bottom w:val="single" w:sz="4" w:space="0" w:color="auto"/>
              <w:right w:val="single" w:sz="4" w:space="0" w:color="auto"/>
            </w:tcBorders>
            <w:shd w:val="clear" w:color="auto" w:fill="auto"/>
            <w:noWrap/>
            <w:vAlign w:val="bottom"/>
            <w:hideMark/>
          </w:tcPr>
          <w:p w14:paraId="4CB8E915" w14:textId="77777777" w:rsidR="0050072A" w:rsidRPr="0050072A" w:rsidRDefault="0050072A" w:rsidP="00C825F9">
            <w:pPr>
              <w:spacing w:after="0"/>
              <w:jc w:val="right"/>
              <w:rPr>
                <w:lang w:eastAsia="en-AU"/>
              </w:rPr>
            </w:pPr>
            <w:r w:rsidRPr="0050072A">
              <w:rPr>
                <w:lang w:eastAsia="en-AU"/>
              </w:rPr>
              <w:t>3%</w:t>
            </w:r>
          </w:p>
        </w:tc>
      </w:tr>
      <w:tr w:rsidR="0050072A" w:rsidRPr="0050072A" w14:paraId="3A14993F" w14:textId="77777777" w:rsidTr="009546F6">
        <w:trPr>
          <w:trHeight w:val="300"/>
        </w:trPr>
        <w:tc>
          <w:tcPr>
            <w:tcW w:w="3402" w:type="dxa"/>
            <w:tcBorders>
              <w:top w:val="nil"/>
              <w:left w:val="single" w:sz="4" w:space="0" w:color="auto"/>
              <w:bottom w:val="single" w:sz="4" w:space="0" w:color="auto"/>
              <w:right w:val="single" w:sz="4" w:space="0" w:color="auto"/>
            </w:tcBorders>
            <w:shd w:val="clear" w:color="auto" w:fill="auto"/>
            <w:noWrap/>
            <w:vAlign w:val="bottom"/>
            <w:hideMark/>
          </w:tcPr>
          <w:p w14:paraId="6B0D1DF5" w14:textId="77777777" w:rsidR="0050072A" w:rsidRPr="0050072A" w:rsidRDefault="0050072A" w:rsidP="009546F6">
            <w:pPr>
              <w:spacing w:after="0"/>
              <w:rPr>
                <w:lang w:eastAsia="en-AU"/>
              </w:rPr>
            </w:pPr>
            <w:r w:rsidRPr="0050072A">
              <w:rPr>
                <w:lang w:eastAsia="en-AU"/>
              </w:rPr>
              <w:t>Transport</w:t>
            </w:r>
          </w:p>
        </w:tc>
        <w:tc>
          <w:tcPr>
            <w:tcW w:w="3438" w:type="dxa"/>
            <w:tcBorders>
              <w:top w:val="nil"/>
              <w:left w:val="nil"/>
              <w:bottom w:val="single" w:sz="4" w:space="0" w:color="auto"/>
              <w:right w:val="single" w:sz="4" w:space="0" w:color="auto"/>
            </w:tcBorders>
            <w:shd w:val="clear" w:color="auto" w:fill="auto"/>
            <w:noWrap/>
            <w:vAlign w:val="bottom"/>
            <w:hideMark/>
          </w:tcPr>
          <w:p w14:paraId="71433351" w14:textId="77777777" w:rsidR="0050072A" w:rsidRPr="0050072A" w:rsidRDefault="0050072A" w:rsidP="00C825F9">
            <w:pPr>
              <w:spacing w:after="0"/>
              <w:jc w:val="right"/>
              <w:rPr>
                <w:lang w:eastAsia="en-AU"/>
              </w:rPr>
            </w:pPr>
            <w:r w:rsidRPr="0050072A">
              <w:rPr>
                <w:lang w:eastAsia="en-AU"/>
              </w:rPr>
              <w:t>2%</w:t>
            </w:r>
          </w:p>
        </w:tc>
      </w:tr>
      <w:tr w:rsidR="0050072A" w:rsidRPr="0050072A" w14:paraId="3DB31398" w14:textId="77777777" w:rsidTr="009546F6">
        <w:trPr>
          <w:trHeight w:val="300"/>
        </w:trPr>
        <w:tc>
          <w:tcPr>
            <w:tcW w:w="3402" w:type="dxa"/>
            <w:tcBorders>
              <w:top w:val="nil"/>
              <w:left w:val="single" w:sz="4" w:space="0" w:color="auto"/>
              <w:bottom w:val="single" w:sz="4" w:space="0" w:color="auto"/>
              <w:right w:val="single" w:sz="4" w:space="0" w:color="auto"/>
            </w:tcBorders>
            <w:shd w:val="clear" w:color="auto" w:fill="auto"/>
            <w:noWrap/>
            <w:vAlign w:val="bottom"/>
            <w:hideMark/>
          </w:tcPr>
          <w:p w14:paraId="4347D23D" w14:textId="77777777" w:rsidR="0050072A" w:rsidRPr="0050072A" w:rsidRDefault="0050072A" w:rsidP="009546F6">
            <w:pPr>
              <w:spacing w:after="0"/>
              <w:rPr>
                <w:lang w:eastAsia="en-AU"/>
              </w:rPr>
            </w:pPr>
            <w:r w:rsidRPr="0050072A">
              <w:rPr>
                <w:lang w:eastAsia="en-AU"/>
              </w:rPr>
              <w:t>Parking</w:t>
            </w:r>
          </w:p>
        </w:tc>
        <w:tc>
          <w:tcPr>
            <w:tcW w:w="3438" w:type="dxa"/>
            <w:tcBorders>
              <w:top w:val="nil"/>
              <w:left w:val="nil"/>
              <w:bottom w:val="single" w:sz="4" w:space="0" w:color="auto"/>
              <w:right w:val="single" w:sz="4" w:space="0" w:color="auto"/>
            </w:tcBorders>
            <w:shd w:val="clear" w:color="auto" w:fill="auto"/>
            <w:noWrap/>
            <w:vAlign w:val="bottom"/>
            <w:hideMark/>
          </w:tcPr>
          <w:p w14:paraId="35594B86" w14:textId="77777777" w:rsidR="0050072A" w:rsidRPr="0050072A" w:rsidRDefault="0050072A" w:rsidP="00C825F9">
            <w:pPr>
              <w:spacing w:after="0"/>
              <w:jc w:val="right"/>
              <w:rPr>
                <w:lang w:eastAsia="en-AU"/>
              </w:rPr>
            </w:pPr>
            <w:r w:rsidRPr="0050072A">
              <w:rPr>
                <w:lang w:eastAsia="en-AU"/>
              </w:rPr>
              <w:t>1%</w:t>
            </w:r>
          </w:p>
        </w:tc>
      </w:tr>
      <w:tr w:rsidR="0050072A" w:rsidRPr="0050072A" w14:paraId="51B7A10A" w14:textId="77777777" w:rsidTr="009546F6">
        <w:trPr>
          <w:trHeight w:val="300"/>
        </w:trPr>
        <w:tc>
          <w:tcPr>
            <w:tcW w:w="3402" w:type="dxa"/>
            <w:tcBorders>
              <w:top w:val="nil"/>
              <w:left w:val="single" w:sz="4" w:space="0" w:color="auto"/>
              <w:bottom w:val="single" w:sz="4" w:space="0" w:color="auto"/>
              <w:right w:val="single" w:sz="4" w:space="0" w:color="auto"/>
            </w:tcBorders>
            <w:shd w:val="clear" w:color="auto" w:fill="auto"/>
            <w:noWrap/>
            <w:vAlign w:val="bottom"/>
            <w:hideMark/>
          </w:tcPr>
          <w:p w14:paraId="1A0385BD" w14:textId="77777777" w:rsidR="0050072A" w:rsidRPr="0050072A" w:rsidRDefault="0050072A" w:rsidP="009546F6">
            <w:pPr>
              <w:spacing w:after="0"/>
              <w:rPr>
                <w:lang w:eastAsia="en-AU"/>
              </w:rPr>
            </w:pPr>
            <w:r w:rsidRPr="0050072A">
              <w:rPr>
                <w:lang w:eastAsia="en-AU"/>
              </w:rPr>
              <w:t>Other</w:t>
            </w:r>
          </w:p>
        </w:tc>
        <w:tc>
          <w:tcPr>
            <w:tcW w:w="3438" w:type="dxa"/>
            <w:tcBorders>
              <w:top w:val="nil"/>
              <w:left w:val="nil"/>
              <w:bottom w:val="single" w:sz="4" w:space="0" w:color="auto"/>
              <w:right w:val="single" w:sz="4" w:space="0" w:color="auto"/>
            </w:tcBorders>
            <w:shd w:val="clear" w:color="auto" w:fill="auto"/>
            <w:noWrap/>
            <w:vAlign w:val="bottom"/>
            <w:hideMark/>
          </w:tcPr>
          <w:p w14:paraId="142E5D22" w14:textId="77777777" w:rsidR="0050072A" w:rsidRPr="0050072A" w:rsidRDefault="0050072A" w:rsidP="00C825F9">
            <w:pPr>
              <w:spacing w:after="0"/>
              <w:jc w:val="right"/>
              <w:rPr>
                <w:lang w:eastAsia="en-AU"/>
              </w:rPr>
            </w:pPr>
            <w:r w:rsidRPr="0050072A">
              <w:rPr>
                <w:lang w:eastAsia="en-AU"/>
              </w:rPr>
              <w:t>1%</w:t>
            </w:r>
          </w:p>
        </w:tc>
      </w:tr>
    </w:tbl>
    <w:p w14:paraId="038255CA" w14:textId="621300F3" w:rsidR="0050072A" w:rsidRDefault="0050072A" w:rsidP="00A361FC">
      <w:pPr>
        <w:rPr>
          <w:rFonts w:ascii="Helvetica Light" w:hAnsi="Helvetica Light" w:cstheme="minorBidi"/>
          <w:szCs w:val="20"/>
        </w:rPr>
      </w:pPr>
    </w:p>
    <w:p w14:paraId="7ABA99A3" w14:textId="77777777" w:rsidR="00A84F31" w:rsidRDefault="00A84F31" w:rsidP="00A84F31">
      <w:r>
        <w:t xml:space="preserve">Return to </w:t>
      </w:r>
      <w:hyperlink w:anchor="_Melbourne’s_Buildings" w:history="1">
        <w:r w:rsidRPr="00077DBC">
          <w:rPr>
            <w:rStyle w:val="Hyperlink"/>
          </w:rPr>
          <w:t>Executive Summary</w:t>
        </w:r>
      </w:hyperlink>
    </w:p>
    <w:p w14:paraId="4AB9D661" w14:textId="38F0F681" w:rsidR="009546F6" w:rsidRDefault="003B3A7A" w:rsidP="003B3A7A">
      <w:pPr>
        <w:pStyle w:val="Heading3"/>
        <w:ind w:left="1440" w:hanging="1440"/>
        <w:rPr>
          <w:rFonts w:hint="eastAsia"/>
        </w:rPr>
      </w:pPr>
      <w:bookmarkStart w:id="210" w:name="_Gross_Floor_Area"/>
      <w:bookmarkEnd w:id="210"/>
      <w:r>
        <w:t>Table A.4</w:t>
      </w:r>
      <w:r>
        <w:tab/>
      </w:r>
      <w:r w:rsidR="009546F6" w:rsidRPr="009546F6">
        <w:t xml:space="preserve">Gross Floor Area of Space-Use (excluding public outdoor space), </w:t>
      </w:r>
      <w:r>
        <w:br/>
      </w:r>
      <w:r w:rsidR="009546F6" w:rsidRPr="009546F6">
        <w:t>City of Melbourne FY2022</w:t>
      </w:r>
    </w:p>
    <w:tbl>
      <w:tblPr>
        <w:tblW w:w="6840" w:type="dxa"/>
        <w:tblInd w:w="-5" w:type="dxa"/>
        <w:tblLook w:val="04A0" w:firstRow="1" w:lastRow="0" w:firstColumn="1" w:lastColumn="0" w:noHBand="0" w:noVBand="1"/>
      </w:tblPr>
      <w:tblGrid>
        <w:gridCol w:w="3408"/>
        <w:gridCol w:w="3432"/>
      </w:tblGrid>
      <w:tr w:rsidR="0050072A" w:rsidRPr="0050072A" w14:paraId="1C3C8D5C" w14:textId="77777777" w:rsidTr="009546F6">
        <w:trPr>
          <w:trHeight w:val="300"/>
        </w:trPr>
        <w:tc>
          <w:tcPr>
            <w:tcW w:w="3408" w:type="dxa"/>
            <w:tcBorders>
              <w:top w:val="single" w:sz="4" w:space="0" w:color="auto"/>
              <w:left w:val="single" w:sz="4" w:space="0" w:color="auto"/>
              <w:bottom w:val="single" w:sz="4" w:space="0" w:color="auto"/>
              <w:right w:val="single" w:sz="4" w:space="0" w:color="auto"/>
            </w:tcBorders>
            <w:shd w:val="clear" w:color="auto" w:fill="auto"/>
            <w:noWrap/>
            <w:hideMark/>
          </w:tcPr>
          <w:p w14:paraId="58257B05" w14:textId="77777777" w:rsidR="0050072A" w:rsidRPr="009546F6" w:rsidRDefault="0050072A" w:rsidP="009546F6">
            <w:pPr>
              <w:spacing w:after="0"/>
              <w:rPr>
                <w:b/>
                <w:bCs/>
                <w:lang w:eastAsia="en-AU"/>
              </w:rPr>
            </w:pPr>
            <w:bookmarkStart w:id="211" w:name="_Table_2:_High-level"/>
            <w:bookmarkStart w:id="212" w:name="_Figure_5:_Gross"/>
            <w:bookmarkEnd w:id="211"/>
            <w:bookmarkEnd w:id="212"/>
            <w:r w:rsidRPr="009546F6">
              <w:rPr>
                <w:b/>
                <w:bCs/>
                <w:lang w:eastAsia="en-AU"/>
              </w:rPr>
              <w:t>Space Use Type</w:t>
            </w:r>
          </w:p>
        </w:tc>
        <w:tc>
          <w:tcPr>
            <w:tcW w:w="3432" w:type="dxa"/>
            <w:tcBorders>
              <w:top w:val="single" w:sz="4" w:space="0" w:color="auto"/>
              <w:left w:val="nil"/>
              <w:bottom w:val="single" w:sz="4" w:space="0" w:color="auto"/>
              <w:right w:val="single" w:sz="4" w:space="0" w:color="auto"/>
            </w:tcBorders>
            <w:shd w:val="clear" w:color="auto" w:fill="auto"/>
            <w:noWrap/>
            <w:vAlign w:val="bottom"/>
            <w:hideMark/>
          </w:tcPr>
          <w:p w14:paraId="30ED5758" w14:textId="77777777" w:rsidR="0050072A" w:rsidRPr="009546F6" w:rsidRDefault="0050072A" w:rsidP="009546F6">
            <w:pPr>
              <w:spacing w:after="0"/>
              <w:rPr>
                <w:b/>
                <w:bCs/>
                <w:lang w:eastAsia="en-AU"/>
              </w:rPr>
            </w:pPr>
            <w:r w:rsidRPr="009546F6">
              <w:rPr>
                <w:b/>
                <w:bCs/>
                <w:lang w:eastAsia="en-AU"/>
              </w:rPr>
              <w:t>Gross Floor Area (m2)</w:t>
            </w:r>
          </w:p>
        </w:tc>
      </w:tr>
      <w:tr w:rsidR="0050072A" w:rsidRPr="0050072A" w14:paraId="466D1C2D" w14:textId="77777777" w:rsidTr="009546F6">
        <w:trPr>
          <w:trHeight w:val="300"/>
        </w:trPr>
        <w:tc>
          <w:tcPr>
            <w:tcW w:w="3408" w:type="dxa"/>
            <w:tcBorders>
              <w:top w:val="nil"/>
              <w:left w:val="single" w:sz="4" w:space="0" w:color="auto"/>
              <w:bottom w:val="single" w:sz="4" w:space="0" w:color="auto"/>
              <w:right w:val="single" w:sz="4" w:space="0" w:color="auto"/>
            </w:tcBorders>
            <w:shd w:val="clear" w:color="auto" w:fill="auto"/>
            <w:noWrap/>
            <w:vAlign w:val="bottom"/>
            <w:hideMark/>
          </w:tcPr>
          <w:p w14:paraId="5A07B359" w14:textId="77777777" w:rsidR="0050072A" w:rsidRPr="0050072A" w:rsidRDefault="0050072A" w:rsidP="009546F6">
            <w:pPr>
              <w:spacing w:after="0"/>
              <w:rPr>
                <w:lang w:eastAsia="en-AU"/>
              </w:rPr>
            </w:pPr>
            <w:r w:rsidRPr="0050072A">
              <w:rPr>
                <w:lang w:eastAsia="en-AU"/>
              </w:rPr>
              <w:t>Residential</w:t>
            </w:r>
          </w:p>
        </w:tc>
        <w:tc>
          <w:tcPr>
            <w:tcW w:w="3432" w:type="dxa"/>
            <w:tcBorders>
              <w:top w:val="nil"/>
              <w:left w:val="nil"/>
              <w:bottom w:val="single" w:sz="4" w:space="0" w:color="auto"/>
              <w:right w:val="single" w:sz="4" w:space="0" w:color="auto"/>
            </w:tcBorders>
            <w:shd w:val="clear" w:color="auto" w:fill="auto"/>
            <w:noWrap/>
            <w:vAlign w:val="bottom"/>
            <w:hideMark/>
          </w:tcPr>
          <w:p w14:paraId="74784E9F" w14:textId="77777777" w:rsidR="0050072A" w:rsidRPr="0050072A" w:rsidRDefault="0050072A" w:rsidP="009546F6">
            <w:pPr>
              <w:spacing w:after="0"/>
              <w:rPr>
                <w:lang w:eastAsia="en-AU"/>
              </w:rPr>
            </w:pPr>
            <w:r w:rsidRPr="0050072A">
              <w:rPr>
                <w:lang w:eastAsia="en-AU"/>
              </w:rPr>
              <w:t xml:space="preserve">                                  13,846,042 </w:t>
            </w:r>
          </w:p>
        </w:tc>
      </w:tr>
      <w:tr w:rsidR="0050072A" w:rsidRPr="0050072A" w14:paraId="3919CA02" w14:textId="77777777" w:rsidTr="009546F6">
        <w:trPr>
          <w:trHeight w:val="300"/>
        </w:trPr>
        <w:tc>
          <w:tcPr>
            <w:tcW w:w="3408" w:type="dxa"/>
            <w:tcBorders>
              <w:top w:val="nil"/>
              <w:left w:val="single" w:sz="4" w:space="0" w:color="auto"/>
              <w:bottom w:val="single" w:sz="4" w:space="0" w:color="auto"/>
              <w:right w:val="single" w:sz="4" w:space="0" w:color="auto"/>
            </w:tcBorders>
            <w:shd w:val="clear" w:color="auto" w:fill="auto"/>
            <w:noWrap/>
            <w:vAlign w:val="bottom"/>
            <w:hideMark/>
          </w:tcPr>
          <w:p w14:paraId="62DED245" w14:textId="77777777" w:rsidR="0050072A" w:rsidRPr="0050072A" w:rsidRDefault="0050072A" w:rsidP="009546F6">
            <w:pPr>
              <w:spacing w:after="0"/>
              <w:rPr>
                <w:lang w:eastAsia="en-AU"/>
              </w:rPr>
            </w:pPr>
            <w:r w:rsidRPr="0050072A">
              <w:rPr>
                <w:lang w:eastAsia="en-AU"/>
              </w:rPr>
              <w:t>Office</w:t>
            </w:r>
          </w:p>
        </w:tc>
        <w:tc>
          <w:tcPr>
            <w:tcW w:w="3432" w:type="dxa"/>
            <w:tcBorders>
              <w:top w:val="nil"/>
              <w:left w:val="nil"/>
              <w:bottom w:val="single" w:sz="4" w:space="0" w:color="auto"/>
              <w:right w:val="single" w:sz="4" w:space="0" w:color="auto"/>
            </w:tcBorders>
            <w:shd w:val="clear" w:color="auto" w:fill="auto"/>
            <w:noWrap/>
            <w:vAlign w:val="bottom"/>
            <w:hideMark/>
          </w:tcPr>
          <w:p w14:paraId="19359ECC" w14:textId="77777777" w:rsidR="0050072A" w:rsidRPr="0050072A" w:rsidRDefault="0050072A" w:rsidP="009546F6">
            <w:pPr>
              <w:spacing w:after="0"/>
              <w:rPr>
                <w:lang w:eastAsia="en-AU"/>
              </w:rPr>
            </w:pPr>
            <w:r w:rsidRPr="0050072A">
              <w:rPr>
                <w:lang w:eastAsia="en-AU"/>
              </w:rPr>
              <w:t xml:space="preserve">                                    8,025,215 </w:t>
            </w:r>
          </w:p>
        </w:tc>
      </w:tr>
      <w:tr w:rsidR="0050072A" w:rsidRPr="0050072A" w14:paraId="3163F7DB" w14:textId="77777777" w:rsidTr="009546F6">
        <w:trPr>
          <w:trHeight w:val="300"/>
        </w:trPr>
        <w:tc>
          <w:tcPr>
            <w:tcW w:w="3408" w:type="dxa"/>
            <w:tcBorders>
              <w:top w:val="nil"/>
              <w:left w:val="single" w:sz="4" w:space="0" w:color="auto"/>
              <w:bottom w:val="single" w:sz="4" w:space="0" w:color="auto"/>
              <w:right w:val="single" w:sz="4" w:space="0" w:color="auto"/>
            </w:tcBorders>
            <w:shd w:val="clear" w:color="auto" w:fill="auto"/>
            <w:noWrap/>
            <w:vAlign w:val="bottom"/>
            <w:hideMark/>
          </w:tcPr>
          <w:p w14:paraId="2D6776A9" w14:textId="77777777" w:rsidR="0050072A" w:rsidRPr="0050072A" w:rsidRDefault="0050072A" w:rsidP="009546F6">
            <w:pPr>
              <w:spacing w:after="0"/>
              <w:rPr>
                <w:lang w:eastAsia="en-AU"/>
              </w:rPr>
            </w:pPr>
            <w:r w:rsidRPr="0050072A">
              <w:rPr>
                <w:lang w:eastAsia="en-AU"/>
              </w:rPr>
              <w:t>Unoccupied</w:t>
            </w:r>
          </w:p>
        </w:tc>
        <w:tc>
          <w:tcPr>
            <w:tcW w:w="3432" w:type="dxa"/>
            <w:tcBorders>
              <w:top w:val="nil"/>
              <w:left w:val="nil"/>
              <w:bottom w:val="single" w:sz="4" w:space="0" w:color="auto"/>
              <w:right w:val="single" w:sz="4" w:space="0" w:color="auto"/>
            </w:tcBorders>
            <w:shd w:val="clear" w:color="auto" w:fill="auto"/>
            <w:noWrap/>
            <w:vAlign w:val="bottom"/>
            <w:hideMark/>
          </w:tcPr>
          <w:p w14:paraId="753FF341" w14:textId="77777777" w:rsidR="0050072A" w:rsidRPr="0050072A" w:rsidRDefault="0050072A" w:rsidP="009546F6">
            <w:pPr>
              <w:spacing w:after="0"/>
              <w:rPr>
                <w:lang w:eastAsia="en-AU"/>
              </w:rPr>
            </w:pPr>
            <w:r w:rsidRPr="0050072A">
              <w:rPr>
                <w:lang w:eastAsia="en-AU"/>
              </w:rPr>
              <w:t xml:space="preserve">                                    4,935,776 </w:t>
            </w:r>
          </w:p>
        </w:tc>
      </w:tr>
      <w:tr w:rsidR="0050072A" w:rsidRPr="0050072A" w14:paraId="57223C62" w14:textId="77777777" w:rsidTr="009546F6">
        <w:trPr>
          <w:trHeight w:val="300"/>
        </w:trPr>
        <w:tc>
          <w:tcPr>
            <w:tcW w:w="3408" w:type="dxa"/>
            <w:tcBorders>
              <w:top w:val="nil"/>
              <w:left w:val="single" w:sz="4" w:space="0" w:color="auto"/>
              <w:bottom w:val="single" w:sz="4" w:space="0" w:color="auto"/>
              <w:right w:val="single" w:sz="4" w:space="0" w:color="auto"/>
            </w:tcBorders>
            <w:shd w:val="clear" w:color="auto" w:fill="auto"/>
            <w:noWrap/>
            <w:vAlign w:val="bottom"/>
            <w:hideMark/>
          </w:tcPr>
          <w:p w14:paraId="63284E1E" w14:textId="77777777" w:rsidR="0050072A" w:rsidRPr="0050072A" w:rsidRDefault="0050072A" w:rsidP="009546F6">
            <w:pPr>
              <w:spacing w:after="0"/>
              <w:rPr>
                <w:lang w:eastAsia="en-AU"/>
              </w:rPr>
            </w:pPr>
            <w:r w:rsidRPr="0050072A">
              <w:rPr>
                <w:lang w:eastAsia="en-AU"/>
              </w:rPr>
              <w:t>Transport</w:t>
            </w:r>
          </w:p>
        </w:tc>
        <w:tc>
          <w:tcPr>
            <w:tcW w:w="3432" w:type="dxa"/>
            <w:tcBorders>
              <w:top w:val="nil"/>
              <w:left w:val="nil"/>
              <w:bottom w:val="single" w:sz="4" w:space="0" w:color="auto"/>
              <w:right w:val="single" w:sz="4" w:space="0" w:color="auto"/>
            </w:tcBorders>
            <w:shd w:val="clear" w:color="auto" w:fill="auto"/>
            <w:noWrap/>
            <w:vAlign w:val="bottom"/>
            <w:hideMark/>
          </w:tcPr>
          <w:p w14:paraId="1C49D2A1" w14:textId="77777777" w:rsidR="0050072A" w:rsidRPr="0050072A" w:rsidRDefault="0050072A" w:rsidP="009546F6">
            <w:pPr>
              <w:spacing w:after="0"/>
              <w:rPr>
                <w:lang w:eastAsia="en-AU"/>
              </w:rPr>
            </w:pPr>
            <w:r w:rsidRPr="0050072A">
              <w:rPr>
                <w:lang w:eastAsia="en-AU"/>
              </w:rPr>
              <w:t xml:space="preserve">                                    3,693,513 </w:t>
            </w:r>
          </w:p>
        </w:tc>
      </w:tr>
      <w:tr w:rsidR="0050072A" w:rsidRPr="0050072A" w14:paraId="32DCFBC0" w14:textId="77777777" w:rsidTr="009546F6">
        <w:trPr>
          <w:trHeight w:val="300"/>
        </w:trPr>
        <w:tc>
          <w:tcPr>
            <w:tcW w:w="3408" w:type="dxa"/>
            <w:tcBorders>
              <w:top w:val="nil"/>
              <w:left w:val="single" w:sz="4" w:space="0" w:color="auto"/>
              <w:bottom w:val="single" w:sz="4" w:space="0" w:color="auto"/>
              <w:right w:val="single" w:sz="4" w:space="0" w:color="auto"/>
            </w:tcBorders>
            <w:shd w:val="clear" w:color="auto" w:fill="auto"/>
            <w:noWrap/>
            <w:vAlign w:val="bottom"/>
            <w:hideMark/>
          </w:tcPr>
          <w:p w14:paraId="577369E5" w14:textId="77777777" w:rsidR="0050072A" w:rsidRPr="0050072A" w:rsidRDefault="0050072A" w:rsidP="009546F6">
            <w:pPr>
              <w:spacing w:after="0"/>
              <w:rPr>
                <w:lang w:eastAsia="en-AU"/>
              </w:rPr>
            </w:pPr>
            <w:r w:rsidRPr="0050072A">
              <w:rPr>
                <w:lang w:eastAsia="en-AU"/>
              </w:rPr>
              <w:t>Parking</w:t>
            </w:r>
          </w:p>
        </w:tc>
        <w:tc>
          <w:tcPr>
            <w:tcW w:w="3432" w:type="dxa"/>
            <w:tcBorders>
              <w:top w:val="nil"/>
              <w:left w:val="nil"/>
              <w:bottom w:val="single" w:sz="4" w:space="0" w:color="auto"/>
              <w:right w:val="single" w:sz="4" w:space="0" w:color="auto"/>
            </w:tcBorders>
            <w:shd w:val="clear" w:color="auto" w:fill="auto"/>
            <w:noWrap/>
            <w:vAlign w:val="bottom"/>
            <w:hideMark/>
          </w:tcPr>
          <w:p w14:paraId="01B25E6C" w14:textId="77777777" w:rsidR="0050072A" w:rsidRPr="0050072A" w:rsidRDefault="0050072A" w:rsidP="009546F6">
            <w:pPr>
              <w:spacing w:after="0"/>
              <w:rPr>
                <w:lang w:eastAsia="en-AU"/>
              </w:rPr>
            </w:pPr>
            <w:r w:rsidRPr="0050072A">
              <w:rPr>
                <w:lang w:eastAsia="en-AU"/>
              </w:rPr>
              <w:t xml:space="preserve">                                    2,457,153 </w:t>
            </w:r>
          </w:p>
        </w:tc>
      </w:tr>
      <w:tr w:rsidR="0050072A" w:rsidRPr="0050072A" w14:paraId="022EDC61" w14:textId="77777777" w:rsidTr="009546F6">
        <w:trPr>
          <w:trHeight w:val="300"/>
        </w:trPr>
        <w:tc>
          <w:tcPr>
            <w:tcW w:w="3408" w:type="dxa"/>
            <w:tcBorders>
              <w:top w:val="nil"/>
              <w:left w:val="single" w:sz="4" w:space="0" w:color="auto"/>
              <w:bottom w:val="single" w:sz="4" w:space="0" w:color="auto"/>
              <w:right w:val="single" w:sz="4" w:space="0" w:color="auto"/>
            </w:tcBorders>
            <w:shd w:val="clear" w:color="auto" w:fill="auto"/>
            <w:noWrap/>
            <w:vAlign w:val="bottom"/>
            <w:hideMark/>
          </w:tcPr>
          <w:p w14:paraId="62B2B62A" w14:textId="77777777" w:rsidR="0050072A" w:rsidRPr="0050072A" w:rsidRDefault="0050072A" w:rsidP="009546F6">
            <w:pPr>
              <w:spacing w:after="0"/>
              <w:rPr>
                <w:lang w:eastAsia="en-AU"/>
              </w:rPr>
            </w:pPr>
            <w:r w:rsidRPr="0050072A">
              <w:rPr>
                <w:lang w:eastAsia="en-AU"/>
              </w:rPr>
              <w:t>Education</w:t>
            </w:r>
          </w:p>
        </w:tc>
        <w:tc>
          <w:tcPr>
            <w:tcW w:w="3432" w:type="dxa"/>
            <w:tcBorders>
              <w:top w:val="nil"/>
              <w:left w:val="nil"/>
              <w:bottom w:val="single" w:sz="4" w:space="0" w:color="auto"/>
              <w:right w:val="single" w:sz="4" w:space="0" w:color="auto"/>
            </w:tcBorders>
            <w:shd w:val="clear" w:color="auto" w:fill="auto"/>
            <w:noWrap/>
            <w:vAlign w:val="bottom"/>
            <w:hideMark/>
          </w:tcPr>
          <w:p w14:paraId="7D0349B0" w14:textId="77777777" w:rsidR="0050072A" w:rsidRPr="0050072A" w:rsidRDefault="0050072A" w:rsidP="009546F6">
            <w:pPr>
              <w:spacing w:after="0"/>
              <w:rPr>
                <w:lang w:eastAsia="en-AU"/>
              </w:rPr>
            </w:pPr>
            <w:r w:rsidRPr="0050072A">
              <w:rPr>
                <w:lang w:eastAsia="en-AU"/>
              </w:rPr>
              <w:t xml:space="preserve">                                    1,928,660 </w:t>
            </w:r>
          </w:p>
        </w:tc>
      </w:tr>
      <w:tr w:rsidR="0050072A" w:rsidRPr="0050072A" w14:paraId="6B74185D" w14:textId="77777777" w:rsidTr="009546F6">
        <w:trPr>
          <w:trHeight w:val="300"/>
        </w:trPr>
        <w:tc>
          <w:tcPr>
            <w:tcW w:w="3408" w:type="dxa"/>
            <w:tcBorders>
              <w:top w:val="nil"/>
              <w:left w:val="single" w:sz="4" w:space="0" w:color="auto"/>
              <w:bottom w:val="single" w:sz="4" w:space="0" w:color="auto"/>
              <w:right w:val="single" w:sz="4" w:space="0" w:color="auto"/>
            </w:tcBorders>
            <w:shd w:val="clear" w:color="auto" w:fill="auto"/>
            <w:noWrap/>
            <w:vAlign w:val="bottom"/>
            <w:hideMark/>
          </w:tcPr>
          <w:p w14:paraId="5AC91708" w14:textId="77777777" w:rsidR="0050072A" w:rsidRPr="0050072A" w:rsidRDefault="0050072A" w:rsidP="009546F6">
            <w:pPr>
              <w:spacing w:after="0"/>
              <w:rPr>
                <w:lang w:eastAsia="en-AU"/>
              </w:rPr>
            </w:pPr>
            <w:r w:rsidRPr="0050072A">
              <w:rPr>
                <w:lang w:eastAsia="en-AU"/>
              </w:rPr>
              <w:t>Commercial accommodation</w:t>
            </w:r>
          </w:p>
        </w:tc>
        <w:tc>
          <w:tcPr>
            <w:tcW w:w="3432" w:type="dxa"/>
            <w:tcBorders>
              <w:top w:val="nil"/>
              <w:left w:val="nil"/>
              <w:bottom w:val="single" w:sz="4" w:space="0" w:color="auto"/>
              <w:right w:val="single" w:sz="4" w:space="0" w:color="auto"/>
            </w:tcBorders>
            <w:shd w:val="clear" w:color="auto" w:fill="auto"/>
            <w:noWrap/>
            <w:vAlign w:val="bottom"/>
            <w:hideMark/>
          </w:tcPr>
          <w:p w14:paraId="6F8564AC" w14:textId="77777777" w:rsidR="0050072A" w:rsidRPr="0050072A" w:rsidRDefault="0050072A" w:rsidP="009546F6">
            <w:pPr>
              <w:spacing w:after="0"/>
              <w:rPr>
                <w:lang w:eastAsia="en-AU"/>
              </w:rPr>
            </w:pPr>
            <w:r w:rsidRPr="0050072A">
              <w:rPr>
                <w:lang w:eastAsia="en-AU"/>
              </w:rPr>
              <w:t xml:space="preserve">                                    1,685,219 </w:t>
            </w:r>
          </w:p>
        </w:tc>
      </w:tr>
      <w:tr w:rsidR="0050072A" w:rsidRPr="0050072A" w14:paraId="7D206A9F" w14:textId="77777777" w:rsidTr="009546F6">
        <w:trPr>
          <w:trHeight w:val="300"/>
        </w:trPr>
        <w:tc>
          <w:tcPr>
            <w:tcW w:w="3408" w:type="dxa"/>
            <w:tcBorders>
              <w:top w:val="nil"/>
              <w:left w:val="single" w:sz="4" w:space="0" w:color="auto"/>
              <w:bottom w:val="single" w:sz="4" w:space="0" w:color="auto"/>
              <w:right w:val="single" w:sz="4" w:space="0" w:color="auto"/>
            </w:tcBorders>
            <w:shd w:val="clear" w:color="auto" w:fill="auto"/>
            <w:noWrap/>
            <w:vAlign w:val="bottom"/>
            <w:hideMark/>
          </w:tcPr>
          <w:p w14:paraId="5FD7879E" w14:textId="77777777" w:rsidR="0050072A" w:rsidRPr="0050072A" w:rsidRDefault="0050072A" w:rsidP="009546F6">
            <w:pPr>
              <w:spacing w:after="0"/>
              <w:rPr>
                <w:lang w:eastAsia="en-AU"/>
              </w:rPr>
            </w:pPr>
            <w:r w:rsidRPr="0050072A">
              <w:rPr>
                <w:lang w:eastAsia="en-AU"/>
              </w:rPr>
              <w:t>Entertainment/recreation</w:t>
            </w:r>
          </w:p>
        </w:tc>
        <w:tc>
          <w:tcPr>
            <w:tcW w:w="3432" w:type="dxa"/>
            <w:tcBorders>
              <w:top w:val="nil"/>
              <w:left w:val="nil"/>
              <w:bottom w:val="single" w:sz="4" w:space="0" w:color="auto"/>
              <w:right w:val="single" w:sz="4" w:space="0" w:color="auto"/>
            </w:tcBorders>
            <w:shd w:val="clear" w:color="auto" w:fill="auto"/>
            <w:noWrap/>
            <w:vAlign w:val="bottom"/>
            <w:hideMark/>
          </w:tcPr>
          <w:p w14:paraId="6A7A9E86" w14:textId="77777777" w:rsidR="0050072A" w:rsidRPr="0050072A" w:rsidRDefault="0050072A" w:rsidP="009546F6">
            <w:pPr>
              <w:spacing w:after="0"/>
              <w:rPr>
                <w:lang w:eastAsia="en-AU"/>
              </w:rPr>
            </w:pPr>
            <w:r w:rsidRPr="0050072A">
              <w:rPr>
                <w:lang w:eastAsia="en-AU"/>
              </w:rPr>
              <w:t xml:space="preserve">                                    1,403,258 </w:t>
            </w:r>
          </w:p>
        </w:tc>
      </w:tr>
      <w:tr w:rsidR="0050072A" w:rsidRPr="0050072A" w14:paraId="3C6915E3" w14:textId="77777777" w:rsidTr="009546F6">
        <w:trPr>
          <w:trHeight w:val="300"/>
        </w:trPr>
        <w:tc>
          <w:tcPr>
            <w:tcW w:w="3408" w:type="dxa"/>
            <w:tcBorders>
              <w:top w:val="nil"/>
              <w:left w:val="single" w:sz="4" w:space="0" w:color="auto"/>
              <w:bottom w:val="single" w:sz="4" w:space="0" w:color="auto"/>
              <w:right w:val="single" w:sz="4" w:space="0" w:color="auto"/>
            </w:tcBorders>
            <w:shd w:val="clear" w:color="auto" w:fill="auto"/>
            <w:noWrap/>
            <w:vAlign w:val="bottom"/>
            <w:hideMark/>
          </w:tcPr>
          <w:p w14:paraId="5FA73DD6" w14:textId="77777777" w:rsidR="0050072A" w:rsidRPr="0050072A" w:rsidRDefault="0050072A" w:rsidP="009546F6">
            <w:pPr>
              <w:spacing w:after="0"/>
              <w:rPr>
                <w:lang w:eastAsia="en-AU"/>
              </w:rPr>
            </w:pPr>
            <w:r w:rsidRPr="0050072A">
              <w:rPr>
                <w:lang w:eastAsia="en-AU"/>
              </w:rPr>
              <w:t>Manufacturing/light industrial</w:t>
            </w:r>
          </w:p>
        </w:tc>
        <w:tc>
          <w:tcPr>
            <w:tcW w:w="3432" w:type="dxa"/>
            <w:tcBorders>
              <w:top w:val="nil"/>
              <w:left w:val="nil"/>
              <w:bottom w:val="single" w:sz="4" w:space="0" w:color="auto"/>
              <w:right w:val="single" w:sz="4" w:space="0" w:color="auto"/>
            </w:tcBorders>
            <w:shd w:val="clear" w:color="auto" w:fill="auto"/>
            <w:noWrap/>
            <w:vAlign w:val="bottom"/>
            <w:hideMark/>
          </w:tcPr>
          <w:p w14:paraId="2DFC201F" w14:textId="77777777" w:rsidR="0050072A" w:rsidRPr="0050072A" w:rsidRDefault="0050072A" w:rsidP="009546F6">
            <w:pPr>
              <w:spacing w:after="0"/>
              <w:rPr>
                <w:lang w:eastAsia="en-AU"/>
              </w:rPr>
            </w:pPr>
            <w:r w:rsidRPr="0050072A">
              <w:rPr>
                <w:lang w:eastAsia="en-AU"/>
              </w:rPr>
              <w:t xml:space="preserve">                                    1,355,910 </w:t>
            </w:r>
          </w:p>
        </w:tc>
      </w:tr>
      <w:tr w:rsidR="0050072A" w:rsidRPr="0050072A" w14:paraId="694A9E2A" w14:textId="77777777" w:rsidTr="009546F6">
        <w:trPr>
          <w:trHeight w:val="300"/>
        </w:trPr>
        <w:tc>
          <w:tcPr>
            <w:tcW w:w="3408" w:type="dxa"/>
            <w:tcBorders>
              <w:top w:val="nil"/>
              <w:left w:val="single" w:sz="4" w:space="0" w:color="auto"/>
              <w:bottom w:val="single" w:sz="4" w:space="0" w:color="auto"/>
              <w:right w:val="single" w:sz="4" w:space="0" w:color="auto"/>
            </w:tcBorders>
            <w:shd w:val="clear" w:color="auto" w:fill="auto"/>
            <w:noWrap/>
            <w:vAlign w:val="bottom"/>
            <w:hideMark/>
          </w:tcPr>
          <w:p w14:paraId="26796A07" w14:textId="77777777" w:rsidR="0050072A" w:rsidRPr="0050072A" w:rsidRDefault="0050072A" w:rsidP="009546F6">
            <w:pPr>
              <w:spacing w:after="0"/>
              <w:rPr>
                <w:lang w:eastAsia="en-AU"/>
              </w:rPr>
            </w:pPr>
            <w:r w:rsidRPr="0050072A">
              <w:rPr>
                <w:lang w:eastAsia="en-AU"/>
              </w:rPr>
              <w:t>Retail</w:t>
            </w:r>
          </w:p>
        </w:tc>
        <w:tc>
          <w:tcPr>
            <w:tcW w:w="3432" w:type="dxa"/>
            <w:tcBorders>
              <w:top w:val="nil"/>
              <w:left w:val="nil"/>
              <w:bottom w:val="single" w:sz="4" w:space="0" w:color="auto"/>
              <w:right w:val="single" w:sz="4" w:space="0" w:color="auto"/>
            </w:tcBorders>
            <w:shd w:val="clear" w:color="auto" w:fill="auto"/>
            <w:noWrap/>
            <w:vAlign w:val="bottom"/>
            <w:hideMark/>
          </w:tcPr>
          <w:p w14:paraId="1AE549BD" w14:textId="77777777" w:rsidR="0050072A" w:rsidRPr="0050072A" w:rsidRDefault="0050072A" w:rsidP="009546F6">
            <w:pPr>
              <w:spacing w:after="0"/>
              <w:rPr>
                <w:lang w:eastAsia="en-AU"/>
              </w:rPr>
            </w:pPr>
            <w:r w:rsidRPr="0050072A">
              <w:rPr>
                <w:lang w:eastAsia="en-AU"/>
              </w:rPr>
              <w:t xml:space="preserve">                                        970,624 </w:t>
            </w:r>
          </w:p>
        </w:tc>
      </w:tr>
      <w:tr w:rsidR="0050072A" w:rsidRPr="0050072A" w14:paraId="38E5DEDD" w14:textId="77777777" w:rsidTr="009546F6">
        <w:trPr>
          <w:trHeight w:val="300"/>
        </w:trPr>
        <w:tc>
          <w:tcPr>
            <w:tcW w:w="3408" w:type="dxa"/>
            <w:tcBorders>
              <w:top w:val="nil"/>
              <w:left w:val="single" w:sz="4" w:space="0" w:color="auto"/>
              <w:bottom w:val="single" w:sz="4" w:space="0" w:color="auto"/>
              <w:right w:val="single" w:sz="4" w:space="0" w:color="auto"/>
            </w:tcBorders>
            <w:shd w:val="clear" w:color="auto" w:fill="auto"/>
            <w:noWrap/>
            <w:vAlign w:val="bottom"/>
            <w:hideMark/>
          </w:tcPr>
          <w:p w14:paraId="6EA2AE89" w14:textId="77777777" w:rsidR="0050072A" w:rsidRPr="0050072A" w:rsidRDefault="0050072A" w:rsidP="009546F6">
            <w:pPr>
              <w:spacing w:after="0"/>
              <w:rPr>
                <w:lang w:eastAsia="en-AU"/>
              </w:rPr>
            </w:pPr>
            <w:r w:rsidRPr="0050072A">
              <w:rPr>
                <w:lang w:eastAsia="en-AU"/>
              </w:rPr>
              <w:t>Community/public use</w:t>
            </w:r>
          </w:p>
        </w:tc>
        <w:tc>
          <w:tcPr>
            <w:tcW w:w="3432" w:type="dxa"/>
            <w:tcBorders>
              <w:top w:val="nil"/>
              <w:left w:val="nil"/>
              <w:bottom w:val="single" w:sz="4" w:space="0" w:color="auto"/>
              <w:right w:val="single" w:sz="4" w:space="0" w:color="auto"/>
            </w:tcBorders>
            <w:shd w:val="clear" w:color="auto" w:fill="auto"/>
            <w:noWrap/>
            <w:vAlign w:val="bottom"/>
            <w:hideMark/>
          </w:tcPr>
          <w:p w14:paraId="720EB294" w14:textId="77777777" w:rsidR="0050072A" w:rsidRPr="0050072A" w:rsidRDefault="0050072A" w:rsidP="009546F6">
            <w:pPr>
              <w:spacing w:after="0"/>
              <w:rPr>
                <w:lang w:eastAsia="en-AU"/>
              </w:rPr>
            </w:pPr>
            <w:r w:rsidRPr="0050072A">
              <w:rPr>
                <w:lang w:eastAsia="en-AU"/>
              </w:rPr>
              <w:t xml:space="preserve">                                        962,833 </w:t>
            </w:r>
          </w:p>
        </w:tc>
      </w:tr>
      <w:tr w:rsidR="0050072A" w:rsidRPr="0050072A" w14:paraId="427F6FFD" w14:textId="77777777" w:rsidTr="009546F6">
        <w:trPr>
          <w:trHeight w:val="300"/>
        </w:trPr>
        <w:tc>
          <w:tcPr>
            <w:tcW w:w="3408" w:type="dxa"/>
            <w:tcBorders>
              <w:top w:val="nil"/>
              <w:left w:val="single" w:sz="4" w:space="0" w:color="auto"/>
              <w:bottom w:val="single" w:sz="4" w:space="0" w:color="auto"/>
              <w:right w:val="single" w:sz="4" w:space="0" w:color="auto"/>
            </w:tcBorders>
            <w:shd w:val="clear" w:color="auto" w:fill="auto"/>
            <w:noWrap/>
            <w:vAlign w:val="bottom"/>
            <w:hideMark/>
          </w:tcPr>
          <w:p w14:paraId="65A38AF1" w14:textId="77777777" w:rsidR="0050072A" w:rsidRPr="0050072A" w:rsidRDefault="0050072A" w:rsidP="009546F6">
            <w:pPr>
              <w:spacing w:after="0"/>
              <w:rPr>
                <w:lang w:eastAsia="en-AU"/>
              </w:rPr>
            </w:pPr>
            <w:r w:rsidRPr="0050072A">
              <w:rPr>
                <w:lang w:eastAsia="en-AU"/>
              </w:rPr>
              <w:t>Hospitals/healthcare</w:t>
            </w:r>
          </w:p>
        </w:tc>
        <w:tc>
          <w:tcPr>
            <w:tcW w:w="3432" w:type="dxa"/>
            <w:tcBorders>
              <w:top w:val="nil"/>
              <w:left w:val="nil"/>
              <w:bottom w:val="single" w:sz="4" w:space="0" w:color="auto"/>
              <w:right w:val="single" w:sz="4" w:space="0" w:color="auto"/>
            </w:tcBorders>
            <w:shd w:val="clear" w:color="auto" w:fill="auto"/>
            <w:noWrap/>
            <w:vAlign w:val="bottom"/>
            <w:hideMark/>
          </w:tcPr>
          <w:p w14:paraId="4E162467" w14:textId="77777777" w:rsidR="0050072A" w:rsidRPr="0050072A" w:rsidRDefault="0050072A" w:rsidP="009546F6">
            <w:pPr>
              <w:spacing w:after="0"/>
              <w:rPr>
                <w:lang w:eastAsia="en-AU"/>
              </w:rPr>
            </w:pPr>
            <w:r w:rsidRPr="0050072A">
              <w:rPr>
                <w:lang w:eastAsia="en-AU"/>
              </w:rPr>
              <w:t xml:space="preserve">                                        937,339 </w:t>
            </w:r>
          </w:p>
        </w:tc>
      </w:tr>
      <w:tr w:rsidR="0050072A" w:rsidRPr="0050072A" w14:paraId="5171F094" w14:textId="77777777" w:rsidTr="009546F6">
        <w:trPr>
          <w:trHeight w:val="300"/>
        </w:trPr>
        <w:tc>
          <w:tcPr>
            <w:tcW w:w="3408" w:type="dxa"/>
            <w:tcBorders>
              <w:top w:val="nil"/>
              <w:left w:val="single" w:sz="4" w:space="0" w:color="auto"/>
              <w:bottom w:val="single" w:sz="4" w:space="0" w:color="auto"/>
              <w:right w:val="single" w:sz="4" w:space="0" w:color="auto"/>
            </w:tcBorders>
            <w:shd w:val="clear" w:color="auto" w:fill="auto"/>
            <w:noWrap/>
            <w:vAlign w:val="bottom"/>
            <w:hideMark/>
          </w:tcPr>
          <w:p w14:paraId="2DF81E52" w14:textId="77777777" w:rsidR="0050072A" w:rsidRPr="0050072A" w:rsidRDefault="0050072A" w:rsidP="009546F6">
            <w:pPr>
              <w:spacing w:after="0"/>
              <w:rPr>
                <w:lang w:eastAsia="en-AU"/>
              </w:rPr>
            </w:pPr>
            <w:r w:rsidRPr="0050072A">
              <w:rPr>
                <w:lang w:eastAsia="en-AU"/>
              </w:rPr>
              <w:t>Other</w:t>
            </w:r>
          </w:p>
        </w:tc>
        <w:tc>
          <w:tcPr>
            <w:tcW w:w="3432" w:type="dxa"/>
            <w:tcBorders>
              <w:top w:val="nil"/>
              <w:left w:val="nil"/>
              <w:bottom w:val="single" w:sz="4" w:space="0" w:color="auto"/>
              <w:right w:val="single" w:sz="4" w:space="0" w:color="auto"/>
            </w:tcBorders>
            <w:shd w:val="clear" w:color="auto" w:fill="auto"/>
            <w:noWrap/>
            <w:vAlign w:val="bottom"/>
            <w:hideMark/>
          </w:tcPr>
          <w:p w14:paraId="22AFE85D" w14:textId="77777777" w:rsidR="0050072A" w:rsidRPr="0050072A" w:rsidRDefault="0050072A" w:rsidP="009546F6">
            <w:pPr>
              <w:spacing w:after="0"/>
              <w:rPr>
                <w:lang w:eastAsia="en-AU"/>
              </w:rPr>
            </w:pPr>
            <w:r w:rsidRPr="0050072A">
              <w:rPr>
                <w:lang w:eastAsia="en-AU"/>
              </w:rPr>
              <w:t xml:space="preserve">                                        204,113 </w:t>
            </w:r>
          </w:p>
        </w:tc>
      </w:tr>
    </w:tbl>
    <w:p w14:paraId="275D821F" w14:textId="77777777" w:rsidR="0050072A" w:rsidRDefault="0050072A" w:rsidP="009546F6">
      <w:pPr>
        <w:rPr>
          <w:rFonts w:ascii="Helvetica Light" w:hAnsi="Helvetica Light" w:cstheme="minorBidi"/>
          <w:szCs w:val="20"/>
        </w:rPr>
      </w:pPr>
    </w:p>
    <w:p w14:paraId="22396F25" w14:textId="635DE095" w:rsidR="009546F6" w:rsidRDefault="009546F6" w:rsidP="009546F6">
      <w:r>
        <w:t xml:space="preserve">Return to </w:t>
      </w:r>
      <w:hyperlink w:anchor="_3.1_Overview_of" w:history="1">
        <w:r w:rsidRPr="009546F6">
          <w:rPr>
            <w:rStyle w:val="Hyperlink"/>
          </w:rPr>
          <w:t>Melbourne’s Buildings</w:t>
        </w:r>
      </w:hyperlink>
    </w:p>
    <w:p w14:paraId="70252DEB" w14:textId="62EDADBF" w:rsidR="009546F6" w:rsidRDefault="003B3A7A" w:rsidP="009546F6">
      <w:pPr>
        <w:pStyle w:val="Heading3"/>
        <w:rPr>
          <w:rFonts w:hint="eastAsia"/>
        </w:rPr>
      </w:pPr>
      <w:r>
        <w:t>Table A.5</w:t>
      </w:r>
      <w:r>
        <w:tab/>
      </w:r>
      <w:r w:rsidR="009546F6" w:rsidRPr="0050072A">
        <w:t>Total Floorspace by Postcode, City of Melbourne, FY2022</w:t>
      </w:r>
    </w:p>
    <w:tbl>
      <w:tblPr>
        <w:tblW w:w="4962" w:type="dxa"/>
        <w:tblInd w:w="-5" w:type="dxa"/>
        <w:tblLook w:val="04A0" w:firstRow="1" w:lastRow="0" w:firstColumn="1" w:lastColumn="0" w:noHBand="0" w:noVBand="1"/>
      </w:tblPr>
      <w:tblGrid>
        <w:gridCol w:w="1633"/>
        <w:gridCol w:w="3329"/>
      </w:tblGrid>
      <w:tr w:rsidR="0050072A" w:rsidRPr="009546F6" w14:paraId="5D9B3423" w14:textId="77777777" w:rsidTr="009546F6">
        <w:trPr>
          <w:trHeight w:val="300"/>
        </w:trPr>
        <w:tc>
          <w:tcPr>
            <w:tcW w:w="1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C87206" w14:textId="77777777" w:rsidR="0050072A" w:rsidRPr="009546F6" w:rsidRDefault="0050072A" w:rsidP="009546F6">
            <w:pPr>
              <w:spacing w:after="0"/>
              <w:rPr>
                <w:rFonts w:cs="Arial"/>
                <w:b/>
                <w:bCs/>
                <w:szCs w:val="20"/>
                <w:lang w:eastAsia="en-AU"/>
              </w:rPr>
            </w:pPr>
            <w:bookmarkStart w:id="213" w:name="_Figure_6:_Total"/>
            <w:bookmarkEnd w:id="213"/>
            <w:r w:rsidRPr="009546F6">
              <w:rPr>
                <w:rFonts w:cs="Arial"/>
                <w:b/>
                <w:bCs/>
                <w:szCs w:val="20"/>
                <w:lang w:eastAsia="en-AU"/>
              </w:rPr>
              <w:t>Postcode</w:t>
            </w:r>
          </w:p>
        </w:tc>
        <w:tc>
          <w:tcPr>
            <w:tcW w:w="3329" w:type="dxa"/>
            <w:tcBorders>
              <w:top w:val="single" w:sz="4" w:space="0" w:color="auto"/>
              <w:left w:val="nil"/>
              <w:bottom w:val="single" w:sz="4" w:space="0" w:color="auto"/>
              <w:right w:val="single" w:sz="4" w:space="0" w:color="auto"/>
            </w:tcBorders>
            <w:shd w:val="clear" w:color="auto" w:fill="auto"/>
            <w:noWrap/>
            <w:vAlign w:val="bottom"/>
            <w:hideMark/>
          </w:tcPr>
          <w:p w14:paraId="47CB4ECF" w14:textId="77777777" w:rsidR="0050072A" w:rsidRPr="009546F6" w:rsidRDefault="0050072A" w:rsidP="009546F6">
            <w:pPr>
              <w:spacing w:after="0"/>
              <w:rPr>
                <w:rFonts w:cs="Arial"/>
                <w:b/>
                <w:bCs/>
                <w:szCs w:val="20"/>
                <w:lang w:eastAsia="en-AU"/>
              </w:rPr>
            </w:pPr>
            <w:r w:rsidRPr="009546F6">
              <w:rPr>
                <w:rFonts w:cs="Arial"/>
                <w:b/>
                <w:bCs/>
                <w:szCs w:val="20"/>
                <w:lang w:eastAsia="en-AU"/>
              </w:rPr>
              <w:t>Total floor area (m2)</w:t>
            </w:r>
          </w:p>
        </w:tc>
      </w:tr>
      <w:tr w:rsidR="0050072A" w:rsidRPr="009546F6" w14:paraId="734F525C" w14:textId="77777777" w:rsidTr="009546F6">
        <w:trPr>
          <w:trHeight w:val="300"/>
        </w:trPr>
        <w:tc>
          <w:tcPr>
            <w:tcW w:w="1633" w:type="dxa"/>
            <w:tcBorders>
              <w:top w:val="nil"/>
              <w:left w:val="single" w:sz="4" w:space="0" w:color="auto"/>
              <w:bottom w:val="single" w:sz="4" w:space="0" w:color="auto"/>
              <w:right w:val="single" w:sz="4" w:space="0" w:color="auto"/>
            </w:tcBorders>
            <w:shd w:val="clear" w:color="auto" w:fill="auto"/>
            <w:noWrap/>
            <w:vAlign w:val="bottom"/>
            <w:hideMark/>
          </w:tcPr>
          <w:p w14:paraId="262C13DC" w14:textId="77777777" w:rsidR="0050072A" w:rsidRPr="009546F6" w:rsidRDefault="0050072A" w:rsidP="009546F6">
            <w:pPr>
              <w:spacing w:after="0"/>
              <w:rPr>
                <w:rFonts w:cs="Arial"/>
                <w:szCs w:val="20"/>
                <w:lang w:eastAsia="en-AU"/>
              </w:rPr>
            </w:pPr>
            <w:r w:rsidRPr="009546F6">
              <w:rPr>
                <w:rFonts w:cs="Arial"/>
                <w:szCs w:val="20"/>
                <w:lang w:eastAsia="en-AU"/>
              </w:rPr>
              <w:t>3000</w:t>
            </w:r>
          </w:p>
        </w:tc>
        <w:tc>
          <w:tcPr>
            <w:tcW w:w="3329" w:type="dxa"/>
            <w:tcBorders>
              <w:top w:val="nil"/>
              <w:left w:val="nil"/>
              <w:bottom w:val="single" w:sz="4" w:space="0" w:color="auto"/>
              <w:right w:val="single" w:sz="4" w:space="0" w:color="auto"/>
            </w:tcBorders>
            <w:shd w:val="clear" w:color="auto" w:fill="auto"/>
            <w:noWrap/>
            <w:vAlign w:val="bottom"/>
            <w:hideMark/>
          </w:tcPr>
          <w:p w14:paraId="04029D0B" w14:textId="77777777" w:rsidR="0050072A" w:rsidRPr="009546F6" w:rsidRDefault="0050072A" w:rsidP="009546F6">
            <w:pPr>
              <w:spacing w:after="0"/>
              <w:jc w:val="right"/>
              <w:rPr>
                <w:rFonts w:cs="Arial"/>
                <w:szCs w:val="20"/>
                <w:lang w:eastAsia="en-AU"/>
              </w:rPr>
            </w:pPr>
            <w:r w:rsidRPr="009546F6">
              <w:rPr>
                <w:rFonts w:cs="Arial"/>
                <w:szCs w:val="20"/>
                <w:lang w:eastAsia="en-AU"/>
              </w:rPr>
              <w:t xml:space="preserve">                                  14,449,391 </w:t>
            </w:r>
          </w:p>
        </w:tc>
      </w:tr>
      <w:tr w:rsidR="0050072A" w:rsidRPr="009546F6" w14:paraId="2C4F343E" w14:textId="77777777" w:rsidTr="009546F6">
        <w:trPr>
          <w:trHeight w:val="300"/>
        </w:trPr>
        <w:tc>
          <w:tcPr>
            <w:tcW w:w="1633" w:type="dxa"/>
            <w:tcBorders>
              <w:top w:val="nil"/>
              <w:left w:val="single" w:sz="4" w:space="0" w:color="auto"/>
              <w:bottom w:val="single" w:sz="4" w:space="0" w:color="auto"/>
              <w:right w:val="single" w:sz="4" w:space="0" w:color="auto"/>
            </w:tcBorders>
            <w:shd w:val="clear" w:color="auto" w:fill="auto"/>
            <w:noWrap/>
            <w:vAlign w:val="bottom"/>
            <w:hideMark/>
          </w:tcPr>
          <w:p w14:paraId="4517896F" w14:textId="77777777" w:rsidR="0050072A" w:rsidRPr="009546F6" w:rsidRDefault="0050072A" w:rsidP="009546F6">
            <w:pPr>
              <w:spacing w:after="0"/>
              <w:rPr>
                <w:rFonts w:cs="Arial"/>
                <w:szCs w:val="20"/>
                <w:lang w:eastAsia="en-AU"/>
              </w:rPr>
            </w:pPr>
            <w:r w:rsidRPr="009546F6">
              <w:rPr>
                <w:rFonts w:cs="Arial"/>
                <w:szCs w:val="20"/>
                <w:lang w:eastAsia="en-AU"/>
              </w:rPr>
              <w:t>3008</w:t>
            </w:r>
          </w:p>
        </w:tc>
        <w:tc>
          <w:tcPr>
            <w:tcW w:w="3329" w:type="dxa"/>
            <w:tcBorders>
              <w:top w:val="nil"/>
              <w:left w:val="nil"/>
              <w:bottom w:val="single" w:sz="4" w:space="0" w:color="auto"/>
              <w:right w:val="single" w:sz="4" w:space="0" w:color="auto"/>
            </w:tcBorders>
            <w:shd w:val="clear" w:color="auto" w:fill="auto"/>
            <w:noWrap/>
            <w:vAlign w:val="bottom"/>
            <w:hideMark/>
          </w:tcPr>
          <w:p w14:paraId="33004476" w14:textId="77777777" w:rsidR="0050072A" w:rsidRPr="009546F6" w:rsidRDefault="0050072A" w:rsidP="009546F6">
            <w:pPr>
              <w:spacing w:after="0"/>
              <w:jc w:val="right"/>
              <w:rPr>
                <w:rFonts w:cs="Arial"/>
                <w:szCs w:val="20"/>
                <w:lang w:eastAsia="en-AU"/>
              </w:rPr>
            </w:pPr>
            <w:r w:rsidRPr="009546F6">
              <w:rPr>
                <w:rFonts w:cs="Arial"/>
                <w:szCs w:val="20"/>
                <w:lang w:eastAsia="en-AU"/>
              </w:rPr>
              <w:t xml:space="preserve">                                    4,932,936 </w:t>
            </w:r>
          </w:p>
        </w:tc>
      </w:tr>
      <w:tr w:rsidR="0050072A" w:rsidRPr="009546F6" w14:paraId="2BA66C39" w14:textId="77777777" w:rsidTr="009546F6">
        <w:trPr>
          <w:trHeight w:val="300"/>
        </w:trPr>
        <w:tc>
          <w:tcPr>
            <w:tcW w:w="1633" w:type="dxa"/>
            <w:tcBorders>
              <w:top w:val="nil"/>
              <w:left w:val="single" w:sz="4" w:space="0" w:color="auto"/>
              <w:bottom w:val="single" w:sz="4" w:space="0" w:color="auto"/>
              <w:right w:val="single" w:sz="4" w:space="0" w:color="auto"/>
            </w:tcBorders>
            <w:shd w:val="clear" w:color="auto" w:fill="auto"/>
            <w:noWrap/>
            <w:vAlign w:val="bottom"/>
            <w:hideMark/>
          </w:tcPr>
          <w:p w14:paraId="7593EC09" w14:textId="77777777" w:rsidR="0050072A" w:rsidRPr="009546F6" w:rsidRDefault="0050072A" w:rsidP="009546F6">
            <w:pPr>
              <w:spacing w:after="0"/>
              <w:rPr>
                <w:rFonts w:cs="Arial"/>
                <w:szCs w:val="20"/>
                <w:lang w:eastAsia="en-AU"/>
              </w:rPr>
            </w:pPr>
            <w:r w:rsidRPr="009546F6">
              <w:rPr>
                <w:rFonts w:cs="Arial"/>
                <w:szCs w:val="20"/>
                <w:lang w:eastAsia="en-AU"/>
              </w:rPr>
              <w:t>3006</w:t>
            </w:r>
          </w:p>
        </w:tc>
        <w:tc>
          <w:tcPr>
            <w:tcW w:w="3329" w:type="dxa"/>
            <w:tcBorders>
              <w:top w:val="nil"/>
              <w:left w:val="nil"/>
              <w:bottom w:val="single" w:sz="4" w:space="0" w:color="auto"/>
              <w:right w:val="single" w:sz="4" w:space="0" w:color="auto"/>
            </w:tcBorders>
            <w:shd w:val="clear" w:color="auto" w:fill="auto"/>
            <w:noWrap/>
            <w:vAlign w:val="bottom"/>
            <w:hideMark/>
          </w:tcPr>
          <w:p w14:paraId="46D31A58" w14:textId="77777777" w:rsidR="0050072A" w:rsidRPr="009546F6" w:rsidRDefault="0050072A" w:rsidP="009546F6">
            <w:pPr>
              <w:spacing w:after="0"/>
              <w:jc w:val="right"/>
              <w:rPr>
                <w:rFonts w:cs="Arial"/>
                <w:szCs w:val="20"/>
                <w:lang w:eastAsia="en-AU"/>
              </w:rPr>
            </w:pPr>
            <w:r w:rsidRPr="009546F6">
              <w:rPr>
                <w:rFonts w:cs="Arial"/>
                <w:szCs w:val="20"/>
                <w:lang w:eastAsia="en-AU"/>
              </w:rPr>
              <w:t xml:space="preserve">                                    4,699,602 </w:t>
            </w:r>
          </w:p>
        </w:tc>
      </w:tr>
      <w:tr w:rsidR="0050072A" w:rsidRPr="009546F6" w14:paraId="52C33478" w14:textId="77777777" w:rsidTr="009546F6">
        <w:trPr>
          <w:trHeight w:val="300"/>
        </w:trPr>
        <w:tc>
          <w:tcPr>
            <w:tcW w:w="1633" w:type="dxa"/>
            <w:tcBorders>
              <w:top w:val="nil"/>
              <w:left w:val="single" w:sz="4" w:space="0" w:color="auto"/>
              <w:bottom w:val="single" w:sz="4" w:space="0" w:color="auto"/>
              <w:right w:val="single" w:sz="4" w:space="0" w:color="auto"/>
            </w:tcBorders>
            <w:shd w:val="clear" w:color="auto" w:fill="auto"/>
            <w:noWrap/>
            <w:vAlign w:val="bottom"/>
            <w:hideMark/>
          </w:tcPr>
          <w:p w14:paraId="2A92A0C6" w14:textId="77777777" w:rsidR="0050072A" w:rsidRPr="009546F6" w:rsidRDefault="0050072A" w:rsidP="009546F6">
            <w:pPr>
              <w:spacing w:after="0"/>
              <w:rPr>
                <w:rFonts w:cs="Arial"/>
                <w:szCs w:val="20"/>
                <w:lang w:eastAsia="en-AU"/>
              </w:rPr>
            </w:pPr>
            <w:r w:rsidRPr="009546F6">
              <w:rPr>
                <w:rFonts w:cs="Arial"/>
                <w:szCs w:val="20"/>
                <w:lang w:eastAsia="en-AU"/>
              </w:rPr>
              <w:t>3003</w:t>
            </w:r>
          </w:p>
        </w:tc>
        <w:tc>
          <w:tcPr>
            <w:tcW w:w="3329" w:type="dxa"/>
            <w:tcBorders>
              <w:top w:val="nil"/>
              <w:left w:val="nil"/>
              <w:bottom w:val="single" w:sz="4" w:space="0" w:color="auto"/>
              <w:right w:val="single" w:sz="4" w:space="0" w:color="auto"/>
            </w:tcBorders>
            <w:shd w:val="clear" w:color="auto" w:fill="auto"/>
            <w:noWrap/>
            <w:vAlign w:val="bottom"/>
            <w:hideMark/>
          </w:tcPr>
          <w:p w14:paraId="562E8C24" w14:textId="77777777" w:rsidR="0050072A" w:rsidRPr="009546F6" w:rsidRDefault="0050072A" w:rsidP="009546F6">
            <w:pPr>
              <w:spacing w:after="0"/>
              <w:jc w:val="right"/>
              <w:rPr>
                <w:rFonts w:cs="Arial"/>
                <w:szCs w:val="20"/>
                <w:lang w:eastAsia="en-AU"/>
              </w:rPr>
            </w:pPr>
            <w:r w:rsidRPr="009546F6">
              <w:rPr>
                <w:rFonts w:cs="Arial"/>
                <w:szCs w:val="20"/>
                <w:lang w:eastAsia="en-AU"/>
              </w:rPr>
              <w:t xml:space="preserve">                                    4,554,571 </w:t>
            </w:r>
          </w:p>
        </w:tc>
      </w:tr>
      <w:tr w:rsidR="0050072A" w:rsidRPr="009546F6" w14:paraId="795C2F55" w14:textId="77777777" w:rsidTr="009546F6">
        <w:trPr>
          <w:trHeight w:val="300"/>
        </w:trPr>
        <w:tc>
          <w:tcPr>
            <w:tcW w:w="1633" w:type="dxa"/>
            <w:tcBorders>
              <w:top w:val="nil"/>
              <w:left w:val="single" w:sz="4" w:space="0" w:color="auto"/>
              <w:bottom w:val="single" w:sz="4" w:space="0" w:color="auto"/>
              <w:right w:val="single" w:sz="4" w:space="0" w:color="auto"/>
            </w:tcBorders>
            <w:shd w:val="clear" w:color="auto" w:fill="auto"/>
            <w:noWrap/>
            <w:vAlign w:val="bottom"/>
            <w:hideMark/>
          </w:tcPr>
          <w:p w14:paraId="25C0AEF2" w14:textId="77777777" w:rsidR="0050072A" w:rsidRPr="009546F6" w:rsidRDefault="0050072A" w:rsidP="009546F6">
            <w:pPr>
              <w:spacing w:after="0"/>
              <w:rPr>
                <w:rFonts w:cs="Arial"/>
                <w:szCs w:val="20"/>
                <w:lang w:eastAsia="en-AU"/>
              </w:rPr>
            </w:pPr>
            <w:r w:rsidRPr="009546F6">
              <w:rPr>
                <w:rFonts w:cs="Arial"/>
                <w:szCs w:val="20"/>
                <w:lang w:eastAsia="en-AU"/>
              </w:rPr>
              <w:t>3207</w:t>
            </w:r>
          </w:p>
        </w:tc>
        <w:tc>
          <w:tcPr>
            <w:tcW w:w="3329" w:type="dxa"/>
            <w:tcBorders>
              <w:top w:val="nil"/>
              <w:left w:val="nil"/>
              <w:bottom w:val="single" w:sz="4" w:space="0" w:color="auto"/>
              <w:right w:val="single" w:sz="4" w:space="0" w:color="auto"/>
            </w:tcBorders>
            <w:shd w:val="clear" w:color="auto" w:fill="auto"/>
            <w:noWrap/>
            <w:vAlign w:val="bottom"/>
            <w:hideMark/>
          </w:tcPr>
          <w:p w14:paraId="6C043B19" w14:textId="77777777" w:rsidR="0050072A" w:rsidRPr="009546F6" w:rsidRDefault="0050072A" w:rsidP="009546F6">
            <w:pPr>
              <w:spacing w:after="0"/>
              <w:jc w:val="right"/>
              <w:rPr>
                <w:rFonts w:cs="Arial"/>
                <w:szCs w:val="20"/>
                <w:lang w:eastAsia="en-AU"/>
              </w:rPr>
            </w:pPr>
            <w:r w:rsidRPr="009546F6">
              <w:rPr>
                <w:rFonts w:cs="Arial"/>
                <w:szCs w:val="20"/>
                <w:lang w:eastAsia="en-AU"/>
              </w:rPr>
              <w:t xml:space="preserve">                                    2,889,075 </w:t>
            </w:r>
          </w:p>
        </w:tc>
      </w:tr>
      <w:tr w:rsidR="0050072A" w:rsidRPr="009546F6" w14:paraId="67C3D7A0" w14:textId="77777777" w:rsidTr="009546F6">
        <w:trPr>
          <w:trHeight w:val="300"/>
        </w:trPr>
        <w:tc>
          <w:tcPr>
            <w:tcW w:w="1633" w:type="dxa"/>
            <w:tcBorders>
              <w:top w:val="nil"/>
              <w:left w:val="single" w:sz="4" w:space="0" w:color="auto"/>
              <w:bottom w:val="single" w:sz="4" w:space="0" w:color="auto"/>
              <w:right w:val="single" w:sz="4" w:space="0" w:color="auto"/>
            </w:tcBorders>
            <w:shd w:val="clear" w:color="auto" w:fill="auto"/>
            <w:noWrap/>
            <w:vAlign w:val="bottom"/>
            <w:hideMark/>
          </w:tcPr>
          <w:p w14:paraId="6090B674" w14:textId="77777777" w:rsidR="0050072A" w:rsidRPr="009546F6" w:rsidRDefault="0050072A" w:rsidP="009546F6">
            <w:pPr>
              <w:spacing w:after="0"/>
              <w:rPr>
                <w:rFonts w:cs="Arial"/>
                <w:szCs w:val="20"/>
                <w:lang w:eastAsia="en-AU"/>
              </w:rPr>
            </w:pPr>
            <w:r w:rsidRPr="009546F6">
              <w:rPr>
                <w:rFonts w:cs="Arial"/>
                <w:szCs w:val="20"/>
                <w:lang w:eastAsia="en-AU"/>
              </w:rPr>
              <w:t>3053</w:t>
            </w:r>
          </w:p>
        </w:tc>
        <w:tc>
          <w:tcPr>
            <w:tcW w:w="3329" w:type="dxa"/>
            <w:tcBorders>
              <w:top w:val="nil"/>
              <w:left w:val="nil"/>
              <w:bottom w:val="single" w:sz="4" w:space="0" w:color="auto"/>
              <w:right w:val="single" w:sz="4" w:space="0" w:color="auto"/>
            </w:tcBorders>
            <w:shd w:val="clear" w:color="auto" w:fill="auto"/>
            <w:noWrap/>
            <w:vAlign w:val="bottom"/>
            <w:hideMark/>
          </w:tcPr>
          <w:p w14:paraId="2AB4739B" w14:textId="77777777" w:rsidR="0050072A" w:rsidRPr="009546F6" w:rsidRDefault="0050072A" w:rsidP="009546F6">
            <w:pPr>
              <w:spacing w:after="0"/>
              <w:jc w:val="right"/>
              <w:rPr>
                <w:rFonts w:cs="Arial"/>
                <w:szCs w:val="20"/>
                <w:lang w:eastAsia="en-AU"/>
              </w:rPr>
            </w:pPr>
            <w:r w:rsidRPr="009546F6">
              <w:rPr>
                <w:rFonts w:cs="Arial"/>
                <w:szCs w:val="20"/>
                <w:lang w:eastAsia="en-AU"/>
              </w:rPr>
              <w:t xml:space="preserve">                                    2,405,042 </w:t>
            </w:r>
          </w:p>
        </w:tc>
      </w:tr>
      <w:tr w:rsidR="0050072A" w:rsidRPr="009546F6" w14:paraId="2D8579D0" w14:textId="77777777" w:rsidTr="009546F6">
        <w:trPr>
          <w:trHeight w:val="300"/>
        </w:trPr>
        <w:tc>
          <w:tcPr>
            <w:tcW w:w="1633" w:type="dxa"/>
            <w:tcBorders>
              <w:top w:val="nil"/>
              <w:left w:val="single" w:sz="4" w:space="0" w:color="auto"/>
              <w:bottom w:val="single" w:sz="4" w:space="0" w:color="auto"/>
              <w:right w:val="single" w:sz="4" w:space="0" w:color="auto"/>
            </w:tcBorders>
            <w:shd w:val="clear" w:color="auto" w:fill="auto"/>
            <w:noWrap/>
            <w:vAlign w:val="bottom"/>
            <w:hideMark/>
          </w:tcPr>
          <w:p w14:paraId="5F33F88E" w14:textId="77777777" w:rsidR="0050072A" w:rsidRPr="009546F6" w:rsidRDefault="0050072A" w:rsidP="009546F6">
            <w:pPr>
              <w:spacing w:after="0"/>
              <w:rPr>
                <w:rFonts w:cs="Arial"/>
                <w:szCs w:val="20"/>
                <w:lang w:eastAsia="en-AU"/>
              </w:rPr>
            </w:pPr>
            <w:r w:rsidRPr="009546F6">
              <w:rPr>
                <w:rFonts w:cs="Arial"/>
                <w:szCs w:val="20"/>
                <w:lang w:eastAsia="en-AU"/>
              </w:rPr>
              <w:t>3051</w:t>
            </w:r>
          </w:p>
        </w:tc>
        <w:tc>
          <w:tcPr>
            <w:tcW w:w="3329" w:type="dxa"/>
            <w:tcBorders>
              <w:top w:val="nil"/>
              <w:left w:val="nil"/>
              <w:bottom w:val="single" w:sz="4" w:space="0" w:color="auto"/>
              <w:right w:val="single" w:sz="4" w:space="0" w:color="auto"/>
            </w:tcBorders>
            <w:shd w:val="clear" w:color="auto" w:fill="auto"/>
            <w:noWrap/>
            <w:vAlign w:val="bottom"/>
            <w:hideMark/>
          </w:tcPr>
          <w:p w14:paraId="67D33AD9" w14:textId="77777777" w:rsidR="0050072A" w:rsidRPr="009546F6" w:rsidRDefault="0050072A" w:rsidP="009546F6">
            <w:pPr>
              <w:spacing w:after="0"/>
              <w:jc w:val="right"/>
              <w:rPr>
                <w:rFonts w:cs="Arial"/>
                <w:szCs w:val="20"/>
                <w:lang w:eastAsia="en-AU"/>
              </w:rPr>
            </w:pPr>
            <w:r w:rsidRPr="009546F6">
              <w:rPr>
                <w:rFonts w:cs="Arial"/>
                <w:szCs w:val="20"/>
                <w:lang w:eastAsia="en-AU"/>
              </w:rPr>
              <w:t xml:space="preserve">                                    1,993,957 </w:t>
            </w:r>
          </w:p>
        </w:tc>
      </w:tr>
      <w:tr w:rsidR="0050072A" w:rsidRPr="009546F6" w14:paraId="79F107C5" w14:textId="77777777" w:rsidTr="009546F6">
        <w:trPr>
          <w:trHeight w:val="300"/>
        </w:trPr>
        <w:tc>
          <w:tcPr>
            <w:tcW w:w="1633" w:type="dxa"/>
            <w:tcBorders>
              <w:top w:val="nil"/>
              <w:left w:val="single" w:sz="4" w:space="0" w:color="auto"/>
              <w:bottom w:val="single" w:sz="4" w:space="0" w:color="auto"/>
              <w:right w:val="single" w:sz="4" w:space="0" w:color="auto"/>
            </w:tcBorders>
            <w:shd w:val="clear" w:color="auto" w:fill="auto"/>
            <w:noWrap/>
            <w:vAlign w:val="bottom"/>
            <w:hideMark/>
          </w:tcPr>
          <w:p w14:paraId="749EF860" w14:textId="77777777" w:rsidR="0050072A" w:rsidRPr="009546F6" w:rsidRDefault="0050072A" w:rsidP="009546F6">
            <w:pPr>
              <w:spacing w:after="0"/>
              <w:rPr>
                <w:rFonts w:cs="Arial"/>
                <w:szCs w:val="20"/>
                <w:lang w:eastAsia="en-AU"/>
              </w:rPr>
            </w:pPr>
            <w:r w:rsidRPr="009546F6">
              <w:rPr>
                <w:rFonts w:cs="Arial"/>
                <w:szCs w:val="20"/>
                <w:lang w:eastAsia="en-AU"/>
              </w:rPr>
              <w:t>3002</w:t>
            </w:r>
          </w:p>
        </w:tc>
        <w:tc>
          <w:tcPr>
            <w:tcW w:w="3329" w:type="dxa"/>
            <w:tcBorders>
              <w:top w:val="nil"/>
              <w:left w:val="nil"/>
              <w:bottom w:val="single" w:sz="4" w:space="0" w:color="auto"/>
              <w:right w:val="single" w:sz="4" w:space="0" w:color="auto"/>
            </w:tcBorders>
            <w:shd w:val="clear" w:color="auto" w:fill="auto"/>
            <w:noWrap/>
            <w:vAlign w:val="bottom"/>
            <w:hideMark/>
          </w:tcPr>
          <w:p w14:paraId="11AB7696" w14:textId="77777777" w:rsidR="0050072A" w:rsidRPr="009546F6" w:rsidRDefault="0050072A" w:rsidP="009546F6">
            <w:pPr>
              <w:spacing w:after="0"/>
              <w:jc w:val="right"/>
              <w:rPr>
                <w:rFonts w:cs="Arial"/>
                <w:szCs w:val="20"/>
                <w:lang w:eastAsia="en-AU"/>
              </w:rPr>
            </w:pPr>
            <w:r w:rsidRPr="009546F6">
              <w:rPr>
                <w:rFonts w:cs="Arial"/>
                <w:szCs w:val="20"/>
                <w:lang w:eastAsia="en-AU"/>
              </w:rPr>
              <w:t xml:space="preserve">                                    1,509,643 </w:t>
            </w:r>
          </w:p>
        </w:tc>
      </w:tr>
      <w:tr w:rsidR="0050072A" w:rsidRPr="009546F6" w14:paraId="4DF86BD4" w14:textId="77777777" w:rsidTr="009546F6">
        <w:trPr>
          <w:trHeight w:val="300"/>
        </w:trPr>
        <w:tc>
          <w:tcPr>
            <w:tcW w:w="1633" w:type="dxa"/>
            <w:tcBorders>
              <w:top w:val="nil"/>
              <w:left w:val="single" w:sz="4" w:space="0" w:color="auto"/>
              <w:bottom w:val="single" w:sz="4" w:space="0" w:color="auto"/>
              <w:right w:val="single" w:sz="4" w:space="0" w:color="auto"/>
            </w:tcBorders>
            <w:shd w:val="clear" w:color="auto" w:fill="auto"/>
            <w:noWrap/>
            <w:vAlign w:val="bottom"/>
            <w:hideMark/>
          </w:tcPr>
          <w:p w14:paraId="2EC40202" w14:textId="77777777" w:rsidR="0050072A" w:rsidRPr="009546F6" w:rsidRDefault="0050072A" w:rsidP="009546F6">
            <w:pPr>
              <w:spacing w:after="0"/>
              <w:rPr>
                <w:rFonts w:cs="Arial"/>
                <w:szCs w:val="20"/>
                <w:lang w:eastAsia="en-AU"/>
              </w:rPr>
            </w:pPr>
            <w:r w:rsidRPr="009546F6">
              <w:rPr>
                <w:rFonts w:cs="Arial"/>
                <w:szCs w:val="20"/>
                <w:lang w:eastAsia="en-AU"/>
              </w:rPr>
              <w:t>3031</w:t>
            </w:r>
          </w:p>
        </w:tc>
        <w:tc>
          <w:tcPr>
            <w:tcW w:w="3329" w:type="dxa"/>
            <w:tcBorders>
              <w:top w:val="nil"/>
              <w:left w:val="nil"/>
              <w:bottom w:val="single" w:sz="4" w:space="0" w:color="auto"/>
              <w:right w:val="single" w:sz="4" w:space="0" w:color="auto"/>
            </w:tcBorders>
            <w:shd w:val="clear" w:color="auto" w:fill="auto"/>
            <w:noWrap/>
            <w:vAlign w:val="bottom"/>
            <w:hideMark/>
          </w:tcPr>
          <w:p w14:paraId="308DE0DE" w14:textId="77777777" w:rsidR="0050072A" w:rsidRPr="009546F6" w:rsidRDefault="0050072A" w:rsidP="009546F6">
            <w:pPr>
              <w:spacing w:after="0"/>
              <w:jc w:val="right"/>
              <w:rPr>
                <w:rFonts w:cs="Arial"/>
                <w:szCs w:val="20"/>
                <w:lang w:eastAsia="en-AU"/>
              </w:rPr>
            </w:pPr>
            <w:r w:rsidRPr="009546F6">
              <w:rPr>
                <w:rFonts w:cs="Arial"/>
                <w:szCs w:val="20"/>
                <w:lang w:eastAsia="en-AU"/>
              </w:rPr>
              <w:t xml:space="preserve">                                    1,217,846 </w:t>
            </w:r>
          </w:p>
        </w:tc>
      </w:tr>
      <w:tr w:rsidR="0050072A" w:rsidRPr="009546F6" w14:paraId="66A6598D" w14:textId="77777777" w:rsidTr="009546F6">
        <w:trPr>
          <w:trHeight w:val="300"/>
        </w:trPr>
        <w:tc>
          <w:tcPr>
            <w:tcW w:w="1633" w:type="dxa"/>
            <w:tcBorders>
              <w:top w:val="nil"/>
              <w:left w:val="single" w:sz="4" w:space="0" w:color="auto"/>
              <w:bottom w:val="single" w:sz="4" w:space="0" w:color="auto"/>
              <w:right w:val="single" w:sz="4" w:space="0" w:color="auto"/>
            </w:tcBorders>
            <w:shd w:val="clear" w:color="auto" w:fill="auto"/>
            <w:noWrap/>
            <w:vAlign w:val="bottom"/>
            <w:hideMark/>
          </w:tcPr>
          <w:p w14:paraId="4E4D9349" w14:textId="77777777" w:rsidR="0050072A" w:rsidRPr="009546F6" w:rsidRDefault="0050072A" w:rsidP="009546F6">
            <w:pPr>
              <w:spacing w:after="0"/>
              <w:rPr>
                <w:rFonts w:cs="Arial"/>
                <w:szCs w:val="20"/>
                <w:lang w:eastAsia="en-AU"/>
              </w:rPr>
            </w:pPr>
            <w:r w:rsidRPr="009546F6">
              <w:rPr>
                <w:rFonts w:cs="Arial"/>
                <w:szCs w:val="20"/>
                <w:lang w:eastAsia="en-AU"/>
              </w:rPr>
              <w:lastRenderedPageBreak/>
              <w:t>3052</w:t>
            </w:r>
          </w:p>
        </w:tc>
        <w:tc>
          <w:tcPr>
            <w:tcW w:w="3329" w:type="dxa"/>
            <w:tcBorders>
              <w:top w:val="nil"/>
              <w:left w:val="nil"/>
              <w:bottom w:val="single" w:sz="4" w:space="0" w:color="auto"/>
              <w:right w:val="single" w:sz="4" w:space="0" w:color="auto"/>
            </w:tcBorders>
            <w:shd w:val="clear" w:color="auto" w:fill="auto"/>
            <w:noWrap/>
            <w:vAlign w:val="bottom"/>
            <w:hideMark/>
          </w:tcPr>
          <w:p w14:paraId="1118273F" w14:textId="77777777" w:rsidR="0050072A" w:rsidRPr="009546F6" w:rsidRDefault="0050072A" w:rsidP="009546F6">
            <w:pPr>
              <w:spacing w:after="0"/>
              <w:jc w:val="right"/>
              <w:rPr>
                <w:rFonts w:cs="Arial"/>
                <w:szCs w:val="20"/>
                <w:lang w:eastAsia="en-AU"/>
              </w:rPr>
            </w:pPr>
            <w:r w:rsidRPr="009546F6">
              <w:rPr>
                <w:rFonts w:cs="Arial"/>
                <w:szCs w:val="20"/>
                <w:lang w:eastAsia="en-AU"/>
              </w:rPr>
              <w:t xml:space="preserve">                                    1,176,902 </w:t>
            </w:r>
          </w:p>
        </w:tc>
      </w:tr>
      <w:tr w:rsidR="0050072A" w:rsidRPr="009546F6" w14:paraId="4B9F0BFE" w14:textId="77777777" w:rsidTr="009546F6">
        <w:trPr>
          <w:trHeight w:val="300"/>
        </w:trPr>
        <w:tc>
          <w:tcPr>
            <w:tcW w:w="1633" w:type="dxa"/>
            <w:tcBorders>
              <w:top w:val="nil"/>
              <w:left w:val="single" w:sz="4" w:space="0" w:color="auto"/>
              <w:bottom w:val="single" w:sz="4" w:space="0" w:color="auto"/>
              <w:right w:val="single" w:sz="4" w:space="0" w:color="auto"/>
            </w:tcBorders>
            <w:shd w:val="clear" w:color="auto" w:fill="auto"/>
            <w:noWrap/>
            <w:vAlign w:val="bottom"/>
            <w:hideMark/>
          </w:tcPr>
          <w:p w14:paraId="16C662DF" w14:textId="77777777" w:rsidR="0050072A" w:rsidRPr="009546F6" w:rsidRDefault="0050072A" w:rsidP="009546F6">
            <w:pPr>
              <w:spacing w:after="0"/>
              <w:rPr>
                <w:rFonts w:cs="Arial"/>
                <w:szCs w:val="20"/>
                <w:lang w:eastAsia="en-AU"/>
              </w:rPr>
            </w:pPr>
            <w:r w:rsidRPr="009546F6">
              <w:rPr>
                <w:rFonts w:cs="Arial"/>
                <w:szCs w:val="20"/>
                <w:lang w:eastAsia="en-AU"/>
              </w:rPr>
              <w:t>3004</w:t>
            </w:r>
          </w:p>
        </w:tc>
        <w:tc>
          <w:tcPr>
            <w:tcW w:w="3329" w:type="dxa"/>
            <w:tcBorders>
              <w:top w:val="nil"/>
              <w:left w:val="nil"/>
              <w:bottom w:val="single" w:sz="4" w:space="0" w:color="auto"/>
              <w:right w:val="single" w:sz="4" w:space="0" w:color="auto"/>
            </w:tcBorders>
            <w:shd w:val="clear" w:color="auto" w:fill="auto"/>
            <w:noWrap/>
            <w:vAlign w:val="bottom"/>
            <w:hideMark/>
          </w:tcPr>
          <w:p w14:paraId="53CBC706" w14:textId="77777777" w:rsidR="0050072A" w:rsidRPr="009546F6" w:rsidRDefault="0050072A" w:rsidP="009546F6">
            <w:pPr>
              <w:spacing w:after="0"/>
              <w:jc w:val="right"/>
              <w:rPr>
                <w:rFonts w:cs="Arial"/>
                <w:szCs w:val="20"/>
                <w:lang w:eastAsia="en-AU"/>
              </w:rPr>
            </w:pPr>
            <w:r w:rsidRPr="009546F6">
              <w:rPr>
                <w:rFonts w:cs="Arial"/>
                <w:szCs w:val="20"/>
                <w:lang w:eastAsia="en-AU"/>
              </w:rPr>
              <w:t xml:space="preserve">                                        915,519 </w:t>
            </w:r>
          </w:p>
        </w:tc>
      </w:tr>
      <w:tr w:rsidR="0050072A" w:rsidRPr="009546F6" w14:paraId="0CE36D56" w14:textId="77777777" w:rsidTr="009546F6">
        <w:trPr>
          <w:trHeight w:val="300"/>
        </w:trPr>
        <w:tc>
          <w:tcPr>
            <w:tcW w:w="1633" w:type="dxa"/>
            <w:tcBorders>
              <w:top w:val="nil"/>
              <w:left w:val="single" w:sz="4" w:space="0" w:color="auto"/>
              <w:bottom w:val="single" w:sz="4" w:space="0" w:color="auto"/>
              <w:right w:val="single" w:sz="4" w:space="0" w:color="auto"/>
            </w:tcBorders>
            <w:shd w:val="clear" w:color="auto" w:fill="auto"/>
            <w:noWrap/>
            <w:vAlign w:val="bottom"/>
            <w:hideMark/>
          </w:tcPr>
          <w:p w14:paraId="2F9BEECF" w14:textId="77777777" w:rsidR="0050072A" w:rsidRPr="009546F6" w:rsidRDefault="0050072A" w:rsidP="009546F6">
            <w:pPr>
              <w:spacing w:after="0"/>
              <w:rPr>
                <w:rFonts w:cs="Arial"/>
                <w:szCs w:val="20"/>
                <w:lang w:eastAsia="en-AU"/>
              </w:rPr>
            </w:pPr>
            <w:r w:rsidRPr="009546F6">
              <w:rPr>
                <w:rFonts w:cs="Arial"/>
                <w:szCs w:val="20"/>
                <w:lang w:eastAsia="en-AU"/>
              </w:rPr>
              <w:t>3141</w:t>
            </w:r>
          </w:p>
        </w:tc>
        <w:tc>
          <w:tcPr>
            <w:tcW w:w="3329" w:type="dxa"/>
            <w:tcBorders>
              <w:top w:val="nil"/>
              <w:left w:val="nil"/>
              <w:bottom w:val="single" w:sz="4" w:space="0" w:color="auto"/>
              <w:right w:val="single" w:sz="4" w:space="0" w:color="auto"/>
            </w:tcBorders>
            <w:shd w:val="clear" w:color="auto" w:fill="auto"/>
            <w:noWrap/>
            <w:vAlign w:val="bottom"/>
            <w:hideMark/>
          </w:tcPr>
          <w:p w14:paraId="0C254562" w14:textId="77777777" w:rsidR="0050072A" w:rsidRPr="009546F6" w:rsidRDefault="0050072A" w:rsidP="009546F6">
            <w:pPr>
              <w:spacing w:after="0"/>
              <w:jc w:val="right"/>
              <w:rPr>
                <w:rFonts w:cs="Arial"/>
                <w:szCs w:val="20"/>
                <w:lang w:eastAsia="en-AU"/>
              </w:rPr>
            </w:pPr>
            <w:r w:rsidRPr="009546F6">
              <w:rPr>
                <w:rFonts w:cs="Arial"/>
                <w:szCs w:val="20"/>
                <w:lang w:eastAsia="en-AU"/>
              </w:rPr>
              <w:t xml:space="preserve">                                        559,432 </w:t>
            </w:r>
          </w:p>
        </w:tc>
      </w:tr>
      <w:tr w:rsidR="0050072A" w:rsidRPr="009546F6" w14:paraId="3CF5EDBE" w14:textId="77777777" w:rsidTr="009546F6">
        <w:trPr>
          <w:trHeight w:val="300"/>
        </w:trPr>
        <w:tc>
          <w:tcPr>
            <w:tcW w:w="1633" w:type="dxa"/>
            <w:tcBorders>
              <w:top w:val="nil"/>
              <w:left w:val="single" w:sz="4" w:space="0" w:color="auto"/>
              <w:bottom w:val="single" w:sz="4" w:space="0" w:color="auto"/>
              <w:right w:val="single" w:sz="4" w:space="0" w:color="auto"/>
            </w:tcBorders>
            <w:shd w:val="clear" w:color="auto" w:fill="auto"/>
            <w:noWrap/>
            <w:vAlign w:val="bottom"/>
            <w:hideMark/>
          </w:tcPr>
          <w:p w14:paraId="0BE64095" w14:textId="77777777" w:rsidR="0050072A" w:rsidRPr="009546F6" w:rsidRDefault="0050072A" w:rsidP="009546F6">
            <w:pPr>
              <w:spacing w:after="0"/>
              <w:rPr>
                <w:rFonts w:cs="Arial"/>
                <w:szCs w:val="20"/>
                <w:lang w:eastAsia="en-AU"/>
              </w:rPr>
            </w:pPr>
            <w:r w:rsidRPr="009546F6">
              <w:rPr>
                <w:rFonts w:cs="Arial"/>
                <w:szCs w:val="20"/>
                <w:lang w:eastAsia="en-AU"/>
              </w:rPr>
              <w:t>3010</w:t>
            </w:r>
          </w:p>
        </w:tc>
        <w:tc>
          <w:tcPr>
            <w:tcW w:w="3329" w:type="dxa"/>
            <w:tcBorders>
              <w:top w:val="nil"/>
              <w:left w:val="nil"/>
              <w:bottom w:val="single" w:sz="4" w:space="0" w:color="auto"/>
              <w:right w:val="single" w:sz="4" w:space="0" w:color="auto"/>
            </w:tcBorders>
            <w:shd w:val="clear" w:color="auto" w:fill="auto"/>
            <w:noWrap/>
            <w:vAlign w:val="bottom"/>
            <w:hideMark/>
          </w:tcPr>
          <w:p w14:paraId="1B483A6B" w14:textId="77777777" w:rsidR="0050072A" w:rsidRPr="009546F6" w:rsidRDefault="0050072A" w:rsidP="009546F6">
            <w:pPr>
              <w:spacing w:after="0"/>
              <w:jc w:val="right"/>
              <w:rPr>
                <w:rFonts w:cs="Arial"/>
                <w:szCs w:val="20"/>
                <w:lang w:eastAsia="en-AU"/>
              </w:rPr>
            </w:pPr>
            <w:r w:rsidRPr="009546F6">
              <w:rPr>
                <w:rFonts w:cs="Arial"/>
                <w:szCs w:val="20"/>
                <w:lang w:eastAsia="en-AU"/>
              </w:rPr>
              <w:t xml:space="preserve">                                        411,306 </w:t>
            </w:r>
          </w:p>
        </w:tc>
      </w:tr>
      <w:tr w:rsidR="0050072A" w:rsidRPr="009546F6" w14:paraId="3572104C" w14:textId="77777777" w:rsidTr="009546F6">
        <w:trPr>
          <w:trHeight w:val="300"/>
        </w:trPr>
        <w:tc>
          <w:tcPr>
            <w:tcW w:w="1633" w:type="dxa"/>
            <w:tcBorders>
              <w:top w:val="nil"/>
              <w:left w:val="single" w:sz="4" w:space="0" w:color="auto"/>
              <w:bottom w:val="single" w:sz="4" w:space="0" w:color="auto"/>
              <w:right w:val="single" w:sz="4" w:space="0" w:color="auto"/>
            </w:tcBorders>
            <w:shd w:val="clear" w:color="auto" w:fill="auto"/>
            <w:noWrap/>
            <w:vAlign w:val="bottom"/>
            <w:hideMark/>
          </w:tcPr>
          <w:p w14:paraId="41AE67D1" w14:textId="77777777" w:rsidR="0050072A" w:rsidRPr="009546F6" w:rsidRDefault="0050072A" w:rsidP="009546F6">
            <w:pPr>
              <w:spacing w:after="0"/>
              <w:rPr>
                <w:rFonts w:cs="Arial"/>
                <w:szCs w:val="20"/>
                <w:lang w:eastAsia="en-AU"/>
              </w:rPr>
            </w:pPr>
            <w:r w:rsidRPr="009546F6">
              <w:rPr>
                <w:rFonts w:cs="Arial"/>
                <w:szCs w:val="20"/>
                <w:lang w:eastAsia="en-AU"/>
              </w:rPr>
              <w:t>3050</w:t>
            </w:r>
          </w:p>
        </w:tc>
        <w:tc>
          <w:tcPr>
            <w:tcW w:w="3329" w:type="dxa"/>
            <w:tcBorders>
              <w:top w:val="nil"/>
              <w:left w:val="nil"/>
              <w:bottom w:val="single" w:sz="4" w:space="0" w:color="auto"/>
              <w:right w:val="single" w:sz="4" w:space="0" w:color="auto"/>
            </w:tcBorders>
            <w:shd w:val="clear" w:color="auto" w:fill="auto"/>
            <w:noWrap/>
            <w:vAlign w:val="bottom"/>
            <w:hideMark/>
          </w:tcPr>
          <w:p w14:paraId="5AD195F0" w14:textId="77777777" w:rsidR="0050072A" w:rsidRPr="009546F6" w:rsidRDefault="0050072A" w:rsidP="009546F6">
            <w:pPr>
              <w:spacing w:after="0"/>
              <w:jc w:val="right"/>
              <w:rPr>
                <w:rFonts w:cs="Arial"/>
                <w:szCs w:val="20"/>
                <w:lang w:eastAsia="en-AU"/>
              </w:rPr>
            </w:pPr>
            <w:r w:rsidRPr="009546F6">
              <w:rPr>
                <w:rFonts w:cs="Arial"/>
                <w:szCs w:val="20"/>
                <w:lang w:eastAsia="en-AU"/>
              </w:rPr>
              <w:t xml:space="preserve">                                        340,227 </w:t>
            </w:r>
          </w:p>
        </w:tc>
      </w:tr>
      <w:tr w:rsidR="0050072A" w:rsidRPr="009546F6" w14:paraId="6AAFFFBA" w14:textId="77777777" w:rsidTr="009546F6">
        <w:trPr>
          <w:trHeight w:val="300"/>
        </w:trPr>
        <w:tc>
          <w:tcPr>
            <w:tcW w:w="1633" w:type="dxa"/>
            <w:tcBorders>
              <w:top w:val="nil"/>
              <w:left w:val="single" w:sz="4" w:space="0" w:color="auto"/>
              <w:bottom w:val="single" w:sz="4" w:space="0" w:color="auto"/>
              <w:right w:val="single" w:sz="4" w:space="0" w:color="auto"/>
            </w:tcBorders>
            <w:shd w:val="clear" w:color="auto" w:fill="auto"/>
            <w:noWrap/>
            <w:vAlign w:val="bottom"/>
            <w:hideMark/>
          </w:tcPr>
          <w:p w14:paraId="73E813F7" w14:textId="77777777" w:rsidR="0050072A" w:rsidRPr="009546F6" w:rsidRDefault="0050072A" w:rsidP="009546F6">
            <w:pPr>
              <w:spacing w:after="0"/>
              <w:rPr>
                <w:rFonts w:cs="Arial"/>
                <w:szCs w:val="20"/>
                <w:lang w:eastAsia="en-AU"/>
              </w:rPr>
            </w:pPr>
            <w:r w:rsidRPr="009546F6">
              <w:rPr>
                <w:rFonts w:cs="Arial"/>
                <w:szCs w:val="20"/>
                <w:lang w:eastAsia="en-AU"/>
              </w:rPr>
              <w:t>3181</w:t>
            </w:r>
          </w:p>
        </w:tc>
        <w:tc>
          <w:tcPr>
            <w:tcW w:w="3329" w:type="dxa"/>
            <w:tcBorders>
              <w:top w:val="nil"/>
              <w:left w:val="nil"/>
              <w:bottom w:val="single" w:sz="4" w:space="0" w:color="auto"/>
              <w:right w:val="single" w:sz="4" w:space="0" w:color="auto"/>
            </w:tcBorders>
            <w:shd w:val="clear" w:color="auto" w:fill="auto"/>
            <w:noWrap/>
            <w:vAlign w:val="bottom"/>
            <w:hideMark/>
          </w:tcPr>
          <w:p w14:paraId="2952DB33" w14:textId="77777777" w:rsidR="0050072A" w:rsidRPr="009546F6" w:rsidRDefault="0050072A" w:rsidP="009546F6">
            <w:pPr>
              <w:spacing w:after="0"/>
              <w:jc w:val="right"/>
              <w:rPr>
                <w:rFonts w:cs="Arial"/>
                <w:szCs w:val="20"/>
                <w:lang w:eastAsia="en-AU"/>
              </w:rPr>
            </w:pPr>
            <w:r w:rsidRPr="009546F6">
              <w:rPr>
                <w:rFonts w:cs="Arial"/>
                <w:szCs w:val="20"/>
                <w:lang w:eastAsia="en-AU"/>
              </w:rPr>
              <w:t xml:space="preserve">                                        214,067 </w:t>
            </w:r>
          </w:p>
        </w:tc>
      </w:tr>
      <w:tr w:rsidR="0050072A" w:rsidRPr="009546F6" w14:paraId="0A47E99C" w14:textId="77777777" w:rsidTr="009546F6">
        <w:trPr>
          <w:trHeight w:val="300"/>
        </w:trPr>
        <w:tc>
          <w:tcPr>
            <w:tcW w:w="1633" w:type="dxa"/>
            <w:tcBorders>
              <w:top w:val="nil"/>
              <w:left w:val="single" w:sz="4" w:space="0" w:color="auto"/>
              <w:bottom w:val="single" w:sz="4" w:space="0" w:color="auto"/>
              <w:right w:val="single" w:sz="4" w:space="0" w:color="auto"/>
            </w:tcBorders>
            <w:shd w:val="clear" w:color="auto" w:fill="auto"/>
            <w:noWrap/>
            <w:vAlign w:val="bottom"/>
            <w:hideMark/>
          </w:tcPr>
          <w:p w14:paraId="7CF2785B" w14:textId="77777777" w:rsidR="0050072A" w:rsidRPr="009546F6" w:rsidRDefault="0050072A" w:rsidP="009546F6">
            <w:pPr>
              <w:spacing w:after="0"/>
              <w:rPr>
                <w:rFonts w:cs="Arial"/>
                <w:szCs w:val="20"/>
                <w:lang w:eastAsia="en-AU"/>
              </w:rPr>
            </w:pPr>
            <w:r w:rsidRPr="009546F6">
              <w:rPr>
                <w:rFonts w:cs="Arial"/>
                <w:szCs w:val="20"/>
                <w:lang w:eastAsia="en-AU"/>
              </w:rPr>
              <w:t>3032</w:t>
            </w:r>
          </w:p>
        </w:tc>
        <w:tc>
          <w:tcPr>
            <w:tcW w:w="3329" w:type="dxa"/>
            <w:tcBorders>
              <w:top w:val="nil"/>
              <w:left w:val="nil"/>
              <w:bottom w:val="single" w:sz="4" w:space="0" w:color="auto"/>
              <w:right w:val="single" w:sz="4" w:space="0" w:color="auto"/>
            </w:tcBorders>
            <w:shd w:val="clear" w:color="auto" w:fill="auto"/>
            <w:noWrap/>
            <w:vAlign w:val="bottom"/>
            <w:hideMark/>
          </w:tcPr>
          <w:p w14:paraId="7D002993" w14:textId="77777777" w:rsidR="0050072A" w:rsidRPr="009546F6" w:rsidRDefault="0050072A" w:rsidP="009546F6">
            <w:pPr>
              <w:spacing w:after="0"/>
              <w:jc w:val="right"/>
              <w:rPr>
                <w:rFonts w:cs="Arial"/>
                <w:szCs w:val="20"/>
                <w:lang w:eastAsia="en-AU"/>
              </w:rPr>
            </w:pPr>
            <w:r w:rsidRPr="009546F6">
              <w:rPr>
                <w:rFonts w:cs="Arial"/>
                <w:szCs w:val="20"/>
                <w:lang w:eastAsia="en-AU"/>
              </w:rPr>
              <w:t xml:space="preserve">                                        131,106 </w:t>
            </w:r>
          </w:p>
        </w:tc>
      </w:tr>
      <w:tr w:rsidR="0050072A" w:rsidRPr="009546F6" w14:paraId="6C88D468" w14:textId="77777777" w:rsidTr="009546F6">
        <w:trPr>
          <w:trHeight w:val="300"/>
        </w:trPr>
        <w:tc>
          <w:tcPr>
            <w:tcW w:w="1633" w:type="dxa"/>
            <w:tcBorders>
              <w:top w:val="nil"/>
              <w:left w:val="single" w:sz="4" w:space="0" w:color="auto"/>
              <w:bottom w:val="single" w:sz="4" w:space="0" w:color="auto"/>
              <w:right w:val="single" w:sz="4" w:space="0" w:color="auto"/>
            </w:tcBorders>
            <w:shd w:val="clear" w:color="auto" w:fill="auto"/>
            <w:noWrap/>
            <w:vAlign w:val="bottom"/>
            <w:hideMark/>
          </w:tcPr>
          <w:p w14:paraId="03D9CD3B" w14:textId="77777777" w:rsidR="0050072A" w:rsidRPr="009546F6" w:rsidRDefault="0050072A" w:rsidP="009546F6">
            <w:pPr>
              <w:spacing w:after="0"/>
              <w:rPr>
                <w:rFonts w:cs="Arial"/>
                <w:szCs w:val="20"/>
                <w:lang w:eastAsia="en-AU"/>
              </w:rPr>
            </w:pPr>
            <w:r w:rsidRPr="009546F6">
              <w:rPr>
                <w:rFonts w:cs="Arial"/>
                <w:szCs w:val="20"/>
                <w:lang w:eastAsia="en-AU"/>
              </w:rPr>
              <w:t>3054</w:t>
            </w:r>
          </w:p>
        </w:tc>
        <w:tc>
          <w:tcPr>
            <w:tcW w:w="3329" w:type="dxa"/>
            <w:tcBorders>
              <w:top w:val="nil"/>
              <w:left w:val="nil"/>
              <w:bottom w:val="single" w:sz="4" w:space="0" w:color="auto"/>
              <w:right w:val="single" w:sz="4" w:space="0" w:color="auto"/>
            </w:tcBorders>
            <w:shd w:val="clear" w:color="auto" w:fill="auto"/>
            <w:noWrap/>
            <w:vAlign w:val="bottom"/>
            <w:hideMark/>
          </w:tcPr>
          <w:p w14:paraId="55A315D1" w14:textId="77777777" w:rsidR="0050072A" w:rsidRPr="009546F6" w:rsidRDefault="0050072A" w:rsidP="009546F6">
            <w:pPr>
              <w:spacing w:after="0"/>
              <w:jc w:val="right"/>
              <w:rPr>
                <w:rFonts w:cs="Arial"/>
                <w:szCs w:val="20"/>
                <w:lang w:eastAsia="en-AU"/>
              </w:rPr>
            </w:pPr>
            <w:r w:rsidRPr="009546F6">
              <w:rPr>
                <w:rFonts w:cs="Arial"/>
                <w:szCs w:val="20"/>
                <w:lang w:eastAsia="en-AU"/>
              </w:rPr>
              <w:t xml:space="preserve">                                             5,036 </w:t>
            </w:r>
          </w:p>
        </w:tc>
      </w:tr>
    </w:tbl>
    <w:p w14:paraId="1BC53AF6" w14:textId="77777777" w:rsidR="0050072A" w:rsidRDefault="0050072A" w:rsidP="009546F6">
      <w:pPr>
        <w:rPr>
          <w:rFonts w:ascii="Helvetica Light" w:hAnsi="Helvetica Light" w:cstheme="minorBidi"/>
          <w:szCs w:val="20"/>
        </w:rPr>
      </w:pPr>
    </w:p>
    <w:p w14:paraId="594CDFE0" w14:textId="77777777" w:rsidR="009546F6" w:rsidRDefault="009546F6" w:rsidP="009546F6">
      <w:r>
        <w:t xml:space="preserve">Return to </w:t>
      </w:r>
      <w:hyperlink w:anchor="_3.1_Overview_of" w:history="1">
        <w:r w:rsidRPr="009546F6">
          <w:rPr>
            <w:rStyle w:val="Hyperlink"/>
          </w:rPr>
          <w:t>Melbourne’s Buildings</w:t>
        </w:r>
      </w:hyperlink>
    </w:p>
    <w:p w14:paraId="483EEA27" w14:textId="70B94CC6" w:rsidR="009546F6" w:rsidRPr="00D516FC" w:rsidRDefault="003B3A7A" w:rsidP="00D516FC">
      <w:pPr>
        <w:pStyle w:val="Heading3"/>
        <w:rPr>
          <w:rFonts w:hint="eastAsia"/>
        </w:rPr>
      </w:pPr>
      <w:bookmarkStart w:id="214" w:name="_Average_Number_of"/>
      <w:bookmarkEnd w:id="214"/>
      <w:r>
        <w:t>Table A.6</w:t>
      </w:r>
      <w:r>
        <w:tab/>
      </w:r>
      <w:r w:rsidR="00D516FC" w:rsidRPr="0050072A">
        <w:t>Average Number of Floors by Postcode</w:t>
      </w:r>
    </w:p>
    <w:tbl>
      <w:tblPr>
        <w:tblW w:w="4962" w:type="dxa"/>
        <w:tblInd w:w="-5" w:type="dxa"/>
        <w:tblLook w:val="04A0" w:firstRow="1" w:lastRow="0" w:firstColumn="1" w:lastColumn="0" w:noHBand="0" w:noVBand="1"/>
      </w:tblPr>
      <w:tblGrid>
        <w:gridCol w:w="1624"/>
        <w:gridCol w:w="3338"/>
      </w:tblGrid>
      <w:tr w:rsidR="0050072A" w:rsidRPr="0050072A" w14:paraId="735B1E03" w14:textId="77777777" w:rsidTr="00D516FC">
        <w:trPr>
          <w:trHeight w:val="300"/>
        </w:trPr>
        <w:tc>
          <w:tcPr>
            <w:tcW w:w="16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0148E4" w14:textId="77777777" w:rsidR="0050072A" w:rsidRPr="00D516FC" w:rsidRDefault="0050072A" w:rsidP="00D516FC">
            <w:pPr>
              <w:spacing w:after="0"/>
              <w:rPr>
                <w:b/>
                <w:bCs/>
                <w:lang w:eastAsia="en-AU"/>
              </w:rPr>
            </w:pPr>
            <w:r w:rsidRPr="00D516FC">
              <w:rPr>
                <w:b/>
                <w:bCs/>
                <w:lang w:eastAsia="en-AU"/>
              </w:rPr>
              <w:t>Postcode</w:t>
            </w:r>
          </w:p>
        </w:tc>
        <w:tc>
          <w:tcPr>
            <w:tcW w:w="3338" w:type="dxa"/>
            <w:tcBorders>
              <w:top w:val="single" w:sz="4" w:space="0" w:color="auto"/>
              <w:left w:val="nil"/>
              <w:bottom w:val="single" w:sz="4" w:space="0" w:color="auto"/>
              <w:right w:val="single" w:sz="4" w:space="0" w:color="auto"/>
            </w:tcBorders>
            <w:shd w:val="clear" w:color="auto" w:fill="auto"/>
            <w:noWrap/>
            <w:vAlign w:val="bottom"/>
            <w:hideMark/>
          </w:tcPr>
          <w:p w14:paraId="515635CF" w14:textId="77777777" w:rsidR="0050072A" w:rsidRPr="00D516FC" w:rsidRDefault="0050072A" w:rsidP="00D516FC">
            <w:pPr>
              <w:spacing w:after="0"/>
              <w:rPr>
                <w:b/>
                <w:bCs/>
                <w:lang w:eastAsia="en-AU"/>
              </w:rPr>
            </w:pPr>
            <w:r w:rsidRPr="00D516FC">
              <w:rPr>
                <w:b/>
                <w:bCs/>
                <w:lang w:eastAsia="en-AU"/>
              </w:rPr>
              <w:t>Average number of floors (-)</w:t>
            </w:r>
          </w:p>
        </w:tc>
      </w:tr>
      <w:tr w:rsidR="0050072A" w:rsidRPr="0050072A" w14:paraId="4F311631" w14:textId="77777777" w:rsidTr="00D516FC">
        <w:trPr>
          <w:trHeight w:val="300"/>
        </w:trPr>
        <w:tc>
          <w:tcPr>
            <w:tcW w:w="1624" w:type="dxa"/>
            <w:tcBorders>
              <w:top w:val="nil"/>
              <w:left w:val="single" w:sz="4" w:space="0" w:color="auto"/>
              <w:bottom w:val="single" w:sz="4" w:space="0" w:color="auto"/>
              <w:right w:val="single" w:sz="4" w:space="0" w:color="auto"/>
            </w:tcBorders>
            <w:shd w:val="clear" w:color="auto" w:fill="auto"/>
            <w:noWrap/>
            <w:vAlign w:val="bottom"/>
            <w:hideMark/>
          </w:tcPr>
          <w:p w14:paraId="099B54CD" w14:textId="77777777" w:rsidR="0050072A" w:rsidRPr="0050072A" w:rsidRDefault="0050072A" w:rsidP="00D516FC">
            <w:pPr>
              <w:spacing w:after="0"/>
              <w:rPr>
                <w:lang w:eastAsia="en-AU"/>
              </w:rPr>
            </w:pPr>
            <w:r w:rsidRPr="0050072A">
              <w:rPr>
                <w:lang w:eastAsia="en-AU"/>
              </w:rPr>
              <w:t>3000</w:t>
            </w:r>
          </w:p>
        </w:tc>
        <w:tc>
          <w:tcPr>
            <w:tcW w:w="3338" w:type="dxa"/>
            <w:tcBorders>
              <w:top w:val="nil"/>
              <w:left w:val="nil"/>
              <w:bottom w:val="single" w:sz="4" w:space="0" w:color="auto"/>
              <w:right w:val="single" w:sz="4" w:space="0" w:color="auto"/>
            </w:tcBorders>
            <w:shd w:val="clear" w:color="auto" w:fill="auto"/>
            <w:noWrap/>
            <w:vAlign w:val="bottom"/>
            <w:hideMark/>
          </w:tcPr>
          <w:p w14:paraId="2710EBC1" w14:textId="77777777" w:rsidR="0050072A" w:rsidRPr="0050072A" w:rsidRDefault="0050072A" w:rsidP="00D516FC">
            <w:pPr>
              <w:spacing w:after="0"/>
              <w:rPr>
                <w:lang w:eastAsia="en-AU"/>
              </w:rPr>
            </w:pPr>
            <w:r w:rsidRPr="0050072A">
              <w:rPr>
                <w:lang w:eastAsia="en-AU"/>
              </w:rPr>
              <w:t xml:space="preserve">                                                     8 </w:t>
            </w:r>
          </w:p>
        </w:tc>
      </w:tr>
      <w:tr w:rsidR="0050072A" w:rsidRPr="0050072A" w14:paraId="2263DC6C" w14:textId="77777777" w:rsidTr="00D516FC">
        <w:trPr>
          <w:trHeight w:val="300"/>
        </w:trPr>
        <w:tc>
          <w:tcPr>
            <w:tcW w:w="1624" w:type="dxa"/>
            <w:tcBorders>
              <w:top w:val="nil"/>
              <w:left w:val="single" w:sz="4" w:space="0" w:color="auto"/>
              <w:bottom w:val="single" w:sz="4" w:space="0" w:color="auto"/>
              <w:right w:val="single" w:sz="4" w:space="0" w:color="auto"/>
            </w:tcBorders>
            <w:shd w:val="clear" w:color="auto" w:fill="auto"/>
            <w:noWrap/>
            <w:vAlign w:val="bottom"/>
            <w:hideMark/>
          </w:tcPr>
          <w:p w14:paraId="292D2FCB" w14:textId="77777777" w:rsidR="0050072A" w:rsidRPr="0050072A" w:rsidRDefault="0050072A" w:rsidP="00D516FC">
            <w:pPr>
              <w:spacing w:after="0"/>
              <w:rPr>
                <w:lang w:eastAsia="en-AU"/>
              </w:rPr>
            </w:pPr>
            <w:r w:rsidRPr="0050072A">
              <w:rPr>
                <w:lang w:eastAsia="en-AU"/>
              </w:rPr>
              <w:t>3002</w:t>
            </w:r>
          </w:p>
        </w:tc>
        <w:tc>
          <w:tcPr>
            <w:tcW w:w="3338" w:type="dxa"/>
            <w:tcBorders>
              <w:top w:val="nil"/>
              <w:left w:val="nil"/>
              <w:bottom w:val="single" w:sz="4" w:space="0" w:color="auto"/>
              <w:right w:val="single" w:sz="4" w:space="0" w:color="auto"/>
            </w:tcBorders>
            <w:shd w:val="clear" w:color="auto" w:fill="auto"/>
            <w:noWrap/>
            <w:vAlign w:val="bottom"/>
            <w:hideMark/>
          </w:tcPr>
          <w:p w14:paraId="458F37FE" w14:textId="77777777" w:rsidR="0050072A" w:rsidRPr="0050072A" w:rsidRDefault="0050072A" w:rsidP="00D516FC">
            <w:pPr>
              <w:spacing w:after="0"/>
              <w:rPr>
                <w:lang w:eastAsia="en-AU"/>
              </w:rPr>
            </w:pPr>
            <w:r w:rsidRPr="0050072A">
              <w:rPr>
                <w:lang w:eastAsia="en-AU"/>
              </w:rPr>
              <w:t xml:space="preserve">                                                     3 </w:t>
            </w:r>
          </w:p>
        </w:tc>
      </w:tr>
      <w:tr w:rsidR="0050072A" w:rsidRPr="0050072A" w14:paraId="417205B9" w14:textId="77777777" w:rsidTr="00D516FC">
        <w:trPr>
          <w:trHeight w:val="300"/>
        </w:trPr>
        <w:tc>
          <w:tcPr>
            <w:tcW w:w="1624" w:type="dxa"/>
            <w:tcBorders>
              <w:top w:val="nil"/>
              <w:left w:val="single" w:sz="4" w:space="0" w:color="auto"/>
              <w:bottom w:val="single" w:sz="4" w:space="0" w:color="auto"/>
              <w:right w:val="single" w:sz="4" w:space="0" w:color="auto"/>
            </w:tcBorders>
            <w:shd w:val="clear" w:color="auto" w:fill="auto"/>
            <w:noWrap/>
            <w:vAlign w:val="bottom"/>
            <w:hideMark/>
          </w:tcPr>
          <w:p w14:paraId="6C0BEA35" w14:textId="77777777" w:rsidR="0050072A" w:rsidRPr="0050072A" w:rsidRDefault="0050072A" w:rsidP="00D516FC">
            <w:pPr>
              <w:spacing w:after="0"/>
              <w:rPr>
                <w:lang w:eastAsia="en-AU"/>
              </w:rPr>
            </w:pPr>
            <w:r w:rsidRPr="0050072A">
              <w:rPr>
                <w:lang w:eastAsia="en-AU"/>
              </w:rPr>
              <w:t>3003</w:t>
            </w:r>
          </w:p>
        </w:tc>
        <w:tc>
          <w:tcPr>
            <w:tcW w:w="3338" w:type="dxa"/>
            <w:tcBorders>
              <w:top w:val="nil"/>
              <w:left w:val="nil"/>
              <w:bottom w:val="single" w:sz="4" w:space="0" w:color="auto"/>
              <w:right w:val="single" w:sz="4" w:space="0" w:color="auto"/>
            </w:tcBorders>
            <w:shd w:val="clear" w:color="auto" w:fill="auto"/>
            <w:noWrap/>
            <w:vAlign w:val="bottom"/>
            <w:hideMark/>
          </w:tcPr>
          <w:p w14:paraId="2024DE54" w14:textId="77777777" w:rsidR="0050072A" w:rsidRPr="0050072A" w:rsidRDefault="0050072A" w:rsidP="00D516FC">
            <w:pPr>
              <w:spacing w:after="0"/>
              <w:rPr>
                <w:lang w:eastAsia="en-AU"/>
              </w:rPr>
            </w:pPr>
            <w:r w:rsidRPr="0050072A">
              <w:rPr>
                <w:lang w:eastAsia="en-AU"/>
              </w:rPr>
              <w:t xml:space="preserve">                                                     2 </w:t>
            </w:r>
          </w:p>
        </w:tc>
      </w:tr>
      <w:tr w:rsidR="0050072A" w:rsidRPr="0050072A" w14:paraId="13B2365E" w14:textId="77777777" w:rsidTr="00D516FC">
        <w:trPr>
          <w:trHeight w:val="300"/>
        </w:trPr>
        <w:tc>
          <w:tcPr>
            <w:tcW w:w="1624" w:type="dxa"/>
            <w:tcBorders>
              <w:top w:val="nil"/>
              <w:left w:val="single" w:sz="4" w:space="0" w:color="auto"/>
              <w:bottom w:val="single" w:sz="4" w:space="0" w:color="auto"/>
              <w:right w:val="single" w:sz="4" w:space="0" w:color="auto"/>
            </w:tcBorders>
            <w:shd w:val="clear" w:color="auto" w:fill="auto"/>
            <w:noWrap/>
            <w:vAlign w:val="bottom"/>
            <w:hideMark/>
          </w:tcPr>
          <w:p w14:paraId="4E524F71" w14:textId="77777777" w:rsidR="0050072A" w:rsidRPr="0050072A" w:rsidRDefault="0050072A" w:rsidP="00D516FC">
            <w:pPr>
              <w:spacing w:after="0"/>
              <w:rPr>
                <w:lang w:eastAsia="en-AU"/>
              </w:rPr>
            </w:pPr>
            <w:r w:rsidRPr="0050072A">
              <w:rPr>
                <w:lang w:eastAsia="en-AU"/>
              </w:rPr>
              <w:t>3004</w:t>
            </w:r>
          </w:p>
        </w:tc>
        <w:tc>
          <w:tcPr>
            <w:tcW w:w="3338" w:type="dxa"/>
            <w:tcBorders>
              <w:top w:val="nil"/>
              <w:left w:val="nil"/>
              <w:bottom w:val="single" w:sz="4" w:space="0" w:color="auto"/>
              <w:right w:val="single" w:sz="4" w:space="0" w:color="auto"/>
            </w:tcBorders>
            <w:shd w:val="clear" w:color="auto" w:fill="auto"/>
            <w:noWrap/>
            <w:vAlign w:val="bottom"/>
            <w:hideMark/>
          </w:tcPr>
          <w:p w14:paraId="46BE7599" w14:textId="77777777" w:rsidR="0050072A" w:rsidRPr="0050072A" w:rsidRDefault="0050072A" w:rsidP="00D516FC">
            <w:pPr>
              <w:spacing w:after="0"/>
              <w:rPr>
                <w:lang w:eastAsia="en-AU"/>
              </w:rPr>
            </w:pPr>
            <w:r w:rsidRPr="0050072A">
              <w:rPr>
                <w:lang w:eastAsia="en-AU"/>
              </w:rPr>
              <w:t xml:space="preserve">                                                     5 </w:t>
            </w:r>
          </w:p>
        </w:tc>
      </w:tr>
      <w:tr w:rsidR="0050072A" w:rsidRPr="0050072A" w14:paraId="276984D8" w14:textId="77777777" w:rsidTr="00D516FC">
        <w:trPr>
          <w:trHeight w:val="300"/>
        </w:trPr>
        <w:tc>
          <w:tcPr>
            <w:tcW w:w="1624" w:type="dxa"/>
            <w:tcBorders>
              <w:top w:val="nil"/>
              <w:left w:val="single" w:sz="4" w:space="0" w:color="auto"/>
              <w:bottom w:val="single" w:sz="4" w:space="0" w:color="auto"/>
              <w:right w:val="single" w:sz="4" w:space="0" w:color="auto"/>
            </w:tcBorders>
            <w:shd w:val="clear" w:color="auto" w:fill="auto"/>
            <w:noWrap/>
            <w:vAlign w:val="bottom"/>
            <w:hideMark/>
          </w:tcPr>
          <w:p w14:paraId="36DC6813" w14:textId="77777777" w:rsidR="0050072A" w:rsidRPr="0050072A" w:rsidRDefault="0050072A" w:rsidP="00D516FC">
            <w:pPr>
              <w:spacing w:after="0"/>
              <w:rPr>
                <w:lang w:eastAsia="en-AU"/>
              </w:rPr>
            </w:pPr>
            <w:r w:rsidRPr="0050072A">
              <w:rPr>
                <w:lang w:eastAsia="en-AU"/>
              </w:rPr>
              <w:t>3006</w:t>
            </w:r>
          </w:p>
        </w:tc>
        <w:tc>
          <w:tcPr>
            <w:tcW w:w="3338" w:type="dxa"/>
            <w:tcBorders>
              <w:top w:val="nil"/>
              <w:left w:val="nil"/>
              <w:bottom w:val="single" w:sz="4" w:space="0" w:color="auto"/>
              <w:right w:val="single" w:sz="4" w:space="0" w:color="auto"/>
            </w:tcBorders>
            <w:shd w:val="clear" w:color="auto" w:fill="auto"/>
            <w:noWrap/>
            <w:vAlign w:val="bottom"/>
            <w:hideMark/>
          </w:tcPr>
          <w:p w14:paraId="40917605" w14:textId="77777777" w:rsidR="0050072A" w:rsidRPr="0050072A" w:rsidRDefault="0050072A" w:rsidP="00D516FC">
            <w:pPr>
              <w:spacing w:after="0"/>
              <w:rPr>
                <w:lang w:eastAsia="en-AU"/>
              </w:rPr>
            </w:pPr>
            <w:r w:rsidRPr="0050072A">
              <w:rPr>
                <w:lang w:eastAsia="en-AU"/>
              </w:rPr>
              <w:t xml:space="preserve">                                                   12 </w:t>
            </w:r>
          </w:p>
        </w:tc>
      </w:tr>
      <w:tr w:rsidR="0050072A" w:rsidRPr="0050072A" w14:paraId="44A6F591" w14:textId="77777777" w:rsidTr="00D516FC">
        <w:trPr>
          <w:trHeight w:val="300"/>
        </w:trPr>
        <w:tc>
          <w:tcPr>
            <w:tcW w:w="1624" w:type="dxa"/>
            <w:tcBorders>
              <w:top w:val="nil"/>
              <w:left w:val="single" w:sz="4" w:space="0" w:color="auto"/>
              <w:bottom w:val="single" w:sz="4" w:space="0" w:color="auto"/>
              <w:right w:val="single" w:sz="4" w:space="0" w:color="auto"/>
            </w:tcBorders>
            <w:shd w:val="clear" w:color="auto" w:fill="auto"/>
            <w:noWrap/>
            <w:vAlign w:val="bottom"/>
            <w:hideMark/>
          </w:tcPr>
          <w:p w14:paraId="161A22F2" w14:textId="77777777" w:rsidR="0050072A" w:rsidRPr="0050072A" w:rsidRDefault="0050072A" w:rsidP="00D516FC">
            <w:pPr>
              <w:spacing w:after="0"/>
              <w:rPr>
                <w:lang w:eastAsia="en-AU"/>
              </w:rPr>
            </w:pPr>
            <w:r w:rsidRPr="0050072A">
              <w:rPr>
                <w:lang w:eastAsia="en-AU"/>
              </w:rPr>
              <w:t>3008</w:t>
            </w:r>
          </w:p>
        </w:tc>
        <w:tc>
          <w:tcPr>
            <w:tcW w:w="3338" w:type="dxa"/>
            <w:tcBorders>
              <w:top w:val="nil"/>
              <w:left w:val="nil"/>
              <w:bottom w:val="single" w:sz="4" w:space="0" w:color="auto"/>
              <w:right w:val="single" w:sz="4" w:space="0" w:color="auto"/>
            </w:tcBorders>
            <w:shd w:val="clear" w:color="auto" w:fill="auto"/>
            <w:noWrap/>
            <w:vAlign w:val="bottom"/>
            <w:hideMark/>
          </w:tcPr>
          <w:p w14:paraId="03BB548A" w14:textId="77777777" w:rsidR="0050072A" w:rsidRPr="0050072A" w:rsidRDefault="0050072A" w:rsidP="00D516FC">
            <w:pPr>
              <w:spacing w:after="0"/>
              <w:rPr>
                <w:lang w:eastAsia="en-AU"/>
              </w:rPr>
            </w:pPr>
            <w:r w:rsidRPr="0050072A">
              <w:rPr>
                <w:lang w:eastAsia="en-AU"/>
              </w:rPr>
              <w:t xml:space="preserve">                                                     7 </w:t>
            </w:r>
          </w:p>
        </w:tc>
      </w:tr>
      <w:tr w:rsidR="0050072A" w:rsidRPr="0050072A" w14:paraId="5EE452D6" w14:textId="77777777" w:rsidTr="00D516FC">
        <w:trPr>
          <w:trHeight w:val="300"/>
        </w:trPr>
        <w:tc>
          <w:tcPr>
            <w:tcW w:w="1624" w:type="dxa"/>
            <w:tcBorders>
              <w:top w:val="nil"/>
              <w:left w:val="single" w:sz="4" w:space="0" w:color="auto"/>
              <w:bottom w:val="single" w:sz="4" w:space="0" w:color="auto"/>
              <w:right w:val="single" w:sz="4" w:space="0" w:color="auto"/>
            </w:tcBorders>
            <w:shd w:val="clear" w:color="auto" w:fill="auto"/>
            <w:noWrap/>
            <w:vAlign w:val="bottom"/>
            <w:hideMark/>
          </w:tcPr>
          <w:p w14:paraId="5427A7CC" w14:textId="77777777" w:rsidR="0050072A" w:rsidRPr="0050072A" w:rsidRDefault="0050072A" w:rsidP="00D516FC">
            <w:pPr>
              <w:spacing w:after="0"/>
              <w:rPr>
                <w:lang w:eastAsia="en-AU"/>
              </w:rPr>
            </w:pPr>
            <w:r w:rsidRPr="0050072A">
              <w:rPr>
                <w:lang w:eastAsia="en-AU"/>
              </w:rPr>
              <w:t>3010</w:t>
            </w:r>
          </w:p>
        </w:tc>
        <w:tc>
          <w:tcPr>
            <w:tcW w:w="3338" w:type="dxa"/>
            <w:tcBorders>
              <w:top w:val="nil"/>
              <w:left w:val="nil"/>
              <w:bottom w:val="single" w:sz="4" w:space="0" w:color="auto"/>
              <w:right w:val="single" w:sz="4" w:space="0" w:color="auto"/>
            </w:tcBorders>
            <w:shd w:val="clear" w:color="auto" w:fill="auto"/>
            <w:noWrap/>
            <w:vAlign w:val="bottom"/>
            <w:hideMark/>
          </w:tcPr>
          <w:p w14:paraId="105D1B13" w14:textId="77777777" w:rsidR="0050072A" w:rsidRPr="0050072A" w:rsidRDefault="0050072A" w:rsidP="00D516FC">
            <w:pPr>
              <w:spacing w:after="0"/>
              <w:rPr>
                <w:lang w:eastAsia="en-AU"/>
              </w:rPr>
            </w:pPr>
            <w:r w:rsidRPr="0050072A">
              <w:rPr>
                <w:lang w:eastAsia="en-AU"/>
              </w:rPr>
              <w:t xml:space="preserve">                                                     5 </w:t>
            </w:r>
          </w:p>
        </w:tc>
      </w:tr>
      <w:tr w:rsidR="0050072A" w:rsidRPr="0050072A" w14:paraId="7CFE1573" w14:textId="77777777" w:rsidTr="00D516FC">
        <w:trPr>
          <w:trHeight w:val="300"/>
        </w:trPr>
        <w:tc>
          <w:tcPr>
            <w:tcW w:w="1624" w:type="dxa"/>
            <w:tcBorders>
              <w:top w:val="nil"/>
              <w:left w:val="single" w:sz="4" w:space="0" w:color="auto"/>
              <w:bottom w:val="single" w:sz="4" w:space="0" w:color="auto"/>
              <w:right w:val="single" w:sz="4" w:space="0" w:color="auto"/>
            </w:tcBorders>
            <w:shd w:val="clear" w:color="auto" w:fill="auto"/>
            <w:noWrap/>
            <w:vAlign w:val="bottom"/>
            <w:hideMark/>
          </w:tcPr>
          <w:p w14:paraId="784AB8A6" w14:textId="77777777" w:rsidR="0050072A" w:rsidRPr="0050072A" w:rsidRDefault="0050072A" w:rsidP="00D516FC">
            <w:pPr>
              <w:spacing w:after="0"/>
              <w:rPr>
                <w:lang w:eastAsia="en-AU"/>
              </w:rPr>
            </w:pPr>
            <w:r w:rsidRPr="0050072A">
              <w:rPr>
                <w:lang w:eastAsia="en-AU"/>
              </w:rPr>
              <w:t>3031</w:t>
            </w:r>
          </w:p>
        </w:tc>
        <w:tc>
          <w:tcPr>
            <w:tcW w:w="3338" w:type="dxa"/>
            <w:tcBorders>
              <w:top w:val="nil"/>
              <w:left w:val="nil"/>
              <w:bottom w:val="single" w:sz="4" w:space="0" w:color="auto"/>
              <w:right w:val="single" w:sz="4" w:space="0" w:color="auto"/>
            </w:tcBorders>
            <w:shd w:val="clear" w:color="auto" w:fill="auto"/>
            <w:noWrap/>
            <w:vAlign w:val="bottom"/>
            <w:hideMark/>
          </w:tcPr>
          <w:p w14:paraId="659AC17F" w14:textId="77777777" w:rsidR="0050072A" w:rsidRPr="0050072A" w:rsidRDefault="0050072A" w:rsidP="00D516FC">
            <w:pPr>
              <w:spacing w:after="0"/>
              <w:rPr>
                <w:lang w:eastAsia="en-AU"/>
              </w:rPr>
            </w:pPr>
            <w:r w:rsidRPr="0050072A">
              <w:rPr>
                <w:lang w:eastAsia="en-AU"/>
              </w:rPr>
              <w:t xml:space="preserve">                                                     2 </w:t>
            </w:r>
          </w:p>
        </w:tc>
      </w:tr>
      <w:tr w:rsidR="0050072A" w:rsidRPr="0050072A" w14:paraId="73D8430D" w14:textId="77777777" w:rsidTr="00D516FC">
        <w:trPr>
          <w:trHeight w:val="300"/>
        </w:trPr>
        <w:tc>
          <w:tcPr>
            <w:tcW w:w="1624" w:type="dxa"/>
            <w:tcBorders>
              <w:top w:val="nil"/>
              <w:left w:val="single" w:sz="4" w:space="0" w:color="auto"/>
              <w:bottom w:val="single" w:sz="4" w:space="0" w:color="auto"/>
              <w:right w:val="single" w:sz="4" w:space="0" w:color="auto"/>
            </w:tcBorders>
            <w:shd w:val="clear" w:color="auto" w:fill="auto"/>
            <w:noWrap/>
            <w:vAlign w:val="bottom"/>
            <w:hideMark/>
          </w:tcPr>
          <w:p w14:paraId="3A89E7B2" w14:textId="77777777" w:rsidR="0050072A" w:rsidRPr="0050072A" w:rsidRDefault="0050072A" w:rsidP="00D516FC">
            <w:pPr>
              <w:spacing w:after="0"/>
              <w:rPr>
                <w:lang w:eastAsia="en-AU"/>
              </w:rPr>
            </w:pPr>
            <w:r w:rsidRPr="0050072A">
              <w:rPr>
                <w:lang w:eastAsia="en-AU"/>
              </w:rPr>
              <w:t>3032</w:t>
            </w:r>
          </w:p>
        </w:tc>
        <w:tc>
          <w:tcPr>
            <w:tcW w:w="3338" w:type="dxa"/>
            <w:tcBorders>
              <w:top w:val="nil"/>
              <w:left w:val="nil"/>
              <w:bottom w:val="single" w:sz="4" w:space="0" w:color="auto"/>
              <w:right w:val="single" w:sz="4" w:space="0" w:color="auto"/>
            </w:tcBorders>
            <w:shd w:val="clear" w:color="auto" w:fill="auto"/>
            <w:noWrap/>
            <w:vAlign w:val="bottom"/>
            <w:hideMark/>
          </w:tcPr>
          <w:p w14:paraId="578A6883" w14:textId="77777777" w:rsidR="0050072A" w:rsidRPr="0050072A" w:rsidRDefault="0050072A" w:rsidP="00D516FC">
            <w:pPr>
              <w:spacing w:after="0"/>
              <w:rPr>
                <w:lang w:eastAsia="en-AU"/>
              </w:rPr>
            </w:pPr>
            <w:r w:rsidRPr="0050072A">
              <w:rPr>
                <w:lang w:eastAsia="en-AU"/>
              </w:rPr>
              <w:t xml:space="preserve">                                                     1 </w:t>
            </w:r>
          </w:p>
        </w:tc>
      </w:tr>
      <w:tr w:rsidR="0050072A" w:rsidRPr="0050072A" w14:paraId="3943CB9B" w14:textId="77777777" w:rsidTr="00D516FC">
        <w:trPr>
          <w:trHeight w:val="300"/>
        </w:trPr>
        <w:tc>
          <w:tcPr>
            <w:tcW w:w="1624" w:type="dxa"/>
            <w:tcBorders>
              <w:top w:val="nil"/>
              <w:left w:val="single" w:sz="4" w:space="0" w:color="auto"/>
              <w:bottom w:val="single" w:sz="4" w:space="0" w:color="auto"/>
              <w:right w:val="single" w:sz="4" w:space="0" w:color="auto"/>
            </w:tcBorders>
            <w:shd w:val="clear" w:color="auto" w:fill="auto"/>
            <w:noWrap/>
            <w:vAlign w:val="bottom"/>
            <w:hideMark/>
          </w:tcPr>
          <w:p w14:paraId="4A914547" w14:textId="77777777" w:rsidR="0050072A" w:rsidRPr="0050072A" w:rsidRDefault="0050072A" w:rsidP="00D516FC">
            <w:pPr>
              <w:spacing w:after="0"/>
              <w:rPr>
                <w:lang w:eastAsia="en-AU"/>
              </w:rPr>
            </w:pPr>
            <w:r w:rsidRPr="0050072A">
              <w:rPr>
                <w:lang w:eastAsia="en-AU"/>
              </w:rPr>
              <w:t>3051</w:t>
            </w:r>
          </w:p>
        </w:tc>
        <w:tc>
          <w:tcPr>
            <w:tcW w:w="3338" w:type="dxa"/>
            <w:tcBorders>
              <w:top w:val="nil"/>
              <w:left w:val="nil"/>
              <w:bottom w:val="single" w:sz="4" w:space="0" w:color="auto"/>
              <w:right w:val="single" w:sz="4" w:space="0" w:color="auto"/>
            </w:tcBorders>
            <w:shd w:val="clear" w:color="auto" w:fill="auto"/>
            <w:noWrap/>
            <w:vAlign w:val="bottom"/>
            <w:hideMark/>
          </w:tcPr>
          <w:p w14:paraId="421BA2DD" w14:textId="77777777" w:rsidR="0050072A" w:rsidRPr="0050072A" w:rsidRDefault="0050072A" w:rsidP="00D516FC">
            <w:pPr>
              <w:spacing w:after="0"/>
              <w:rPr>
                <w:lang w:eastAsia="en-AU"/>
              </w:rPr>
            </w:pPr>
            <w:r w:rsidRPr="0050072A">
              <w:rPr>
                <w:lang w:eastAsia="en-AU"/>
              </w:rPr>
              <w:t xml:space="preserve">                                                     2 </w:t>
            </w:r>
          </w:p>
        </w:tc>
      </w:tr>
      <w:tr w:rsidR="0050072A" w:rsidRPr="0050072A" w14:paraId="021A14BD" w14:textId="77777777" w:rsidTr="00D516FC">
        <w:trPr>
          <w:trHeight w:val="300"/>
        </w:trPr>
        <w:tc>
          <w:tcPr>
            <w:tcW w:w="1624" w:type="dxa"/>
            <w:tcBorders>
              <w:top w:val="nil"/>
              <w:left w:val="single" w:sz="4" w:space="0" w:color="auto"/>
              <w:bottom w:val="single" w:sz="4" w:space="0" w:color="auto"/>
              <w:right w:val="single" w:sz="4" w:space="0" w:color="auto"/>
            </w:tcBorders>
            <w:shd w:val="clear" w:color="auto" w:fill="auto"/>
            <w:noWrap/>
            <w:vAlign w:val="bottom"/>
            <w:hideMark/>
          </w:tcPr>
          <w:p w14:paraId="78E6D28C" w14:textId="77777777" w:rsidR="0050072A" w:rsidRPr="0050072A" w:rsidRDefault="0050072A" w:rsidP="00D516FC">
            <w:pPr>
              <w:spacing w:after="0"/>
              <w:rPr>
                <w:lang w:eastAsia="en-AU"/>
              </w:rPr>
            </w:pPr>
            <w:r w:rsidRPr="0050072A">
              <w:rPr>
                <w:lang w:eastAsia="en-AU"/>
              </w:rPr>
              <w:t>3052</w:t>
            </w:r>
          </w:p>
        </w:tc>
        <w:tc>
          <w:tcPr>
            <w:tcW w:w="3338" w:type="dxa"/>
            <w:tcBorders>
              <w:top w:val="nil"/>
              <w:left w:val="nil"/>
              <w:bottom w:val="single" w:sz="4" w:space="0" w:color="auto"/>
              <w:right w:val="single" w:sz="4" w:space="0" w:color="auto"/>
            </w:tcBorders>
            <w:shd w:val="clear" w:color="auto" w:fill="auto"/>
            <w:noWrap/>
            <w:vAlign w:val="bottom"/>
            <w:hideMark/>
          </w:tcPr>
          <w:p w14:paraId="4A282B83" w14:textId="77777777" w:rsidR="0050072A" w:rsidRPr="0050072A" w:rsidRDefault="0050072A" w:rsidP="00D516FC">
            <w:pPr>
              <w:spacing w:after="0"/>
              <w:rPr>
                <w:lang w:eastAsia="en-AU"/>
              </w:rPr>
            </w:pPr>
            <w:r w:rsidRPr="0050072A">
              <w:rPr>
                <w:lang w:eastAsia="en-AU"/>
              </w:rPr>
              <w:t xml:space="preserve">                                                     2 </w:t>
            </w:r>
          </w:p>
        </w:tc>
      </w:tr>
      <w:tr w:rsidR="0050072A" w:rsidRPr="0050072A" w14:paraId="3B57F758" w14:textId="77777777" w:rsidTr="00D516FC">
        <w:trPr>
          <w:trHeight w:val="300"/>
        </w:trPr>
        <w:tc>
          <w:tcPr>
            <w:tcW w:w="1624" w:type="dxa"/>
            <w:tcBorders>
              <w:top w:val="nil"/>
              <w:left w:val="single" w:sz="4" w:space="0" w:color="auto"/>
              <w:bottom w:val="single" w:sz="4" w:space="0" w:color="auto"/>
              <w:right w:val="single" w:sz="4" w:space="0" w:color="auto"/>
            </w:tcBorders>
            <w:shd w:val="clear" w:color="auto" w:fill="auto"/>
            <w:noWrap/>
            <w:vAlign w:val="bottom"/>
            <w:hideMark/>
          </w:tcPr>
          <w:p w14:paraId="3D9A4976" w14:textId="77777777" w:rsidR="0050072A" w:rsidRPr="0050072A" w:rsidRDefault="0050072A" w:rsidP="00D516FC">
            <w:pPr>
              <w:spacing w:after="0"/>
              <w:rPr>
                <w:lang w:eastAsia="en-AU"/>
              </w:rPr>
            </w:pPr>
            <w:r w:rsidRPr="0050072A">
              <w:rPr>
                <w:lang w:eastAsia="en-AU"/>
              </w:rPr>
              <w:t>3053</w:t>
            </w:r>
          </w:p>
        </w:tc>
        <w:tc>
          <w:tcPr>
            <w:tcW w:w="3338" w:type="dxa"/>
            <w:tcBorders>
              <w:top w:val="nil"/>
              <w:left w:val="nil"/>
              <w:bottom w:val="single" w:sz="4" w:space="0" w:color="auto"/>
              <w:right w:val="single" w:sz="4" w:space="0" w:color="auto"/>
            </w:tcBorders>
            <w:shd w:val="clear" w:color="auto" w:fill="auto"/>
            <w:noWrap/>
            <w:vAlign w:val="bottom"/>
            <w:hideMark/>
          </w:tcPr>
          <w:p w14:paraId="6301138D" w14:textId="77777777" w:rsidR="0050072A" w:rsidRPr="0050072A" w:rsidRDefault="0050072A" w:rsidP="00D516FC">
            <w:pPr>
              <w:spacing w:after="0"/>
              <w:rPr>
                <w:lang w:eastAsia="en-AU"/>
              </w:rPr>
            </w:pPr>
            <w:r w:rsidRPr="0050072A">
              <w:rPr>
                <w:lang w:eastAsia="en-AU"/>
              </w:rPr>
              <w:t xml:space="preserve">                                                     2 </w:t>
            </w:r>
          </w:p>
        </w:tc>
      </w:tr>
      <w:tr w:rsidR="0050072A" w:rsidRPr="0050072A" w14:paraId="635A1F7F" w14:textId="77777777" w:rsidTr="00D516FC">
        <w:trPr>
          <w:trHeight w:val="300"/>
        </w:trPr>
        <w:tc>
          <w:tcPr>
            <w:tcW w:w="1624" w:type="dxa"/>
            <w:tcBorders>
              <w:top w:val="nil"/>
              <w:left w:val="single" w:sz="4" w:space="0" w:color="auto"/>
              <w:bottom w:val="single" w:sz="4" w:space="0" w:color="auto"/>
              <w:right w:val="single" w:sz="4" w:space="0" w:color="auto"/>
            </w:tcBorders>
            <w:shd w:val="clear" w:color="auto" w:fill="auto"/>
            <w:noWrap/>
            <w:vAlign w:val="bottom"/>
            <w:hideMark/>
          </w:tcPr>
          <w:p w14:paraId="38B8ACC2" w14:textId="77777777" w:rsidR="0050072A" w:rsidRPr="0050072A" w:rsidRDefault="0050072A" w:rsidP="00D516FC">
            <w:pPr>
              <w:spacing w:after="0"/>
              <w:rPr>
                <w:lang w:eastAsia="en-AU"/>
              </w:rPr>
            </w:pPr>
            <w:r w:rsidRPr="0050072A">
              <w:rPr>
                <w:lang w:eastAsia="en-AU"/>
              </w:rPr>
              <w:t>3054</w:t>
            </w:r>
          </w:p>
        </w:tc>
        <w:tc>
          <w:tcPr>
            <w:tcW w:w="3338" w:type="dxa"/>
            <w:tcBorders>
              <w:top w:val="nil"/>
              <w:left w:val="nil"/>
              <w:bottom w:val="single" w:sz="4" w:space="0" w:color="auto"/>
              <w:right w:val="single" w:sz="4" w:space="0" w:color="auto"/>
            </w:tcBorders>
            <w:shd w:val="clear" w:color="auto" w:fill="auto"/>
            <w:noWrap/>
            <w:vAlign w:val="bottom"/>
            <w:hideMark/>
          </w:tcPr>
          <w:p w14:paraId="1FC85463" w14:textId="77777777" w:rsidR="0050072A" w:rsidRPr="0050072A" w:rsidRDefault="0050072A" w:rsidP="00D516FC">
            <w:pPr>
              <w:spacing w:after="0"/>
              <w:rPr>
                <w:lang w:eastAsia="en-AU"/>
              </w:rPr>
            </w:pPr>
            <w:r w:rsidRPr="0050072A">
              <w:rPr>
                <w:lang w:eastAsia="en-AU"/>
              </w:rPr>
              <w:t xml:space="preserve">                                                     1 </w:t>
            </w:r>
          </w:p>
        </w:tc>
      </w:tr>
      <w:tr w:rsidR="0050072A" w:rsidRPr="0050072A" w14:paraId="1C6A47AD" w14:textId="77777777" w:rsidTr="00D516FC">
        <w:trPr>
          <w:trHeight w:val="300"/>
        </w:trPr>
        <w:tc>
          <w:tcPr>
            <w:tcW w:w="1624" w:type="dxa"/>
            <w:tcBorders>
              <w:top w:val="nil"/>
              <w:left w:val="single" w:sz="4" w:space="0" w:color="auto"/>
              <w:bottom w:val="single" w:sz="4" w:space="0" w:color="auto"/>
              <w:right w:val="single" w:sz="4" w:space="0" w:color="auto"/>
            </w:tcBorders>
            <w:shd w:val="clear" w:color="auto" w:fill="auto"/>
            <w:noWrap/>
            <w:vAlign w:val="bottom"/>
            <w:hideMark/>
          </w:tcPr>
          <w:p w14:paraId="13773A8F" w14:textId="77777777" w:rsidR="0050072A" w:rsidRPr="0050072A" w:rsidRDefault="0050072A" w:rsidP="00D516FC">
            <w:pPr>
              <w:spacing w:after="0"/>
              <w:rPr>
                <w:lang w:eastAsia="en-AU"/>
              </w:rPr>
            </w:pPr>
            <w:r w:rsidRPr="0050072A">
              <w:rPr>
                <w:lang w:eastAsia="en-AU"/>
              </w:rPr>
              <w:t>3141</w:t>
            </w:r>
          </w:p>
        </w:tc>
        <w:tc>
          <w:tcPr>
            <w:tcW w:w="3338" w:type="dxa"/>
            <w:tcBorders>
              <w:top w:val="nil"/>
              <w:left w:val="nil"/>
              <w:bottom w:val="single" w:sz="4" w:space="0" w:color="auto"/>
              <w:right w:val="single" w:sz="4" w:space="0" w:color="auto"/>
            </w:tcBorders>
            <w:shd w:val="clear" w:color="auto" w:fill="auto"/>
            <w:noWrap/>
            <w:vAlign w:val="bottom"/>
            <w:hideMark/>
          </w:tcPr>
          <w:p w14:paraId="600E373F" w14:textId="77777777" w:rsidR="0050072A" w:rsidRPr="0050072A" w:rsidRDefault="0050072A" w:rsidP="00D516FC">
            <w:pPr>
              <w:spacing w:after="0"/>
              <w:rPr>
                <w:lang w:eastAsia="en-AU"/>
              </w:rPr>
            </w:pPr>
            <w:r w:rsidRPr="0050072A">
              <w:rPr>
                <w:lang w:eastAsia="en-AU"/>
              </w:rPr>
              <w:t xml:space="preserve">                                                     2 </w:t>
            </w:r>
          </w:p>
        </w:tc>
      </w:tr>
      <w:tr w:rsidR="0050072A" w:rsidRPr="0050072A" w14:paraId="70C80D81" w14:textId="77777777" w:rsidTr="00D516FC">
        <w:trPr>
          <w:trHeight w:val="300"/>
        </w:trPr>
        <w:tc>
          <w:tcPr>
            <w:tcW w:w="1624" w:type="dxa"/>
            <w:tcBorders>
              <w:top w:val="nil"/>
              <w:left w:val="single" w:sz="4" w:space="0" w:color="auto"/>
              <w:bottom w:val="single" w:sz="4" w:space="0" w:color="auto"/>
              <w:right w:val="single" w:sz="4" w:space="0" w:color="auto"/>
            </w:tcBorders>
            <w:shd w:val="clear" w:color="auto" w:fill="auto"/>
            <w:noWrap/>
            <w:vAlign w:val="bottom"/>
            <w:hideMark/>
          </w:tcPr>
          <w:p w14:paraId="344C7EE1" w14:textId="77777777" w:rsidR="0050072A" w:rsidRPr="0050072A" w:rsidRDefault="0050072A" w:rsidP="00D516FC">
            <w:pPr>
              <w:spacing w:after="0"/>
              <w:rPr>
                <w:lang w:eastAsia="en-AU"/>
              </w:rPr>
            </w:pPr>
            <w:r w:rsidRPr="0050072A">
              <w:rPr>
                <w:lang w:eastAsia="en-AU"/>
              </w:rPr>
              <w:t>3207</w:t>
            </w:r>
          </w:p>
        </w:tc>
        <w:tc>
          <w:tcPr>
            <w:tcW w:w="3338" w:type="dxa"/>
            <w:tcBorders>
              <w:top w:val="nil"/>
              <w:left w:val="nil"/>
              <w:bottom w:val="single" w:sz="4" w:space="0" w:color="auto"/>
              <w:right w:val="single" w:sz="4" w:space="0" w:color="auto"/>
            </w:tcBorders>
            <w:shd w:val="clear" w:color="auto" w:fill="auto"/>
            <w:noWrap/>
            <w:vAlign w:val="bottom"/>
            <w:hideMark/>
          </w:tcPr>
          <w:p w14:paraId="75AC5F11" w14:textId="77777777" w:rsidR="0050072A" w:rsidRPr="0050072A" w:rsidRDefault="0050072A" w:rsidP="00D516FC">
            <w:pPr>
              <w:spacing w:after="0"/>
              <w:rPr>
                <w:lang w:eastAsia="en-AU"/>
              </w:rPr>
            </w:pPr>
            <w:r w:rsidRPr="0050072A">
              <w:rPr>
                <w:lang w:eastAsia="en-AU"/>
              </w:rPr>
              <w:t xml:space="preserve">                                                     2 </w:t>
            </w:r>
          </w:p>
        </w:tc>
      </w:tr>
    </w:tbl>
    <w:p w14:paraId="6CA798A2" w14:textId="77777777" w:rsidR="00D516FC" w:rsidRDefault="00D516FC" w:rsidP="00D516FC"/>
    <w:p w14:paraId="256E54EF" w14:textId="09430F1E" w:rsidR="00D516FC" w:rsidRDefault="00D516FC" w:rsidP="00D516FC">
      <w:r>
        <w:t xml:space="preserve">Return to </w:t>
      </w:r>
      <w:hyperlink w:anchor="_3.1_Overview_of" w:history="1">
        <w:r w:rsidRPr="009546F6">
          <w:rPr>
            <w:rStyle w:val="Hyperlink"/>
          </w:rPr>
          <w:t>Melbourne’s Buildings</w:t>
        </w:r>
      </w:hyperlink>
    </w:p>
    <w:p w14:paraId="17FF7041" w14:textId="0974B7C7" w:rsidR="00D516FC" w:rsidRDefault="003B3A7A" w:rsidP="00D516FC">
      <w:pPr>
        <w:pStyle w:val="Heading3"/>
        <w:rPr>
          <w:rFonts w:hint="eastAsia"/>
        </w:rPr>
      </w:pPr>
      <w:r>
        <w:t>Table A.7</w:t>
      </w:r>
      <w:r>
        <w:tab/>
      </w:r>
      <w:r w:rsidR="00D516FC" w:rsidRPr="0050072A">
        <w:t>Distribution of Office Floor Space by Postcode</w:t>
      </w:r>
    </w:p>
    <w:tbl>
      <w:tblPr>
        <w:tblW w:w="4962" w:type="dxa"/>
        <w:tblInd w:w="-5" w:type="dxa"/>
        <w:tblLook w:val="04A0" w:firstRow="1" w:lastRow="0" w:firstColumn="1" w:lastColumn="0" w:noHBand="0" w:noVBand="1"/>
      </w:tblPr>
      <w:tblGrid>
        <w:gridCol w:w="1645"/>
        <w:gridCol w:w="3317"/>
      </w:tblGrid>
      <w:tr w:rsidR="0050072A" w:rsidRPr="0050072A" w14:paraId="1A2AAD8D" w14:textId="77777777" w:rsidTr="00D516FC">
        <w:trPr>
          <w:trHeight w:val="300"/>
        </w:trPr>
        <w:tc>
          <w:tcPr>
            <w:tcW w:w="16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F4FA8F" w14:textId="77777777" w:rsidR="0050072A" w:rsidRPr="00D516FC" w:rsidRDefault="0050072A" w:rsidP="00D516FC">
            <w:pPr>
              <w:spacing w:after="0"/>
              <w:rPr>
                <w:b/>
                <w:bCs/>
                <w:lang w:eastAsia="en-AU"/>
              </w:rPr>
            </w:pPr>
            <w:bookmarkStart w:id="215" w:name="_Figure_8:_Distribution"/>
            <w:bookmarkEnd w:id="215"/>
            <w:r w:rsidRPr="00D516FC">
              <w:rPr>
                <w:b/>
                <w:bCs/>
                <w:lang w:eastAsia="en-AU"/>
              </w:rPr>
              <w:t>Postcode</w:t>
            </w:r>
          </w:p>
        </w:tc>
        <w:tc>
          <w:tcPr>
            <w:tcW w:w="3317" w:type="dxa"/>
            <w:tcBorders>
              <w:top w:val="single" w:sz="4" w:space="0" w:color="auto"/>
              <w:left w:val="nil"/>
              <w:bottom w:val="single" w:sz="4" w:space="0" w:color="auto"/>
              <w:right w:val="single" w:sz="4" w:space="0" w:color="auto"/>
            </w:tcBorders>
            <w:shd w:val="clear" w:color="auto" w:fill="auto"/>
            <w:noWrap/>
            <w:vAlign w:val="bottom"/>
            <w:hideMark/>
          </w:tcPr>
          <w:p w14:paraId="223D0662" w14:textId="77777777" w:rsidR="0050072A" w:rsidRPr="00D516FC" w:rsidRDefault="0050072A" w:rsidP="00D516FC">
            <w:pPr>
              <w:spacing w:after="0"/>
              <w:rPr>
                <w:b/>
                <w:bCs/>
                <w:lang w:eastAsia="en-AU"/>
              </w:rPr>
            </w:pPr>
            <w:r w:rsidRPr="00D516FC">
              <w:rPr>
                <w:b/>
                <w:bCs/>
                <w:lang w:eastAsia="en-AU"/>
              </w:rPr>
              <w:t>Total Office Floor Space (m2)</w:t>
            </w:r>
          </w:p>
        </w:tc>
      </w:tr>
      <w:tr w:rsidR="0050072A" w:rsidRPr="0050072A" w14:paraId="031CBE1F" w14:textId="77777777" w:rsidTr="00D516FC">
        <w:trPr>
          <w:trHeight w:val="300"/>
        </w:trPr>
        <w:tc>
          <w:tcPr>
            <w:tcW w:w="1645" w:type="dxa"/>
            <w:tcBorders>
              <w:top w:val="nil"/>
              <w:left w:val="single" w:sz="4" w:space="0" w:color="auto"/>
              <w:bottom w:val="single" w:sz="4" w:space="0" w:color="auto"/>
              <w:right w:val="single" w:sz="4" w:space="0" w:color="auto"/>
            </w:tcBorders>
            <w:shd w:val="clear" w:color="auto" w:fill="auto"/>
            <w:noWrap/>
            <w:vAlign w:val="bottom"/>
            <w:hideMark/>
          </w:tcPr>
          <w:p w14:paraId="7250CCCA" w14:textId="77777777" w:rsidR="0050072A" w:rsidRPr="0050072A" w:rsidRDefault="0050072A" w:rsidP="00D516FC">
            <w:pPr>
              <w:spacing w:after="0"/>
              <w:rPr>
                <w:lang w:eastAsia="en-AU"/>
              </w:rPr>
            </w:pPr>
            <w:r w:rsidRPr="0050072A">
              <w:rPr>
                <w:lang w:eastAsia="en-AU"/>
              </w:rPr>
              <w:t>3000</w:t>
            </w:r>
          </w:p>
        </w:tc>
        <w:tc>
          <w:tcPr>
            <w:tcW w:w="3317" w:type="dxa"/>
            <w:tcBorders>
              <w:top w:val="nil"/>
              <w:left w:val="nil"/>
              <w:bottom w:val="single" w:sz="4" w:space="0" w:color="auto"/>
              <w:right w:val="single" w:sz="4" w:space="0" w:color="auto"/>
            </w:tcBorders>
            <w:shd w:val="clear" w:color="auto" w:fill="auto"/>
            <w:noWrap/>
            <w:vAlign w:val="bottom"/>
            <w:hideMark/>
          </w:tcPr>
          <w:p w14:paraId="20CD6808" w14:textId="77777777" w:rsidR="0050072A" w:rsidRPr="0050072A" w:rsidRDefault="0050072A" w:rsidP="00D516FC">
            <w:pPr>
              <w:spacing w:after="0"/>
              <w:jc w:val="right"/>
              <w:rPr>
                <w:lang w:eastAsia="en-AU"/>
              </w:rPr>
            </w:pPr>
            <w:r w:rsidRPr="0050072A">
              <w:rPr>
                <w:lang w:eastAsia="en-AU"/>
              </w:rPr>
              <w:t xml:space="preserve">                                    4,532,679 </w:t>
            </w:r>
          </w:p>
        </w:tc>
      </w:tr>
      <w:tr w:rsidR="0050072A" w:rsidRPr="0050072A" w14:paraId="55591517" w14:textId="77777777" w:rsidTr="00D516FC">
        <w:trPr>
          <w:trHeight w:val="300"/>
        </w:trPr>
        <w:tc>
          <w:tcPr>
            <w:tcW w:w="1645" w:type="dxa"/>
            <w:tcBorders>
              <w:top w:val="nil"/>
              <w:left w:val="single" w:sz="4" w:space="0" w:color="auto"/>
              <w:bottom w:val="single" w:sz="4" w:space="0" w:color="auto"/>
              <w:right w:val="single" w:sz="4" w:space="0" w:color="auto"/>
            </w:tcBorders>
            <w:shd w:val="clear" w:color="auto" w:fill="auto"/>
            <w:noWrap/>
            <w:vAlign w:val="bottom"/>
            <w:hideMark/>
          </w:tcPr>
          <w:p w14:paraId="00B65C1F" w14:textId="77777777" w:rsidR="0050072A" w:rsidRPr="0050072A" w:rsidRDefault="0050072A" w:rsidP="00D516FC">
            <w:pPr>
              <w:spacing w:after="0"/>
              <w:rPr>
                <w:lang w:eastAsia="en-AU"/>
              </w:rPr>
            </w:pPr>
            <w:r w:rsidRPr="0050072A">
              <w:rPr>
                <w:lang w:eastAsia="en-AU"/>
              </w:rPr>
              <w:t>3008</w:t>
            </w:r>
          </w:p>
        </w:tc>
        <w:tc>
          <w:tcPr>
            <w:tcW w:w="3317" w:type="dxa"/>
            <w:tcBorders>
              <w:top w:val="nil"/>
              <w:left w:val="nil"/>
              <w:bottom w:val="single" w:sz="4" w:space="0" w:color="auto"/>
              <w:right w:val="single" w:sz="4" w:space="0" w:color="auto"/>
            </w:tcBorders>
            <w:shd w:val="clear" w:color="auto" w:fill="auto"/>
            <w:noWrap/>
            <w:vAlign w:val="bottom"/>
            <w:hideMark/>
          </w:tcPr>
          <w:p w14:paraId="6EF8AEDC" w14:textId="77777777" w:rsidR="0050072A" w:rsidRPr="0050072A" w:rsidRDefault="0050072A" w:rsidP="00D516FC">
            <w:pPr>
              <w:spacing w:after="0"/>
              <w:jc w:val="right"/>
              <w:rPr>
                <w:lang w:eastAsia="en-AU"/>
              </w:rPr>
            </w:pPr>
            <w:r w:rsidRPr="0050072A">
              <w:rPr>
                <w:lang w:eastAsia="en-AU"/>
              </w:rPr>
              <w:t xml:space="preserve">                                    1,588,642 </w:t>
            </w:r>
          </w:p>
        </w:tc>
      </w:tr>
      <w:tr w:rsidR="0050072A" w:rsidRPr="0050072A" w14:paraId="7ECC3C5C" w14:textId="77777777" w:rsidTr="00D516FC">
        <w:trPr>
          <w:trHeight w:val="300"/>
        </w:trPr>
        <w:tc>
          <w:tcPr>
            <w:tcW w:w="1645" w:type="dxa"/>
            <w:tcBorders>
              <w:top w:val="nil"/>
              <w:left w:val="single" w:sz="4" w:space="0" w:color="auto"/>
              <w:bottom w:val="single" w:sz="4" w:space="0" w:color="auto"/>
              <w:right w:val="single" w:sz="4" w:space="0" w:color="auto"/>
            </w:tcBorders>
            <w:shd w:val="clear" w:color="auto" w:fill="auto"/>
            <w:noWrap/>
            <w:vAlign w:val="bottom"/>
            <w:hideMark/>
          </w:tcPr>
          <w:p w14:paraId="558B0505" w14:textId="77777777" w:rsidR="0050072A" w:rsidRPr="0050072A" w:rsidRDefault="0050072A" w:rsidP="00D516FC">
            <w:pPr>
              <w:spacing w:after="0"/>
              <w:rPr>
                <w:lang w:eastAsia="en-AU"/>
              </w:rPr>
            </w:pPr>
            <w:r w:rsidRPr="0050072A">
              <w:rPr>
                <w:lang w:eastAsia="en-AU"/>
              </w:rPr>
              <w:t>3006</w:t>
            </w:r>
          </w:p>
        </w:tc>
        <w:tc>
          <w:tcPr>
            <w:tcW w:w="3317" w:type="dxa"/>
            <w:tcBorders>
              <w:top w:val="nil"/>
              <w:left w:val="nil"/>
              <w:bottom w:val="single" w:sz="4" w:space="0" w:color="auto"/>
              <w:right w:val="single" w:sz="4" w:space="0" w:color="auto"/>
            </w:tcBorders>
            <w:shd w:val="clear" w:color="auto" w:fill="auto"/>
            <w:noWrap/>
            <w:vAlign w:val="bottom"/>
            <w:hideMark/>
          </w:tcPr>
          <w:p w14:paraId="514C7FB6" w14:textId="77777777" w:rsidR="0050072A" w:rsidRPr="0050072A" w:rsidRDefault="0050072A" w:rsidP="00D516FC">
            <w:pPr>
              <w:spacing w:after="0"/>
              <w:jc w:val="right"/>
              <w:rPr>
                <w:lang w:eastAsia="en-AU"/>
              </w:rPr>
            </w:pPr>
            <w:r w:rsidRPr="0050072A">
              <w:rPr>
                <w:lang w:eastAsia="en-AU"/>
              </w:rPr>
              <w:t xml:space="preserve">                                        567,074 </w:t>
            </w:r>
          </w:p>
        </w:tc>
      </w:tr>
      <w:tr w:rsidR="0050072A" w:rsidRPr="0050072A" w14:paraId="6E33205B" w14:textId="77777777" w:rsidTr="00D516FC">
        <w:trPr>
          <w:trHeight w:val="300"/>
        </w:trPr>
        <w:tc>
          <w:tcPr>
            <w:tcW w:w="1645" w:type="dxa"/>
            <w:tcBorders>
              <w:top w:val="nil"/>
              <w:left w:val="single" w:sz="4" w:space="0" w:color="auto"/>
              <w:bottom w:val="single" w:sz="4" w:space="0" w:color="auto"/>
              <w:right w:val="single" w:sz="4" w:space="0" w:color="auto"/>
            </w:tcBorders>
            <w:shd w:val="clear" w:color="auto" w:fill="auto"/>
            <w:noWrap/>
            <w:vAlign w:val="bottom"/>
            <w:hideMark/>
          </w:tcPr>
          <w:p w14:paraId="7C348E0E" w14:textId="77777777" w:rsidR="0050072A" w:rsidRPr="0050072A" w:rsidRDefault="0050072A" w:rsidP="00D516FC">
            <w:pPr>
              <w:spacing w:after="0"/>
              <w:rPr>
                <w:lang w:eastAsia="en-AU"/>
              </w:rPr>
            </w:pPr>
            <w:r w:rsidRPr="0050072A">
              <w:rPr>
                <w:lang w:eastAsia="en-AU"/>
              </w:rPr>
              <w:t>3002</w:t>
            </w:r>
          </w:p>
        </w:tc>
        <w:tc>
          <w:tcPr>
            <w:tcW w:w="3317" w:type="dxa"/>
            <w:tcBorders>
              <w:top w:val="nil"/>
              <w:left w:val="nil"/>
              <w:bottom w:val="single" w:sz="4" w:space="0" w:color="auto"/>
              <w:right w:val="single" w:sz="4" w:space="0" w:color="auto"/>
            </w:tcBorders>
            <w:shd w:val="clear" w:color="auto" w:fill="auto"/>
            <w:noWrap/>
            <w:vAlign w:val="bottom"/>
            <w:hideMark/>
          </w:tcPr>
          <w:p w14:paraId="073A9A03" w14:textId="77777777" w:rsidR="0050072A" w:rsidRPr="0050072A" w:rsidRDefault="0050072A" w:rsidP="00D516FC">
            <w:pPr>
              <w:spacing w:after="0"/>
              <w:jc w:val="right"/>
              <w:rPr>
                <w:lang w:eastAsia="en-AU"/>
              </w:rPr>
            </w:pPr>
            <w:r w:rsidRPr="0050072A">
              <w:rPr>
                <w:lang w:eastAsia="en-AU"/>
              </w:rPr>
              <w:t xml:space="preserve">                                        290,967 </w:t>
            </w:r>
          </w:p>
        </w:tc>
      </w:tr>
      <w:tr w:rsidR="0050072A" w:rsidRPr="0050072A" w14:paraId="4AE75343" w14:textId="77777777" w:rsidTr="00D516FC">
        <w:trPr>
          <w:trHeight w:val="300"/>
        </w:trPr>
        <w:tc>
          <w:tcPr>
            <w:tcW w:w="1645" w:type="dxa"/>
            <w:tcBorders>
              <w:top w:val="nil"/>
              <w:left w:val="single" w:sz="4" w:space="0" w:color="auto"/>
              <w:bottom w:val="single" w:sz="4" w:space="0" w:color="auto"/>
              <w:right w:val="single" w:sz="4" w:space="0" w:color="auto"/>
            </w:tcBorders>
            <w:shd w:val="clear" w:color="auto" w:fill="auto"/>
            <w:noWrap/>
            <w:vAlign w:val="bottom"/>
            <w:hideMark/>
          </w:tcPr>
          <w:p w14:paraId="3A6D36E6" w14:textId="77777777" w:rsidR="0050072A" w:rsidRPr="0050072A" w:rsidRDefault="0050072A" w:rsidP="00D516FC">
            <w:pPr>
              <w:spacing w:after="0"/>
              <w:rPr>
                <w:lang w:eastAsia="en-AU"/>
              </w:rPr>
            </w:pPr>
            <w:r w:rsidRPr="0050072A">
              <w:rPr>
                <w:lang w:eastAsia="en-AU"/>
              </w:rPr>
              <w:t>3207</w:t>
            </w:r>
          </w:p>
        </w:tc>
        <w:tc>
          <w:tcPr>
            <w:tcW w:w="3317" w:type="dxa"/>
            <w:tcBorders>
              <w:top w:val="nil"/>
              <w:left w:val="nil"/>
              <w:bottom w:val="single" w:sz="4" w:space="0" w:color="auto"/>
              <w:right w:val="single" w:sz="4" w:space="0" w:color="auto"/>
            </w:tcBorders>
            <w:shd w:val="clear" w:color="auto" w:fill="auto"/>
            <w:noWrap/>
            <w:vAlign w:val="bottom"/>
            <w:hideMark/>
          </w:tcPr>
          <w:p w14:paraId="0ADFE881" w14:textId="77777777" w:rsidR="0050072A" w:rsidRPr="0050072A" w:rsidRDefault="0050072A" w:rsidP="00D516FC">
            <w:pPr>
              <w:spacing w:after="0"/>
              <w:jc w:val="right"/>
              <w:rPr>
                <w:lang w:eastAsia="en-AU"/>
              </w:rPr>
            </w:pPr>
            <w:r w:rsidRPr="0050072A">
              <w:rPr>
                <w:lang w:eastAsia="en-AU"/>
              </w:rPr>
              <w:t xml:space="preserve">                                        283,534 </w:t>
            </w:r>
          </w:p>
        </w:tc>
      </w:tr>
      <w:tr w:rsidR="0050072A" w:rsidRPr="0050072A" w14:paraId="4FCAFD35" w14:textId="77777777" w:rsidTr="00D516FC">
        <w:trPr>
          <w:trHeight w:val="300"/>
        </w:trPr>
        <w:tc>
          <w:tcPr>
            <w:tcW w:w="1645" w:type="dxa"/>
            <w:tcBorders>
              <w:top w:val="nil"/>
              <w:left w:val="single" w:sz="4" w:space="0" w:color="auto"/>
              <w:bottom w:val="single" w:sz="4" w:space="0" w:color="auto"/>
              <w:right w:val="single" w:sz="4" w:space="0" w:color="auto"/>
            </w:tcBorders>
            <w:shd w:val="clear" w:color="auto" w:fill="auto"/>
            <w:noWrap/>
            <w:vAlign w:val="bottom"/>
            <w:hideMark/>
          </w:tcPr>
          <w:p w14:paraId="2772063C" w14:textId="77777777" w:rsidR="0050072A" w:rsidRPr="0050072A" w:rsidRDefault="0050072A" w:rsidP="00D516FC">
            <w:pPr>
              <w:spacing w:after="0"/>
              <w:rPr>
                <w:lang w:eastAsia="en-AU"/>
              </w:rPr>
            </w:pPr>
            <w:r w:rsidRPr="0050072A">
              <w:rPr>
                <w:lang w:eastAsia="en-AU"/>
              </w:rPr>
              <w:t>3053</w:t>
            </w:r>
          </w:p>
        </w:tc>
        <w:tc>
          <w:tcPr>
            <w:tcW w:w="3317" w:type="dxa"/>
            <w:tcBorders>
              <w:top w:val="nil"/>
              <w:left w:val="nil"/>
              <w:bottom w:val="single" w:sz="4" w:space="0" w:color="auto"/>
              <w:right w:val="single" w:sz="4" w:space="0" w:color="auto"/>
            </w:tcBorders>
            <w:shd w:val="clear" w:color="auto" w:fill="auto"/>
            <w:noWrap/>
            <w:vAlign w:val="bottom"/>
            <w:hideMark/>
          </w:tcPr>
          <w:p w14:paraId="5C65FDEB" w14:textId="77777777" w:rsidR="0050072A" w:rsidRPr="0050072A" w:rsidRDefault="0050072A" w:rsidP="00D516FC">
            <w:pPr>
              <w:spacing w:after="0"/>
              <w:jc w:val="right"/>
              <w:rPr>
                <w:lang w:eastAsia="en-AU"/>
              </w:rPr>
            </w:pPr>
            <w:r w:rsidRPr="0050072A">
              <w:rPr>
                <w:lang w:eastAsia="en-AU"/>
              </w:rPr>
              <w:t xml:space="preserve">                                        202,746 </w:t>
            </w:r>
          </w:p>
        </w:tc>
      </w:tr>
      <w:tr w:rsidR="0050072A" w:rsidRPr="0050072A" w14:paraId="3F0CD6C4" w14:textId="77777777" w:rsidTr="00D516FC">
        <w:trPr>
          <w:trHeight w:val="300"/>
        </w:trPr>
        <w:tc>
          <w:tcPr>
            <w:tcW w:w="1645" w:type="dxa"/>
            <w:tcBorders>
              <w:top w:val="nil"/>
              <w:left w:val="single" w:sz="4" w:space="0" w:color="auto"/>
              <w:bottom w:val="single" w:sz="4" w:space="0" w:color="auto"/>
              <w:right w:val="single" w:sz="4" w:space="0" w:color="auto"/>
            </w:tcBorders>
            <w:shd w:val="clear" w:color="auto" w:fill="auto"/>
            <w:noWrap/>
            <w:vAlign w:val="bottom"/>
            <w:hideMark/>
          </w:tcPr>
          <w:p w14:paraId="3960B61E" w14:textId="77777777" w:rsidR="0050072A" w:rsidRPr="0050072A" w:rsidRDefault="0050072A" w:rsidP="00D516FC">
            <w:pPr>
              <w:spacing w:after="0"/>
              <w:rPr>
                <w:lang w:eastAsia="en-AU"/>
              </w:rPr>
            </w:pPr>
            <w:r w:rsidRPr="0050072A">
              <w:rPr>
                <w:lang w:eastAsia="en-AU"/>
              </w:rPr>
              <w:t>3004</w:t>
            </w:r>
          </w:p>
        </w:tc>
        <w:tc>
          <w:tcPr>
            <w:tcW w:w="3317" w:type="dxa"/>
            <w:tcBorders>
              <w:top w:val="nil"/>
              <w:left w:val="nil"/>
              <w:bottom w:val="single" w:sz="4" w:space="0" w:color="auto"/>
              <w:right w:val="single" w:sz="4" w:space="0" w:color="auto"/>
            </w:tcBorders>
            <w:shd w:val="clear" w:color="auto" w:fill="auto"/>
            <w:noWrap/>
            <w:vAlign w:val="bottom"/>
            <w:hideMark/>
          </w:tcPr>
          <w:p w14:paraId="4E376AE6" w14:textId="77777777" w:rsidR="0050072A" w:rsidRPr="0050072A" w:rsidRDefault="0050072A" w:rsidP="00D516FC">
            <w:pPr>
              <w:spacing w:after="0"/>
              <w:jc w:val="right"/>
              <w:rPr>
                <w:lang w:eastAsia="en-AU"/>
              </w:rPr>
            </w:pPr>
            <w:r w:rsidRPr="0050072A">
              <w:rPr>
                <w:lang w:eastAsia="en-AU"/>
              </w:rPr>
              <w:t xml:space="preserve">                                        191,170 </w:t>
            </w:r>
          </w:p>
        </w:tc>
      </w:tr>
      <w:tr w:rsidR="0050072A" w:rsidRPr="0050072A" w14:paraId="233D5DB3" w14:textId="77777777" w:rsidTr="00D516FC">
        <w:trPr>
          <w:trHeight w:val="300"/>
        </w:trPr>
        <w:tc>
          <w:tcPr>
            <w:tcW w:w="1645" w:type="dxa"/>
            <w:tcBorders>
              <w:top w:val="nil"/>
              <w:left w:val="single" w:sz="4" w:space="0" w:color="auto"/>
              <w:bottom w:val="single" w:sz="4" w:space="0" w:color="auto"/>
              <w:right w:val="single" w:sz="4" w:space="0" w:color="auto"/>
            </w:tcBorders>
            <w:shd w:val="clear" w:color="auto" w:fill="auto"/>
            <w:noWrap/>
            <w:vAlign w:val="bottom"/>
            <w:hideMark/>
          </w:tcPr>
          <w:p w14:paraId="6A97F58B" w14:textId="77777777" w:rsidR="0050072A" w:rsidRPr="0050072A" w:rsidRDefault="0050072A" w:rsidP="00D516FC">
            <w:pPr>
              <w:spacing w:after="0"/>
              <w:rPr>
                <w:lang w:eastAsia="en-AU"/>
              </w:rPr>
            </w:pPr>
            <w:r w:rsidRPr="0050072A">
              <w:rPr>
                <w:lang w:eastAsia="en-AU"/>
              </w:rPr>
              <w:t>3051</w:t>
            </w:r>
          </w:p>
        </w:tc>
        <w:tc>
          <w:tcPr>
            <w:tcW w:w="3317" w:type="dxa"/>
            <w:tcBorders>
              <w:top w:val="nil"/>
              <w:left w:val="nil"/>
              <w:bottom w:val="single" w:sz="4" w:space="0" w:color="auto"/>
              <w:right w:val="single" w:sz="4" w:space="0" w:color="auto"/>
            </w:tcBorders>
            <w:shd w:val="clear" w:color="auto" w:fill="auto"/>
            <w:noWrap/>
            <w:vAlign w:val="bottom"/>
            <w:hideMark/>
          </w:tcPr>
          <w:p w14:paraId="62B3B541" w14:textId="77777777" w:rsidR="0050072A" w:rsidRPr="0050072A" w:rsidRDefault="0050072A" w:rsidP="00D516FC">
            <w:pPr>
              <w:spacing w:after="0"/>
              <w:jc w:val="right"/>
              <w:rPr>
                <w:lang w:eastAsia="en-AU"/>
              </w:rPr>
            </w:pPr>
            <w:r w:rsidRPr="0050072A">
              <w:rPr>
                <w:lang w:eastAsia="en-AU"/>
              </w:rPr>
              <w:t xml:space="preserve">                                        133,921 </w:t>
            </w:r>
          </w:p>
        </w:tc>
      </w:tr>
      <w:tr w:rsidR="0050072A" w:rsidRPr="0050072A" w14:paraId="31F48410" w14:textId="77777777" w:rsidTr="00D516FC">
        <w:trPr>
          <w:trHeight w:val="300"/>
        </w:trPr>
        <w:tc>
          <w:tcPr>
            <w:tcW w:w="1645" w:type="dxa"/>
            <w:tcBorders>
              <w:top w:val="nil"/>
              <w:left w:val="single" w:sz="4" w:space="0" w:color="auto"/>
              <w:bottom w:val="single" w:sz="4" w:space="0" w:color="auto"/>
              <w:right w:val="single" w:sz="4" w:space="0" w:color="auto"/>
            </w:tcBorders>
            <w:shd w:val="clear" w:color="auto" w:fill="auto"/>
            <w:noWrap/>
            <w:vAlign w:val="bottom"/>
            <w:hideMark/>
          </w:tcPr>
          <w:p w14:paraId="044062C3" w14:textId="77777777" w:rsidR="0050072A" w:rsidRPr="0050072A" w:rsidRDefault="0050072A" w:rsidP="00D516FC">
            <w:pPr>
              <w:spacing w:after="0"/>
              <w:rPr>
                <w:lang w:eastAsia="en-AU"/>
              </w:rPr>
            </w:pPr>
            <w:r w:rsidRPr="0050072A">
              <w:rPr>
                <w:lang w:eastAsia="en-AU"/>
              </w:rPr>
              <w:t>3003</w:t>
            </w:r>
          </w:p>
        </w:tc>
        <w:tc>
          <w:tcPr>
            <w:tcW w:w="3317" w:type="dxa"/>
            <w:tcBorders>
              <w:top w:val="nil"/>
              <w:left w:val="nil"/>
              <w:bottom w:val="single" w:sz="4" w:space="0" w:color="auto"/>
              <w:right w:val="single" w:sz="4" w:space="0" w:color="auto"/>
            </w:tcBorders>
            <w:shd w:val="clear" w:color="auto" w:fill="auto"/>
            <w:noWrap/>
            <w:vAlign w:val="bottom"/>
            <w:hideMark/>
          </w:tcPr>
          <w:p w14:paraId="3519984D" w14:textId="77777777" w:rsidR="0050072A" w:rsidRPr="0050072A" w:rsidRDefault="0050072A" w:rsidP="00D516FC">
            <w:pPr>
              <w:spacing w:after="0"/>
              <w:jc w:val="right"/>
              <w:rPr>
                <w:lang w:eastAsia="en-AU"/>
              </w:rPr>
            </w:pPr>
            <w:r w:rsidRPr="0050072A">
              <w:rPr>
                <w:lang w:eastAsia="en-AU"/>
              </w:rPr>
              <w:t xml:space="preserve">                                        118,731 </w:t>
            </w:r>
          </w:p>
        </w:tc>
      </w:tr>
      <w:tr w:rsidR="0050072A" w:rsidRPr="0050072A" w14:paraId="009F7664" w14:textId="77777777" w:rsidTr="00D516FC">
        <w:trPr>
          <w:trHeight w:val="300"/>
        </w:trPr>
        <w:tc>
          <w:tcPr>
            <w:tcW w:w="1645" w:type="dxa"/>
            <w:tcBorders>
              <w:top w:val="nil"/>
              <w:left w:val="single" w:sz="4" w:space="0" w:color="auto"/>
              <w:bottom w:val="single" w:sz="4" w:space="0" w:color="auto"/>
              <w:right w:val="single" w:sz="4" w:space="0" w:color="auto"/>
            </w:tcBorders>
            <w:shd w:val="clear" w:color="auto" w:fill="auto"/>
            <w:noWrap/>
            <w:vAlign w:val="bottom"/>
            <w:hideMark/>
          </w:tcPr>
          <w:p w14:paraId="0C7B153C" w14:textId="77777777" w:rsidR="0050072A" w:rsidRPr="0050072A" w:rsidRDefault="0050072A" w:rsidP="00D516FC">
            <w:pPr>
              <w:spacing w:after="0"/>
              <w:rPr>
                <w:lang w:eastAsia="en-AU"/>
              </w:rPr>
            </w:pPr>
            <w:r w:rsidRPr="0050072A">
              <w:rPr>
                <w:lang w:eastAsia="en-AU"/>
              </w:rPr>
              <w:t>3031</w:t>
            </w:r>
          </w:p>
        </w:tc>
        <w:tc>
          <w:tcPr>
            <w:tcW w:w="3317" w:type="dxa"/>
            <w:tcBorders>
              <w:top w:val="nil"/>
              <w:left w:val="nil"/>
              <w:bottom w:val="single" w:sz="4" w:space="0" w:color="auto"/>
              <w:right w:val="single" w:sz="4" w:space="0" w:color="auto"/>
            </w:tcBorders>
            <w:shd w:val="clear" w:color="auto" w:fill="auto"/>
            <w:noWrap/>
            <w:vAlign w:val="bottom"/>
            <w:hideMark/>
          </w:tcPr>
          <w:p w14:paraId="68EA53D8" w14:textId="77777777" w:rsidR="0050072A" w:rsidRPr="0050072A" w:rsidRDefault="0050072A" w:rsidP="00D516FC">
            <w:pPr>
              <w:spacing w:after="0"/>
              <w:jc w:val="right"/>
              <w:rPr>
                <w:lang w:eastAsia="en-AU"/>
              </w:rPr>
            </w:pPr>
            <w:r w:rsidRPr="0050072A">
              <w:rPr>
                <w:lang w:eastAsia="en-AU"/>
              </w:rPr>
              <w:t xml:space="preserve">                                          51,860 </w:t>
            </w:r>
          </w:p>
        </w:tc>
      </w:tr>
      <w:tr w:rsidR="0050072A" w:rsidRPr="0050072A" w14:paraId="15AD5A19" w14:textId="77777777" w:rsidTr="00D516FC">
        <w:trPr>
          <w:trHeight w:val="300"/>
        </w:trPr>
        <w:tc>
          <w:tcPr>
            <w:tcW w:w="1645" w:type="dxa"/>
            <w:tcBorders>
              <w:top w:val="nil"/>
              <w:left w:val="single" w:sz="4" w:space="0" w:color="auto"/>
              <w:bottom w:val="single" w:sz="4" w:space="0" w:color="auto"/>
              <w:right w:val="single" w:sz="4" w:space="0" w:color="auto"/>
            </w:tcBorders>
            <w:shd w:val="clear" w:color="auto" w:fill="auto"/>
            <w:noWrap/>
            <w:vAlign w:val="bottom"/>
            <w:hideMark/>
          </w:tcPr>
          <w:p w14:paraId="008D838B" w14:textId="77777777" w:rsidR="0050072A" w:rsidRPr="0050072A" w:rsidRDefault="0050072A" w:rsidP="00D516FC">
            <w:pPr>
              <w:spacing w:after="0"/>
              <w:rPr>
                <w:lang w:eastAsia="en-AU"/>
              </w:rPr>
            </w:pPr>
            <w:r w:rsidRPr="0050072A">
              <w:rPr>
                <w:lang w:eastAsia="en-AU"/>
              </w:rPr>
              <w:lastRenderedPageBreak/>
              <w:t>3052</w:t>
            </w:r>
          </w:p>
        </w:tc>
        <w:tc>
          <w:tcPr>
            <w:tcW w:w="3317" w:type="dxa"/>
            <w:tcBorders>
              <w:top w:val="nil"/>
              <w:left w:val="nil"/>
              <w:bottom w:val="single" w:sz="4" w:space="0" w:color="auto"/>
              <w:right w:val="single" w:sz="4" w:space="0" w:color="auto"/>
            </w:tcBorders>
            <w:shd w:val="clear" w:color="auto" w:fill="auto"/>
            <w:noWrap/>
            <w:vAlign w:val="bottom"/>
            <w:hideMark/>
          </w:tcPr>
          <w:p w14:paraId="4FFC1B3A" w14:textId="77777777" w:rsidR="0050072A" w:rsidRPr="0050072A" w:rsidRDefault="0050072A" w:rsidP="00D516FC">
            <w:pPr>
              <w:spacing w:after="0"/>
              <w:jc w:val="right"/>
              <w:rPr>
                <w:lang w:eastAsia="en-AU"/>
              </w:rPr>
            </w:pPr>
            <w:r w:rsidRPr="0050072A">
              <w:rPr>
                <w:lang w:eastAsia="en-AU"/>
              </w:rPr>
              <w:t xml:space="preserve">                                          34,660 </w:t>
            </w:r>
          </w:p>
        </w:tc>
      </w:tr>
      <w:tr w:rsidR="0050072A" w:rsidRPr="0050072A" w14:paraId="78CA062B" w14:textId="77777777" w:rsidTr="00D516FC">
        <w:trPr>
          <w:trHeight w:val="300"/>
        </w:trPr>
        <w:tc>
          <w:tcPr>
            <w:tcW w:w="1645" w:type="dxa"/>
            <w:tcBorders>
              <w:top w:val="nil"/>
              <w:left w:val="single" w:sz="4" w:space="0" w:color="auto"/>
              <w:bottom w:val="single" w:sz="4" w:space="0" w:color="auto"/>
              <w:right w:val="single" w:sz="4" w:space="0" w:color="auto"/>
            </w:tcBorders>
            <w:shd w:val="clear" w:color="auto" w:fill="auto"/>
            <w:noWrap/>
            <w:vAlign w:val="bottom"/>
            <w:hideMark/>
          </w:tcPr>
          <w:p w14:paraId="36662A07" w14:textId="77777777" w:rsidR="0050072A" w:rsidRPr="0050072A" w:rsidRDefault="0050072A" w:rsidP="00D516FC">
            <w:pPr>
              <w:spacing w:after="0"/>
              <w:rPr>
                <w:lang w:eastAsia="en-AU"/>
              </w:rPr>
            </w:pPr>
            <w:r w:rsidRPr="0050072A">
              <w:rPr>
                <w:lang w:eastAsia="en-AU"/>
              </w:rPr>
              <w:t>3010</w:t>
            </w:r>
          </w:p>
        </w:tc>
        <w:tc>
          <w:tcPr>
            <w:tcW w:w="3317" w:type="dxa"/>
            <w:tcBorders>
              <w:top w:val="nil"/>
              <w:left w:val="nil"/>
              <w:bottom w:val="single" w:sz="4" w:space="0" w:color="auto"/>
              <w:right w:val="single" w:sz="4" w:space="0" w:color="auto"/>
            </w:tcBorders>
            <w:shd w:val="clear" w:color="auto" w:fill="auto"/>
            <w:noWrap/>
            <w:vAlign w:val="bottom"/>
            <w:hideMark/>
          </w:tcPr>
          <w:p w14:paraId="08672A2F" w14:textId="77777777" w:rsidR="0050072A" w:rsidRPr="0050072A" w:rsidRDefault="0050072A" w:rsidP="00D516FC">
            <w:pPr>
              <w:spacing w:after="0"/>
              <w:jc w:val="right"/>
              <w:rPr>
                <w:lang w:eastAsia="en-AU"/>
              </w:rPr>
            </w:pPr>
            <w:r w:rsidRPr="0050072A">
              <w:rPr>
                <w:lang w:eastAsia="en-AU"/>
              </w:rPr>
              <w:t xml:space="preserve">                                          21,423 </w:t>
            </w:r>
          </w:p>
        </w:tc>
      </w:tr>
    </w:tbl>
    <w:p w14:paraId="0B7A4F24" w14:textId="77777777" w:rsidR="0050072A" w:rsidRDefault="0050072A" w:rsidP="00D516FC">
      <w:pPr>
        <w:rPr>
          <w:rFonts w:ascii="Helvetica Light" w:hAnsi="Helvetica Light" w:cstheme="minorBidi"/>
          <w:szCs w:val="20"/>
        </w:rPr>
      </w:pPr>
    </w:p>
    <w:p w14:paraId="1F3B4E75" w14:textId="7B8239FF" w:rsidR="00D516FC" w:rsidRDefault="00D516FC" w:rsidP="00D516FC">
      <w:r>
        <w:t xml:space="preserve">Return to </w:t>
      </w:r>
      <w:hyperlink w:anchor="_3.2_Space_Use" w:history="1">
        <w:r w:rsidRPr="00D516FC">
          <w:rPr>
            <w:rStyle w:val="Hyperlink"/>
          </w:rPr>
          <w:t>Space Use by Type</w:t>
        </w:r>
      </w:hyperlink>
    </w:p>
    <w:p w14:paraId="18320A65" w14:textId="446B7969" w:rsidR="0050072A" w:rsidRPr="00D516FC" w:rsidRDefault="003B3A7A" w:rsidP="00D516FC">
      <w:pPr>
        <w:pStyle w:val="Heading3"/>
        <w:rPr>
          <w:rFonts w:hint="eastAsia"/>
        </w:rPr>
      </w:pPr>
      <w:bookmarkStart w:id="216" w:name="_Total_Floorspace_of"/>
      <w:bookmarkEnd w:id="216"/>
      <w:r>
        <w:t>Table A.8</w:t>
      </w:r>
      <w:r>
        <w:tab/>
      </w:r>
      <w:r w:rsidR="00D516FC" w:rsidRPr="00A91679">
        <w:t>Total Floorspace of Office Buildings by Size</w:t>
      </w:r>
    </w:p>
    <w:tbl>
      <w:tblPr>
        <w:tblW w:w="79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1"/>
        <w:gridCol w:w="2329"/>
        <w:gridCol w:w="2268"/>
      </w:tblGrid>
      <w:tr w:rsidR="00A91679" w:rsidRPr="00A91679" w14:paraId="210C8256" w14:textId="77777777" w:rsidTr="00C825F9">
        <w:trPr>
          <w:trHeight w:val="300"/>
        </w:trPr>
        <w:tc>
          <w:tcPr>
            <w:tcW w:w="3341" w:type="dxa"/>
            <w:shd w:val="clear" w:color="auto" w:fill="auto"/>
            <w:noWrap/>
            <w:vAlign w:val="bottom"/>
            <w:hideMark/>
          </w:tcPr>
          <w:p w14:paraId="3424FA17" w14:textId="77777777" w:rsidR="00A91679" w:rsidRPr="00C825F9" w:rsidRDefault="00A91679" w:rsidP="00D516FC">
            <w:pPr>
              <w:spacing w:after="0"/>
              <w:rPr>
                <w:b/>
                <w:bCs/>
                <w:lang w:eastAsia="en-AU"/>
              </w:rPr>
            </w:pPr>
            <w:bookmarkStart w:id="217" w:name="_Figure_9:_Total"/>
            <w:bookmarkEnd w:id="217"/>
            <w:r w:rsidRPr="00C825F9">
              <w:rPr>
                <w:b/>
                <w:bCs/>
                <w:lang w:eastAsia="en-AU"/>
              </w:rPr>
              <w:t>Office Buildings Size</w:t>
            </w:r>
          </w:p>
        </w:tc>
        <w:tc>
          <w:tcPr>
            <w:tcW w:w="2329" w:type="dxa"/>
            <w:shd w:val="clear" w:color="auto" w:fill="auto"/>
            <w:noWrap/>
            <w:vAlign w:val="bottom"/>
            <w:hideMark/>
          </w:tcPr>
          <w:p w14:paraId="099B0147" w14:textId="77777777" w:rsidR="00A91679" w:rsidRPr="00C825F9" w:rsidRDefault="00A91679" w:rsidP="00D516FC">
            <w:pPr>
              <w:spacing w:after="0"/>
              <w:rPr>
                <w:b/>
                <w:bCs/>
                <w:lang w:eastAsia="en-AU"/>
              </w:rPr>
            </w:pPr>
            <w:r w:rsidRPr="00C825F9">
              <w:rPr>
                <w:b/>
                <w:bCs/>
                <w:lang w:eastAsia="en-AU"/>
              </w:rPr>
              <w:t>Count of Buildings (-)</w:t>
            </w:r>
          </w:p>
        </w:tc>
        <w:tc>
          <w:tcPr>
            <w:tcW w:w="2268" w:type="dxa"/>
            <w:shd w:val="clear" w:color="auto" w:fill="auto"/>
            <w:noWrap/>
            <w:vAlign w:val="bottom"/>
            <w:hideMark/>
          </w:tcPr>
          <w:p w14:paraId="1A8CA7C2" w14:textId="77777777" w:rsidR="00A91679" w:rsidRPr="00C825F9" w:rsidRDefault="00A91679" w:rsidP="00D516FC">
            <w:pPr>
              <w:spacing w:after="0"/>
              <w:rPr>
                <w:b/>
                <w:bCs/>
                <w:lang w:eastAsia="en-AU"/>
              </w:rPr>
            </w:pPr>
            <w:r w:rsidRPr="00C825F9">
              <w:rPr>
                <w:b/>
                <w:bCs/>
                <w:lang w:eastAsia="en-AU"/>
              </w:rPr>
              <w:t>Total Floor Area (m2)</w:t>
            </w:r>
          </w:p>
        </w:tc>
      </w:tr>
      <w:tr w:rsidR="00A91679" w:rsidRPr="00A91679" w14:paraId="1734BF75" w14:textId="77777777" w:rsidTr="00C825F9">
        <w:trPr>
          <w:trHeight w:val="155"/>
        </w:trPr>
        <w:tc>
          <w:tcPr>
            <w:tcW w:w="3341" w:type="dxa"/>
            <w:shd w:val="clear" w:color="auto" w:fill="auto"/>
            <w:noWrap/>
            <w:vAlign w:val="bottom"/>
            <w:hideMark/>
          </w:tcPr>
          <w:p w14:paraId="77F0F44E" w14:textId="77777777" w:rsidR="00A91679" w:rsidRPr="00A91679" w:rsidRDefault="00A91679" w:rsidP="00D516FC">
            <w:pPr>
              <w:spacing w:after="0"/>
              <w:rPr>
                <w:lang w:eastAsia="en-AU"/>
              </w:rPr>
            </w:pPr>
            <w:r w:rsidRPr="00A91679">
              <w:rPr>
                <w:lang w:eastAsia="en-AU"/>
              </w:rPr>
              <w:t>0 - 1,000 m2</w:t>
            </w:r>
          </w:p>
        </w:tc>
        <w:tc>
          <w:tcPr>
            <w:tcW w:w="2329" w:type="dxa"/>
            <w:shd w:val="clear" w:color="auto" w:fill="auto"/>
            <w:noWrap/>
            <w:vAlign w:val="bottom"/>
            <w:hideMark/>
          </w:tcPr>
          <w:p w14:paraId="71D95715" w14:textId="77777777" w:rsidR="00A91679" w:rsidRPr="00A91679" w:rsidRDefault="00A91679" w:rsidP="00C825F9">
            <w:pPr>
              <w:spacing w:after="0"/>
              <w:jc w:val="right"/>
              <w:rPr>
                <w:lang w:eastAsia="en-AU"/>
              </w:rPr>
            </w:pPr>
            <w:r w:rsidRPr="00A91679">
              <w:rPr>
                <w:lang w:eastAsia="en-AU"/>
              </w:rPr>
              <w:t>939</w:t>
            </w:r>
          </w:p>
        </w:tc>
        <w:tc>
          <w:tcPr>
            <w:tcW w:w="2268" w:type="dxa"/>
            <w:shd w:val="clear" w:color="auto" w:fill="auto"/>
            <w:noWrap/>
            <w:vAlign w:val="bottom"/>
            <w:hideMark/>
          </w:tcPr>
          <w:p w14:paraId="39EEBF7C" w14:textId="48B142B3" w:rsidR="00A91679" w:rsidRPr="00A91679" w:rsidRDefault="00A91679" w:rsidP="00C825F9">
            <w:pPr>
              <w:spacing w:after="0"/>
              <w:jc w:val="right"/>
              <w:rPr>
                <w:lang w:eastAsia="en-AU"/>
              </w:rPr>
            </w:pPr>
            <w:r w:rsidRPr="00A91679">
              <w:rPr>
                <w:lang w:eastAsia="en-AU"/>
              </w:rPr>
              <w:t>312,287</w:t>
            </w:r>
          </w:p>
        </w:tc>
      </w:tr>
      <w:tr w:rsidR="00A91679" w:rsidRPr="00A91679" w14:paraId="6A37093F" w14:textId="77777777" w:rsidTr="00C825F9">
        <w:trPr>
          <w:trHeight w:val="300"/>
        </w:trPr>
        <w:tc>
          <w:tcPr>
            <w:tcW w:w="3341" w:type="dxa"/>
            <w:shd w:val="clear" w:color="auto" w:fill="auto"/>
            <w:noWrap/>
            <w:vAlign w:val="bottom"/>
            <w:hideMark/>
          </w:tcPr>
          <w:p w14:paraId="5DA1A2F3" w14:textId="77777777" w:rsidR="00A91679" w:rsidRPr="00A91679" w:rsidRDefault="00A91679" w:rsidP="00D516FC">
            <w:pPr>
              <w:spacing w:after="0"/>
              <w:rPr>
                <w:lang w:eastAsia="en-AU"/>
              </w:rPr>
            </w:pPr>
            <w:r w:rsidRPr="00A91679">
              <w:rPr>
                <w:lang w:eastAsia="en-AU"/>
              </w:rPr>
              <w:t>1,000 - 5,000 m2</w:t>
            </w:r>
          </w:p>
        </w:tc>
        <w:tc>
          <w:tcPr>
            <w:tcW w:w="2329" w:type="dxa"/>
            <w:shd w:val="clear" w:color="auto" w:fill="auto"/>
            <w:noWrap/>
            <w:vAlign w:val="bottom"/>
            <w:hideMark/>
          </w:tcPr>
          <w:p w14:paraId="1CF52E01" w14:textId="77777777" w:rsidR="00A91679" w:rsidRPr="00A91679" w:rsidRDefault="00A91679" w:rsidP="00C825F9">
            <w:pPr>
              <w:spacing w:after="0"/>
              <w:jc w:val="right"/>
              <w:rPr>
                <w:lang w:eastAsia="en-AU"/>
              </w:rPr>
            </w:pPr>
            <w:r w:rsidRPr="00A91679">
              <w:rPr>
                <w:lang w:eastAsia="en-AU"/>
              </w:rPr>
              <w:t>376</w:t>
            </w:r>
          </w:p>
        </w:tc>
        <w:tc>
          <w:tcPr>
            <w:tcW w:w="2268" w:type="dxa"/>
            <w:shd w:val="clear" w:color="auto" w:fill="auto"/>
            <w:noWrap/>
            <w:vAlign w:val="bottom"/>
            <w:hideMark/>
          </w:tcPr>
          <w:p w14:paraId="04F29B28" w14:textId="161E76FB" w:rsidR="00A91679" w:rsidRPr="00A91679" w:rsidRDefault="00A91679" w:rsidP="00C825F9">
            <w:pPr>
              <w:spacing w:after="0"/>
              <w:jc w:val="right"/>
              <w:rPr>
                <w:lang w:eastAsia="en-AU"/>
              </w:rPr>
            </w:pPr>
            <w:r w:rsidRPr="00A91679">
              <w:rPr>
                <w:lang w:eastAsia="en-AU"/>
              </w:rPr>
              <w:t>837,816</w:t>
            </w:r>
          </w:p>
        </w:tc>
      </w:tr>
      <w:tr w:rsidR="00A91679" w:rsidRPr="00A91679" w14:paraId="230079EC" w14:textId="77777777" w:rsidTr="00C825F9">
        <w:trPr>
          <w:trHeight w:val="300"/>
        </w:trPr>
        <w:tc>
          <w:tcPr>
            <w:tcW w:w="3341" w:type="dxa"/>
            <w:shd w:val="clear" w:color="auto" w:fill="auto"/>
            <w:noWrap/>
            <w:vAlign w:val="bottom"/>
            <w:hideMark/>
          </w:tcPr>
          <w:p w14:paraId="5C6AAD2C" w14:textId="77777777" w:rsidR="00A91679" w:rsidRPr="00A91679" w:rsidRDefault="00A91679" w:rsidP="00D516FC">
            <w:pPr>
              <w:spacing w:after="0"/>
              <w:rPr>
                <w:lang w:eastAsia="en-AU"/>
              </w:rPr>
            </w:pPr>
            <w:r w:rsidRPr="00A91679">
              <w:rPr>
                <w:lang w:eastAsia="en-AU"/>
              </w:rPr>
              <w:t>5,000 - 10,000 m2</w:t>
            </w:r>
          </w:p>
        </w:tc>
        <w:tc>
          <w:tcPr>
            <w:tcW w:w="2329" w:type="dxa"/>
            <w:shd w:val="clear" w:color="auto" w:fill="auto"/>
            <w:noWrap/>
            <w:vAlign w:val="bottom"/>
            <w:hideMark/>
          </w:tcPr>
          <w:p w14:paraId="0382516C" w14:textId="77777777" w:rsidR="00A91679" w:rsidRPr="00A91679" w:rsidRDefault="00A91679" w:rsidP="00C825F9">
            <w:pPr>
              <w:spacing w:after="0"/>
              <w:jc w:val="right"/>
              <w:rPr>
                <w:lang w:eastAsia="en-AU"/>
              </w:rPr>
            </w:pPr>
            <w:r w:rsidRPr="00A91679">
              <w:rPr>
                <w:lang w:eastAsia="en-AU"/>
              </w:rPr>
              <w:t>99</w:t>
            </w:r>
          </w:p>
        </w:tc>
        <w:tc>
          <w:tcPr>
            <w:tcW w:w="2268" w:type="dxa"/>
            <w:shd w:val="clear" w:color="auto" w:fill="auto"/>
            <w:noWrap/>
            <w:vAlign w:val="bottom"/>
            <w:hideMark/>
          </w:tcPr>
          <w:p w14:paraId="397A46F2" w14:textId="2CE56B37" w:rsidR="00A91679" w:rsidRPr="00A91679" w:rsidRDefault="00A91679" w:rsidP="00C825F9">
            <w:pPr>
              <w:spacing w:after="0"/>
              <w:jc w:val="right"/>
              <w:rPr>
                <w:lang w:eastAsia="en-AU"/>
              </w:rPr>
            </w:pPr>
            <w:r w:rsidRPr="00A91679">
              <w:rPr>
                <w:lang w:eastAsia="en-AU"/>
              </w:rPr>
              <w:t>701,051</w:t>
            </w:r>
          </w:p>
        </w:tc>
      </w:tr>
      <w:tr w:rsidR="00A91679" w:rsidRPr="00A91679" w14:paraId="3318D472" w14:textId="77777777" w:rsidTr="00C825F9">
        <w:trPr>
          <w:trHeight w:val="300"/>
        </w:trPr>
        <w:tc>
          <w:tcPr>
            <w:tcW w:w="3341" w:type="dxa"/>
            <w:shd w:val="clear" w:color="auto" w:fill="auto"/>
            <w:noWrap/>
            <w:vAlign w:val="bottom"/>
            <w:hideMark/>
          </w:tcPr>
          <w:p w14:paraId="64521B90" w14:textId="77777777" w:rsidR="00A91679" w:rsidRPr="00A91679" w:rsidRDefault="00A91679" w:rsidP="00D516FC">
            <w:pPr>
              <w:spacing w:after="0"/>
              <w:rPr>
                <w:lang w:eastAsia="en-AU"/>
              </w:rPr>
            </w:pPr>
            <w:r w:rsidRPr="00A91679">
              <w:rPr>
                <w:lang w:eastAsia="en-AU"/>
              </w:rPr>
              <w:t>10,000 - 20,000 m2</w:t>
            </w:r>
          </w:p>
        </w:tc>
        <w:tc>
          <w:tcPr>
            <w:tcW w:w="2329" w:type="dxa"/>
            <w:shd w:val="clear" w:color="auto" w:fill="auto"/>
            <w:noWrap/>
            <w:vAlign w:val="bottom"/>
            <w:hideMark/>
          </w:tcPr>
          <w:p w14:paraId="3CF8526F" w14:textId="77777777" w:rsidR="00A91679" w:rsidRPr="00A91679" w:rsidRDefault="00A91679" w:rsidP="00C825F9">
            <w:pPr>
              <w:spacing w:after="0"/>
              <w:jc w:val="right"/>
              <w:rPr>
                <w:lang w:eastAsia="en-AU"/>
              </w:rPr>
            </w:pPr>
            <w:r w:rsidRPr="00A91679">
              <w:rPr>
                <w:lang w:eastAsia="en-AU"/>
              </w:rPr>
              <w:t>73</w:t>
            </w:r>
          </w:p>
        </w:tc>
        <w:tc>
          <w:tcPr>
            <w:tcW w:w="2268" w:type="dxa"/>
            <w:shd w:val="clear" w:color="auto" w:fill="auto"/>
            <w:noWrap/>
            <w:vAlign w:val="bottom"/>
            <w:hideMark/>
          </w:tcPr>
          <w:p w14:paraId="1D7F2E1D" w14:textId="6A74F7F0" w:rsidR="00A91679" w:rsidRPr="00A91679" w:rsidRDefault="00A91679" w:rsidP="00C825F9">
            <w:pPr>
              <w:spacing w:after="0"/>
              <w:jc w:val="right"/>
              <w:rPr>
                <w:lang w:eastAsia="en-AU"/>
              </w:rPr>
            </w:pPr>
            <w:r w:rsidRPr="00A91679">
              <w:rPr>
                <w:lang w:eastAsia="en-AU"/>
              </w:rPr>
              <w:t>992,192</w:t>
            </w:r>
          </w:p>
        </w:tc>
      </w:tr>
      <w:tr w:rsidR="00A91679" w:rsidRPr="00A91679" w14:paraId="3608DCEC" w14:textId="77777777" w:rsidTr="00C825F9">
        <w:trPr>
          <w:trHeight w:val="300"/>
        </w:trPr>
        <w:tc>
          <w:tcPr>
            <w:tcW w:w="3341" w:type="dxa"/>
            <w:shd w:val="clear" w:color="auto" w:fill="auto"/>
            <w:noWrap/>
            <w:vAlign w:val="bottom"/>
            <w:hideMark/>
          </w:tcPr>
          <w:p w14:paraId="5A9ADEF2" w14:textId="77777777" w:rsidR="00A91679" w:rsidRPr="00A91679" w:rsidRDefault="00A91679" w:rsidP="00D516FC">
            <w:pPr>
              <w:spacing w:after="0"/>
              <w:rPr>
                <w:lang w:eastAsia="en-AU"/>
              </w:rPr>
            </w:pPr>
            <w:r w:rsidRPr="00A91679">
              <w:rPr>
                <w:lang w:eastAsia="en-AU"/>
              </w:rPr>
              <w:t>20,000 - 40,000 m2</w:t>
            </w:r>
          </w:p>
        </w:tc>
        <w:tc>
          <w:tcPr>
            <w:tcW w:w="2329" w:type="dxa"/>
            <w:shd w:val="clear" w:color="auto" w:fill="auto"/>
            <w:noWrap/>
            <w:vAlign w:val="bottom"/>
            <w:hideMark/>
          </w:tcPr>
          <w:p w14:paraId="0267D956" w14:textId="77777777" w:rsidR="00A91679" w:rsidRPr="00A91679" w:rsidRDefault="00A91679" w:rsidP="00C825F9">
            <w:pPr>
              <w:spacing w:after="0"/>
              <w:jc w:val="right"/>
              <w:rPr>
                <w:lang w:eastAsia="en-AU"/>
              </w:rPr>
            </w:pPr>
            <w:r w:rsidRPr="00A91679">
              <w:rPr>
                <w:lang w:eastAsia="en-AU"/>
              </w:rPr>
              <w:t>47</w:t>
            </w:r>
          </w:p>
        </w:tc>
        <w:tc>
          <w:tcPr>
            <w:tcW w:w="2268" w:type="dxa"/>
            <w:shd w:val="clear" w:color="auto" w:fill="auto"/>
            <w:noWrap/>
            <w:vAlign w:val="bottom"/>
            <w:hideMark/>
          </w:tcPr>
          <w:p w14:paraId="65096F8A" w14:textId="343BDCA2" w:rsidR="00A91679" w:rsidRPr="00A91679" w:rsidRDefault="00A91679" w:rsidP="00C825F9">
            <w:pPr>
              <w:spacing w:after="0"/>
              <w:jc w:val="right"/>
              <w:rPr>
                <w:lang w:eastAsia="en-AU"/>
              </w:rPr>
            </w:pPr>
            <w:r w:rsidRPr="00A91679">
              <w:rPr>
                <w:lang w:eastAsia="en-AU"/>
              </w:rPr>
              <w:t>1,264,770</w:t>
            </w:r>
          </w:p>
        </w:tc>
      </w:tr>
      <w:tr w:rsidR="00A91679" w:rsidRPr="00A91679" w14:paraId="222350D4" w14:textId="77777777" w:rsidTr="00C825F9">
        <w:trPr>
          <w:trHeight w:val="64"/>
        </w:trPr>
        <w:tc>
          <w:tcPr>
            <w:tcW w:w="3341" w:type="dxa"/>
            <w:shd w:val="clear" w:color="auto" w:fill="auto"/>
            <w:noWrap/>
            <w:vAlign w:val="bottom"/>
            <w:hideMark/>
          </w:tcPr>
          <w:p w14:paraId="0D1027C6" w14:textId="77777777" w:rsidR="00A91679" w:rsidRPr="00A91679" w:rsidRDefault="00A91679" w:rsidP="00D516FC">
            <w:pPr>
              <w:spacing w:after="0"/>
              <w:rPr>
                <w:lang w:eastAsia="en-AU"/>
              </w:rPr>
            </w:pPr>
            <w:r w:rsidRPr="00A91679">
              <w:rPr>
                <w:lang w:eastAsia="en-AU"/>
              </w:rPr>
              <w:t>40,000 - 60,000 m2</w:t>
            </w:r>
          </w:p>
        </w:tc>
        <w:tc>
          <w:tcPr>
            <w:tcW w:w="2329" w:type="dxa"/>
            <w:shd w:val="clear" w:color="auto" w:fill="auto"/>
            <w:noWrap/>
            <w:vAlign w:val="bottom"/>
            <w:hideMark/>
          </w:tcPr>
          <w:p w14:paraId="3FD288D5" w14:textId="77777777" w:rsidR="00A91679" w:rsidRPr="00A91679" w:rsidRDefault="00A91679" w:rsidP="00C825F9">
            <w:pPr>
              <w:spacing w:after="0"/>
              <w:jc w:val="right"/>
              <w:rPr>
                <w:lang w:eastAsia="en-AU"/>
              </w:rPr>
            </w:pPr>
            <w:r w:rsidRPr="00A91679">
              <w:rPr>
                <w:lang w:eastAsia="en-AU"/>
              </w:rPr>
              <w:t>31</w:t>
            </w:r>
          </w:p>
        </w:tc>
        <w:tc>
          <w:tcPr>
            <w:tcW w:w="2268" w:type="dxa"/>
            <w:shd w:val="clear" w:color="auto" w:fill="auto"/>
            <w:noWrap/>
            <w:vAlign w:val="bottom"/>
            <w:hideMark/>
          </w:tcPr>
          <w:p w14:paraId="0AD82C2C" w14:textId="7197B6BF" w:rsidR="00A91679" w:rsidRPr="00A91679" w:rsidRDefault="00A91679" w:rsidP="00C825F9">
            <w:pPr>
              <w:spacing w:after="0"/>
              <w:jc w:val="right"/>
              <w:rPr>
                <w:lang w:eastAsia="en-AU"/>
              </w:rPr>
            </w:pPr>
            <w:r w:rsidRPr="00A91679">
              <w:rPr>
                <w:lang w:eastAsia="en-AU"/>
              </w:rPr>
              <w:t>1,498,729</w:t>
            </w:r>
          </w:p>
        </w:tc>
      </w:tr>
      <w:tr w:rsidR="00A91679" w:rsidRPr="00A91679" w14:paraId="272B4929" w14:textId="77777777" w:rsidTr="00C825F9">
        <w:trPr>
          <w:trHeight w:val="64"/>
        </w:trPr>
        <w:tc>
          <w:tcPr>
            <w:tcW w:w="3341" w:type="dxa"/>
            <w:shd w:val="clear" w:color="auto" w:fill="auto"/>
            <w:noWrap/>
            <w:vAlign w:val="bottom"/>
            <w:hideMark/>
          </w:tcPr>
          <w:p w14:paraId="3FE09B60" w14:textId="77777777" w:rsidR="00A91679" w:rsidRPr="00A91679" w:rsidRDefault="00A91679" w:rsidP="00D516FC">
            <w:pPr>
              <w:spacing w:after="0"/>
              <w:rPr>
                <w:lang w:eastAsia="en-AU"/>
              </w:rPr>
            </w:pPr>
            <w:r w:rsidRPr="00A91679">
              <w:rPr>
                <w:lang w:eastAsia="en-AU"/>
              </w:rPr>
              <w:t>60,000+ m2</w:t>
            </w:r>
          </w:p>
        </w:tc>
        <w:tc>
          <w:tcPr>
            <w:tcW w:w="2329" w:type="dxa"/>
            <w:shd w:val="clear" w:color="auto" w:fill="auto"/>
            <w:noWrap/>
            <w:vAlign w:val="bottom"/>
            <w:hideMark/>
          </w:tcPr>
          <w:p w14:paraId="26B57ADB" w14:textId="77777777" w:rsidR="00A91679" w:rsidRPr="00A91679" w:rsidRDefault="00A91679" w:rsidP="00C825F9">
            <w:pPr>
              <w:spacing w:after="0"/>
              <w:jc w:val="right"/>
              <w:rPr>
                <w:lang w:eastAsia="en-AU"/>
              </w:rPr>
            </w:pPr>
            <w:r w:rsidRPr="00A91679">
              <w:rPr>
                <w:lang w:eastAsia="en-AU"/>
              </w:rPr>
              <w:t>29</w:t>
            </w:r>
          </w:p>
        </w:tc>
        <w:tc>
          <w:tcPr>
            <w:tcW w:w="2268" w:type="dxa"/>
            <w:shd w:val="clear" w:color="auto" w:fill="auto"/>
            <w:noWrap/>
            <w:vAlign w:val="bottom"/>
            <w:hideMark/>
          </w:tcPr>
          <w:p w14:paraId="1B36FA41" w14:textId="11FA9B17" w:rsidR="00A91679" w:rsidRPr="00A91679" w:rsidRDefault="00A91679" w:rsidP="00C825F9">
            <w:pPr>
              <w:spacing w:after="0"/>
              <w:jc w:val="right"/>
              <w:rPr>
                <w:lang w:eastAsia="en-AU"/>
              </w:rPr>
            </w:pPr>
            <w:r w:rsidRPr="00A91679">
              <w:rPr>
                <w:lang w:eastAsia="en-AU"/>
              </w:rPr>
              <w:t>2,418,371</w:t>
            </w:r>
          </w:p>
        </w:tc>
      </w:tr>
    </w:tbl>
    <w:p w14:paraId="1D17E14D" w14:textId="77777777" w:rsidR="00A91679" w:rsidRDefault="00A91679" w:rsidP="00C825F9">
      <w:pPr>
        <w:rPr>
          <w:rFonts w:ascii="Helvetica Light" w:hAnsi="Helvetica Light" w:cstheme="minorBidi"/>
          <w:szCs w:val="20"/>
        </w:rPr>
      </w:pPr>
    </w:p>
    <w:p w14:paraId="1657AD7B" w14:textId="77777777" w:rsidR="00C825F9" w:rsidRDefault="00C825F9" w:rsidP="00C825F9">
      <w:r>
        <w:t xml:space="preserve">Return to </w:t>
      </w:r>
      <w:hyperlink w:anchor="_3.2_Space_Use" w:history="1">
        <w:r w:rsidRPr="00D516FC">
          <w:rPr>
            <w:rStyle w:val="Hyperlink"/>
          </w:rPr>
          <w:t>Space Use by Type</w:t>
        </w:r>
      </w:hyperlink>
    </w:p>
    <w:p w14:paraId="213D4F18" w14:textId="5304671C" w:rsidR="00C825F9" w:rsidRPr="00C825F9" w:rsidRDefault="003B3A7A" w:rsidP="00C825F9">
      <w:pPr>
        <w:pStyle w:val="Heading3"/>
        <w:rPr>
          <w:rFonts w:hint="eastAsia"/>
        </w:rPr>
      </w:pPr>
      <w:bookmarkStart w:id="218" w:name="_All_Office_Buildings"/>
      <w:bookmarkEnd w:id="218"/>
      <w:r>
        <w:t>Table A.9</w:t>
      </w:r>
      <w:r>
        <w:tab/>
      </w:r>
      <w:r w:rsidR="00C825F9" w:rsidRPr="00A91679">
        <w:t>All Office Buildings to Have Ever Had a NABERS Rating Compared with Buildings Currently Disclosed Through CBD</w:t>
      </w:r>
    </w:p>
    <w:tbl>
      <w:tblPr>
        <w:tblW w:w="6096" w:type="dxa"/>
        <w:tblInd w:w="-5" w:type="dxa"/>
        <w:tblLook w:val="04A0" w:firstRow="1" w:lastRow="0" w:firstColumn="1" w:lastColumn="0" w:noHBand="0" w:noVBand="1"/>
      </w:tblPr>
      <w:tblGrid>
        <w:gridCol w:w="3402"/>
        <w:gridCol w:w="2694"/>
      </w:tblGrid>
      <w:tr w:rsidR="00A91679" w:rsidRPr="00A91679" w14:paraId="0DCAC695" w14:textId="77777777" w:rsidTr="00C825F9">
        <w:trPr>
          <w:trHeight w:val="300"/>
        </w:trPr>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AF4538" w14:textId="77777777" w:rsidR="00A91679" w:rsidRPr="00C825F9" w:rsidRDefault="00A91679" w:rsidP="00C825F9">
            <w:pPr>
              <w:spacing w:after="0"/>
              <w:rPr>
                <w:b/>
                <w:bCs/>
                <w:lang w:eastAsia="en-AU"/>
              </w:rPr>
            </w:pPr>
            <w:bookmarkStart w:id="219" w:name="_Figure_10:_All"/>
            <w:bookmarkEnd w:id="219"/>
            <w:r w:rsidRPr="00C825F9">
              <w:rPr>
                <w:b/>
                <w:bCs/>
                <w:lang w:eastAsia="en-AU"/>
              </w:rPr>
              <w:t>Category</w:t>
            </w:r>
          </w:p>
        </w:tc>
        <w:tc>
          <w:tcPr>
            <w:tcW w:w="2694" w:type="dxa"/>
            <w:tcBorders>
              <w:top w:val="single" w:sz="4" w:space="0" w:color="auto"/>
              <w:left w:val="nil"/>
              <w:bottom w:val="single" w:sz="4" w:space="0" w:color="auto"/>
              <w:right w:val="single" w:sz="4" w:space="0" w:color="auto"/>
            </w:tcBorders>
            <w:shd w:val="clear" w:color="auto" w:fill="auto"/>
            <w:noWrap/>
            <w:vAlign w:val="bottom"/>
            <w:hideMark/>
          </w:tcPr>
          <w:p w14:paraId="39FF2F6A" w14:textId="77777777" w:rsidR="00A91679" w:rsidRPr="00C825F9" w:rsidRDefault="00A91679" w:rsidP="00C825F9">
            <w:pPr>
              <w:spacing w:after="0"/>
              <w:rPr>
                <w:b/>
                <w:bCs/>
                <w:lang w:eastAsia="en-AU"/>
              </w:rPr>
            </w:pPr>
            <w:r w:rsidRPr="00C825F9">
              <w:rPr>
                <w:b/>
                <w:bCs/>
                <w:lang w:eastAsia="en-AU"/>
              </w:rPr>
              <w:t>Number of Buildings (-)</w:t>
            </w:r>
          </w:p>
        </w:tc>
      </w:tr>
      <w:tr w:rsidR="00A91679" w:rsidRPr="00A91679" w14:paraId="1D9B289E" w14:textId="77777777" w:rsidTr="00C825F9">
        <w:trPr>
          <w:trHeight w:val="300"/>
        </w:trPr>
        <w:tc>
          <w:tcPr>
            <w:tcW w:w="3402" w:type="dxa"/>
            <w:tcBorders>
              <w:top w:val="nil"/>
              <w:left w:val="single" w:sz="4" w:space="0" w:color="auto"/>
              <w:bottom w:val="single" w:sz="4" w:space="0" w:color="auto"/>
              <w:right w:val="single" w:sz="4" w:space="0" w:color="auto"/>
            </w:tcBorders>
            <w:shd w:val="clear" w:color="auto" w:fill="auto"/>
            <w:noWrap/>
            <w:vAlign w:val="bottom"/>
            <w:hideMark/>
          </w:tcPr>
          <w:p w14:paraId="37310A23" w14:textId="77777777" w:rsidR="00A91679" w:rsidRPr="00A91679" w:rsidRDefault="00A91679" w:rsidP="00C825F9">
            <w:pPr>
              <w:spacing w:after="0"/>
              <w:rPr>
                <w:lang w:eastAsia="en-AU"/>
              </w:rPr>
            </w:pPr>
            <w:r w:rsidRPr="00A91679">
              <w:rPr>
                <w:lang w:eastAsia="en-AU"/>
              </w:rPr>
              <w:t>Total ever rated</w:t>
            </w:r>
          </w:p>
        </w:tc>
        <w:tc>
          <w:tcPr>
            <w:tcW w:w="2694" w:type="dxa"/>
            <w:tcBorders>
              <w:top w:val="nil"/>
              <w:left w:val="nil"/>
              <w:bottom w:val="single" w:sz="4" w:space="0" w:color="auto"/>
              <w:right w:val="single" w:sz="4" w:space="0" w:color="auto"/>
            </w:tcBorders>
            <w:shd w:val="clear" w:color="auto" w:fill="auto"/>
            <w:noWrap/>
            <w:vAlign w:val="bottom"/>
            <w:hideMark/>
          </w:tcPr>
          <w:p w14:paraId="6F5EA98B" w14:textId="77777777" w:rsidR="00A91679" w:rsidRPr="00A91679" w:rsidRDefault="00A91679" w:rsidP="00C825F9">
            <w:pPr>
              <w:spacing w:after="0"/>
              <w:jc w:val="right"/>
              <w:rPr>
                <w:lang w:eastAsia="en-AU"/>
              </w:rPr>
            </w:pPr>
            <w:r w:rsidRPr="00A91679">
              <w:rPr>
                <w:lang w:eastAsia="en-AU"/>
              </w:rPr>
              <w:t>379</w:t>
            </w:r>
          </w:p>
        </w:tc>
      </w:tr>
      <w:tr w:rsidR="00A91679" w:rsidRPr="00A91679" w14:paraId="20212FC2" w14:textId="77777777" w:rsidTr="00C825F9">
        <w:trPr>
          <w:trHeight w:val="300"/>
        </w:trPr>
        <w:tc>
          <w:tcPr>
            <w:tcW w:w="3402" w:type="dxa"/>
            <w:tcBorders>
              <w:top w:val="nil"/>
              <w:left w:val="single" w:sz="4" w:space="0" w:color="auto"/>
              <w:bottom w:val="single" w:sz="4" w:space="0" w:color="auto"/>
              <w:right w:val="single" w:sz="4" w:space="0" w:color="auto"/>
            </w:tcBorders>
            <w:shd w:val="clear" w:color="auto" w:fill="auto"/>
            <w:noWrap/>
            <w:vAlign w:val="bottom"/>
            <w:hideMark/>
          </w:tcPr>
          <w:p w14:paraId="6471F742" w14:textId="77777777" w:rsidR="00A91679" w:rsidRPr="00A91679" w:rsidRDefault="00A91679" w:rsidP="00C825F9">
            <w:pPr>
              <w:spacing w:after="0"/>
              <w:rPr>
                <w:lang w:eastAsia="en-AU"/>
              </w:rPr>
            </w:pPr>
            <w:r w:rsidRPr="00A91679">
              <w:rPr>
                <w:lang w:eastAsia="en-AU"/>
              </w:rPr>
              <w:t>Ever rated - base building</w:t>
            </w:r>
          </w:p>
        </w:tc>
        <w:tc>
          <w:tcPr>
            <w:tcW w:w="2694" w:type="dxa"/>
            <w:tcBorders>
              <w:top w:val="nil"/>
              <w:left w:val="nil"/>
              <w:bottom w:val="single" w:sz="4" w:space="0" w:color="auto"/>
              <w:right w:val="single" w:sz="4" w:space="0" w:color="auto"/>
            </w:tcBorders>
            <w:shd w:val="clear" w:color="auto" w:fill="auto"/>
            <w:noWrap/>
            <w:vAlign w:val="bottom"/>
            <w:hideMark/>
          </w:tcPr>
          <w:p w14:paraId="03279238" w14:textId="77777777" w:rsidR="00A91679" w:rsidRPr="00A91679" w:rsidRDefault="00A91679" w:rsidP="00C825F9">
            <w:pPr>
              <w:spacing w:after="0"/>
              <w:jc w:val="right"/>
              <w:rPr>
                <w:lang w:eastAsia="en-AU"/>
              </w:rPr>
            </w:pPr>
            <w:r w:rsidRPr="00A91679">
              <w:rPr>
                <w:lang w:eastAsia="en-AU"/>
              </w:rPr>
              <w:t>235</w:t>
            </w:r>
          </w:p>
        </w:tc>
      </w:tr>
      <w:tr w:rsidR="00A91679" w:rsidRPr="00A91679" w14:paraId="7A39B2B6" w14:textId="77777777" w:rsidTr="00C825F9">
        <w:trPr>
          <w:trHeight w:val="300"/>
        </w:trPr>
        <w:tc>
          <w:tcPr>
            <w:tcW w:w="3402" w:type="dxa"/>
            <w:tcBorders>
              <w:top w:val="nil"/>
              <w:left w:val="single" w:sz="4" w:space="0" w:color="auto"/>
              <w:bottom w:val="single" w:sz="4" w:space="0" w:color="auto"/>
              <w:right w:val="single" w:sz="4" w:space="0" w:color="auto"/>
            </w:tcBorders>
            <w:shd w:val="clear" w:color="auto" w:fill="auto"/>
            <w:noWrap/>
            <w:vAlign w:val="bottom"/>
            <w:hideMark/>
          </w:tcPr>
          <w:p w14:paraId="3431EEE9" w14:textId="77777777" w:rsidR="00A91679" w:rsidRPr="00A91679" w:rsidRDefault="00A91679" w:rsidP="00C825F9">
            <w:pPr>
              <w:spacing w:after="0"/>
              <w:rPr>
                <w:lang w:eastAsia="en-AU"/>
              </w:rPr>
            </w:pPr>
            <w:r w:rsidRPr="00A91679">
              <w:rPr>
                <w:lang w:eastAsia="en-AU"/>
              </w:rPr>
              <w:t>Ever rated - whole building</w:t>
            </w:r>
          </w:p>
        </w:tc>
        <w:tc>
          <w:tcPr>
            <w:tcW w:w="2694" w:type="dxa"/>
            <w:tcBorders>
              <w:top w:val="nil"/>
              <w:left w:val="nil"/>
              <w:bottom w:val="single" w:sz="4" w:space="0" w:color="auto"/>
              <w:right w:val="single" w:sz="4" w:space="0" w:color="auto"/>
            </w:tcBorders>
            <w:shd w:val="clear" w:color="auto" w:fill="auto"/>
            <w:noWrap/>
            <w:vAlign w:val="bottom"/>
            <w:hideMark/>
          </w:tcPr>
          <w:p w14:paraId="7AA72B6B" w14:textId="77777777" w:rsidR="00A91679" w:rsidRPr="00A91679" w:rsidRDefault="00A91679" w:rsidP="00C825F9">
            <w:pPr>
              <w:spacing w:after="0"/>
              <w:jc w:val="right"/>
              <w:rPr>
                <w:lang w:eastAsia="en-AU"/>
              </w:rPr>
            </w:pPr>
            <w:r w:rsidRPr="00A91679">
              <w:rPr>
                <w:lang w:eastAsia="en-AU"/>
              </w:rPr>
              <w:t>114</w:t>
            </w:r>
          </w:p>
        </w:tc>
      </w:tr>
      <w:tr w:rsidR="00A91679" w:rsidRPr="00A91679" w14:paraId="72E32286" w14:textId="77777777" w:rsidTr="00C825F9">
        <w:trPr>
          <w:trHeight w:val="300"/>
        </w:trPr>
        <w:tc>
          <w:tcPr>
            <w:tcW w:w="3402" w:type="dxa"/>
            <w:tcBorders>
              <w:top w:val="nil"/>
              <w:left w:val="single" w:sz="4" w:space="0" w:color="auto"/>
              <w:bottom w:val="single" w:sz="4" w:space="0" w:color="auto"/>
              <w:right w:val="single" w:sz="4" w:space="0" w:color="auto"/>
            </w:tcBorders>
            <w:shd w:val="clear" w:color="auto" w:fill="auto"/>
            <w:noWrap/>
            <w:vAlign w:val="bottom"/>
            <w:hideMark/>
          </w:tcPr>
          <w:p w14:paraId="1289E04A" w14:textId="77777777" w:rsidR="00A91679" w:rsidRPr="00A91679" w:rsidRDefault="00A91679" w:rsidP="00C825F9">
            <w:pPr>
              <w:spacing w:after="0"/>
              <w:rPr>
                <w:lang w:eastAsia="en-AU"/>
              </w:rPr>
            </w:pPr>
            <w:r w:rsidRPr="00A91679">
              <w:rPr>
                <w:lang w:eastAsia="en-AU"/>
              </w:rPr>
              <w:t>Ever rated - tenancy only</w:t>
            </w:r>
          </w:p>
        </w:tc>
        <w:tc>
          <w:tcPr>
            <w:tcW w:w="2694" w:type="dxa"/>
            <w:tcBorders>
              <w:top w:val="nil"/>
              <w:left w:val="nil"/>
              <w:bottom w:val="single" w:sz="4" w:space="0" w:color="auto"/>
              <w:right w:val="single" w:sz="4" w:space="0" w:color="auto"/>
            </w:tcBorders>
            <w:shd w:val="clear" w:color="auto" w:fill="auto"/>
            <w:noWrap/>
            <w:vAlign w:val="bottom"/>
            <w:hideMark/>
          </w:tcPr>
          <w:p w14:paraId="4E6E2736" w14:textId="77777777" w:rsidR="00A91679" w:rsidRPr="00A91679" w:rsidRDefault="00A91679" w:rsidP="00C825F9">
            <w:pPr>
              <w:spacing w:after="0"/>
              <w:jc w:val="right"/>
              <w:rPr>
                <w:lang w:eastAsia="en-AU"/>
              </w:rPr>
            </w:pPr>
            <w:r w:rsidRPr="00A91679">
              <w:rPr>
                <w:lang w:eastAsia="en-AU"/>
              </w:rPr>
              <w:t>30</w:t>
            </w:r>
          </w:p>
        </w:tc>
      </w:tr>
      <w:tr w:rsidR="00A91679" w:rsidRPr="00A91679" w14:paraId="7E6F722D" w14:textId="77777777" w:rsidTr="00C825F9">
        <w:trPr>
          <w:trHeight w:val="300"/>
        </w:trPr>
        <w:tc>
          <w:tcPr>
            <w:tcW w:w="3402" w:type="dxa"/>
            <w:tcBorders>
              <w:top w:val="nil"/>
              <w:left w:val="single" w:sz="4" w:space="0" w:color="auto"/>
              <w:bottom w:val="single" w:sz="4" w:space="0" w:color="auto"/>
              <w:right w:val="single" w:sz="4" w:space="0" w:color="auto"/>
            </w:tcBorders>
            <w:shd w:val="clear" w:color="auto" w:fill="auto"/>
            <w:noWrap/>
            <w:vAlign w:val="bottom"/>
            <w:hideMark/>
          </w:tcPr>
          <w:p w14:paraId="0EB05BB4" w14:textId="77777777" w:rsidR="00A91679" w:rsidRPr="00A91679" w:rsidRDefault="00A91679" w:rsidP="00C825F9">
            <w:pPr>
              <w:spacing w:after="0"/>
              <w:rPr>
                <w:lang w:eastAsia="en-AU"/>
              </w:rPr>
            </w:pPr>
            <w:r w:rsidRPr="00A91679">
              <w:rPr>
                <w:lang w:eastAsia="en-AU"/>
              </w:rPr>
              <w:t>Currently disclosed through CBD</w:t>
            </w:r>
          </w:p>
        </w:tc>
        <w:tc>
          <w:tcPr>
            <w:tcW w:w="2694" w:type="dxa"/>
            <w:tcBorders>
              <w:top w:val="nil"/>
              <w:left w:val="nil"/>
              <w:bottom w:val="single" w:sz="4" w:space="0" w:color="auto"/>
              <w:right w:val="single" w:sz="4" w:space="0" w:color="auto"/>
            </w:tcBorders>
            <w:shd w:val="clear" w:color="auto" w:fill="auto"/>
            <w:noWrap/>
            <w:vAlign w:val="bottom"/>
            <w:hideMark/>
          </w:tcPr>
          <w:p w14:paraId="1EBAC6F5" w14:textId="77777777" w:rsidR="00A91679" w:rsidRPr="00A91679" w:rsidRDefault="00A91679" w:rsidP="00C825F9">
            <w:pPr>
              <w:spacing w:after="0"/>
              <w:jc w:val="right"/>
              <w:rPr>
                <w:lang w:eastAsia="en-AU"/>
              </w:rPr>
            </w:pPr>
            <w:r w:rsidRPr="00A91679">
              <w:rPr>
                <w:lang w:eastAsia="en-AU"/>
              </w:rPr>
              <w:t>162</w:t>
            </w:r>
          </w:p>
        </w:tc>
      </w:tr>
    </w:tbl>
    <w:p w14:paraId="6D70A01E" w14:textId="77777777" w:rsidR="00A91679" w:rsidRDefault="00A91679" w:rsidP="00C825F9">
      <w:pPr>
        <w:rPr>
          <w:rFonts w:ascii="Helvetica Light" w:hAnsi="Helvetica Light" w:cstheme="minorBidi"/>
          <w:szCs w:val="20"/>
        </w:rPr>
      </w:pPr>
    </w:p>
    <w:p w14:paraId="6565E598" w14:textId="77777777" w:rsidR="00C825F9" w:rsidRDefault="00C825F9" w:rsidP="00C825F9">
      <w:r>
        <w:t xml:space="preserve">Return to </w:t>
      </w:r>
      <w:hyperlink w:anchor="_3.2_Space_Use" w:history="1">
        <w:r w:rsidRPr="00D516FC">
          <w:rPr>
            <w:rStyle w:val="Hyperlink"/>
          </w:rPr>
          <w:t>Space Use by Type</w:t>
        </w:r>
      </w:hyperlink>
    </w:p>
    <w:p w14:paraId="7D6D8EC9" w14:textId="5B1BA990" w:rsidR="00C825F9" w:rsidRPr="00C825F9" w:rsidRDefault="003B3A7A" w:rsidP="00C825F9">
      <w:pPr>
        <w:pStyle w:val="Heading3"/>
        <w:rPr>
          <w:rFonts w:hint="eastAsia"/>
        </w:rPr>
      </w:pPr>
      <w:bookmarkStart w:id="220" w:name="_CBD/NABERS_Rating_by"/>
      <w:bookmarkEnd w:id="220"/>
      <w:r>
        <w:t>Table A.10</w:t>
      </w:r>
      <w:r>
        <w:tab/>
      </w:r>
      <w:r w:rsidR="00C825F9" w:rsidRPr="00A91679">
        <w:t>CBD/NABERS Rating by Office Grade</w:t>
      </w:r>
    </w:p>
    <w:tbl>
      <w:tblPr>
        <w:tblW w:w="6096" w:type="dxa"/>
        <w:tblInd w:w="-5" w:type="dxa"/>
        <w:tblLook w:val="04A0" w:firstRow="1" w:lastRow="0" w:firstColumn="1" w:lastColumn="0" w:noHBand="0" w:noVBand="1"/>
      </w:tblPr>
      <w:tblGrid>
        <w:gridCol w:w="3402"/>
        <w:gridCol w:w="2694"/>
      </w:tblGrid>
      <w:tr w:rsidR="00A91679" w:rsidRPr="00A91679" w14:paraId="7EF7A4E8" w14:textId="77777777" w:rsidTr="00974F92">
        <w:trPr>
          <w:trHeight w:val="300"/>
        </w:trPr>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7EDADB" w14:textId="77777777" w:rsidR="00A91679" w:rsidRPr="00C825F9" w:rsidRDefault="00A91679" w:rsidP="00C825F9">
            <w:pPr>
              <w:spacing w:after="0"/>
              <w:rPr>
                <w:b/>
                <w:bCs/>
                <w:lang w:eastAsia="en-AU"/>
              </w:rPr>
            </w:pPr>
            <w:bookmarkStart w:id="221" w:name="_Figure_11:_CBD/NABERS"/>
            <w:bookmarkEnd w:id="221"/>
            <w:r w:rsidRPr="00C825F9">
              <w:rPr>
                <w:b/>
                <w:bCs/>
                <w:lang w:eastAsia="en-AU"/>
              </w:rPr>
              <w:t>Building Grade Category</w:t>
            </w:r>
          </w:p>
        </w:tc>
        <w:tc>
          <w:tcPr>
            <w:tcW w:w="2694" w:type="dxa"/>
            <w:tcBorders>
              <w:top w:val="single" w:sz="4" w:space="0" w:color="auto"/>
              <w:left w:val="nil"/>
              <w:bottom w:val="single" w:sz="4" w:space="0" w:color="auto"/>
              <w:right w:val="single" w:sz="4" w:space="0" w:color="auto"/>
            </w:tcBorders>
            <w:shd w:val="clear" w:color="auto" w:fill="auto"/>
            <w:noWrap/>
            <w:vAlign w:val="bottom"/>
            <w:hideMark/>
          </w:tcPr>
          <w:p w14:paraId="579EB7A2" w14:textId="77777777" w:rsidR="00A91679" w:rsidRPr="00C825F9" w:rsidRDefault="00A91679" w:rsidP="00C825F9">
            <w:pPr>
              <w:spacing w:after="0"/>
              <w:rPr>
                <w:b/>
                <w:bCs/>
                <w:lang w:eastAsia="en-AU"/>
              </w:rPr>
            </w:pPr>
            <w:r w:rsidRPr="00C825F9">
              <w:rPr>
                <w:b/>
                <w:bCs/>
                <w:lang w:eastAsia="en-AU"/>
              </w:rPr>
              <w:t>NABERS rating (stars)</w:t>
            </w:r>
          </w:p>
        </w:tc>
      </w:tr>
      <w:tr w:rsidR="00A91679" w:rsidRPr="00A91679" w14:paraId="35A41382" w14:textId="77777777" w:rsidTr="00974F92">
        <w:trPr>
          <w:trHeight w:val="300"/>
        </w:trPr>
        <w:tc>
          <w:tcPr>
            <w:tcW w:w="3402" w:type="dxa"/>
            <w:tcBorders>
              <w:top w:val="nil"/>
              <w:left w:val="single" w:sz="4" w:space="0" w:color="auto"/>
              <w:bottom w:val="single" w:sz="4" w:space="0" w:color="auto"/>
              <w:right w:val="single" w:sz="4" w:space="0" w:color="auto"/>
            </w:tcBorders>
            <w:shd w:val="clear" w:color="auto" w:fill="auto"/>
            <w:noWrap/>
            <w:vAlign w:val="bottom"/>
            <w:hideMark/>
          </w:tcPr>
          <w:p w14:paraId="7D7E4E11" w14:textId="77777777" w:rsidR="00A91679" w:rsidRPr="00A91679" w:rsidRDefault="00A91679" w:rsidP="00C825F9">
            <w:pPr>
              <w:spacing w:after="0"/>
              <w:rPr>
                <w:lang w:eastAsia="en-AU"/>
              </w:rPr>
            </w:pPr>
            <w:r w:rsidRPr="00A91679">
              <w:rPr>
                <w:lang w:eastAsia="en-AU"/>
              </w:rPr>
              <w:t>D Grade</w:t>
            </w:r>
          </w:p>
        </w:tc>
        <w:tc>
          <w:tcPr>
            <w:tcW w:w="2694" w:type="dxa"/>
            <w:tcBorders>
              <w:top w:val="nil"/>
              <w:left w:val="nil"/>
              <w:bottom w:val="single" w:sz="4" w:space="0" w:color="auto"/>
              <w:right w:val="single" w:sz="4" w:space="0" w:color="auto"/>
            </w:tcBorders>
            <w:shd w:val="clear" w:color="auto" w:fill="auto"/>
            <w:noWrap/>
            <w:vAlign w:val="bottom"/>
            <w:hideMark/>
          </w:tcPr>
          <w:p w14:paraId="7185D0B1" w14:textId="77777777" w:rsidR="00A91679" w:rsidRPr="00A91679" w:rsidRDefault="00A91679" w:rsidP="00C825F9">
            <w:pPr>
              <w:spacing w:after="0"/>
              <w:jc w:val="right"/>
              <w:rPr>
                <w:lang w:eastAsia="en-AU"/>
              </w:rPr>
            </w:pPr>
            <w:r w:rsidRPr="00A91679">
              <w:rPr>
                <w:lang w:eastAsia="en-AU"/>
              </w:rPr>
              <w:t>3.5</w:t>
            </w:r>
          </w:p>
        </w:tc>
      </w:tr>
      <w:tr w:rsidR="00A91679" w:rsidRPr="00A91679" w14:paraId="16A3560D" w14:textId="77777777" w:rsidTr="00974F92">
        <w:trPr>
          <w:trHeight w:val="300"/>
        </w:trPr>
        <w:tc>
          <w:tcPr>
            <w:tcW w:w="3402" w:type="dxa"/>
            <w:tcBorders>
              <w:top w:val="nil"/>
              <w:left w:val="single" w:sz="4" w:space="0" w:color="auto"/>
              <w:bottom w:val="single" w:sz="4" w:space="0" w:color="auto"/>
              <w:right w:val="single" w:sz="4" w:space="0" w:color="auto"/>
            </w:tcBorders>
            <w:shd w:val="clear" w:color="auto" w:fill="auto"/>
            <w:noWrap/>
            <w:vAlign w:val="bottom"/>
            <w:hideMark/>
          </w:tcPr>
          <w:p w14:paraId="728D29C8" w14:textId="77777777" w:rsidR="00A91679" w:rsidRPr="00A91679" w:rsidRDefault="00A91679" w:rsidP="00C825F9">
            <w:pPr>
              <w:spacing w:after="0"/>
              <w:rPr>
                <w:lang w:eastAsia="en-AU"/>
              </w:rPr>
            </w:pPr>
            <w:r w:rsidRPr="00A91679">
              <w:rPr>
                <w:lang w:eastAsia="en-AU"/>
              </w:rPr>
              <w:t>C Grade</w:t>
            </w:r>
          </w:p>
        </w:tc>
        <w:tc>
          <w:tcPr>
            <w:tcW w:w="2694" w:type="dxa"/>
            <w:tcBorders>
              <w:top w:val="nil"/>
              <w:left w:val="nil"/>
              <w:bottom w:val="single" w:sz="4" w:space="0" w:color="auto"/>
              <w:right w:val="single" w:sz="4" w:space="0" w:color="auto"/>
            </w:tcBorders>
            <w:shd w:val="clear" w:color="auto" w:fill="auto"/>
            <w:noWrap/>
            <w:vAlign w:val="bottom"/>
            <w:hideMark/>
          </w:tcPr>
          <w:p w14:paraId="2C88C968" w14:textId="77777777" w:rsidR="00A91679" w:rsidRPr="00A91679" w:rsidRDefault="00A91679" w:rsidP="00C825F9">
            <w:pPr>
              <w:spacing w:after="0"/>
              <w:jc w:val="right"/>
              <w:rPr>
                <w:lang w:eastAsia="en-AU"/>
              </w:rPr>
            </w:pPr>
            <w:r w:rsidRPr="00A91679">
              <w:rPr>
                <w:lang w:eastAsia="en-AU"/>
              </w:rPr>
              <w:t>4.0</w:t>
            </w:r>
          </w:p>
        </w:tc>
      </w:tr>
      <w:tr w:rsidR="00A91679" w:rsidRPr="00A91679" w14:paraId="4BE7E7FA" w14:textId="77777777" w:rsidTr="00974F92">
        <w:trPr>
          <w:trHeight w:val="300"/>
        </w:trPr>
        <w:tc>
          <w:tcPr>
            <w:tcW w:w="3402" w:type="dxa"/>
            <w:tcBorders>
              <w:top w:val="nil"/>
              <w:left w:val="single" w:sz="4" w:space="0" w:color="auto"/>
              <w:bottom w:val="single" w:sz="4" w:space="0" w:color="auto"/>
              <w:right w:val="single" w:sz="4" w:space="0" w:color="auto"/>
            </w:tcBorders>
            <w:shd w:val="clear" w:color="auto" w:fill="auto"/>
            <w:noWrap/>
            <w:vAlign w:val="bottom"/>
            <w:hideMark/>
          </w:tcPr>
          <w:p w14:paraId="1328FE34" w14:textId="77777777" w:rsidR="00A91679" w:rsidRPr="00A91679" w:rsidRDefault="00A91679" w:rsidP="00C825F9">
            <w:pPr>
              <w:spacing w:after="0"/>
              <w:rPr>
                <w:lang w:eastAsia="en-AU"/>
              </w:rPr>
            </w:pPr>
            <w:r w:rsidRPr="00A91679">
              <w:rPr>
                <w:lang w:eastAsia="en-AU"/>
              </w:rPr>
              <w:t>B Grade</w:t>
            </w:r>
          </w:p>
        </w:tc>
        <w:tc>
          <w:tcPr>
            <w:tcW w:w="2694" w:type="dxa"/>
            <w:tcBorders>
              <w:top w:val="nil"/>
              <w:left w:val="nil"/>
              <w:bottom w:val="single" w:sz="4" w:space="0" w:color="auto"/>
              <w:right w:val="single" w:sz="4" w:space="0" w:color="auto"/>
            </w:tcBorders>
            <w:shd w:val="clear" w:color="auto" w:fill="auto"/>
            <w:noWrap/>
            <w:vAlign w:val="bottom"/>
            <w:hideMark/>
          </w:tcPr>
          <w:p w14:paraId="26ACBD53" w14:textId="77777777" w:rsidR="00A91679" w:rsidRPr="00A91679" w:rsidRDefault="00A91679" w:rsidP="00C825F9">
            <w:pPr>
              <w:spacing w:after="0"/>
              <w:jc w:val="right"/>
              <w:rPr>
                <w:lang w:eastAsia="en-AU"/>
              </w:rPr>
            </w:pPr>
            <w:r w:rsidRPr="00A91679">
              <w:rPr>
                <w:lang w:eastAsia="en-AU"/>
              </w:rPr>
              <w:t>4.0</w:t>
            </w:r>
          </w:p>
        </w:tc>
      </w:tr>
      <w:tr w:rsidR="00A91679" w:rsidRPr="00A91679" w14:paraId="52135CC1" w14:textId="77777777" w:rsidTr="00974F92">
        <w:trPr>
          <w:trHeight w:val="300"/>
        </w:trPr>
        <w:tc>
          <w:tcPr>
            <w:tcW w:w="3402" w:type="dxa"/>
            <w:tcBorders>
              <w:top w:val="nil"/>
              <w:left w:val="single" w:sz="4" w:space="0" w:color="auto"/>
              <w:bottom w:val="single" w:sz="4" w:space="0" w:color="auto"/>
              <w:right w:val="single" w:sz="4" w:space="0" w:color="auto"/>
            </w:tcBorders>
            <w:shd w:val="clear" w:color="auto" w:fill="auto"/>
            <w:noWrap/>
            <w:vAlign w:val="bottom"/>
            <w:hideMark/>
          </w:tcPr>
          <w:p w14:paraId="1ABB3EF5" w14:textId="77777777" w:rsidR="00A91679" w:rsidRPr="00A91679" w:rsidRDefault="00A91679" w:rsidP="00C825F9">
            <w:pPr>
              <w:spacing w:after="0"/>
              <w:rPr>
                <w:lang w:eastAsia="en-AU"/>
              </w:rPr>
            </w:pPr>
            <w:r w:rsidRPr="00A91679">
              <w:rPr>
                <w:lang w:eastAsia="en-AU"/>
              </w:rPr>
              <w:t>A Grade</w:t>
            </w:r>
          </w:p>
        </w:tc>
        <w:tc>
          <w:tcPr>
            <w:tcW w:w="2694" w:type="dxa"/>
            <w:tcBorders>
              <w:top w:val="nil"/>
              <w:left w:val="nil"/>
              <w:bottom w:val="single" w:sz="4" w:space="0" w:color="auto"/>
              <w:right w:val="single" w:sz="4" w:space="0" w:color="auto"/>
            </w:tcBorders>
            <w:shd w:val="clear" w:color="auto" w:fill="auto"/>
            <w:noWrap/>
            <w:vAlign w:val="bottom"/>
            <w:hideMark/>
          </w:tcPr>
          <w:p w14:paraId="1C6B0E61" w14:textId="77777777" w:rsidR="00A91679" w:rsidRPr="00A91679" w:rsidRDefault="00A91679" w:rsidP="00C825F9">
            <w:pPr>
              <w:spacing w:after="0"/>
              <w:jc w:val="right"/>
              <w:rPr>
                <w:lang w:eastAsia="en-AU"/>
              </w:rPr>
            </w:pPr>
            <w:r w:rsidRPr="00A91679">
              <w:rPr>
                <w:lang w:eastAsia="en-AU"/>
              </w:rPr>
              <w:t>4.8</w:t>
            </w:r>
          </w:p>
        </w:tc>
      </w:tr>
      <w:tr w:rsidR="00A91679" w:rsidRPr="00A91679" w14:paraId="03F3CC59" w14:textId="77777777" w:rsidTr="00974F92">
        <w:trPr>
          <w:trHeight w:val="300"/>
        </w:trPr>
        <w:tc>
          <w:tcPr>
            <w:tcW w:w="3402" w:type="dxa"/>
            <w:tcBorders>
              <w:top w:val="nil"/>
              <w:left w:val="single" w:sz="4" w:space="0" w:color="auto"/>
              <w:bottom w:val="single" w:sz="4" w:space="0" w:color="auto"/>
              <w:right w:val="single" w:sz="4" w:space="0" w:color="auto"/>
            </w:tcBorders>
            <w:shd w:val="clear" w:color="auto" w:fill="auto"/>
            <w:noWrap/>
            <w:vAlign w:val="bottom"/>
            <w:hideMark/>
          </w:tcPr>
          <w:p w14:paraId="4BDA36D2" w14:textId="77777777" w:rsidR="00A91679" w:rsidRPr="00A91679" w:rsidRDefault="00A91679" w:rsidP="00C825F9">
            <w:pPr>
              <w:spacing w:after="0"/>
              <w:rPr>
                <w:lang w:eastAsia="en-AU"/>
              </w:rPr>
            </w:pPr>
            <w:r w:rsidRPr="00A91679">
              <w:rPr>
                <w:lang w:eastAsia="en-AU"/>
              </w:rPr>
              <w:t>Premium</w:t>
            </w:r>
          </w:p>
        </w:tc>
        <w:tc>
          <w:tcPr>
            <w:tcW w:w="2694" w:type="dxa"/>
            <w:tcBorders>
              <w:top w:val="nil"/>
              <w:left w:val="nil"/>
              <w:bottom w:val="single" w:sz="4" w:space="0" w:color="auto"/>
              <w:right w:val="single" w:sz="4" w:space="0" w:color="auto"/>
            </w:tcBorders>
            <w:shd w:val="clear" w:color="auto" w:fill="auto"/>
            <w:noWrap/>
            <w:vAlign w:val="bottom"/>
            <w:hideMark/>
          </w:tcPr>
          <w:p w14:paraId="0D7606E9" w14:textId="77777777" w:rsidR="00A91679" w:rsidRPr="00A91679" w:rsidRDefault="00A91679" w:rsidP="00C825F9">
            <w:pPr>
              <w:spacing w:after="0"/>
              <w:jc w:val="right"/>
              <w:rPr>
                <w:lang w:eastAsia="en-AU"/>
              </w:rPr>
            </w:pPr>
            <w:r w:rsidRPr="00A91679">
              <w:rPr>
                <w:lang w:eastAsia="en-AU"/>
              </w:rPr>
              <w:t>5.2</w:t>
            </w:r>
          </w:p>
        </w:tc>
      </w:tr>
    </w:tbl>
    <w:p w14:paraId="5DF2A25B" w14:textId="77777777" w:rsidR="00A91679" w:rsidRDefault="00A91679" w:rsidP="00C825F9">
      <w:pPr>
        <w:rPr>
          <w:rFonts w:ascii="Helvetica Light" w:hAnsi="Helvetica Light" w:cstheme="minorBidi"/>
          <w:szCs w:val="20"/>
        </w:rPr>
      </w:pPr>
    </w:p>
    <w:p w14:paraId="1E982132" w14:textId="77777777" w:rsidR="00C825F9" w:rsidRDefault="00C825F9" w:rsidP="00C825F9">
      <w:r>
        <w:t xml:space="preserve">Return to </w:t>
      </w:r>
      <w:hyperlink w:anchor="_3.2_Space_Use" w:history="1">
        <w:r w:rsidRPr="00D516FC">
          <w:rPr>
            <w:rStyle w:val="Hyperlink"/>
          </w:rPr>
          <w:t>Space Use by Type</w:t>
        </w:r>
      </w:hyperlink>
    </w:p>
    <w:p w14:paraId="1E727C18" w14:textId="6B6837D1" w:rsidR="00C825F9" w:rsidRPr="00C825F9" w:rsidRDefault="003B3A7A" w:rsidP="00C825F9">
      <w:pPr>
        <w:pStyle w:val="Heading3"/>
        <w:rPr>
          <w:rFonts w:hint="eastAsia"/>
        </w:rPr>
      </w:pPr>
      <w:bookmarkStart w:id="222" w:name="_Year_of_Construction"/>
      <w:bookmarkEnd w:id="222"/>
      <w:r>
        <w:rPr>
          <w:rFonts w:hint="eastAsia"/>
        </w:rPr>
        <w:t>T</w:t>
      </w:r>
      <w:r>
        <w:t>able A.11</w:t>
      </w:r>
      <w:r>
        <w:tab/>
      </w:r>
      <w:r w:rsidR="00C825F9" w:rsidRPr="00A91679">
        <w:t>Year of Construction or Major Refurbishment by CBD/NABERS rating</w:t>
      </w:r>
    </w:p>
    <w:tbl>
      <w:tblPr>
        <w:tblW w:w="6096" w:type="dxa"/>
        <w:tblInd w:w="-5" w:type="dxa"/>
        <w:tblLook w:val="04A0" w:firstRow="1" w:lastRow="0" w:firstColumn="1" w:lastColumn="0" w:noHBand="0" w:noVBand="1"/>
      </w:tblPr>
      <w:tblGrid>
        <w:gridCol w:w="3402"/>
        <w:gridCol w:w="2694"/>
      </w:tblGrid>
      <w:tr w:rsidR="00A91679" w:rsidRPr="00A91679" w14:paraId="5B797EB4" w14:textId="77777777" w:rsidTr="00974F92">
        <w:trPr>
          <w:trHeight w:val="300"/>
        </w:trPr>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B388CE" w14:textId="77777777" w:rsidR="00A91679" w:rsidRPr="00C825F9" w:rsidRDefault="00A91679" w:rsidP="00C825F9">
            <w:pPr>
              <w:spacing w:after="0"/>
              <w:rPr>
                <w:b/>
                <w:bCs/>
                <w:lang w:eastAsia="en-AU"/>
              </w:rPr>
            </w:pPr>
            <w:bookmarkStart w:id="223" w:name="_Figure_12:_Year"/>
            <w:bookmarkEnd w:id="223"/>
            <w:r w:rsidRPr="00C825F9">
              <w:rPr>
                <w:b/>
                <w:bCs/>
                <w:lang w:eastAsia="en-AU"/>
              </w:rPr>
              <w:t>NABERS rating</w:t>
            </w:r>
          </w:p>
        </w:tc>
        <w:tc>
          <w:tcPr>
            <w:tcW w:w="2694" w:type="dxa"/>
            <w:tcBorders>
              <w:top w:val="single" w:sz="4" w:space="0" w:color="auto"/>
              <w:left w:val="nil"/>
              <w:bottom w:val="single" w:sz="4" w:space="0" w:color="auto"/>
              <w:right w:val="single" w:sz="4" w:space="0" w:color="auto"/>
            </w:tcBorders>
            <w:shd w:val="clear" w:color="auto" w:fill="auto"/>
            <w:noWrap/>
            <w:vAlign w:val="bottom"/>
            <w:hideMark/>
          </w:tcPr>
          <w:p w14:paraId="0794331C" w14:textId="4AC3E956" w:rsidR="00A91679" w:rsidRPr="00C825F9" w:rsidRDefault="00A91679" w:rsidP="00C825F9">
            <w:pPr>
              <w:spacing w:after="0"/>
              <w:rPr>
                <w:b/>
                <w:bCs/>
                <w:lang w:eastAsia="en-AU"/>
              </w:rPr>
            </w:pPr>
            <w:r w:rsidRPr="00C825F9">
              <w:rPr>
                <w:b/>
                <w:bCs/>
                <w:lang w:eastAsia="en-AU"/>
              </w:rPr>
              <w:t>Year of Construction (-)</w:t>
            </w:r>
          </w:p>
        </w:tc>
      </w:tr>
      <w:tr w:rsidR="00A91679" w:rsidRPr="00A91679" w14:paraId="6C178BB5" w14:textId="77777777" w:rsidTr="00974F92">
        <w:trPr>
          <w:trHeight w:val="300"/>
        </w:trPr>
        <w:tc>
          <w:tcPr>
            <w:tcW w:w="3402" w:type="dxa"/>
            <w:tcBorders>
              <w:top w:val="nil"/>
              <w:left w:val="single" w:sz="4" w:space="0" w:color="auto"/>
              <w:bottom w:val="single" w:sz="4" w:space="0" w:color="auto"/>
              <w:right w:val="single" w:sz="4" w:space="0" w:color="auto"/>
            </w:tcBorders>
            <w:shd w:val="clear" w:color="auto" w:fill="auto"/>
            <w:noWrap/>
            <w:vAlign w:val="bottom"/>
            <w:hideMark/>
          </w:tcPr>
          <w:p w14:paraId="5EFEAECF" w14:textId="77777777" w:rsidR="00A91679" w:rsidRPr="00A91679" w:rsidRDefault="00A91679" w:rsidP="00C825F9">
            <w:pPr>
              <w:spacing w:after="0"/>
              <w:rPr>
                <w:lang w:eastAsia="en-AU"/>
              </w:rPr>
            </w:pPr>
            <w:r w:rsidRPr="00A91679">
              <w:rPr>
                <w:lang w:eastAsia="en-AU"/>
              </w:rPr>
              <w:t>0-3</w:t>
            </w:r>
          </w:p>
        </w:tc>
        <w:tc>
          <w:tcPr>
            <w:tcW w:w="2694" w:type="dxa"/>
            <w:tcBorders>
              <w:top w:val="nil"/>
              <w:left w:val="nil"/>
              <w:bottom w:val="single" w:sz="4" w:space="0" w:color="auto"/>
              <w:right w:val="single" w:sz="4" w:space="0" w:color="auto"/>
            </w:tcBorders>
            <w:shd w:val="clear" w:color="auto" w:fill="auto"/>
            <w:noWrap/>
            <w:vAlign w:val="bottom"/>
            <w:hideMark/>
          </w:tcPr>
          <w:p w14:paraId="6B8518DB" w14:textId="77777777" w:rsidR="00A91679" w:rsidRPr="00A91679" w:rsidRDefault="00A91679" w:rsidP="00C825F9">
            <w:pPr>
              <w:spacing w:after="0"/>
              <w:jc w:val="right"/>
              <w:rPr>
                <w:lang w:eastAsia="en-AU"/>
              </w:rPr>
            </w:pPr>
            <w:r w:rsidRPr="00A91679">
              <w:rPr>
                <w:lang w:eastAsia="en-AU"/>
              </w:rPr>
              <w:t>1987</w:t>
            </w:r>
          </w:p>
        </w:tc>
      </w:tr>
      <w:tr w:rsidR="00A91679" w:rsidRPr="00A91679" w14:paraId="4A05B371" w14:textId="77777777" w:rsidTr="00974F92">
        <w:trPr>
          <w:trHeight w:val="300"/>
        </w:trPr>
        <w:tc>
          <w:tcPr>
            <w:tcW w:w="3402" w:type="dxa"/>
            <w:tcBorders>
              <w:top w:val="nil"/>
              <w:left w:val="single" w:sz="4" w:space="0" w:color="auto"/>
              <w:bottom w:val="single" w:sz="4" w:space="0" w:color="auto"/>
              <w:right w:val="single" w:sz="4" w:space="0" w:color="auto"/>
            </w:tcBorders>
            <w:shd w:val="clear" w:color="auto" w:fill="auto"/>
            <w:noWrap/>
            <w:vAlign w:val="bottom"/>
            <w:hideMark/>
          </w:tcPr>
          <w:p w14:paraId="5E578C39" w14:textId="77777777" w:rsidR="00A91679" w:rsidRPr="00A91679" w:rsidRDefault="00A91679" w:rsidP="00C825F9">
            <w:pPr>
              <w:spacing w:after="0"/>
              <w:rPr>
                <w:lang w:eastAsia="en-AU"/>
              </w:rPr>
            </w:pPr>
            <w:r w:rsidRPr="00A91679">
              <w:rPr>
                <w:lang w:eastAsia="en-AU"/>
              </w:rPr>
              <w:t>3.5</w:t>
            </w:r>
          </w:p>
        </w:tc>
        <w:tc>
          <w:tcPr>
            <w:tcW w:w="2694" w:type="dxa"/>
            <w:tcBorders>
              <w:top w:val="nil"/>
              <w:left w:val="nil"/>
              <w:bottom w:val="single" w:sz="4" w:space="0" w:color="auto"/>
              <w:right w:val="single" w:sz="4" w:space="0" w:color="auto"/>
            </w:tcBorders>
            <w:shd w:val="clear" w:color="auto" w:fill="auto"/>
            <w:noWrap/>
            <w:vAlign w:val="bottom"/>
            <w:hideMark/>
          </w:tcPr>
          <w:p w14:paraId="5FAB4F15" w14:textId="77777777" w:rsidR="00A91679" w:rsidRPr="00A91679" w:rsidRDefault="00A91679" w:rsidP="00C825F9">
            <w:pPr>
              <w:spacing w:after="0"/>
              <w:jc w:val="right"/>
              <w:rPr>
                <w:lang w:eastAsia="en-AU"/>
              </w:rPr>
            </w:pPr>
            <w:r w:rsidRPr="00A91679">
              <w:rPr>
                <w:lang w:eastAsia="en-AU"/>
              </w:rPr>
              <w:t>2000</w:t>
            </w:r>
          </w:p>
        </w:tc>
      </w:tr>
      <w:tr w:rsidR="00A91679" w:rsidRPr="00A91679" w14:paraId="1F7F8A95" w14:textId="77777777" w:rsidTr="00974F92">
        <w:trPr>
          <w:trHeight w:val="300"/>
        </w:trPr>
        <w:tc>
          <w:tcPr>
            <w:tcW w:w="3402" w:type="dxa"/>
            <w:tcBorders>
              <w:top w:val="nil"/>
              <w:left w:val="single" w:sz="4" w:space="0" w:color="auto"/>
              <w:bottom w:val="single" w:sz="4" w:space="0" w:color="auto"/>
              <w:right w:val="single" w:sz="4" w:space="0" w:color="auto"/>
            </w:tcBorders>
            <w:shd w:val="clear" w:color="auto" w:fill="auto"/>
            <w:noWrap/>
            <w:vAlign w:val="bottom"/>
            <w:hideMark/>
          </w:tcPr>
          <w:p w14:paraId="57C1D595" w14:textId="77777777" w:rsidR="00A91679" w:rsidRPr="00A91679" w:rsidRDefault="00A91679" w:rsidP="00C825F9">
            <w:pPr>
              <w:spacing w:after="0"/>
              <w:rPr>
                <w:lang w:eastAsia="en-AU"/>
              </w:rPr>
            </w:pPr>
            <w:r w:rsidRPr="00A91679">
              <w:rPr>
                <w:lang w:eastAsia="en-AU"/>
              </w:rPr>
              <w:lastRenderedPageBreak/>
              <w:t>4</w:t>
            </w:r>
          </w:p>
        </w:tc>
        <w:tc>
          <w:tcPr>
            <w:tcW w:w="2694" w:type="dxa"/>
            <w:tcBorders>
              <w:top w:val="nil"/>
              <w:left w:val="nil"/>
              <w:bottom w:val="single" w:sz="4" w:space="0" w:color="auto"/>
              <w:right w:val="single" w:sz="4" w:space="0" w:color="auto"/>
            </w:tcBorders>
            <w:shd w:val="clear" w:color="auto" w:fill="auto"/>
            <w:noWrap/>
            <w:vAlign w:val="bottom"/>
            <w:hideMark/>
          </w:tcPr>
          <w:p w14:paraId="422BA5AC" w14:textId="77777777" w:rsidR="00A91679" w:rsidRPr="00A91679" w:rsidRDefault="00A91679" w:rsidP="00C825F9">
            <w:pPr>
              <w:spacing w:after="0"/>
              <w:jc w:val="right"/>
              <w:rPr>
                <w:lang w:eastAsia="en-AU"/>
              </w:rPr>
            </w:pPr>
            <w:r w:rsidRPr="00A91679">
              <w:rPr>
                <w:lang w:eastAsia="en-AU"/>
              </w:rPr>
              <w:t>1998</w:t>
            </w:r>
          </w:p>
        </w:tc>
      </w:tr>
      <w:tr w:rsidR="00A91679" w:rsidRPr="00A91679" w14:paraId="1FC8B80D" w14:textId="77777777" w:rsidTr="00974F92">
        <w:trPr>
          <w:trHeight w:val="300"/>
        </w:trPr>
        <w:tc>
          <w:tcPr>
            <w:tcW w:w="3402" w:type="dxa"/>
            <w:tcBorders>
              <w:top w:val="nil"/>
              <w:left w:val="single" w:sz="4" w:space="0" w:color="auto"/>
              <w:bottom w:val="single" w:sz="4" w:space="0" w:color="auto"/>
              <w:right w:val="single" w:sz="4" w:space="0" w:color="auto"/>
            </w:tcBorders>
            <w:shd w:val="clear" w:color="auto" w:fill="auto"/>
            <w:noWrap/>
            <w:vAlign w:val="bottom"/>
            <w:hideMark/>
          </w:tcPr>
          <w:p w14:paraId="7AF43A76" w14:textId="77777777" w:rsidR="00A91679" w:rsidRPr="00A91679" w:rsidRDefault="00A91679" w:rsidP="00C825F9">
            <w:pPr>
              <w:spacing w:after="0"/>
              <w:rPr>
                <w:lang w:eastAsia="en-AU"/>
              </w:rPr>
            </w:pPr>
            <w:r w:rsidRPr="00A91679">
              <w:rPr>
                <w:lang w:eastAsia="en-AU"/>
              </w:rPr>
              <w:t>4.5</w:t>
            </w:r>
          </w:p>
        </w:tc>
        <w:tc>
          <w:tcPr>
            <w:tcW w:w="2694" w:type="dxa"/>
            <w:tcBorders>
              <w:top w:val="nil"/>
              <w:left w:val="nil"/>
              <w:bottom w:val="single" w:sz="4" w:space="0" w:color="auto"/>
              <w:right w:val="single" w:sz="4" w:space="0" w:color="auto"/>
            </w:tcBorders>
            <w:shd w:val="clear" w:color="auto" w:fill="auto"/>
            <w:noWrap/>
            <w:vAlign w:val="bottom"/>
            <w:hideMark/>
          </w:tcPr>
          <w:p w14:paraId="0673B3E3" w14:textId="77777777" w:rsidR="00A91679" w:rsidRPr="00A91679" w:rsidRDefault="00A91679" w:rsidP="00C825F9">
            <w:pPr>
              <w:spacing w:after="0"/>
              <w:jc w:val="right"/>
              <w:rPr>
                <w:lang w:eastAsia="en-AU"/>
              </w:rPr>
            </w:pPr>
            <w:r w:rsidRPr="00A91679">
              <w:rPr>
                <w:lang w:eastAsia="en-AU"/>
              </w:rPr>
              <w:t>2002</w:t>
            </w:r>
          </w:p>
        </w:tc>
      </w:tr>
      <w:tr w:rsidR="00A91679" w:rsidRPr="00A91679" w14:paraId="477B6BBA" w14:textId="77777777" w:rsidTr="00974F92">
        <w:trPr>
          <w:trHeight w:val="300"/>
        </w:trPr>
        <w:tc>
          <w:tcPr>
            <w:tcW w:w="3402" w:type="dxa"/>
            <w:tcBorders>
              <w:top w:val="nil"/>
              <w:left w:val="single" w:sz="4" w:space="0" w:color="auto"/>
              <w:bottom w:val="single" w:sz="4" w:space="0" w:color="auto"/>
              <w:right w:val="single" w:sz="4" w:space="0" w:color="auto"/>
            </w:tcBorders>
            <w:shd w:val="clear" w:color="auto" w:fill="auto"/>
            <w:noWrap/>
            <w:vAlign w:val="bottom"/>
            <w:hideMark/>
          </w:tcPr>
          <w:p w14:paraId="7249811E" w14:textId="77777777" w:rsidR="00A91679" w:rsidRPr="00A91679" w:rsidRDefault="00A91679" w:rsidP="00C825F9">
            <w:pPr>
              <w:spacing w:after="0"/>
              <w:rPr>
                <w:lang w:eastAsia="en-AU"/>
              </w:rPr>
            </w:pPr>
            <w:r w:rsidRPr="00A91679">
              <w:rPr>
                <w:lang w:eastAsia="en-AU"/>
              </w:rPr>
              <w:t>5</w:t>
            </w:r>
          </w:p>
        </w:tc>
        <w:tc>
          <w:tcPr>
            <w:tcW w:w="2694" w:type="dxa"/>
            <w:tcBorders>
              <w:top w:val="nil"/>
              <w:left w:val="nil"/>
              <w:bottom w:val="single" w:sz="4" w:space="0" w:color="auto"/>
              <w:right w:val="single" w:sz="4" w:space="0" w:color="auto"/>
            </w:tcBorders>
            <w:shd w:val="clear" w:color="auto" w:fill="auto"/>
            <w:noWrap/>
            <w:vAlign w:val="bottom"/>
            <w:hideMark/>
          </w:tcPr>
          <w:p w14:paraId="08EB5729" w14:textId="77777777" w:rsidR="00A91679" w:rsidRPr="00A91679" w:rsidRDefault="00A91679" w:rsidP="00C825F9">
            <w:pPr>
              <w:spacing w:after="0"/>
              <w:jc w:val="right"/>
              <w:rPr>
                <w:lang w:eastAsia="en-AU"/>
              </w:rPr>
            </w:pPr>
            <w:r w:rsidRPr="00A91679">
              <w:rPr>
                <w:lang w:eastAsia="en-AU"/>
              </w:rPr>
              <w:t>2002</w:t>
            </w:r>
          </w:p>
        </w:tc>
      </w:tr>
      <w:tr w:rsidR="00A91679" w:rsidRPr="00A91679" w14:paraId="689DBFC5" w14:textId="77777777" w:rsidTr="00974F92">
        <w:trPr>
          <w:trHeight w:val="300"/>
        </w:trPr>
        <w:tc>
          <w:tcPr>
            <w:tcW w:w="3402" w:type="dxa"/>
            <w:tcBorders>
              <w:top w:val="nil"/>
              <w:left w:val="single" w:sz="4" w:space="0" w:color="auto"/>
              <w:bottom w:val="single" w:sz="4" w:space="0" w:color="auto"/>
              <w:right w:val="single" w:sz="4" w:space="0" w:color="auto"/>
            </w:tcBorders>
            <w:shd w:val="clear" w:color="auto" w:fill="auto"/>
            <w:noWrap/>
            <w:vAlign w:val="bottom"/>
            <w:hideMark/>
          </w:tcPr>
          <w:p w14:paraId="64E0A25F" w14:textId="77777777" w:rsidR="00A91679" w:rsidRPr="00A91679" w:rsidRDefault="00A91679" w:rsidP="00C825F9">
            <w:pPr>
              <w:spacing w:after="0"/>
              <w:rPr>
                <w:lang w:eastAsia="en-AU"/>
              </w:rPr>
            </w:pPr>
            <w:r w:rsidRPr="00A91679">
              <w:rPr>
                <w:lang w:eastAsia="en-AU"/>
              </w:rPr>
              <w:t>5.5</w:t>
            </w:r>
          </w:p>
        </w:tc>
        <w:tc>
          <w:tcPr>
            <w:tcW w:w="2694" w:type="dxa"/>
            <w:tcBorders>
              <w:top w:val="nil"/>
              <w:left w:val="nil"/>
              <w:bottom w:val="single" w:sz="4" w:space="0" w:color="auto"/>
              <w:right w:val="single" w:sz="4" w:space="0" w:color="auto"/>
            </w:tcBorders>
            <w:shd w:val="clear" w:color="auto" w:fill="auto"/>
            <w:noWrap/>
            <w:vAlign w:val="bottom"/>
            <w:hideMark/>
          </w:tcPr>
          <w:p w14:paraId="18C2149E" w14:textId="77777777" w:rsidR="00A91679" w:rsidRPr="00A91679" w:rsidRDefault="00A91679" w:rsidP="00C825F9">
            <w:pPr>
              <w:spacing w:after="0"/>
              <w:jc w:val="right"/>
              <w:rPr>
                <w:lang w:eastAsia="en-AU"/>
              </w:rPr>
            </w:pPr>
            <w:r w:rsidRPr="00A91679">
              <w:rPr>
                <w:lang w:eastAsia="en-AU"/>
              </w:rPr>
              <w:t>2004</w:t>
            </w:r>
          </w:p>
        </w:tc>
      </w:tr>
      <w:tr w:rsidR="00A91679" w:rsidRPr="00A91679" w14:paraId="0EB4ECC6" w14:textId="77777777" w:rsidTr="00974F92">
        <w:trPr>
          <w:trHeight w:val="300"/>
        </w:trPr>
        <w:tc>
          <w:tcPr>
            <w:tcW w:w="3402" w:type="dxa"/>
            <w:tcBorders>
              <w:top w:val="nil"/>
              <w:left w:val="single" w:sz="4" w:space="0" w:color="auto"/>
              <w:bottom w:val="single" w:sz="4" w:space="0" w:color="auto"/>
              <w:right w:val="single" w:sz="4" w:space="0" w:color="auto"/>
            </w:tcBorders>
            <w:shd w:val="clear" w:color="auto" w:fill="auto"/>
            <w:noWrap/>
            <w:vAlign w:val="bottom"/>
            <w:hideMark/>
          </w:tcPr>
          <w:p w14:paraId="06D2E89F" w14:textId="77777777" w:rsidR="00A91679" w:rsidRPr="00A91679" w:rsidRDefault="00A91679" w:rsidP="00C825F9">
            <w:pPr>
              <w:spacing w:after="0"/>
              <w:rPr>
                <w:lang w:eastAsia="en-AU"/>
              </w:rPr>
            </w:pPr>
            <w:r w:rsidRPr="00A91679">
              <w:rPr>
                <w:lang w:eastAsia="en-AU"/>
              </w:rPr>
              <w:t>6</w:t>
            </w:r>
          </w:p>
        </w:tc>
        <w:tc>
          <w:tcPr>
            <w:tcW w:w="2694" w:type="dxa"/>
            <w:tcBorders>
              <w:top w:val="nil"/>
              <w:left w:val="nil"/>
              <w:bottom w:val="single" w:sz="4" w:space="0" w:color="auto"/>
              <w:right w:val="single" w:sz="4" w:space="0" w:color="auto"/>
            </w:tcBorders>
            <w:shd w:val="clear" w:color="auto" w:fill="auto"/>
            <w:noWrap/>
            <w:vAlign w:val="bottom"/>
            <w:hideMark/>
          </w:tcPr>
          <w:p w14:paraId="6432DF7F" w14:textId="77777777" w:rsidR="00A91679" w:rsidRPr="00A91679" w:rsidRDefault="00A91679" w:rsidP="00C825F9">
            <w:pPr>
              <w:spacing w:after="0"/>
              <w:jc w:val="right"/>
              <w:rPr>
                <w:lang w:eastAsia="en-AU"/>
              </w:rPr>
            </w:pPr>
            <w:r w:rsidRPr="00A91679">
              <w:rPr>
                <w:lang w:eastAsia="en-AU"/>
              </w:rPr>
              <w:t>2010</w:t>
            </w:r>
          </w:p>
        </w:tc>
      </w:tr>
    </w:tbl>
    <w:p w14:paraId="4FA044A8" w14:textId="77777777" w:rsidR="00A91679" w:rsidRDefault="00A91679" w:rsidP="00C825F9">
      <w:pPr>
        <w:rPr>
          <w:rFonts w:ascii="Helvetica Light" w:hAnsi="Helvetica Light" w:cstheme="minorBidi"/>
          <w:szCs w:val="20"/>
        </w:rPr>
      </w:pPr>
      <w:bookmarkStart w:id="224" w:name="_Figure_13:_Average"/>
      <w:bookmarkEnd w:id="224"/>
    </w:p>
    <w:p w14:paraId="3AECA357" w14:textId="77777777" w:rsidR="00C825F9" w:rsidRDefault="00C825F9" w:rsidP="00C825F9">
      <w:r>
        <w:t xml:space="preserve">Return to </w:t>
      </w:r>
      <w:hyperlink w:anchor="_3.2_Space_Use" w:history="1">
        <w:r w:rsidRPr="00D516FC">
          <w:rPr>
            <w:rStyle w:val="Hyperlink"/>
          </w:rPr>
          <w:t>Space Use by Type</w:t>
        </w:r>
      </w:hyperlink>
    </w:p>
    <w:p w14:paraId="701AFA2B" w14:textId="12576000" w:rsidR="00C825F9" w:rsidRPr="00C825F9" w:rsidRDefault="003B3A7A" w:rsidP="00C825F9">
      <w:pPr>
        <w:pStyle w:val="Heading3"/>
        <w:rPr>
          <w:rFonts w:hint="eastAsia"/>
        </w:rPr>
      </w:pPr>
      <w:bookmarkStart w:id="225" w:name="_Average_NABERS_Rating"/>
      <w:bookmarkEnd w:id="225"/>
      <w:r>
        <w:t>Table A.12</w:t>
      </w:r>
      <w:r>
        <w:tab/>
      </w:r>
      <w:r w:rsidR="00C825F9" w:rsidRPr="00A91679">
        <w:t>Average NABERS Rating by Building Office Floor Area</w:t>
      </w:r>
    </w:p>
    <w:tbl>
      <w:tblPr>
        <w:tblW w:w="5387" w:type="dxa"/>
        <w:tblInd w:w="-5" w:type="dxa"/>
        <w:tblLook w:val="04A0" w:firstRow="1" w:lastRow="0" w:firstColumn="1" w:lastColumn="0" w:noHBand="0" w:noVBand="1"/>
      </w:tblPr>
      <w:tblGrid>
        <w:gridCol w:w="3459"/>
        <w:gridCol w:w="1928"/>
      </w:tblGrid>
      <w:tr w:rsidR="00C825F9" w:rsidRPr="00A91679" w14:paraId="1294DCE5" w14:textId="77777777" w:rsidTr="00D460E9">
        <w:trPr>
          <w:trHeight w:val="300"/>
        </w:trPr>
        <w:tc>
          <w:tcPr>
            <w:tcW w:w="34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E5FE85" w14:textId="77777777" w:rsidR="00C825F9" w:rsidRPr="008E1EF1" w:rsidRDefault="00C825F9" w:rsidP="00D460E9">
            <w:pPr>
              <w:spacing w:after="0"/>
              <w:rPr>
                <w:b/>
                <w:bCs/>
                <w:lang w:eastAsia="en-AU"/>
              </w:rPr>
            </w:pPr>
            <w:r w:rsidRPr="008E1EF1">
              <w:rPr>
                <w:b/>
                <w:bCs/>
                <w:lang w:eastAsia="en-AU"/>
              </w:rPr>
              <w:t>Building Office Floor Area (m2)</w:t>
            </w:r>
          </w:p>
        </w:tc>
        <w:tc>
          <w:tcPr>
            <w:tcW w:w="1928" w:type="dxa"/>
            <w:tcBorders>
              <w:top w:val="single" w:sz="4" w:space="0" w:color="auto"/>
              <w:left w:val="nil"/>
              <w:bottom w:val="single" w:sz="4" w:space="0" w:color="auto"/>
              <w:right w:val="single" w:sz="4" w:space="0" w:color="auto"/>
            </w:tcBorders>
            <w:shd w:val="clear" w:color="auto" w:fill="auto"/>
            <w:noWrap/>
            <w:vAlign w:val="bottom"/>
            <w:hideMark/>
          </w:tcPr>
          <w:p w14:paraId="0962138E" w14:textId="77777777" w:rsidR="00C825F9" w:rsidRPr="008E1EF1" w:rsidRDefault="00C825F9" w:rsidP="00D460E9">
            <w:pPr>
              <w:spacing w:after="0"/>
              <w:rPr>
                <w:b/>
                <w:bCs/>
                <w:lang w:eastAsia="en-AU"/>
              </w:rPr>
            </w:pPr>
            <w:r w:rsidRPr="008E1EF1">
              <w:rPr>
                <w:b/>
                <w:bCs/>
                <w:lang w:eastAsia="en-AU"/>
              </w:rPr>
              <w:t>Average NABERS rating (stars)</w:t>
            </w:r>
          </w:p>
        </w:tc>
      </w:tr>
      <w:tr w:rsidR="00C825F9" w:rsidRPr="00A91679" w14:paraId="335087EC" w14:textId="77777777" w:rsidTr="00D460E9">
        <w:trPr>
          <w:trHeight w:val="300"/>
        </w:trPr>
        <w:tc>
          <w:tcPr>
            <w:tcW w:w="3459" w:type="dxa"/>
            <w:tcBorders>
              <w:top w:val="nil"/>
              <w:left w:val="single" w:sz="4" w:space="0" w:color="auto"/>
              <w:bottom w:val="single" w:sz="4" w:space="0" w:color="auto"/>
              <w:right w:val="single" w:sz="4" w:space="0" w:color="auto"/>
            </w:tcBorders>
            <w:shd w:val="clear" w:color="auto" w:fill="auto"/>
            <w:noWrap/>
            <w:vAlign w:val="bottom"/>
            <w:hideMark/>
          </w:tcPr>
          <w:p w14:paraId="73EAFA68" w14:textId="77777777" w:rsidR="00C825F9" w:rsidRPr="00A91679" w:rsidRDefault="00C825F9" w:rsidP="00D460E9">
            <w:pPr>
              <w:spacing w:after="0"/>
              <w:rPr>
                <w:lang w:eastAsia="en-AU"/>
              </w:rPr>
            </w:pPr>
            <w:r w:rsidRPr="00A91679">
              <w:rPr>
                <w:lang w:eastAsia="en-AU"/>
              </w:rPr>
              <w:t>0 - 5,000</w:t>
            </w:r>
          </w:p>
        </w:tc>
        <w:tc>
          <w:tcPr>
            <w:tcW w:w="1928" w:type="dxa"/>
            <w:tcBorders>
              <w:top w:val="nil"/>
              <w:left w:val="nil"/>
              <w:bottom w:val="single" w:sz="4" w:space="0" w:color="auto"/>
              <w:right w:val="single" w:sz="4" w:space="0" w:color="auto"/>
            </w:tcBorders>
            <w:shd w:val="clear" w:color="auto" w:fill="auto"/>
            <w:noWrap/>
            <w:vAlign w:val="bottom"/>
            <w:hideMark/>
          </w:tcPr>
          <w:p w14:paraId="189550FC" w14:textId="77777777" w:rsidR="00C825F9" w:rsidRPr="00A91679" w:rsidRDefault="00C825F9" w:rsidP="00D460E9">
            <w:pPr>
              <w:spacing w:after="0"/>
              <w:rPr>
                <w:lang w:eastAsia="en-AU"/>
              </w:rPr>
            </w:pPr>
            <w:r w:rsidRPr="00A91679">
              <w:rPr>
                <w:lang w:eastAsia="en-AU"/>
              </w:rPr>
              <w:t>3.7</w:t>
            </w:r>
          </w:p>
        </w:tc>
      </w:tr>
      <w:tr w:rsidR="00C825F9" w:rsidRPr="00A91679" w14:paraId="79C25126" w14:textId="77777777" w:rsidTr="00D460E9">
        <w:trPr>
          <w:trHeight w:val="300"/>
        </w:trPr>
        <w:tc>
          <w:tcPr>
            <w:tcW w:w="3459" w:type="dxa"/>
            <w:tcBorders>
              <w:top w:val="nil"/>
              <w:left w:val="single" w:sz="4" w:space="0" w:color="auto"/>
              <w:bottom w:val="single" w:sz="4" w:space="0" w:color="auto"/>
              <w:right w:val="single" w:sz="4" w:space="0" w:color="auto"/>
            </w:tcBorders>
            <w:shd w:val="clear" w:color="auto" w:fill="auto"/>
            <w:noWrap/>
            <w:vAlign w:val="bottom"/>
            <w:hideMark/>
          </w:tcPr>
          <w:p w14:paraId="337B414D" w14:textId="77777777" w:rsidR="00C825F9" w:rsidRPr="00A91679" w:rsidRDefault="00C825F9" w:rsidP="00D460E9">
            <w:pPr>
              <w:spacing w:after="0"/>
              <w:rPr>
                <w:lang w:eastAsia="en-AU"/>
              </w:rPr>
            </w:pPr>
            <w:r w:rsidRPr="00A91679">
              <w:rPr>
                <w:lang w:eastAsia="en-AU"/>
              </w:rPr>
              <w:t>5,000 - 10,000</w:t>
            </w:r>
          </w:p>
        </w:tc>
        <w:tc>
          <w:tcPr>
            <w:tcW w:w="1928" w:type="dxa"/>
            <w:tcBorders>
              <w:top w:val="nil"/>
              <w:left w:val="nil"/>
              <w:bottom w:val="single" w:sz="4" w:space="0" w:color="auto"/>
              <w:right w:val="single" w:sz="4" w:space="0" w:color="auto"/>
            </w:tcBorders>
            <w:shd w:val="clear" w:color="auto" w:fill="auto"/>
            <w:noWrap/>
            <w:vAlign w:val="bottom"/>
            <w:hideMark/>
          </w:tcPr>
          <w:p w14:paraId="1A84F546" w14:textId="77777777" w:rsidR="00C825F9" w:rsidRPr="00A91679" w:rsidRDefault="00C825F9" w:rsidP="00D460E9">
            <w:pPr>
              <w:spacing w:after="0"/>
              <w:rPr>
                <w:lang w:eastAsia="en-AU"/>
              </w:rPr>
            </w:pPr>
            <w:r w:rsidRPr="00A91679">
              <w:rPr>
                <w:lang w:eastAsia="en-AU"/>
              </w:rPr>
              <w:t>4.2</w:t>
            </w:r>
          </w:p>
        </w:tc>
      </w:tr>
      <w:tr w:rsidR="00C825F9" w:rsidRPr="00A91679" w14:paraId="4F7EF98E" w14:textId="77777777" w:rsidTr="00D460E9">
        <w:trPr>
          <w:trHeight w:val="300"/>
        </w:trPr>
        <w:tc>
          <w:tcPr>
            <w:tcW w:w="3459" w:type="dxa"/>
            <w:tcBorders>
              <w:top w:val="nil"/>
              <w:left w:val="single" w:sz="4" w:space="0" w:color="auto"/>
              <w:bottom w:val="single" w:sz="4" w:space="0" w:color="auto"/>
              <w:right w:val="single" w:sz="4" w:space="0" w:color="auto"/>
            </w:tcBorders>
            <w:shd w:val="clear" w:color="auto" w:fill="auto"/>
            <w:noWrap/>
            <w:vAlign w:val="bottom"/>
            <w:hideMark/>
          </w:tcPr>
          <w:p w14:paraId="2EB00D07" w14:textId="77777777" w:rsidR="00C825F9" w:rsidRPr="00A91679" w:rsidRDefault="00C825F9" w:rsidP="00D460E9">
            <w:pPr>
              <w:spacing w:after="0"/>
              <w:rPr>
                <w:lang w:eastAsia="en-AU"/>
              </w:rPr>
            </w:pPr>
            <w:r w:rsidRPr="00A91679">
              <w:rPr>
                <w:lang w:eastAsia="en-AU"/>
              </w:rPr>
              <w:t>10,000 - 20,000</w:t>
            </w:r>
          </w:p>
        </w:tc>
        <w:tc>
          <w:tcPr>
            <w:tcW w:w="1928" w:type="dxa"/>
            <w:tcBorders>
              <w:top w:val="nil"/>
              <w:left w:val="nil"/>
              <w:bottom w:val="single" w:sz="4" w:space="0" w:color="auto"/>
              <w:right w:val="single" w:sz="4" w:space="0" w:color="auto"/>
            </w:tcBorders>
            <w:shd w:val="clear" w:color="auto" w:fill="auto"/>
            <w:noWrap/>
            <w:vAlign w:val="bottom"/>
            <w:hideMark/>
          </w:tcPr>
          <w:p w14:paraId="32F08083" w14:textId="77777777" w:rsidR="00C825F9" w:rsidRPr="00A91679" w:rsidRDefault="00C825F9" w:rsidP="00D460E9">
            <w:pPr>
              <w:spacing w:after="0"/>
              <w:rPr>
                <w:lang w:eastAsia="en-AU"/>
              </w:rPr>
            </w:pPr>
            <w:r w:rsidRPr="00A91679">
              <w:rPr>
                <w:lang w:eastAsia="en-AU"/>
              </w:rPr>
              <w:t>4.1</w:t>
            </w:r>
          </w:p>
        </w:tc>
      </w:tr>
      <w:tr w:rsidR="00C825F9" w:rsidRPr="00A91679" w14:paraId="294C3FAE" w14:textId="77777777" w:rsidTr="00D460E9">
        <w:trPr>
          <w:trHeight w:val="300"/>
        </w:trPr>
        <w:tc>
          <w:tcPr>
            <w:tcW w:w="3459" w:type="dxa"/>
            <w:tcBorders>
              <w:top w:val="nil"/>
              <w:left w:val="single" w:sz="4" w:space="0" w:color="auto"/>
              <w:bottom w:val="single" w:sz="4" w:space="0" w:color="auto"/>
              <w:right w:val="single" w:sz="4" w:space="0" w:color="auto"/>
            </w:tcBorders>
            <w:shd w:val="clear" w:color="auto" w:fill="auto"/>
            <w:noWrap/>
            <w:vAlign w:val="bottom"/>
            <w:hideMark/>
          </w:tcPr>
          <w:p w14:paraId="55389FDD" w14:textId="77777777" w:rsidR="00C825F9" w:rsidRPr="00A91679" w:rsidRDefault="00C825F9" w:rsidP="00D460E9">
            <w:pPr>
              <w:spacing w:after="0"/>
              <w:rPr>
                <w:lang w:eastAsia="en-AU"/>
              </w:rPr>
            </w:pPr>
            <w:r w:rsidRPr="00A91679">
              <w:rPr>
                <w:lang w:eastAsia="en-AU"/>
              </w:rPr>
              <w:t>20,000 - 40,000</w:t>
            </w:r>
          </w:p>
        </w:tc>
        <w:tc>
          <w:tcPr>
            <w:tcW w:w="1928" w:type="dxa"/>
            <w:tcBorders>
              <w:top w:val="nil"/>
              <w:left w:val="nil"/>
              <w:bottom w:val="single" w:sz="4" w:space="0" w:color="auto"/>
              <w:right w:val="single" w:sz="4" w:space="0" w:color="auto"/>
            </w:tcBorders>
            <w:shd w:val="clear" w:color="auto" w:fill="auto"/>
            <w:noWrap/>
            <w:vAlign w:val="bottom"/>
            <w:hideMark/>
          </w:tcPr>
          <w:p w14:paraId="7859D4F9" w14:textId="77777777" w:rsidR="00C825F9" w:rsidRPr="00A91679" w:rsidRDefault="00C825F9" w:rsidP="00D460E9">
            <w:pPr>
              <w:spacing w:after="0"/>
              <w:rPr>
                <w:lang w:eastAsia="en-AU"/>
              </w:rPr>
            </w:pPr>
            <w:r w:rsidRPr="00A91679">
              <w:rPr>
                <w:lang w:eastAsia="en-AU"/>
              </w:rPr>
              <w:t>4.6</w:t>
            </w:r>
          </w:p>
        </w:tc>
      </w:tr>
      <w:tr w:rsidR="00C825F9" w:rsidRPr="00A91679" w14:paraId="4CE89C2B" w14:textId="77777777" w:rsidTr="00D460E9">
        <w:trPr>
          <w:trHeight w:val="300"/>
        </w:trPr>
        <w:tc>
          <w:tcPr>
            <w:tcW w:w="3459" w:type="dxa"/>
            <w:tcBorders>
              <w:top w:val="nil"/>
              <w:left w:val="single" w:sz="4" w:space="0" w:color="auto"/>
              <w:bottom w:val="single" w:sz="4" w:space="0" w:color="auto"/>
              <w:right w:val="single" w:sz="4" w:space="0" w:color="auto"/>
            </w:tcBorders>
            <w:shd w:val="clear" w:color="auto" w:fill="auto"/>
            <w:noWrap/>
            <w:vAlign w:val="bottom"/>
            <w:hideMark/>
          </w:tcPr>
          <w:p w14:paraId="6D33CD5A" w14:textId="77777777" w:rsidR="00C825F9" w:rsidRPr="00A91679" w:rsidRDefault="00C825F9" w:rsidP="00D460E9">
            <w:pPr>
              <w:spacing w:after="0"/>
              <w:rPr>
                <w:lang w:eastAsia="en-AU"/>
              </w:rPr>
            </w:pPr>
            <w:r w:rsidRPr="00A91679">
              <w:rPr>
                <w:lang w:eastAsia="en-AU"/>
              </w:rPr>
              <w:t>40,000 - 60,000</w:t>
            </w:r>
          </w:p>
        </w:tc>
        <w:tc>
          <w:tcPr>
            <w:tcW w:w="1928" w:type="dxa"/>
            <w:tcBorders>
              <w:top w:val="nil"/>
              <w:left w:val="nil"/>
              <w:bottom w:val="single" w:sz="4" w:space="0" w:color="auto"/>
              <w:right w:val="single" w:sz="4" w:space="0" w:color="auto"/>
            </w:tcBorders>
            <w:shd w:val="clear" w:color="auto" w:fill="auto"/>
            <w:noWrap/>
            <w:vAlign w:val="bottom"/>
            <w:hideMark/>
          </w:tcPr>
          <w:p w14:paraId="7759D90C" w14:textId="77777777" w:rsidR="00C825F9" w:rsidRPr="00A91679" w:rsidRDefault="00C825F9" w:rsidP="00D460E9">
            <w:pPr>
              <w:spacing w:after="0"/>
              <w:rPr>
                <w:lang w:eastAsia="en-AU"/>
              </w:rPr>
            </w:pPr>
            <w:r w:rsidRPr="00A91679">
              <w:rPr>
                <w:lang w:eastAsia="en-AU"/>
              </w:rPr>
              <w:t>5.0</w:t>
            </w:r>
          </w:p>
        </w:tc>
      </w:tr>
      <w:tr w:rsidR="00C825F9" w:rsidRPr="00A91679" w14:paraId="7F70BEB3" w14:textId="77777777" w:rsidTr="00D460E9">
        <w:trPr>
          <w:trHeight w:val="300"/>
        </w:trPr>
        <w:tc>
          <w:tcPr>
            <w:tcW w:w="3459" w:type="dxa"/>
            <w:tcBorders>
              <w:top w:val="nil"/>
              <w:left w:val="single" w:sz="4" w:space="0" w:color="auto"/>
              <w:bottom w:val="single" w:sz="4" w:space="0" w:color="auto"/>
              <w:right w:val="single" w:sz="4" w:space="0" w:color="auto"/>
            </w:tcBorders>
            <w:shd w:val="clear" w:color="auto" w:fill="auto"/>
            <w:noWrap/>
            <w:vAlign w:val="bottom"/>
            <w:hideMark/>
          </w:tcPr>
          <w:p w14:paraId="12BBEC60" w14:textId="77777777" w:rsidR="00C825F9" w:rsidRPr="00A91679" w:rsidRDefault="00C825F9" w:rsidP="00D460E9">
            <w:pPr>
              <w:spacing w:after="0"/>
              <w:rPr>
                <w:lang w:eastAsia="en-AU"/>
              </w:rPr>
            </w:pPr>
            <w:r w:rsidRPr="00A91679">
              <w:rPr>
                <w:lang w:eastAsia="en-AU"/>
              </w:rPr>
              <w:t>60,000+</w:t>
            </w:r>
          </w:p>
        </w:tc>
        <w:tc>
          <w:tcPr>
            <w:tcW w:w="1928" w:type="dxa"/>
            <w:tcBorders>
              <w:top w:val="nil"/>
              <w:left w:val="nil"/>
              <w:bottom w:val="single" w:sz="4" w:space="0" w:color="auto"/>
              <w:right w:val="single" w:sz="4" w:space="0" w:color="auto"/>
            </w:tcBorders>
            <w:shd w:val="clear" w:color="auto" w:fill="auto"/>
            <w:noWrap/>
            <w:vAlign w:val="bottom"/>
            <w:hideMark/>
          </w:tcPr>
          <w:p w14:paraId="4E67CEAE" w14:textId="77777777" w:rsidR="00C825F9" w:rsidRPr="00A91679" w:rsidRDefault="00C825F9" w:rsidP="00D460E9">
            <w:pPr>
              <w:spacing w:after="0"/>
              <w:rPr>
                <w:lang w:eastAsia="en-AU"/>
              </w:rPr>
            </w:pPr>
            <w:r w:rsidRPr="00A91679">
              <w:rPr>
                <w:lang w:eastAsia="en-AU"/>
              </w:rPr>
              <w:t>5.3</w:t>
            </w:r>
          </w:p>
        </w:tc>
      </w:tr>
    </w:tbl>
    <w:p w14:paraId="45524BFE" w14:textId="77777777" w:rsidR="00BD56CE" w:rsidRDefault="00BD56CE" w:rsidP="005922A0">
      <w:pPr>
        <w:rPr>
          <w:rFonts w:ascii="Helvetica Light" w:hAnsi="Helvetica Light" w:cstheme="minorBidi"/>
          <w:szCs w:val="20"/>
        </w:rPr>
      </w:pPr>
      <w:bookmarkStart w:id="226" w:name="_Table_5:_Residential"/>
      <w:bookmarkEnd w:id="226"/>
    </w:p>
    <w:p w14:paraId="239C946D" w14:textId="77777777" w:rsidR="005922A0" w:rsidRDefault="005922A0" w:rsidP="005922A0">
      <w:r>
        <w:t xml:space="preserve">Return to </w:t>
      </w:r>
      <w:hyperlink w:anchor="_3.2_Space_Use" w:history="1">
        <w:r w:rsidRPr="00D516FC">
          <w:rPr>
            <w:rStyle w:val="Hyperlink"/>
          </w:rPr>
          <w:t>Space Use by Type</w:t>
        </w:r>
      </w:hyperlink>
    </w:p>
    <w:p w14:paraId="2D835D3C" w14:textId="493638FF" w:rsidR="005922A0" w:rsidRPr="005922A0" w:rsidRDefault="003B3A7A" w:rsidP="005922A0">
      <w:pPr>
        <w:pStyle w:val="Heading3"/>
        <w:rPr>
          <w:rFonts w:hint="eastAsia"/>
        </w:rPr>
      </w:pPr>
      <w:r>
        <w:t>Table A.13</w:t>
      </w:r>
      <w:r>
        <w:tab/>
      </w:r>
      <w:r w:rsidR="005922A0" w:rsidRPr="00A91679">
        <w:t>Count of Dwellings by Residential Space-Use Type, City of Melbourne, FY2022</w:t>
      </w:r>
    </w:p>
    <w:tbl>
      <w:tblPr>
        <w:tblW w:w="5812" w:type="dxa"/>
        <w:tblInd w:w="-5" w:type="dxa"/>
        <w:tblLook w:val="04A0" w:firstRow="1" w:lastRow="0" w:firstColumn="1" w:lastColumn="0" w:noHBand="0" w:noVBand="1"/>
      </w:tblPr>
      <w:tblGrid>
        <w:gridCol w:w="3254"/>
        <w:gridCol w:w="2558"/>
      </w:tblGrid>
      <w:tr w:rsidR="00A91679" w:rsidRPr="00A91679" w14:paraId="45ECA381" w14:textId="77777777" w:rsidTr="005922A0">
        <w:trPr>
          <w:trHeight w:val="300"/>
        </w:trPr>
        <w:tc>
          <w:tcPr>
            <w:tcW w:w="32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191CC7" w14:textId="77777777" w:rsidR="00A91679" w:rsidRPr="005922A0" w:rsidRDefault="00A91679" w:rsidP="005922A0">
            <w:pPr>
              <w:spacing w:after="0"/>
              <w:rPr>
                <w:b/>
                <w:bCs/>
                <w:lang w:eastAsia="en-AU"/>
              </w:rPr>
            </w:pPr>
            <w:bookmarkStart w:id="227" w:name="_Figure_14:_Count"/>
            <w:bookmarkEnd w:id="227"/>
            <w:r w:rsidRPr="005922A0">
              <w:rPr>
                <w:b/>
                <w:bCs/>
                <w:lang w:eastAsia="en-AU"/>
              </w:rPr>
              <w:t>Residential Space Use Type</w:t>
            </w:r>
          </w:p>
        </w:tc>
        <w:tc>
          <w:tcPr>
            <w:tcW w:w="2558" w:type="dxa"/>
            <w:tcBorders>
              <w:top w:val="single" w:sz="4" w:space="0" w:color="auto"/>
              <w:left w:val="nil"/>
              <w:bottom w:val="single" w:sz="4" w:space="0" w:color="auto"/>
              <w:right w:val="single" w:sz="4" w:space="0" w:color="auto"/>
            </w:tcBorders>
            <w:shd w:val="clear" w:color="auto" w:fill="auto"/>
            <w:noWrap/>
            <w:vAlign w:val="bottom"/>
            <w:hideMark/>
          </w:tcPr>
          <w:p w14:paraId="0E71FC67" w14:textId="77777777" w:rsidR="00A91679" w:rsidRPr="005922A0" w:rsidRDefault="00A91679" w:rsidP="005922A0">
            <w:pPr>
              <w:spacing w:after="0"/>
              <w:rPr>
                <w:b/>
                <w:bCs/>
                <w:lang w:eastAsia="en-AU"/>
              </w:rPr>
            </w:pPr>
            <w:r w:rsidRPr="005922A0">
              <w:rPr>
                <w:b/>
                <w:bCs/>
                <w:lang w:eastAsia="en-AU"/>
              </w:rPr>
              <w:t>Count of Dwellings (-)</w:t>
            </w:r>
          </w:p>
        </w:tc>
      </w:tr>
      <w:tr w:rsidR="00A91679" w:rsidRPr="00A91679" w14:paraId="09DEEF42" w14:textId="77777777" w:rsidTr="005922A0">
        <w:trPr>
          <w:trHeight w:val="300"/>
        </w:trPr>
        <w:tc>
          <w:tcPr>
            <w:tcW w:w="3254" w:type="dxa"/>
            <w:tcBorders>
              <w:top w:val="nil"/>
              <w:left w:val="single" w:sz="4" w:space="0" w:color="auto"/>
              <w:bottom w:val="single" w:sz="4" w:space="0" w:color="auto"/>
              <w:right w:val="single" w:sz="4" w:space="0" w:color="auto"/>
            </w:tcBorders>
            <w:shd w:val="clear" w:color="auto" w:fill="auto"/>
            <w:noWrap/>
            <w:vAlign w:val="bottom"/>
            <w:hideMark/>
          </w:tcPr>
          <w:p w14:paraId="22496C86" w14:textId="77777777" w:rsidR="00A91679" w:rsidRPr="00A91679" w:rsidRDefault="00A91679" w:rsidP="005922A0">
            <w:pPr>
              <w:spacing w:after="0"/>
              <w:rPr>
                <w:lang w:eastAsia="en-AU"/>
              </w:rPr>
            </w:pPr>
            <w:r w:rsidRPr="00A91679">
              <w:rPr>
                <w:lang w:eastAsia="en-AU"/>
              </w:rPr>
              <w:t>High-rise apartment</w:t>
            </w:r>
          </w:p>
        </w:tc>
        <w:tc>
          <w:tcPr>
            <w:tcW w:w="2558" w:type="dxa"/>
            <w:tcBorders>
              <w:top w:val="nil"/>
              <w:left w:val="nil"/>
              <w:bottom w:val="single" w:sz="4" w:space="0" w:color="auto"/>
              <w:right w:val="single" w:sz="4" w:space="0" w:color="auto"/>
            </w:tcBorders>
            <w:shd w:val="clear" w:color="auto" w:fill="auto"/>
            <w:noWrap/>
            <w:vAlign w:val="bottom"/>
            <w:hideMark/>
          </w:tcPr>
          <w:p w14:paraId="75D5104A" w14:textId="289F38A2" w:rsidR="00A91679" w:rsidRPr="00A91679" w:rsidRDefault="00A91679" w:rsidP="005922A0">
            <w:pPr>
              <w:spacing w:after="0"/>
              <w:jc w:val="right"/>
              <w:rPr>
                <w:lang w:eastAsia="en-AU"/>
              </w:rPr>
            </w:pPr>
            <w:r w:rsidRPr="00A91679">
              <w:rPr>
                <w:lang w:eastAsia="en-AU"/>
              </w:rPr>
              <w:t xml:space="preserve">66,432 </w:t>
            </w:r>
          </w:p>
        </w:tc>
      </w:tr>
      <w:tr w:rsidR="00A91679" w:rsidRPr="00A91679" w14:paraId="12B11522" w14:textId="77777777" w:rsidTr="005922A0">
        <w:trPr>
          <w:trHeight w:val="300"/>
        </w:trPr>
        <w:tc>
          <w:tcPr>
            <w:tcW w:w="3254" w:type="dxa"/>
            <w:tcBorders>
              <w:top w:val="nil"/>
              <w:left w:val="single" w:sz="4" w:space="0" w:color="auto"/>
              <w:bottom w:val="single" w:sz="4" w:space="0" w:color="auto"/>
              <w:right w:val="single" w:sz="4" w:space="0" w:color="auto"/>
            </w:tcBorders>
            <w:shd w:val="clear" w:color="auto" w:fill="auto"/>
            <w:noWrap/>
            <w:vAlign w:val="bottom"/>
            <w:hideMark/>
          </w:tcPr>
          <w:p w14:paraId="488D5A91" w14:textId="77777777" w:rsidR="00A91679" w:rsidRPr="00A91679" w:rsidRDefault="00A91679" w:rsidP="005922A0">
            <w:pPr>
              <w:spacing w:after="0"/>
              <w:rPr>
                <w:lang w:eastAsia="en-AU"/>
              </w:rPr>
            </w:pPr>
            <w:r w:rsidRPr="00A91679">
              <w:rPr>
                <w:lang w:eastAsia="en-AU"/>
              </w:rPr>
              <w:t>Mid-rise apartment</w:t>
            </w:r>
          </w:p>
        </w:tc>
        <w:tc>
          <w:tcPr>
            <w:tcW w:w="2558" w:type="dxa"/>
            <w:tcBorders>
              <w:top w:val="nil"/>
              <w:left w:val="nil"/>
              <w:bottom w:val="single" w:sz="4" w:space="0" w:color="auto"/>
              <w:right w:val="single" w:sz="4" w:space="0" w:color="auto"/>
            </w:tcBorders>
            <w:shd w:val="clear" w:color="auto" w:fill="auto"/>
            <w:noWrap/>
            <w:vAlign w:val="bottom"/>
            <w:hideMark/>
          </w:tcPr>
          <w:p w14:paraId="71D8513A" w14:textId="3397ABCC" w:rsidR="00A91679" w:rsidRPr="00A91679" w:rsidRDefault="00A91679" w:rsidP="008E1EF1">
            <w:pPr>
              <w:spacing w:after="0"/>
              <w:jc w:val="right"/>
              <w:rPr>
                <w:lang w:eastAsia="en-AU"/>
              </w:rPr>
            </w:pPr>
            <w:r w:rsidRPr="00A91679">
              <w:rPr>
                <w:lang w:eastAsia="en-AU"/>
              </w:rPr>
              <w:t xml:space="preserve">10,665 </w:t>
            </w:r>
          </w:p>
        </w:tc>
      </w:tr>
      <w:tr w:rsidR="00A91679" w:rsidRPr="00A91679" w14:paraId="2AE3B41F" w14:textId="77777777" w:rsidTr="005922A0">
        <w:trPr>
          <w:trHeight w:val="300"/>
        </w:trPr>
        <w:tc>
          <w:tcPr>
            <w:tcW w:w="3254" w:type="dxa"/>
            <w:tcBorders>
              <w:top w:val="nil"/>
              <w:left w:val="single" w:sz="4" w:space="0" w:color="auto"/>
              <w:bottom w:val="single" w:sz="4" w:space="0" w:color="auto"/>
              <w:right w:val="single" w:sz="4" w:space="0" w:color="auto"/>
            </w:tcBorders>
            <w:shd w:val="clear" w:color="auto" w:fill="auto"/>
            <w:noWrap/>
            <w:vAlign w:val="bottom"/>
            <w:hideMark/>
          </w:tcPr>
          <w:p w14:paraId="2E8484F5" w14:textId="77777777" w:rsidR="00A91679" w:rsidRPr="00A91679" w:rsidRDefault="00A91679" w:rsidP="005922A0">
            <w:pPr>
              <w:spacing w:after="0"/>
              <w:rPr>
                <w:lang w:eastAsia="en-AU"/>
              </w:rPr>
            </w:pPr>
            <w:r w:rsidRPr="00A91679">
              <w:rPr>
                <w:lang w:eastAsia="en-AU"/>
              </w:rPr>
              <w:t>Low-rise apartment</w:t>
            </w:r>
          </w:p>
        </w:tc>
        <w:tc>
          <w:tcPr>
            <w:tcW w:w="2558" w:type="dxa"/>
            <w:tcBorders>
              <w:top w:val="nil"/>
              <w:left w:val="nil"/>
              <w:bottom w:val="single" w:sz="4" w:space="0" w:color="auto"/>
              <w:right w:val="single" w:sz="4" w:space="0" w:color="auto"/>
            </w:tcBorders>
            <w:shd w:val="clear" w:color="auto" w:fill="auto"/>
            <w:noWrap/>
            <w:vAlign w:val="bottom"/>
            <w:hideMark/>
          </w:tcPr>
          <w:p w14:paraId="2CED690C" w14:textId="55611AAD" w:rsidR="00A91679" w:rsidRPr="00A91679" w:rsidRDefault="00A91679" w:rsidP="005922A0">
            <w:pPr>
              <w:spacing w:after="0"/>
              <w:jc w:val="right"/>
              <w:rPr>
                <w:lang w:eastAsia="en-AU"/>
              </w:rPr>
            </w:pPr>
            <w:r w:rsidRPr="00A91679">
              <w:rPr>
                <w:lang w:eastAsia="en-AU"/>
              </w:rPr>
              <w:t xml:space="preserve">10,410 </w:t>
            </w:r>
          </w:p>
        </w:tc>
      </w:tr>
      <w:tr w:rsidR="00A91679" w:rsidRPr="00A91679" w14:paraId="0A988D39" w14:textId="77777777" w:rsidTr="005922A0">
        <w:trPr>
          <w:trHeight w:val="300"/>
        </w:trPr>
        <w:tc>
          <w:tcPr>
            <w:tcW w:w="3254" w:type="dxa"/>
            <w:tcBorders>
              <w:top w:val="nil"/>
              <w:left w:val="single" w:sz="4" w:space="0" w:color="auto"/>
              <w:bottom w:val="single" w:sz="4" w:space="0" w:color="auto"/>
              <w:right w:val="single" w:sz="4" w:space="0" w:color="auto"/>
            </w:tcBorders>
            <w:shd w:val="clear" w:color="auto" w:fill="auto"/>
            <w:noWrap/>
            <w:vAlign w:val="bottom"/>
            <w:hideMark/>
          </w:tcPr>
          <w:p w14:paraId="7C81DD07" w14:textId="77777777" w:rsidR="00A91679" w:rsidRPr="00A91679" w:rsidRDefault="00A91679" w:rsidP="005922A0">
            <w:pPr>
              <w:spacing w:after="0"/>
              <w:rPr>
                <w:lang w:eastAsia="en-AU"/>
              </w:rPr>
            </w:pPr>
            <w:r w:rsidRPr="00A91679">
              <w:rPr>
                <w:lang w:eastAsia="en-AU"/>
              </w:rPr>
              <w:t>Townhouse/terrace</w:t>
            </w:r>
          </w:p>
        </w:tc>
        <w:tc>
          <w:tcPr>
            <w:tcW w:w="2558" w:type="dxa"/>
            <w:tcBorders>
              <w:top w:val="nil"/>
              <w:left w:val="nil"/>
              <w:bottom w:val="single" w:sz="4" w:space="0" w:color="auto"/>
              <w:right w:val="single" w:sz="4" w:space="0" w:color="auto"/>
            </w:tcBorders>
            <w:shd w:val="clear" w:color="auto" w:fill="auto"/>
            <w:noWrap/>
            <w:vAlign w:val="bottom"/>
            <w:hideMark/>
          </w:tcPr>
          <w:p w14:paraId="1D095898" w14:textId="70FE9748" w:rsidR="00A91679" w:rsidRPr="00A91679" w:rsidRDefault="00A91679" w:rsidP="005922A0">
            <w:pPr>
              <w:spacing w:after="0"/>
              <w:jc w:val="right"/>
              <w:rPr>
                <w:lang w:eastAsia="en-AU"/>
              </w:rPr>
            </w:pPr>
            <w:r w:rsidRPr="00A91679">
              <w:rPr>
                <w:lang w:eastAsia="en-AU"/>
              </w:rPr>
              <w:t xml:space="preserve">10,053 </w:t>
            </w:r>
          </w:p>
        </w:tc>
      </w:tr>
      <w:tr w:rsidR="00A91679" w:rsidRPr="00A91679" w14:paraId="14FF70DC" w14:textId="77777777" w:rsidTr="005922A0">
        <w:trPr>
          <w:trHeight w:val="300"/>
        </w:trPr>
        <w:tc>
          <w:tcPr>
            <w:tcW w:w="3254" w:type="dxa"/>
            <w:tcBorders>
              <w:top w:val="nil"/>
              <w:left w:val="single" w:sz="4" w:space="0" w:color="auto"/>
              <w:bottom w:val="single" w:sz="4" w:space="0" w:color="auto"/>
              <w:right w:val="single" w:sz="4" w:space="0" w:color="auto"/>
            </w:tcBorders>
            <w:shd w:val="clear" w:color="auto" w:fill="auto"/>
            <w:noWrap/>
            <w:vAlign w:val="bottom"/>
            <w:hideMark/>
          </w:tcPr>
          <w:p w14:paraId="196E7A8F" w14:textId="77777777" w:rsidR="00A91679" w:rsidRPr="00A91679" w:rsidRDefault="00A91679" w:rsidP="005922A0">
            <w:pPr>
              <w:spacing w:after="0"/>
              <w:rPr>
                <w:lang w:eastAsia="en-AU"/>
              </w:rPr>
            </w:pPr>
            <w:r w:rsidRPr="00A91679">
              <w:rPr>
                <w:lang w:eastAsia="en-AU"/>
              </w:rPr>
              <w:t>Standalone house</w:t>
            </w:r>
          </w:p>
        </w:tc>
        <w:tc>
          <w:tcPr>
            <w:tcW w:w="2558" w:type="dxa"/>
            <w:tcBorders>
              <w:top w:val="nil"/>
              <w:left w:val="nil"/>
              <w:bottom w:val="single" w:sz="4" w:space="0" w:color="auto"/>
              <w:right w:val="single" w:sz="4" w:space="0" w:color="auto"/>
            </w:tcBorders>
            <w:shd w:val="clear" w:color="auto" w:fill="auto"/>
            <w:noWrap/>
            <w:vAlign w:val="bottom"/>
            <w:hideMark/>
          </w:tcPr>
          <w:p w14:paraId="3E6071ED" w14:textId="723832B7" w:rsidR="00A91679" w:rsidRPr="00A91679" w:rsidRDefault="00A91679" w:rsidP="005922A0">
            <w:pPr>
              <w:spacing w:after="0"/>
              <w:jc w:val="right"/>
              <w:rPr>
                <w:lang w:eastAsia="en-AU"/>
              </w:rPr>
            </w:pPr>
            <w:r w:rsidRPr="00A91679">
              <w:rPr>
                <w:lang w:eastAsia="en-AU"/>
              </w:rPr>
              <w:t xml:space="preserve">2,785 </w:t>
            </w:r>
          </w:p>
        </w:tc>
      </w:tr>
      <w:tr w:rsidR="00A91679" w:rsidRPr="00A91679" w14:paraId="3312924F" w14:textId="77777777" w:rsidTr="005922A0">
        <w:trPr>
          <w:trHeight w:val="300"/>
        </w:trPr>
        <w:tc>
          <w:tcPr>
            <w:tcW w:w="3254" w:type="dxa"/>
            <w:tcBorders>
              <w:top w:val="nil"/>
              <w:left w:val="single" w:sz="4" w:space="0" w:color="auto"/>
              <w:bottom w:val="single" w:sz="4" w:space="0" w:color="auto"/>
              <w:right w:val="single" w:sz="4" w:space="0" w:color="auto"/>
            </w:tcBorders>
            <w:shd w:val="clear" w:color="auto" w:fill="auto"/>
            <w:noWrap/>
            <w:vAlign w:val="bottom"/>
            <w:hideMark/>
          </w:tcPr>
          <w:p w14:paraId="269960A5" w14:textId="750D66AC" w:rsidR="00A91679" w:rsidRPr="00A91679" w:rsidRDefault="00A91679" w:rsidP="005922A0">
            <w:pPr>
              <w:spacing w:after="0"/>
              <w:rPr>
                <w:lang w:eastAsia="en-AU"/>
              </w:rPr>
            </w:pPr>
            <w:r w:rsidRPr="00A91679">
              <w:rPr>
                <w:lang w:eastAsia="en-AU"/>
              </w:rPr>
              <w:t xml:space="preserve">Student </w:t>
            </w:r>
            <w:r w:rsidR="005922A0" w:rsidRPr="00A91679">
              <w:rPr>
                <w:lang w:eastAsia="en-AU"/>
              </w:rPr>
              <w:t>accommodation</w:t>
            </w:r>
          </w:p>
        </w:tc>
        <w:tc>
          <w:tcPr>
            <w:tcW w:w="2558" w:type="dxa"/>
            <w:tcBorders>
              <w:top w:val="nil"/>
              <w:left w:val="nil"/>
              <w:bottom w:val="single" w:sz="4" w:space="0" w:color="auto"/>
              <w:right w:val="single" w:sz="4" w:space="0" w:color="auto"/>
            </w:tcBorders>
            <w:shd w:val="clear" w:color="auto" w:fill="auto"/>
            <w:noWrap/>
            <w:vAlign w:val="bottom"/>
            <w:hideMark/>
          </w:tcPr>
          <w:p w14:paraId="651D60AC" w14:textId="77025B0C" w:rsidR="00A91679" w:rsidRPr="00A91679" w:rsidRDefault="00A91679" w:rsidP="005922A0">
            <w:pPr>
              <w:spacing w:after="0"/>
              <w:jc w:val="right"/>
              <w:rPr>
                <w:lang w:eastAsia="en-AU"/>
              </w:rPr>
            </w:pPr>
            <w:r w:rsidRPr="00A91679">
              <w:rPr>
                <w:lang w:eastAsia="en-AU"/>
              </w:rPr>
              <w:t xml:space="preserve">5,728 </w:t>
            </w:r>
          </w:p>
        </w:tc>
      </w:tr>
    </w:tbl>
    <w:p w14:paraId="55AE60AB" w14:textId="77777777" w:rsidR="00A91679" w:rsidRDefault="00A91679" w:rsidP="005922A0">
      <w:pPr>
        <w:rPr>
          <w:rFonts w:ascii="Helvetica Light" w:hAnsi="Helvetica Light" w:cstheme="minorBidi"/>
          <w:szCs w:val="20"/>
        </w:rPr>
      </w:pPr>
    </w:p>
    <w:p w14:paraId="63266132" w14:textId="7212350C" w:rsidR="005922A0" w:rsidRDefault="005922A0" w:rsidP="005922A0">
      <w:r>
        <w:t xml:space="preserve">Return to </w:t>
      </w:r>
      <w:hyperlink w:anchor="_3.2.2_Residential" w:history="1">
        <w:r w:rsidRPr="005922A0">
          <w:rPr>
            <w:rStyle w:val="Hyperlink"/>
          </w:rPr>
          <w:t>Residential</w:t>
        </w:r>
      </w:hyperlink>
    </w:p>
    <w:p w14:paraId="630BAC22" w14:textId="76569ABA" w:rsidR="005922A0" w:rsidRPr="005922A0" w:rsidRDefault="003B3A7A" w:rsidP="003B3A7A">
      <w:pPr>
        <w:pStyle w:val="Heading3"/>
        <w:ind w:left="1440" w:hanging="1440"/>
        <w:rPr>
          <w:rFonts w:hint="eastAsia"/>
        </w:rPr>
      </w:pPr>
      <w:bookmarkStart w:id="228" w:name="_Total_Residential_Floorspace"/>
      <w:bookmarkEnd w:id="228"/>
      <w:r>
        <w:t>Table A.14</w:t>
      </w:r>
      <w:r>
        <w:tab/>
      </w:r>
      <w:r w:rsidR="005922A0" w:rsidRPr="00A91679">
        <w:t>Total Residential Floorspace by Residential Space-Use Type, City of Melbourne, FY2022</w:t>
      </w:r>
    </w:p>
    <w:tbl>
      <w:tblPr>
        <w:tblW w:w="6663" w:type="dxa"/>
        <w:tblInd w:w="-5" w:type="dxa"/>
        <w:tblLook w:val="04A0" w:firstRow="1" w:lastRow="0" w:firstColumn="1" w:lastColumn="0" w:noHBand="0" w:noVBand="1"/>
      </w:tblPr>
      <w:tblGrid>
        <w:gridCol w:w="3087"/>
        <w:gridCol w:w="3576"/>
      </w:tblGrid>
      <w:tr w:rsidR="00A91679" w:rsidRPr="00A91679" w14:paraId="32B62C8F" w14:textId="77777777" w:rsidTr="005922A0">
        <w:trPr>
          <w:trHeight w:val="300"/>
        </w:trPr>
        <w:tc>
          <w:tcPr>
            <w:tcW w:w="30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923AC9" w14:textId="77777777" w:rsidR="00A91679" w:rsidRPr="005922A0" w:rsidRDefault="00A91679" w:rsidP="005922A0">
            <w:pPr>
              <w:spacing w:after="0"/>
              <w:rPr>
                <w:b/>
                <w:bCs/>
                <w:lang w:eastAsia="en-AU"/>
              </w:rPr>
            </w:pPr>
            <w:bookmarkStart w:id="229" w:name="_Figure_15:_Total"/>
            <w:bookmarkEnd w:id="229"/>
            <w:r w:rsidRPr="005922A0">
              <w:rPr>
                <w:b/>
                <w:bCs/>
                <w:lang w:eastAsia="en-AU"/>
              </w:rPr>
              <w:t>Residential Space-Use Type</w:t>
            </w:r>
          </w:p>
        </w:tc>
        <w:tc>
          <w:tcPr>
            <w:tcW w:w="3576" w:type="dxa"/>
            <w:tcBorders>
              <w:top w:val="single" w:sz="4" w:space="0" w:color="auto"/>
              <w:left w:val="nil"/>
              <w:bottom w:val="single" w:sz="4" w:space="0" w:color="auto"/>
              <w:right w:val="single" w:sz="4" w:space="0" w:color="auto"/>
            </w:tcBorders>
            <w:shd w:val="clear" w:color="auto" w:fill="auto"/>
            <w:noWrap/>
            <w:vAlign w:val="bottom"/>
            <w:hideMark/>
          </w:tcPr>
          <w:p w14:paraId="6DE62F6C" w14:textId="77777777" w:rsidR="00A91679" w:rsidRPr="005922A0" w:rsidRDefault="00A91679" w:rsidP="005922A0">
            <w:pPr>
              <w:spacing w:after="0"/>
              <w:rPr>
                <w:b/>
                <w:bCs/>
                <w:lang w:eastAsia="en-AU"/>
              </w:rPr>
            </w:pPr>
            <w:r w:rsidRPr="005922A0">
              <w:rPr>
                <w:b/>
                <w:bCs/>
                <w:lang w:eastAsia="en-AU"/>
              </w:rPr>
              <w:t>Total Residential Floorspace (m2)</w:t>
            </w:r>
          </w:p>
        </w:tc>
      </w:tr>
      <w:tr w:rsidR="00A91679" w:rsidRPr="00A91679" w14:paraId="652EF678" w14:textId="77777777" w:rsidTr="005922A0">
        <w:trPr>
          <w:trHeight w:val="300"/>
        </w:trPr>
        <w:tc>
          <w:tcPr>
            <w:tcW w:w="3087" w:type="dxa"/>
            <w:tcBorders>
              <w:top w:val="nil"/>
              <w:left w:val="single" w:sz="4" w:space="0" w:color="auto"/>
              <w:bottom w:val="single" w:sz="4" w:space="0" w:color="auto"/>
              <w:right w:val="single" w:sz="4" w:space="0" w:color="auto"/>
            </w:tcBorders>
            <w:shd w:val="clear" w:color="auto" w:fill="auto"/>
            <w:noWrap/>
            <w:vAlign w:val="bottom"/>
            <w:hideMark/>
          </w:tcPr>
          <w:p w14:paraId="11D83A33" w14:textId="77777777" w:rsidR="00A91679" w:rsidRPr="00A91679" w:rsidRDefault="00A91679" w:rsidP="005922A0">
            <w:pPr>
              <w:spacing w:after="0"/>
              <w:rPr>
                <w:lang w:eastAsia="en-AU"/>
              </w:rPr>
            </w:pPr>
            <w:r w:rsidRPr="00A91679">
              <w:rPr>
                <w:lang w:eastAsia="en-AU"/>
              </w:rPr>
              <w:t>High-rise apartment</w:t>
            </w:r>
          </w:p>
        </w:tc>
        <w:tc>
          <w:tcPr>
            <w:tcW w:w="3576" w:type="dxa"/>
            <w:tcBorders>
              <w:top w:val="nil"/>
              <w:left w:val="nil"/>
              <w:bottom w:val="single" w:sz="4" w:space="0" w:color="auto"/>
              <w:right w:val="single" w:sz="4" w:space="0" w:color="auto"/>
            </w:tcBorders>
            <w:shd w:val="clear" w:color="auto" w:fill="auto"/>
            <w:noWrap/>
            <w:vAlign w:val="bottom"/>
            <w:hideMark/>
          </w:tcPr>
          <w:p w14:paraId="2F3D7E9C" w14:textId="167D6CB0" w:rsidR="00A91679" w:rsidRPr="00A91679" w:rsidRDefault="00A91679" w:rsidP="005922A0">
            <w:pPr>
              <w:spacing w:after="0"/>
              <w:jc w:val="right"/>
              <w:rPr>
                <w:lang w:eastAsia="en-AU"/>
              </w:rPr>
            </w:pPr>
            <w:r w:rsidRPr="00A91679">
              <w:rPr>
                <w:lang w:eastAsia="en-AU"/>
              </w:rPr>
              <w:t xml:space="preserve">                                    8,239,495</w:t>
            </w:r>
          </w:p>
        </w:tc>
      </w:tr>
      <w:tr w:rsidR="00A91679" w:rsidRPr="00A91679" w14:paraId="5E859AFD" w14:textId="77777777" w:rsidTr="005922A0">
        <w:trPr>
          <w:trHeight w:val="300"/>
        </w:trPr>
        <w:tc>
          <w:tcPr>
            <w:tcW w:w="3087" w:type="dxa"/>
            <w:tcBorders>
              <w:top w:val="nil"/>
              <w:left w:val="single" w:sz="4" w:space="0" w:color="auto"/>
              <w:bottom w:val="single" w:sz="4" w:space="0" w:color="auto"/>
              <w:right w:val="single" w:sz="4" w:space="0" w:color="auto"/>
            </w:tcBorders>
            <w:shd w:val="clear" w:color="auto" w:fill="auto"/>
            <w:noWrap/>
            <w:vAlign w:val="bottom"/>
            <w:hideMark/>
          </w:tcPr>
          <w:p w14:paraId="55B24497" w14:textId="77777777" w:rsidR="00A91679" w:rsidRPr="00A91679" w:rsidRDefault="00A91679" w:rsidP="005922A0">
            <w:pPr>
              <w:spacing w:after="0"/>
              <w:rPr>
                <w:lang w:eastAsia="en-AU"/>
              </w:rPr>
            </w:pPr>
            <w:r w:rsidRPr="00A91679">
              <w:rPr>
                <w:lang w:eastAsia="en-AU"/>
              </w:rPr>
              <w:t>Mid-rise apartment</w:t>
            </w:r>
          </w:p>
        </w:tc>
        <w:tc>
          <w:tcPr>
            <w:tcW w:w="3576" w:type="dxa"/>
            <w:tcBorders>
              <w:top w:val="nil"/>
              <w:left w:val="nil"/>
              <w:bottom w:val="single" w:sz="4" w:space="0" w:color="auto"/>
              <w:right w:val="single" w:sz="4" w:space="0" w:color="auto"/>
            </w:tcBorders>
            <w:shd w:val="clear" w:color="auto" w:fill="auto"/>
            <w:noWrap/>
            <w:vAlign w:val="bottom"/>
            <w:hideMark/>
          </w:tcPr>
          <w:p w14:paraId="32FE3D62" w14:textId="77777777" w:rsidR="00A91679" w:rsidRPr="00A91679" w:rsidRDefault="00A91679" w:rsidP="005922A0">
            <w:pPr>
              <w:spacing w:after="0"/>
              <w:jc w:val="right"/>
              <w:rPr>
                <w:lang w:eastAsia="en-AU"/>
              </w:rPr>
            </w:pPr>
            <w:r w:rsidRPr="00A91679">
              <w:rPr>
                <w:lang w:eastAsia="en-AU"/>
              </w:rPr>
              <w:t xml:space="preserve">                                    1,351,439 </w:t>
            </w:r>
          </w:p>
        </w:tc>
      </w:tr>
      <w:tr w:rsidR="00A91679" w:rsidRPr="00A91679" w14:paraId="7906F057" w14:textId="77777777" w:rsidTr="005922A0">
        <w:trPr>
          <w:trHeight w:val="300"/>
        </w:trPr>
        <w:tc>
          <w:tcPr>
            <w:tcW w:w="3087" w:type="dxa"/>
            <w:tcBorders>
              <w:top w:val="nil"/>
              <w:left w:val="single" w:sz="4" w:space="0" w:color="auto"/>
              <w:bottom w:val="single" w:sz="4" w:space="0" w:color="auto"/>
              <w:right w:val="single" w:sz="4" w:space="0" w:color="auto"/>
            </w:tcBorders>
            <w:shd w:val="clear" w:color="auto" w:fill="auto"/>
            <w:noWrap/>
            <w:vAlign w:val="bottom"/>
            <w:hideMark/>
          </w:tcPr>
          <w:p w14:paraId="4697B334" w14:textId="77777777" w:rsidR="00A91679" w:rsidRPr="00A91679" w:rsidRDefault="00A91679" w:rsidP="005922A0">
            <w:pPr>
              <w:spacing w:after="0"/>
              <w:rPr>
                <w:lang w:eastAsia="en-AU"/>
              </w:rPr>
            </w:pPr>
            <w:r w:rsidRPr="00A91679">
              <w:rPr>
                <w:lang w:eastAsia="en-AU"/>
              </w:rPr>
              <w:t>Low-rise apartment</w:t>
            </w:r>
          </w:p>
        </w:tc>
        <w:tc>
          <w:tcPr>
            <w:tcW w:w="3576" w:type="dxa"/>
            <w:tcBorders>
              <w:top w:val="nil"/>
              <w:left w:val="nil"/>
              <w:bottom w:val="single" w:sz="4" w:space="0" w:color="auto"/>
              <w:right w:val="single" w:sz="4" w:space="0" w:color="auto"/>
            </w:tcBorders>
            <w:shd w:val="clear" w:color="auto" w:fill="auto"/>
            <w:noWrap/>
            <w:vAlign w:val="bottom"/>
            <w:hideMark/>
          </w:tcPr>
          <w:p w14:paraId="44C29CD2" w14:textId="77777777" w:rsidR="00A91679" w:rsidRPr="00A91679" w:rsidRDefault="00A91679" w:rsidP="005922A0">
            <w:pPr>
              <w:spacing w:after="0"/>
              <w:jc w:val="right"/>
              <w:rPr>
                <w:lang w:eastAsia="en-AU"/>
              </w:rPr>
            </w:pPr>
            <w:r w:rsidRPr="00A91679">
              <w:rPr>
                <w:lang w:eastAsia="en-AU"/>
              </w:rPr>
              <w:t xml:space="preserve">                                    1,463,570 </w:t>
            </w:r>
          </w:p>
        </w:tc>
      </w:tr>
      <w:tr w:rsidR="00A91679" w:rsidRPr="00A91679" w14:paraId="4C3914AD" w14:textId="77777777" w:rsidTr="005922A0">
        <w:trPr>
          <w:trHeight w:val="300"/>
        </w:trPr>
        <w:tc>
          <w:tcPr>
            <w:tcW w:w="3087" w:type="dxa"/>
            <w:tcBorders>
              <w:top w:val="nil"/>
              <w:left w:val="single" w:sz="4" w:space="0" w:color="auto"/>
              <w:bottom w:val="single" w:sz="4" w:space="0" w:color="auto"/>
              <w:right w:val="single" w:sz="4" w:space="0" w:color="auto"/>
            </w:tcBorders>
            <w:shd w:val="clear" w:color="auto" w:fill="auto"/>
            <w:noWrap/>
            <w:vAlign w:val="bottom"/>
            <w:hideMark/>
          </w:tcPr>
          <w:p w14:paraId="1A3F2175" w14:textId="77777777" w:rsidR="00A91679" w:rsidRPr="00A91679" w:rsidRDefault="00A91679" w:rsidP="005922A0">
            <w:pPr>
              <w:spacing w:after="0"/>
              <w:rPr>
                <w:lang w:eastAsia="en-AU"/>
              </w:rPr>
            </w:pPr>
            <w:r w:rsidRPr="00A91679">
              <w:rPr>
                <w:lang w:eastAsia="en-AU"/>
              </w:rPr>
              <w:t>Townhouse/terrace</w:t>
            </w:r>
          </w:p>
        </w:tc>
        <w:tc>
          <w:tcPr>
            <w:tcW w:w="3576" w:type="dxa"/>
            <w:tcBorders>
              <w:top w:val="nil"/>
              <w:left w:val="nil"/>
              <w:bottom w:val="single" w:sz="4" w:space="0" w:color="auto"/>
              <w:right w:val="single" w:sz="4" w:space="0" w:color="auto"/>
            </w:tcBorders>
            <w:shd w:val="clear" w:color="auto" w:fill="auto"/>
            <w:noWrap/>
            <w:vAlign w:val="bottom"/>
            <w:hideMark/>
          </w:tcPr>
          <w:p w14:paraId="02F3560E" w14:textId="77777777" w:rsidR="00A91679" w:rsidRPr="00A91679" w:rsidRDefault="00A91679" w:rsidP="005922A0">
            <w:pPr>
              <w:spacing w:after="0"/>
              <w:jc w:val="right"/>
              <w:rPr>
                <w:lang w:eastAsia="en-AU"/>
              </w:rPr>
            </w:pPr>
            <w:r w:rsidRPr="00A91679">
              <w:rPr>
                <w:lang w:eastAsia="en-AU"/>
              </w:rPr>
              <w:t xml:space="preserve">                                        933,849 </w:t>
            </w:r>
          </w:p>
        </w:tc>
      </w:tr>
      <w:tr w:rsidR="00A91679" w:rsidRPr="00A91679" w14:paraId="18EBB416" w14:textId="77777777" w:rsidTr="005922A0">
        <w:trPr>
          <w:trHeight w:val="300"/>
        </w:trPr>
        <w:tc>
          <w:tcPr>
            <w:tcW w:w="3087" w:type="dxa"/>
            <w:tcBorders>
              <w:top w:val="nil"/>
              <w:left w:val="single" w:sz="4" w:space="0" w:color="auto"/>
              <w:bottom w:val="single" w:sz="4" w:space="0" w:color="auto"/>
              <w:right w:val="single" w:sz="4" w:space="0" w:color="auto"/>
            </w:tcBorders>
            <w:shd w:val="clear" w:color="auto" w:fill="auto"/>
            <w:noWrap/>
            <w:vAlign w:val="bottom"/>
            <w:hideMark/>
          </w:tcPr>
          <w:p w14:paraId="44DB1687" w14:textId="77777777" w:rsidR="00A91679" w:rsidRPr="00A91679" w:rsidRDefault="00A91679" w:rsidP="005922A0">
            <w:pPr>
              <w:spacing w:after="0"/>
              <w:rPr>
                <w:lang w:eastAsia="en-AU"/>
              </w:rPr>
            </w:pPr>
            <w:r w:rsidRPr="00A91679">
              <w:rPr>
                <w:lang w:eastAsia="en-AU"/>
              </w:rPr>
              <w:t>Standalone house</w:t>
            </w:r>
          </w:p>
        </w:tc>
        <w:tc>
          <w:tcPr>
            <w:tcW w:w="3576" w:type="dxa"/>
            <w:tcBorders>
              <w:top w:val="nil"/>
              <w:left w:val="nil"/>
              <w:bottom w:val="single" w:sz="4" w:space="0" w:color="auto"/>
              <w:right w:val="single" w:sz="4" w:space="0" w:color="auto"/>
            </w:tcBorders>
            <w:shd w:val="clear" w:color="auto" w:fill="auto"/>
            <w:noWrap/>
            <w:vAlign w:val="bottom"/>
            <w:hideMark/>
          </w:tcPr>
          <w:p w14:paraId="23FC162E" w14:textId="77777777" w:rsidR="00A91679" w:rsidRPr="00A91679" w:rsidRDefault="00A91679" w:rsidP="005922A0">
            <w:pPr>
              <w:spacing w:after="0"/>
              <w:jc w:val="right"/>
              <w:rPr>
                <w:lang w:eastAsia="en-AU"/>
              </w:rPr>
            </w:pPr>
            <w:r w:rsidRPr="00A91679">
              <w:rPr>
                <w:lang w:eastAsia="en-AU"/>
              </w:rPr>
              <w:t xml:space="preserve">                                        903,760 </w:t>
            </w:r>
          </w:p>
        </w:tc>
      </w:tr>
      <w:tr w:rsidR="00A91679" w:rsidRPr="00A91679" w14:paraId="0D9DAB72" w14:textId="77777777" w:rsidTr="005922A0">
        <w:trPr>
          <w:trHeight w:val="300"/>
        </w:trPr>
        <w:tc>
          <w:tcPr>
            <w:tcW w:w="3087" w:type="dxa"/>
            <w:tcBorders>
              <w:top w:val="nil"/>
              <w:left w:val="single" w:sz="4" w:space="0" w:color="auto"/>
              <w:bottom w:val="single" w:sz="4" w:space="0" w:color="auto"/>
              <w:right w:val="single" w:sz="4" w:space="0" w:color="auto"/>
            </w:tcBorders>
            <w:shd w:val="clear" w:color="auto" w:fill="auto"/>
            <w:noWrap/>
            <w:vAlign w:val="bottom"/>
            <w:hideMark/>
          </w:tcPr>
          <w:p w14:paraId="25686D83" w14:textId="6C3E189F" w:rsidR="00A91679" w:rsidRPr="00A91679" w:rsidRDefault="00A91679" w:rsidP="005922A0">
            <w:pPr>
              <w:spacing w:after="0"/>
              <w:rPr>
                <w:lang w:eastAsia="en-AU"/>
              </w:rPr>
            </w:pPr>
            <w:r w:rsidRPr="00A91679">
              <w:rPr>
                <w:lang w:eastAsia="en-AU"/>
              </w:rPr>
              <w:t xml:space="preserve">Student </w:t>
            </w:r>
            <w:r w:rsidR="005922A0" w:rsidRPr="00A91679">
              <w:rPr>
                <w:lang w:eastAsia="en-AU"/>
              </w:rPr>
              <w:t>accommodation</w:t>
            </w:r>
          </w:p>
        </w:tc>
        <w:tc>
          <w:tcPr>
            <w:tcW w:w="3576" w:type="dxa"/>
            <w:tcBorders>
              <w:top w:val="nil"/>
              <w:left w:val="nil"/>
              <w:bottom w:val="single" w:sz="4" w:space="0" w:color="auto"/>
              <w:right w:val="single" w:sz="4" w:space="0" w:color="auto"/>
            </w:tcBorders>
            <w:shd w:val="clear" w:color="auto" w:fill="auto"/>
            <w:noWrap/>
            <w:vAlign w:val="bottom"/>
            <w:hideMark/>
          </w:tcPr>
          <w:p w14:paraId="323DF2F0" w14:textId="77777777" w:rsidR="00A91679" w:rsidRPr="00A91679" w:rsidRDefault="00A91679" w:rsidP="005922A0">
            <w:pPr>
              <w:spacing w:after="0"/>
              <w:jc w:val="right"/>
              <w:rPr>
                <w:lang w:eastAsia="en-AU"/>
              </w:rPr>
            </w:pPr>
            <w:r w:rsidRPr="00A91679">
              <w:rPr>
                <w:lang w:eastAsia="en-AU"/>
              </w:rPr>
              <w:t xml:space="preserve">                                        805,371 </w:t>
            </w:r>
          </w:p>
        </w:tc>
      </w:tr>
    </w:tbl>
    <w:p w14:paraId="42E83366" w14:textId="77777777" w:rsidR="00A91679" w:rsidRDefault="00A91679" w:rsidP="005922A0">
      <w:pPr>
        <w:rPr>
          <w:rFonts w:ascii="Helvetica Light" w:hAnsi="Helvetica Light" w:cstheme="minorBidi"/>
          <w:szCs w:val="20"/>
        </w:rPr>
      </w:pPr>
    </w:p>
    <w:p w14:paraId="7C7DB943" w14:textId="77777777" w:rsidR="005922A0" w:rsidRDefault="005922A0" w:rsidP="005922A0">
      <w:r>
        <w:t xml:space="preserve">Return to </w:t>
      </w:r>
      <w:hyperlink w:anchor="_3.2.2_Residential" w:history="1">
        <w:r w:rsidRPr="005922A0">
          <w:rPr>
            <w:rStyle w:val="Hyperlink"/>
          </w:rPr>
          <w:t>Residential</w:t>
        </w:r>
      </w:hyperlink>
    </w:p>
    <w:p w14:paraId="2A54D37E" w14:textId="361917E1" w:rsidR="005922A0" w:rsidRPr="005922A0" w:rsidRDefault="003B3A7A" w:rsidP="005922A0">
      <w:pPr>
        <w:pStyle w:val="Heading3"/>
        <w:rPr>
          <w:rFonts w:hint="eastAsia"/>
        </w:rPr>
      </w:pPr>
      <w:bookmarkStart w:id="230" w:name="_Residential_Floorspace_as"/>
      <w:bookmarkEnd w:id="230"/>
      <w:r>
        <w:lastRenderedPageBreak/>
        <w:t>Table A.15</w:t>
      </w:r>
      <w:r>
        <w:tab/>
      </w:r>
      <w:r w:rsidR="005922A0" w:rsidRPr="00A91679">
        <w:t>Residential Floorspace as a Percentage of Total Floorspace by Postcode (excludes postcodes with no residential space)</w:t>
      </w:r>
    </w:p>
    <w:tbl>
      <w:tblPr>
        <w:tblW w:w="3828" w:type="dxa"/>
        <w:tblInd w:w="-5" w:type="dxa"/>
        <w:tblLook w:val="04A0" w:firstRow="1" w:lastRow="0" w:firstColumn="1" w:lastColumn="0" w:noHBand="0" w:noVBand="1"/>
      </w:tblPr>
      <w:tblGrid>
        <w:gridCol w:w="1381"/>
        <w:gridCol w:w="2773"/>
      </w:tblGrid>
      <w:tr w:rsidR="00A91679" w:rsidRPr="00A91679" w14:paraId="6D561ADC" w14:textId="77777777" w:rsidTr="005922A0">
        <w:trPr>
          <w:trHeight w:val="300"/>
        </w:trPr>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8DADE0" w14:textId="77777777" w:rsidR="00A91679" w:rsidRPr="005922A0" w:rsidRDefault="00A91679" w:rsidP="005922A0">
            <w:pPr>
              <w:spacing w:after="0"/>
              <w:rPr>
                <w:b/>
                <w:bCs/>
                <w:lang w:eastAsia="en-AU"/>
              </w:rPr>
            </w:pPr>
            <w:bookmarkStart w:id="231" w:name="_Figure_16:_"/>
            <w:bookmarkEnd w:id="231"/>
            <w:r w:rsidRPr="005922A0">
              <w:rPr>
                <w:b/>
                <w:bCs/>
                <w:lang w:eastAsia="en-AU"/>
              </w:rPr>
              <w:t xml:space="preserve">Postcode </w:t>
            </w:r>
          </w:p>
        </w:tc>
        <w:tc>
          <w:tcPr>
            <w:tcW w:w="2773" w:type="dxa"/>
            <w:tcBorders>
              <w:top w:val="single" w:sz="4" w:space="0" w:color="auto"/>
              <w:left w:val="nil"/>
              <w:bottom w:val="single" w:sz="4" w:space="0" w:color="auto"/>
              <w:right w:val="single" w:sz="4" w:space="0" w:color="auto"/>
            </w:tcBorders>
            <w:shd w:val="clear" w:color="auto" w:fill="auto"/>
            <w:noWrap/>
            <w:vAlign w:val="bottom"/>
            <w:hideMark/>
          </w:tcPr>
          <w:p w14:paraId="06545BE5" w14:textId="77777777" w:rsidR="00A91679" w:rsidRPr="005922A0" w:rsidRDefault="00A91679" w:rsidP="005922A0">
            <w:pPr>
              <w:spacing w:after="0"/>
              <w:rPr>
                <w:b/>
                <w:bCs/>
                <w:lang w:eastAsia="en-AU"/>
              </w:rPr>
            </w:pPr>
            <w:r w:rsidRPr="005922A0">
              <w:rPr>
                <w:b/>
                <w:bCs/>
                <w:lang w:eastAsia="en-AU"/>
              </w:rPr>
              <w:t>Residential Floorspace as a Percentage of the Total (%)</w:t>
            </w:r>
          </w:p>
        </w:tc>
      </w:tr>
      <w:tr w:rsidR="00A91679" w:rsidRPr="00A91679" w14:paraId="2ECE0926" w14:textId="77777777" w:rsidTr="005922A0">
        <w:trPr>
          <w:trHeight w:val="300"/>
        </w:trPr>
        <w:tc>
          <w:tcPr>
            <w:tcW w:w="1055" w:type="dxa"/>
            <w:tcBorders>
              <w:top w:val="nil"/>
              <w:left w:val="single" w:sz="4" w:space="0" w:color="auto"/>
              <w:bottom w:val="single" w:sz="4" w:space="0" w:color="auto"/>
              <w:right w:val="single" w:sz="4" w:space="0" w:color="auto"/>
            </w:tcBorders>
            <w:shd w:val="clear" w:color="auto" w:fill="auto"/>
            <w:noWrap/>
            <w:vAlign w:val="bottom"/>
            <w:hideMark/>
          </w:tcPr>
          <w:p w14:paraId="1B514C61" w14:textId="77777777" w:rsidR="00A91679" w:rsidRPr="00A91679" w:rsidRDefault="00A91679" w:rsidP="008E1EF1">
            <w:pPr>
              <w:pStyle w:val="ListParagraph"/>
              <w:numPr>
                <w:ilvl w:val="0"/>
                <w:numId w:val="23"/>
              </w:numPr>
              <w:spacing w:after="0"/>
              <w:rPr>
                <w:lang w:eastAsia="en-AU"/>
              </w:rPr>
            </w:pPr>
            <w:r w:rsidRPr="00A91679">
              <w:rPr>
                <w:lang w:eastAsia="en-AU"/>
              </w:rPr>
              <w:t>3000</w:t>
            </w:r>
          </w:p>
        </w:tc>
        <w:tc>
          <w:tcPr>
            <w:tcW w:w="2773" w:type="dxa"/>
            <w:tcBorders>
              <w:top w:val="nil"/>
              <w:left w:val="nil"/>
              <w:bottom w:val="single" w:sz="4" w:space="0" w:color="auto"/>
              <w:right w:val="single" w:sz="4" w:space="0" w:color="auto"/>
            </w:tcBorders>
            <w:shd w:val="clear" w:color="auto" w:fill="auto"/>
            <w:noWrap/>
            <w:vAlign w:val="bottom"/>
            <w:hideMark/>
          </w:tcPr>
          <w:p w14:paraId="18EBF2CB" w14:textId="77777777" w:rsidR="00A91679" w:rsidRPr="00A91679" w:rsidRDefault="00A91679" w:rsidP="005922A0">
            <w:pPr>
              <w:spacing w:after="0"/>
              <w:jc w:val="right"/>
              <w:rPr>
                <w:lang w:eastAsia="en-AU"/>
              </w:rPr>
            </w:pPr>
            <w:r w:rsidRPr="00A91679">
              <w:rPr>
                <w:lang w:eastAsia="en-AU"/>
              </w:rPr>
              <w:t>27%</w:t>
            </w:r>
          </w:p>
        </w:tc>
      </w:tr>
      <w:tr w:rsidR="00A91679" w:rsidRPr="00A91679" w14:paraId="7A16A182" w14:textId="77777777" w:rsidTr="005922A0">
        <w:trPr>
          <w:trHeight w:val="300"/>
        </w:trPr>
        <w:tc>
          <w:tcPr>
            <w:tcW w:w="1055" w:type="dxa"/>
            <w:tcBorders>
              <w:top w:val="nil"/>
              <w:left w:val="single" w:sz="4" w:space="0" w:color="auto"/>
              <w:bottom w:val="single" w:sz="4" w:space="0" w:color="auto"/>
              <w:right w:val="single" w:sz="4" w:space="0" w:color="auto"/>
            </w:tcBorders>
            <w:shd w:val="clear" w:color="auto" w:fill="auto"/>
            <w:noWrap/>
            <w:vAlign w:val="bottom"/>
            <w:hideMark/>
          </w:tcPr>
          <w:p w14:paraId="3141C182" w14:textId="77777777" w:rsidR="00A91679" w:rsidRPr="00A91679" w:rsidRDefault="00A91679" w:rsidP="008E1EF1">
            <w:pPr>
              <w:pStyle w:val="ListParagraph"/>
              <w:numPr>
                <w:ilvl w:val="0"/>
                <w:numId w:val="23"/>
              </w:numPr>
              <w:spacing w:after="0"/>
              <w:rPr>
                <w:lang w:eastAsia="en-AU"/>
              </w:rPr>
            </w:pPr>
            <w:r w:rsidRPr="00A91679">
              <w:rPr>
                <w:lang w:eastAsia="en-AU"/>
              </w:rPr>
              <w:t>3002</w:t>
            </w:r>
          </w:p>
        </w:tc>
        <w:tc>
          <w:tcPr>
            <w:tcW w:w="2773" w:type="dxa"/>
            <w:tcBorders>
              <w:top w:val="nil"/>
              <w:left w:val="nil"/>
              <w:bottom w:val="single" w:sz="4" w:space="0" w:color="auto"/>
              <w:right w:val="single" w:sz="4" w:space="0" w:color="auto"/>
            </w:tcBorders>
            <w:shd w:val="clear" w:color="auto" w:fill="auto"/>
            <w:noWrap/>
            <w:vAlign w:val="bottom"/>
            <w:hideMark/>
          </w:tcPr>
          <w:p w14:paraId="42A975BD" w14:textId="77777777" w:rsidR="00A91679" w:rsidRPr="00A91679" w:rsidRDefault="00A91679" w:rsidP="005922A0">
            <w:pPr>
              <w:spacing w:after="0"/>
              <w:jc w:val="right"/>
              <w:rPr>
                <w:lang w:eastAsia="en-AU"/>
              </w:rPr>
            </w:pPr>
            <w:r w:rsidRPr="00A91679">
              <w:rPr>
                <w:lang w:eastAsia="en-AU"/>
              </w:rPr>
              <w:t>43%</w:t>
            </w:r>
          </w:p>
        </w:tc>
      </w:tr>
      <w:tr w:rsidR="00A91679" w:rsidRPr="00A91679" w14:paraId="60FE3E66" w14:textId="77777777" w:rsidTr="005922A0">
        <w:trPr>
          <w:trHeight w:val="300"/>
        </w:trPr>
        <w:tc>
          <w:tcPr>
            <w:tcW w:w="1055" w:type="dxa"/>
            <w:tcBorders>
              <w:top w:val="nil"/>
              <w:left w:val="single" w:sz="4" w:space="0" w:color="auto"/>
              <w:bottom w:val="single" w:sz="4" w:space="0" w:color="auto"/>
              <w:right w:val="single" w:sz="4" w:space="0" w:color="auto"/>
            </w:tcBorders>
            <w:shd w:val="clear" w:color="auto" w:fill="auto"/>
            <w:noWrap/>
            <w:vAlign w:val="bottom"/>
            <w:hideMark/>
          </w:tcPr>
          <w:p w14:paraId="513EEDDD" w14:textId="77777777" w:rsidR="00A91679" w:rsidRPr="00A91679" w:rsidRDefault="00A91679" w:rsidP="008E1EF1">
            <w:pPr>
              <w:pStyle w:val="ListParagraph"/>
              <w:numPr>
                <w:ilvl w:val="0"/>
                <w:numId w:val="23"/>
              </w:numPr>
              <w:spacing w:after="0"/>
              <w:rPr>
                <w:lang w:eastAsia="en-AU"/>
              </w:rPr>
            </w:pPr>
            <w:r w:rsidRPr="00A91679">
              <w:rPr>
                <w:lang w:eastAsia="en-AU"/>
              </w:rPr>
              <w:t>3003</w:t>
            </w:r>
          </w:p>
        </w:tc>
        <w:tc>
          <w:tcPr>
            <w:tcW w:w="2773" w:type="dxa"/>
            <w:tcBorders>
              <w:top w:val="nil"/>
              <w:left w:val="nil"/>
              <w:bottom w:val="single" w:sz="4" w:space="0" w:color="auto"/>
              <w:right w:val="single" w:sz="4" w:space="0" w:color="auto"/>
            </w:tcBorders>
            <w:shd w:val="clear" w:color="auto" w:fill="auto"/>
            <w:noWrap/>
            <w:vAlign w:val="bottom"/>
            <w:hideMark/>
          </w:tcPr>
          <w:p w14:paraId="76381804" w14:textId="77777777" w:rsidR="00A91679" w:rsidRPr="00A91679" w:rsidRDefault="00A91679" w:rsidP="005922A0">
            <w:pPr>
              <w:spacing w:after="0"/>
              <w:jc w:val="right"/>
              <w:rPr>
                <w:lang w:eastAsia="en-AU"/>
              </w:rPr>
            </w:pPr>
            <w:r w:rsidRPr="00A91679">
              <w:rPr>
                <w:lang w:eastAsia="en-AU"/>
              </w:rPr>
              <w:t>14%</w:t>
            </w:r>
          </w:p>
        </w:tc>
      </w:tr>
      <w:tr w:rsidR="00A91679" w:rsidRPr="00A91679" w14:paraId="2558638E" w14:textId="77777777" w:rsidTr="005922A0">
        <w:trPr>
          <w:trHeight w:val="300"/>
        </w:trPr>
        <w:tc>
          <w:tcPr>
            <w:tcW w:w="1055" w:type="dxa"/>
            <w:tcBorders>
              <w:top w:val="nil"/>
              <w:left w:val="single" w:sz="4" w:space="0" w:color="auto"/>
              <w:bottom w:val="single" w:sz="4" w:space="0" w:color="auto"/>
              <w:right w:val="single" w:sz="4" w:space="0" w:color="auto"/>
            </w:tcBorders>
            <w:shd w:val="clear" w:color="auto" w:fill="auto"/>
            <w:noWrap/>
            <w:vAlign w:val="bottom"/>
            <w:hideMark/>
          </w:tcPr>
          <w:p w14:paraId="14ACAD18" w14:textId="77777777" w:rsidR="00A91679" w:rsidRPr="00A91679" w:rsidRDefault="00A91679" w:rsidP="008E1EF1">
            <w:pPr>
              <w:pStyle w:val="ListParagraph"/>
              <w:numPr>
                <w:ilvl w:val="0"/>
                <w:numId w:val="23"/>
              </w:numPr>
              <w:spacing w:after="0"/>
              <w:rPr>
                <w:lang w:eastAsia="en-AU"/>
              </w:rPr>
            </w:pPr>
            <w:r w:rsidRPr="00A91679">
              <w:rPr>
                <w:lang w:eastAsia="en-AU"/>
              </w:rPr>
              <w:t>3004</w:t>
            </w:r>
          </w:p>
        </w:tc>
        <w:tc>
          <w:tcPr>
            <w:tcW w:w="2773" w:type="dxa"/>
            <w:tcBorders>
              <w:top w:val="nil"/>
              <w:left w:val="nil"/>
              <w:bottom w:val="single" w:sz="4" w:space="0" w:color="auto"/>
              <w:right w:val="single" w:sz="4" w:space="0" w:color="auto"/>
            </w:tcBorders>
            <w:shd w:val="clear" w:color="auto" w:fill="auto"/>
            <w:noWrap/>
            <w:vAlign w:val="bottom"/>
            <w:hideMark/>
          </w:tcPr>
          <w:p w14:paraId="3F79239F" w14:textId="77777777" w:rsidR="00A91679" w:rsidRPr="00A91679" w:rsidRDefault="00A91679" w:rsidP="005922A0">
            <w:pPr>
              <w:spacing w:after="0"/>
              <w:jc w:val="right"/>
              <w:rPr>
                <w:lang w:eastAsia="en-AU"/>
              </w:rPr>
            </w:pPr>
            <w:r w:rsidRPr="00A91679">
              <w:rPr>
                <w:lang w:eastAsia="en-AU"/>
              </w:rPr>
              <w:t>34%</w:t>
            </w:r>
          </w:p>
        </w:tc>
      </w:tr>
      <w:tr w:rsidR="00A91679" w:rsidRPr="00A91679" w14:paraId="14411FC6" w14:textId="77777777" w:rsidTr="005922A0">
        <w:trPr>
          <w:trHeight w:val="300"/>
        </w:trPr>
        <w:tc>
          <w:tcPr>
            <w:tcW w:w="1055" w:type="dxa"/>
            <w:tcBorders>
              <w:top w:val="nil"/>
              <w:left w:val="single" w:sz="4" w:space="0" w:color="auto"/>
              <w:bottom w:val="single" w:sz="4" w:space="0" w:color="auto"/>
              <w:right w:val="single" w:sz="4" w:space="0" w:color="auto"/>
            </w:tcBorders>
            <w:shd w:val="clear" w:color="auto" w:fill="auto"/>
            <w:noWrap/>
            <w:vAlign w:val="bottom"/>
            <w:hideMark/>
          </w:tcPr>
          <w:p w14:paraId="4AEFFB6D" w14:textId="77777777" w:rsidR="00A91679" w:rsidRPr="00A91679" w:rsidRDefault="00A91679" w:rsidP="008E1EF1">
            <w:pPr>
              <w:pStyle w:val="ListParagraph"/>
              <w:numPr>
                <w:ilvl w:val="0"/>
                <w:numId w:val="23"/>
              </w:numPr>
              <w:spacing w:after="0"/>
              <w:rPr>
                <w:lang w:eastAsia="en-AU"/>
              </w:rPr>
            </w:pPr>
            <w:r w:rsidRPr="00A91679">
              <w:rPr>
                <w:lang w:eastAsia="en-AU"/>
              </w:rPr>
              <w:t>3006</w:t>
            </w:r>
          </w:p>
        </w:tc>
        <w:tc>
          <w:tcPr>
            <w:tcW w:w="2773" w:type="dxa"/>
            <w:tcBorders>
              <w:top w:val="nil"/>
              <w:left w:val="nil"/>
              <w:bottom w:val="single" w:sz="4" w:space="0" w:color="auto"/>
              <w:right w:val="single" w:sz="4" w:space="0" w:color="auto"/>
            </w:tcBorders>
            <w:shd w:val="clear" w:color="auto" w:fill="auto"/>
            <w:noWrap/>
            <w:vAlign w:val="bottom"/>
            <w:hideMark/>
          </w:tcPr>
          <w:p w14:paraId="738D7151" w14:textId="77777777" w:rsidR="00A91679" w:rsidRPr="00A91679" w:rsidRDefault="00A91679" w:rsidP="005922A0">
            <w:pPr>
              <w:spacing w:after="0"/>
              <w:jc w:val="right"/>
              <w:rPr>
                <w:lang w:eastAsia="en-AU"/>
              </w:rPr>
            </w:pPr>
            <w:r w:rsidRPr="00A91679">
              <w:rPr>
                <w:lang w:eastAsia="en-AU"/>
              </w:rPr>
              <w:t>50%</w:t>
            </w:r>
          </w:p>
        </w:tc>
      </w:tr>
      <w:tr w:rsidR="00A91679" w:rsidRPr="00A91679" w14:paraId="409E4CE7" w14:textId="77777777" w:rsidTr="005922A0">
        <w:trPr>
          <w:trHeight w:val="300"/>
        </w:trPr>
        <w:tc>
          <w:tcPr>
            <w:tcW w:w="1055" w:type="dxa"/>
            <w:tcBorders>
              <w:top w:val="nil"/>
              <w:left w:val="single" w:sz="4" w:space="0" w:color="auto"/>
              <w:bottom w:val="single" w:sz="4" w:space="0" w:color="auto"/>
              <w:right w:val="single" w:sz="4" w:space="0" w:color="auto"/>
            </w:tcBorders>
            <w:shd w:val="clear" w:color="auto" w:fill="auto"/>
            <w:noWrap/>
            <w:vAlign w:val="bottom"/>
            <w:hideMark/>
          </w:tcPr>
          <w:p w14:paraId="216C9F69" w14:textId="77777777" w:rsidR="00A91679" w:rsidRPr="00A91679" w:rsidRDefault="00A91679" w:rsidP="008E1EF1">
            <w:pPr>
              <w:pStyle w:val="ListParagraph"/>
              <w:numPr>
                <w:ilvl w:val="0"/>
                <w:numId w:val="23"/>
              </w:numPr>
              <w:spacing w:after="0"/>
              <w:rPr>
                <w:lang w:eastAsia="en-AU"/>
              </w:rPr>
            </w:pPr>
            <w:r w:rsidRPr="00A91679">
              <w:rPr>
                <w:lang w:eastAsia="en-AU"/>
              </w:rPr>
              <w:t>3008</w:t>
            </w:r>
          </w:p>
        </w:tc>
        <w:tc>
          <w:tcPr>
            <w:tcW w:w="2773" w:type="dxa"/>
            <w:tcBorders>
              <w:top w:val="nil"/>
              <w:left w:val="nil"/>
              <w:bottom w:val="single" w:sz="4" w:space="0" w:color="auto"/>
              <w:right w:val="single" w:sz="4" w:space="0" w:color="auto"/>
            </w:tcBorders>
            <w:shd w:val="clear" w:color="auto" w:fill="auto"/>
            <w:noWrap/>
            <w:vAlign w:val="bottom"/>
            <w:hideMark/>
          </w:tcPr>
          <w:p w14:paraId="5F2C46A0" w14:textId="77777777" w:rsidR="00A91679" w:rsidRPr="00A91679" w:rsidRDefault="00A91679" w:rsidP="005922A0">
            <w:pPr>
              <w:spacing w:after="0"/>
              <w:jc w:val="right"/>
              <w:rPr>
                <w:lang w:eastAsia="en-AU"/>
              </w:rPr>
            </w:pPr>
            <w:r w:rsidRPr="00A91679">
              <w:rPr>
                <w:lang w:eastAsia="en-AU"/>
              </w:rPr>
              <w:t>35%</w:t>
            </w:r>
          </w:p>
        </w:tc>
      </w:tr>
      <w:tr w:rsidR="00A91679" w:rsidRPr="00A91679" w14:paraId="10E83B08" w14:textId="77777777" w:rsidTr="005922A0">
        <w:trPr>
          <w:trHeight w:val="300"/>
        </w:trPr>
        <w:tc>
          <w:tcPr>
            <w:tcW w:w="1055" w:type="dxa"/>
            <w:tcBorders>
              <w:top w:val="nil"/>
              <w:left w:val="single" w:sz="4" w:space="0" w:color="auto"/>
              <w:bottom w:val="single" w:sz="4" w:space="0" w:color="auto"/>
              <w:right w:val="single" w:sz="4" w:space="0" w:color="auto"/>
            </w:tcBorders>
            <w:shd w:val="clear" w:color="auto" w:fill="auto"/>
            <w:noWrap/>
            <w:vAlign w:val="bottom"/>
            <w:hideMark/>
          </w:tcPr>
          <w:p w14:paraId="13F91F86" w14:textId="77777777" w:rsidR="00A91679" w:rsidRPr="00A91679" w:rsidRDefault="00A91679" w:rsidP="008E1EF1">
            <w:pPr>
              <w:pStyle w:val="ListParagraph"/>
              <w:numPr>
                <w:ilvl w:val="0"/>
                <w:numId w:val="23"/>
              </w:numPr>
              <w:spacing w:after="0"/>
              <w:rPr>
                <w:lang w:eastAsia="en-AU"/>
              </w:rPr>
            </w:pPr>
            <w:r w:rsidRPr="00A91679">
              <w:rPr>
                <w:lang w:eastAsia="en-AU"/>
              </w:rPr>
              <w:t>3031</w:t>
            </w:r>
          </w:p>
        </w:tc>
        <w:tc>
          <w:tcPr>
            <w:tcW w:w="2773" w:type="dxa"/>
            <w:tcBorders>
              <w:top w:val="nil"/>
              <w:left w:val="nil"/>
              <w:bottom w:val="single" w:sz="4" w:space="0" w:color="auto"/>
              <w:right w:val="single" w:sz="4" w:space="0" w:color="auto"/>
            </w:tcBorders>
            <w:shd w:val="clear" w:color="auto" w:fill="auto"/>
            <w:noWrap/>
            <w:vAlign w:val="bottom"/>
            <w:hideMark/>
          </w:tcPr>
          <w:p w14:paraId="573B16D8" w14:textId="77777777" w:rsidR="00A91679" w:rsidRPr="00A91679" w:rsidRDefault="00A91679" w:rsidP="005922A0">
            <w:pPr>
              <w:spacing w:after="0"/>
              <w:jc w:val="right"/>
              <w:rPr>
                <w:lang w:eastAsia="en-AU"/>
              </w:rPr>
            </w:pPr>
            <w:r w:rsidRPr="00A91679">
              <w:rPr>
                <w:lang w:eastAsia="en-AU"/>
              </w:rPr>
              <w:t>65%</w:t>
            </w:r>
          </w:p>
        </w:tc>
      </w:tr>
      <w:tr w:rsidR="00A91679" w:rsidRPr="00A91679" w14:paraId="5C08BFEA" w14:textId="77777777" w:rsidTr="005922A0">
        <w:trPr>
          <w:trHeight w:val="300"/>
        </w:trPr>
        <w:tc>
          <w:tcPr>
            <w:tcW w:w="1055" w:type="dxa"/>
            <w:tcBorders>
              <w:top w:val="nil"/>
              <w:left w:val="single" w:sz="4" w:space="0" w:color="auto"/>
              <w:bottom w:val="single" w:sz="4" w:space="0" w:color="auto"/>
              <w:right w:val="single" w:sz="4" w:space="0" w:color="auto"/>
            </w:tcBorders>
            <w:shd w:val="clear" w:color="auto" w:fill="auto"/>
            <w:noWrap/>
            <w:vAlign w:val="bottom"/>
            <w:hideMark/>
          </w:tcPr>
          <w:p w14:paraId="382D5E39" w14:textId="77777777" w:rsidR="00A91679" w:rsidRPr="00A91679" w:rsidRDefault="00A91679" w:rsidP="008E1EF1">
            <w:pPr>
              <w:pStyle w:val="ListParagraph"/>
              <w:numPr>
                <w:ilvl w:val="0"/>
                <w:numId w:val="23"/>
              </w:numPr>
              <w:spacing w:after="0"/>
              <w:rPr>
                <w:lang w:eastAsia="en-AU"/>
              </w:rPr>
            </w:pPr>
            <w:r w:rsidRPr="00A91679">
              <w:rPr>
                <w:lang w:eastAsia="en-AU"/>
              </w:rPr>
              <w:t>3051</w:t>
            </w:r>
          </w:p>
        </w:tc>
        <w:tc>
          <w:tcPr>
            <w:tcW w:w="2773" w:type="dxa"/>
            <w:tcBorders>
              <w:top w:val="nil"/>
              <w:left w:val="nil"/>
              <w:bottom w:val="single" w:sz="4" w:space="0" w:color="auto"/>
              <w:right w:val="single" w:sz="4" w:space="0" w:color="auto"/>
            </w:tcBorders>
            <w:shd w:val="clear" w:color="auto" w:fill="auto"/>
            <w:noWrap/>
            <w:vAlign w:val="bottom"/>
            <w:hideMark/>
          </w:tcPr>
          <w:p w14:paraId="3F849303" w14:textId="77777777" w:rsidR="00A91679" w:rsidRPr="00A91679" w:rsidRDefault="00A91679" w:rsidP="005922A0">
            <w:pPr>
              <w:spacing w:after="0"/>
              <w:jc w:val="right"/>
              <w:rPr>
                <w:lang w:eastAsia="en-AU"/>
              </w:rPr>
            </w:pPr>
            <w:r w:rsidRPr="00A91679">
              <w:rPr>
                <w:lang w:eastAsia="en-AU"/>
              </w:rPr>
              <w:t>57%</w:t>
            </w:r>
          </w:p>
        </w:tc>
      </w:tr>
      <w:tr w:rsidR="00A91679" w:rsidRPr="00A91679" w14:paraId="73C6CFB0" w14:textId="77777777" w:rsidTr="005922A0">
        <w:trPr>
          <w:trHeight w:val="300"/>
        </w:trPr>
        <w:tc>
          <w:tcPr>
            <w:tcW w:w="1055" w:type="dxa"/>
            <w:tcBorders>
              <w:top w:val="nil"/>
              <w:left w:val="single" w:sz="4" w:space="0" w:color="auto"/>
              <w:bottom w:val="single" w:sz="4" w:space="0" w:color="auto"/>
              <w:right w:val="single" w:sz="4" w:space="0" w:color="auto"/>
            </w:tcBorders>
            <w:shd w:val="clear" w:color="auto" w:fill="auto"/>
            <w:noWrap/>
            <w:vAlign w:val="bottom"/>
            <w:hideMark/>
          </w:tcPr>
          <w:p w14:paraId="56B76E71" w14:textId="77777777" w:rsidR="00A91679" w:rsidRPr="00A91679" w:rsidRDefault="00A91679" w:rsidP="008E1EF1">
            <w:pPr>
              <w:pStyle w:val="ListParagraph"/>
              <w:numPr>
                <w:ilvl w:val="0"/>
                <w:numId w:val="23"/>
              </w:numPr>
              <w:spacing w:after="0"/>
              <w:rPr>
                <w:lang w:eastAsia="en-AU"/>
              </w:rPr>
            </w:pPr>
            <w:r w:rsidRPr="00A91679">
              <w:rPr>
                <w:lang w:eastAsia="en-AU"/>
              </w:rPr>
              <w:t>3052</w:t>
            </w:r>
          </w:p>
        </w:tc>
        <w:tc>
          <w:tcPr>
            <w:tcW w:w="2773" w:type="dxa"/>
            <w:tcBorders>
              <w:top w:val="nil"/>
              <w:left w:val="nil"/>
              <w:bottom w:val="single" w:sz="4" w:space="0" w:color="auto"/>
              <w:right w:val="single" w:sz="4" w:space="0" w:color="auto"/>
            </w:tcBorders>
            <w:shd w:val="clear" w:color="auto" w:fill="auto"/>
            <w:noWrap/>
            <w:vAlign w:val="bottom"/>
            <w:hideMark/>
          </w:tcPr>
          <w:p w14:paraId="5614B73F" w14:textId="77777777" w:rsidR="00A91679" w:rsidRPr="00A91679" w:rsidRDefault="00A91679" w:rsidP="005922A0">
            <w:pPr>
              <w:spacing w:after="0"/>
              <w:jc w:val="right"/>
              <w:rPr>
                <w:lang w:eastAsia="en-AU"/>
              </w:rPr>
            </w:pPr>
            <w:r w:rsidRPr="00A91679">
              <w:rPr>
                <w:lang w:eastAsia="en-AU"/>
              </w:rPr>
              <w:t>54%</w:t>
            </w:r>
          </w:p>
        </w:tc>
      </w:tr>
      <w:tr w:rsidR="00A91679" w:rsidRPr="00A91679" w14:paraId="4A7EF312" w14:textId="77777777" w:rsidTr="005922A0">
        <w:trPr>
          <w:trHeight w:val="300"/>
        </w:trPr>
        <w:tc>
          <w:tcPr>
            <w:tcW w:w="1055" w:type="dxa"/>
            <w:tcBorders>
              <w:top w:val="nil"/>
              <w:left w:val="single" w:sz="4" w:space="0" w:color="auto"/>
              <w:bottom w:val="single" w:sz="4" w:space="0" w:color="auto"/>
              <w:right w:val="single" w:sz="4" w:space="0" w:color="auto"/>
            </w:tcBorders>
            <w:shd w:val="clear" w:color="auto" w:fill="auto"/>
            <w:noWrap/>
            <w:vAlign w:val="bottom"/>
            <w:hideMark/>
          </w:tcPr>
          <w:p w14:paraId="2D1A910B" w14:textId="77777777" w:rsidR="00A91679" w:rsidRPr="00A91679" w:rsidRDefault="00A91679" w:rsidP="008E1EF1">
            <w:pPr>
              <w:pStyle w:val="ListParagraph"/>
              <w:numPr>
                <w:ilvl w:val="0"/>
                <w:numId w:val="23"/>
              </w:numPr>
              <w:spacing w:after="0"/>
              <w:rPr>
                <w:lang w:eastAsia="en-AU"/>
              </w:rPr>
            </w:pPr>
            <w:r w:rsidRPr="00A91679">
              <w:rPr>
                <w:lang w:eastAsia="en-AU"/>
              </w:rPr>
              <w:t>3053</w:t>
            </w:r>
          </w:p>
        </w:tc>
        <w:tc>
          <w:tcPr>
            <w:tcW w:w="2773" w:type="dxa"/>
            <w:tcBorders>
              <w:top w:val="nil"/>
              <w:left w:val="nil"/>
              <w:bottom w:val="single" w:sz="4" w:space="0" w:color="auto"/>
              <w:right w:val="single" w:sz="4" w:space="0" w:color="auto"/>
            </w:tcBorders>
            <w:shd w:val="clear" w:color="auto" w:fill="auto"/>
            <w:noWrap/>
            <w:vAlign w:val="bottom"/>
            <w:hideMark/>
          </w:tcPr>
          <w:p w14:paraId="6F3B2172" w14:textId="77777777" w:rsidR="00A91679" w:rsidRPr="00A91679" w:rsidRDefault="00A91679" w:rsidP="005922A0">
            <w:pPr>
              <w:spacing w:after="0"/>
              <w:jc w:val="right"/>
              <w:rPr>
                <w:lang w:eastAsia="en-AU"/>
              </w:rPr>
            </w:pPr>
            <w:r w:rsidRPr="00A91679">
              <w:rPr>
                <w:lang w:eastAsia="en-AU"/>
              </w:rPr>
              <w:t>59%</w:t>
            </w:r>
          </w:p>
        </w:tc>
      </w:tr>
      <w:tr w:rsidR="00A91679" w:rsidRPr="00A91679" w14:paraId="417AF71B" w14:textId="77777777" w:rsidTr="005922A0">
        <w:trPr>
          <w:trHeight w:val="300"/>
        </w:trPr>
        <w:tc>
          <w:tcPr>
            <w:tcW w:w="1055" w:type="dxa"/>
            <w:tcBorders>
              <w:top w:val="nil"/>
              <w:left w:val="single" w:sz="4" w:space="0" w:color="auto"/>
              <w:bottom w:val="single" w:sz="4" w:space="0" w:color="auto"/>
              <w:right w:val="single" w:sz="4" w:space="0" w:color="auto"/>
            </w:tcBorders>
            <w:shd w:val="clear" w:color="auto" w:fill="auto"/>
            <w:noWrap/>
            <w:vAlign w:val="bottom"/>
            <w:hideMark/>
          </w:tcPr>
          <w:p w14:paraId="033FDFAC" w14:textId="77777777" w:rsidR="00A91679" w:rsidRPr="00A91679" w:rsidRDefault="00A91679" w:rsidP="008E1EF1">
            <w:pPr>
              <w:pStyle w:val="ListParagraph"/>
              <w:numPr>
                <w:ilvl w:val="0"/>
                <w:numId w:val="23"/>
              </w:numPr>
              <w:spacing w:after="0"/>
              <w:rPr>
                <w:lang w:eastAsia="en-AU"/>
              </w:rPr>
            </w:pPr>
            <w:r w:rsidRPr="00A91679">
              <w:rPr>
                <w:lang w:eastAsia="en-AU"/>
              </w:rPr>
              <w:t>3054</w:t>
            </w:r>
          </w:p>
        </w:tc>
        <w:tc>
          <w:tcPr>
            <w:tcW w:w="2773" w:type="dxa"/>
            <w:tcBorders>
              <w:top w:val="nil"/>
              <w:left w:val="nil"/>
              <w:bottom w:val="single" w:sz="4" w:space="0" w:color="auto"/>
              <w:right w:val="single" w:sz="4" w:space="0" w:color="auto"/>
            </w:tcBorders>
            <w:shd w:val="clear" w:color="auto" w:fill="auto"/>
            <w:noWrap/>
            <w:vAlign w:val="bottom"/>
            <w:hideMark/>
          </w:tcPr>
          <w:p w14:paraId="44746CB3" w14:textId="77777777" w:rsidR="00A91679" w:rsidRPr="00A91679" w:rsidRDefault="00A91679" w:rsidP="005922A0">
            <w:pPr>
              <w:spacing w:after="0"/>
              <w:jc w:val="right"/>
              <w:rPr>
                <w:lang w:eastAsia="en-AU"/>
              </w:rPr>
            </w:pPr>
            <w:r w:rsidRPr="00A91679">
              <w:rPr>
                <w:lang w:eastAsia="en-AU"/>
              </w:rPr>
              <w:t>3%</w:t>
            </w:r>
          </w:p>
        </w:tc>
      </w:tr>
      <w:tr w:rsidR="00A91679" w:rsidRPr="00A91679" w14:paraId="2B8FBAE6" w14:textId="77777777" w:rsidTr="005922A0">
        <w:trPr>
          <w:trHeight w:val="300"/>
        </w:trPr>
        <w:tc>
          <w:tcPr>
            <w:tcW w:w="1055" w:type="dxa"/>
            <w:tcBorders>
              <w:top w:val="nil"/>
              <w:left w:val="single" w:sz="4" w:space="0" w:color="auto"/>
              <w:bottom w:val="single" w:sz="4" w:space="0" w:color="auto"/>
              <w:right w:val="single" w:sz="4" w:space="0" w:color="auto"/>
            </w:tcBorders>
            <w:shd w:val="clear" w:color="auto" w:fill="auto"/>
            <w:noWrap/>
            <w:vAlign w:val="bottom"/>
            <w:hideMark/>
          </w:tcPr>
          <w:p w14:paraId="25669CC1" w14:textId="77777777" w:rsidR="00A91679" w:rsidRPr="00A91679" w:rsidRDefault="00A91679" w:rsidP="008E1EF1">
            <w:pPr>
              <w:pStyle w:val="ListParagraph"/>
              <w:numPr>
                <w:ilvl w:val="0"/>
                <w:numId w:val="23"/>
              </w:numPr>
              <w:spacing w:after="0"/>
              <w:rPr>
                <w:lang w:eastAsia="en-AU"/>
              </w:rPr>
            </w:pPr>
            <w:r w:rsidRPr="00A91679">
              <w:rPr>
                <w:lang w:eastAsia="en-AU"/>
              </w:rPr>
              <w:t>3141</w:t>
            </w:r>
          </w:p>
        </w:tc>
        <w:tc>
          <w:tcPr>
            <w:tcW w:w="2773" w:type="dxa"/>
            <w:tcBorders>
              <w:top w:val="nil"/>
              <w:left w:val="nil"/>
              <w:bottom w:val="single" w:sz="4" w:space="0" w:color="auto"/>
              <w:right w:val="single" w:sz="4" w:space="0" w:color="auto"/>
            </w:tcBorders>
            <w:shd w:val="clear" w:color="auto" w:fill="auto"/>
            <w:noWrap/>
            <w:vAlign w:val="bottom"/>
            <w:hideMark/>
          </w:tcPr>
          <w:p w14:paraId="6C9858B3" w14:textId="77777777" w:rsidR="00A91679" w:rsidRPr="00A91679" w:rsidRDefault="00A91679" w:rsidP="005922A0">
            <w:pPr>
              <w:spacing w:after="0"/>
              <w:jc w:val="right"/>
              <w:rPr>
                <w:lang w:eastAsia="en-AU"/>
              </w:rPr>
            </w:pPr>
            <w:r w:rsidRPr="00A91679">
              <w:rPr>
                <w:lang w:eastAsia="en-AU"/>
              </w:rPr>
              <w:t>89%</w:t>
            </w:r>
          </w:p>
        </w:tc>
      </w:tr>
    </w:tbl>
    <w:p w14:paraId="248455F9" w14:textId="77777777" w:rsidR="00A91679" w:rsidRDefault="00A91679" w:rsidP="005922A0">
      <w:pPr>
        <w:rPr>
          <w:rFonts w:ascii="Helvetica Light" w:hAnsi="Helvetica Light" w:cstheme="minorBidi"/>
          <w:szCs w:val="20"/>
        </w:rPr>
      </w:pPr>
    </w:p>
    <w:p w14:paraId="26FA8EE9" w14:textId="77777777" w:rsidR="005922A0" w:rsidRDefault="005922A0" w:rsidP="005922A0">
      <w:r>
        <w:t xml:space="preserve">Return to </w:t>
      </w:r>
      <w:hyperlink w:anchor="_3.2.2_Residential" w:history="1">
        <w:r w:rsidRPr="005922A0">
          <w:rPr>
            <w:rStyle w:val="Hyperlink"/>
          </w:rPr>
          <w:t>Residential</w:t>
        </w:r>
      </w:hyperlink>
    </w:p>
    <w:p w14:paraId="3469525A" w14:textId="1D45DA9C" w:rsidR="005922A0" w:rsidRPr="005922A0" w:rsidRDefault="003B3A7A" w:rsidP="005922A0">
      <w:pPr>
        <w:pStyle w:val="Heading3"/>
        <w:rPr>
          <w:rFonts w:hint="eastAsia"/>
        </w:rPr>
      </w:pPr>
      <w:bookmarkStart w:id="232" w:name="_Average_Number_of_1"/>
      <w:bookmarkEnd w:id="232"/>
      <w:r>
        <w:t>Table A.16</w:t>
      </w:r>
      <w:r>
        <w:tab/>
      </w:r>
      <w:r w:rsidR="005922A0" w:rsidRPr="00A91679">
        <w:t>Average Number of Apartment Building Floors Above Ground</w:t>
      </w:r>
    </w:p>
    <w:tbl>
      <w:tblPr>
        <w:tblW w:w="3969" w:type="dxa"/>
        <w:tblInd w:w="-5" w:type="dxa"/>
        <w:tblLook w:val="04A0" w:firstRow="1" w:lastRow="0" w:firstColumn="1" w:lastColumn="0" w:noHBand="0" w:noVBand="1"/>
      </w:tblPr>
      <w:tblGrid>
        <w:gridCol w:w="1208"/>
        <w:gridCol w:w="2761"/>
      </w:tblGrid>
      <w:tr w:rsidR="00A91679" w:rsidRPr="00A91679" w14:paraId="13FEB260" w14:textId="77777777" w:rsidTr="005922A0">
        <w:trPr>
          <w:trHeight w:val="300"/>
        </w:trPr>
        <w:tc>
          <w:tcPr>
            <w:tcW w:w="12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0DB05E" w14:textId="77777777" w:rsidR="00A91679" w:rsidRPr="005922A0" w:rsidRDefault="00A91679" w:rsidP="005922A0">
            <w:pPr>
              <w:spacing w:after="0"/>
              <w:rPr>
                <w:b/>
                <w:bCs/>
                <w:lang w:eastAsia="en-AU"/>
              </w:rPr>
            </w:pPr>
            <w:bookmarkStart w:id="233" w:name="_Figure_17:_Average"/>
            <w:bookmarkEnd w:id="233"/>
            <w:r w:rsidRPr="005922A0">
              <w:rPr>
                <w:b/>
                <w:bCs/>
                <w:lang w:eastAsia="en-AU"/>
              </w:rPr>
              <w:t>Postcode</w:t>
            </w:r>
          </w:p>
        </w:tc>
        <w:tc>
          <w:tcPr>
            <w:tcW w:w="2761" w:type="dxa"/>
            <w:tcBorders>
              <w:top w:val="single" w:sz="4" w:space="0" w:color="auto"/>
              <w:left w:val="nil"/>
              <w:bottom w:val="single" w:sz="4" w:space="0" w:color="auto"/>
              <w:right w:val="single" w:sz="4" w:space="0" w:color="auto"/>
            </w:tcBorders>
            <w:shd w:val="clear" w:color="auto" w:fill="auto"/>
            <w:noWrap/>
            <w:vAlign w:val="bottom"/>
            <w:hideMark/>
          </w:tcPr>
          <w:p w14:paraId="7B33F9AF" w14:textId="77777777" w:rsidR="00A91679" w:rsidRPr="005922A0" w:rsidRDefault="00A91679" w:rsidP="005922A0">
            <w:pPr>
              <w:spacing w:after="0"/>
              <w:rPr>
                <w:b/>
                <w:bCs/>
                <w:lang w:eastAsia="en-AU"/>
              </w:rPr>
            </w:pPr>
            <w:r w:rsidRPr="005922A0">
              <w:rPr>
                <w:b/>
                <w:bCs/>
                <w:lang w:eastAsia="en-AU"/>
              </w:rPr>
              <w:t>Average Number of Floors Above Ground (-)</w:t>
            </w:r>
          </w:p>
        </w:tc>
      </w:tr>
      <w:tr w:rsidR="00A91679" w:rsidRPr="00A91679" w14:paraId="214C911D" w14:textId="77777777" w:rsidTr="005922A0">
        <w:trPr>
          <w:trHeight w:val="300"/>
        </w:trPr>
        <w:tc>
          <w:tcPr>
            <w:tcW w:w="1208" w:type="dxa"/>
            <w:tcBorders>
              <w:top w:val="nil"/>
              <w:left w:val="single" w:sz="4" w:space="0" w:color="auto"/>
              <w:bottom w:val="single" w:sz="4" w:space="0" w:color="auto"/>
              <w:right w:val="single" w:sz="4" w:space="0" w:color="auto"/>
            </w:tcBorders>
            <w:shd w:val="clear" w:color="auto" w:fill="auto"/>
            <w:noWrap/>
            <w:vAlign w:val="bottom"/>
            <w:hideMark/>
          </w:tcPr>
          <w:p w14:paraId="2D0DD3D5" w14:textId="77777777" w:rsidR="00A91679" w:rsidRPr="00A91679" w:rsidRDefault="00A91679" w:rsidP="008E1EF1">
            <w:pPr>
              <w:spacing w:after="0"/>
              <w:jc w:val="right"/>
              <w:rPr>
                <w:lang w:eastAsia="en-AU"/>
              </w:rPr>
            </w:pPr>
            <w:r w:rsidRPr="00A91679">
              <w:rPr>
                <w:lang w:eastAsia="en-AU"/>
              </w:rPr>
              <w:t>3000</w:t>
            </w:r>
          </w:p>
        </w:tc>
        <w:tc>
          <w:tcPr>
            <w:tcW w:w="2761" w:type="dxa"/>
            <w:tcBorders>
              <w:top w:val="nil"/>
              <w:left w:val="nil"/>
              <w:bottom w:val="single" w:sz="4" w:space="0" w:color="auto"/>
              <w:right w:val="single" w:sz="4" w:space="0" w:color="auto"/>
            </w:tcBorders>
            <w:shd w:val="clear" w:color="auto" w:fill="auto"/>
            <w:noWrap/>
            <w:vAlign w:val="bottom"/>
            <w:hideMark/>
          </w:tcPr>
          <w:p w14:paraId="06846CBF" w14:textId="77777777" w:rsidR="00A91679" w:rsidRPr="00A91679" w:rsidRDefault="00A91679" w:rsidP="00A75648">
            <w:pPr>
              <w:spacing w:after="0"/>
              <w:jc w:val="right"/>
              <w:rPr>
                <w:lang w:eastAsia="en-AU"/>
              </w:rPr>
            </w:pPr>
            <w:r w:rsidRPr="00A91679">
              <w:rPr>
                <w:lang w:eastAsia="en-AU"/>
              </w:rPr>
              <w:t>18</w:t>
            </w:r>
          </w:p>
        </w:tc>
      </w:tr>
      <w:tr w:rsidR="00A91679" w:rsidRPr="00A91679" w14:paraId="4B611400" w14:textId="77777777" w:rsidTr="005922A0">
        <w:trPr>
          <w:trHeight w:val="300"/>
        </w:trPr>
        <w:tc>
          <w:tcPr>
            <w:tcW w:w="1208" w:type="dxa"/>
            <w:tcBorders>
              <w:top w:val="nil"/>
              <w:left w:val="single" w:sz="4" w:space="0" w:color="auto"/>
              <w:bottom w:val="single" w:sz="4" w:space="0" w:color="auto"/>
              <w:right w:val="single" w:sz="4" w:space="0" w:color="auto"/>
            </w:tcBorders>
            <w:shd w:val="clear" w:color="auto" w:fill="auto"/>
            <w:noWrap/>
            <w:vAlign w:val="bottom"/>
            <w:hideMark/>
          </w:tcPr>
          <w:p w14:paraId="1167C215" w14:textId="77777777" w:rsidR="00A91679" w:rsidRPr="00A91679" w:rsidRDefault="00A91679" w:rsidP="008E1EF1">
            <w:pPr>
              <w:spacing w:after="0"/>
              <w:jc w:val="right"/>
              <w:rPr>
                <w:lang w:eastAsia="en-AU"/>
              </w:rPr>
            </w:pPr>
            <w:r w:rsidRPr="00A91679">
              <w:rPr>
                <w:lang w:eastAsia="en-AU"/>
              </w:rPr>
              <w:t>3002</w:t>
            </w:r>
          </w:p>
        </w:tc>
        <w:tc>
          <w:tcPr>
            <w:tcW w:w="2761" w:type="dxa"/>
            <w:tcBorders>
              <w:top w:val="nil"/>
              <w:left w:val="nil"/>
              <w:bottom w:val="single" w:sz="4" w:space="0" w:color="auto"/>
              <w:right w:val="single" w:sz="4" w:space="0" w:color="auto"/>
            </w:tcBorders>
            <w:shd w:val="clear" w:color="auto" w:fill="auto"/>
            <w:noWrap/>
            <w:vAlign w:val="bottom"/>
            <w:hideMark/>
          </w:tcPr>
          <w:p w14:paraId="548D4A1D" w14:textId="77777777" w:rsidR="00A91679" w:rsidRPr="00A91679" w:rsidRDefault="00A91679" w:rsidP="00A75648">
            <w:pPr>
              <w:spacing w:after="0"/>
              <w:jc w:val="right"/>
              <w:rPr>
                <w:lang w:eastAsia="en-AU"/>
              </w:rPr>
            </w:pPr>
            <w:r w:rsidRPr="00A91679">
              <w:rPr>
                <w:lang w:eastAsia="en-AU"/>
              </w:rPr>
              <w:t>4</w:t>
            </w:r>
          </w:p>
        </w:tc>
      </w:tr>
      <w:tr w:rsidR="00A91679" w:rsidRPr="00A91679" w14:paraId="61A01076" w14:textId="77777777" w:rsidTr="005922A0">
        <w:trPr>
          <w:trHeight w:val="300"/>
        </w:trPr>
        <w:tc>
          <w:tcPr>
            <w:tcW w:w="1208" w:type="dxa"/>
            <w:tcBorders>
              <w:top w:val="nil"/>
              <w:left w:val="single" w:sz="4" w:space="0" w:color="auto"/>
              <w:bottom w:val="single" w:sz="4" w:space="0" w:color="auto"/>
              <w:right w:val="single" w:sz="4" w:space="0" w:color="auto"/>
            </w:tcBorders>
            <w:shd w:val="clear" w:color="auto" w:fill="auto"/>
            <w:noWrap/>
            <w:vAlign w:val="bottom"/>
            <w:hideMark/>
          </w:tcPr>
          <w:p w14:paraId="66491931" w14:textId="77777777" w:rsidR="00A91679" w:rsidRPr="00A91679" w:rsidRDefault="00A91679" w:rsidP="008E1EF1">
            <w:pPr>
              <w:spacing w:after="0"/>
              <w:jc w:val="right"/>
              <w:rPr>
                <w:lang w:eastAsia="en-AU"/>
              </w:rPr>
            </w:pPr>
            <w:r w:rsidRPr="00A91679">
              <w:rPr>
                <w:lang w:eastAsia="en-AU"/>
              </w:rPr>
              <w:t>3003</w:t>
            </w:r>
          </w:p>
        </w:tc>
        <w:tc>
          <w:tcPr>
            <w:tcW w:w="2761" w:type="dxa"/>
            <w:tcBorders>
              <w:top w:val="nil"/>
              <w:left w:val="nil"/>
              <w:bottom w:val="single" w:sz="4" w:space="0" w:color="auto"/>
              <w:right w:val="single" w:sz="4" w:space="0" w:color="auto"/>
            </w:tcBorders>
            <w:shd w:val="clear" w:color="auto" w:fill="auto"/>
            <w:noWrap/>
            <w:vAlign w:val="bottom"/>
            <w:hideMark/>
          </w:tcPr>
          <w:p w14:paraId="1D585ACC" w14:textId="77777777" w:rsidR="00A91679" w:rsidRPr="00A91679" w:rsidRDefault="00A91679" w:rsidP="00A75648">
            <w:pPr>
              <w:spacing w:after="0"/>
              <w:jc w:val="right"/>
              <w:rPr>
                <w:lang w:eastAsia="en-AU"/>
              </w:rPr>
            </w:pPr>
            <w:r w:rsidRPr="00A91679">
              <w:rPr>
                <w:lang w:eastAsia="en-AU"/>
              </w:rPr>
              <w:t>6</w:t>
            </w:r>
          </w:p>
        </w:tc>
      </w:tr>
      <w:tr w:rsidR="00A91679" w:rsidRPr="00A91679" w14:paraId="175444DA" w14:textId="77777777" w:rsidTr="005922A0">
        <w:trPr>
          <w:trHeight w:val="300"/>
        </w:trPr>
        <w:tc>
          <w:tcPr>
            <w:tcW w:w="1208" w:type="dxa"/>
            <w:tcBorders>
              <w:top w:val="nil"/>
              <w:left w:val="single" w:sz="4" w:space="0" w:color="auto"/>
              <w:bottom w:val="single" w:sz="4" w:space="0" w:color="auto"/>
              <w:right w:val="single" w:sz="4" w:space="0" w:color="auto"/>
            </w:tcBorders>
            <w:shd w:val="clear" w:color="auto" w:fill="auto"/>
            <w:noWrap/>
            <w:vAlign w:val="bottom"/>
            <w:hideMark/>
          </w:tcPr>
          <w:p w14:paraId="54A45C3A" w14:textId="77777777" w:rsidR="00A91679" w:rsidRPr="00A91679" w:rsidRDefault="00A91679" w:rsidP="008E1EF1">
            <w:pPr>
              <w:spacing w:after="0"/>
              <w:jc w:val="right"/>
              <w:rPr>
                <w:lang w:eastAsia="en-AU"/>
              </w:rPr>
            </w:pPr>
            <w:r w:rsidRPr="00A91679">
              <w:rPr>
                <w:lang w:eastAsia="en-AU"/>
              </w:rPr>
              <w:t>3004</w:t>
            </w:r>
          </w:p>
        </w:tc>
        <w:tc>
          <w:tcPr>
            <w:tcW w:w="2761" w:type="dxa"/>
            <w:tcBorders>
              <w:top w:val="nil"/>
              <w:left w:val="nil"/>
              <w:bottom w:val="single" w:sz="4" w:space="0" w:color="auto"/>
              <w:right w:val="single" w:sz="4" w:space="0" w:color="auto"/>
            </w:tcBorders>
            <w:shd w:val="clear" w:color="auto" w:fill="auto"/>
            <w:noWrap/>
            <w:vAlign w:val="bottom"/>
            <w:hideMark/>
          </w:tcPr>
          <w:p w14:paraId="40730359" w14:textId="77777777" w:rsidR="00A91679" w:rsidRPr="00A91679" w:rsidRDefault="00A91679" w:rsidP="00A75648">
            <w:pPr>
              <w:spacing w:after="0"/>
              <w:jc w:val="right"/>
              <w:rPr>
                <w:lang w:eastAsia="en-AU"/>
              </w:rPr>
            </w:pPr>
            <w:r w:rsidRPr="00A91679">
              <w:rPr>
                <w:lang w:eastAsia="en-AU"/>
              </w:rPr>
              <w:t>13</w:t>
            </w:r>
          </w:p>
        </w:tc>
      </w:tr>
      <w:tr w:rsidR="00A91679" w:rsidRPr="00A91679" w14:paraId="7573492C" w14:textId="77777777" w:rsidTr="005922A0">
        <w:trPr>
          <w:trHeight w:val="300"/>
        </w:trPr>
        <w:tc>
          <w:tcPr>
            <w:tcW w:w="1208" w:type="dxa"/>
            <w:tcBorders>
              <w:top w:val="nil"/>
              <w:left w:val="single" w:sz="4" w:space="0" w:color="auto"/>
              <w:bottom w:val="single" w:sz="4" w:space="0" w:color="auto"/>
              <w:right w:val="single" w:sz="4" w:space="0" w:color="auto"/>
            </w:tcBorders>
            <w:shd w:val="clear" w:color="auto" w:fill="auto"/>
            <w:noWrap/>
            <w:vAlign w:val="bottom"/>
            <w:hideMark/>
          </w:tcPr>
          <w:p w14:paraId="16E218AB" w14:textId="77777777" w:rsidR="00A91679" w:rsidRPr="00A91679" w:rsidRDefault="00A91679" w:rsidP="008E1EF1">
            <w:pPr>
              <w:spacing w:after="0"/>
              <w:jc w:val="right"/>
              <w:rPr>
                <w:lang w:eastAsia="en-AU"/>
              </w:rPr>
            </w:pPr>
            <w:r w:rsidRPr="00A91679">
              <w:rPr>
                <w:lang w:eastAsia="en-AU"/>
              </w:rPr>
              <w:t>3006</w:t>
            </w:r>
          </w:p>
        </w:tc>
        <w:tc>
          <w:tcPr>
            <w:tcW w:w="2761" w:type="dxa"/>
            <w:tcBorders>
              <w:top w:val="nil"/>
              <w:left w:val="nil"/>
              <w:bottom w:val="single" w:sz="4" w:space="0" w:color="auto"/>
              <w:right w:val="single" w:sz="4" w:space="0" w:color="auto"/>
            </w:tcBorders>
            <w:shd w:val="clear" w:color="auto" w:fill="auto"/>
            <w:noWrap/>
            <w:vAlign w:val="bottom"/>
            <w:hideMark/>
          </w:tcPr>
          <w:p w14:paraId="7AD917CF" w14:textId="77777777" w:rsidR="00A91679" w:rsidRPr="00A91679" w:rsidRDefault="00A91679" w:rsidP="00A75648">
            <w:pPr>
              <w:spacing w:after="0"/>
              <w:jc w:val="right"/>
              <w:rPr>
                <w:lang w:eastAsia="en-AU"/>
              </w:rPr>
            </w:pPr>
            <w:r w:rsidRPr="00A91679">
              <w:rPr>
                <w:lang w:eastAsia="en-AU"/>
              </w:rPr>
              <w:t>29</w:t>
            </w:r>
          </w:p>
        </w:tc>
      </w:tr>
      <w:tr w:rsidR="00A91679" w:rsidRPr="00A91679" w14:paraId="7D83C083" w14:textId="77777777" w:rsidTr="005922A0">
        <w:trPr>
          <w:trHeight w:val="300"/>
        </w:trPr>
        <w:tc>
          <w:tcPr>
            <w:tcW w:w="1208" w:type="dxa"/>
            <w:tcBorders>
              <w:top w:val="nil"/>
              <w:left w:val="single" w:sz="4" w:space="0" w:color="auto"/>
              <w:bottom w:val="single" w:sz="4" w:space="0" w:color="auto"/>
              <w:right w:val="single" w:sz="4" w:space="0" w:color="auto"/>
            </w:tcBorders>
            <w:shd w:val="clear" w:color="auto" w:fill="auto"/>
            <w:noWrap/>
            <w:vAlign w:val="bottom"/>
            <w:hideMark/>
          </w:tcPr>
          <w:p w14:paraId="62CB0941" w14:textId="77777777" w:rsidR="00A91679" w:rsidRPr="00A91679" w:rsidRDefault="00A91679" w:rsidP="008E1EF1">
            <w:pPr>
              <w:spacing w:after="0"/>
              <w:jc w:val="right"/>
              <w:rPr>
                <w:lang w:eastAsia="en-AU"/>
              </w:rPr>
            </w:pPr>
            <w:r w:rsidRPr="00A91679">
              <w:rPr>
                <w:lang w:eastAsia="en-AU"/>
              </w:rPr>
              <w:t>3008</w:t>
            </w:r>
          </w:p>
        </w:tc>
        <w:tc>
          <w:tcPr>
            <w:tcW w:w="2761" w:type="dxa"/>
            <w:tcBorders>
              <w:top w:val="nil"/>
              <w:left w:val="nil"/>
              <w:bottom w:val="single" w:sz="4" w:space="0" w:color="auto"/>
              <w:right w:val="single" w:sz="4" w:space="0" w:color="auto"/>
            </w:tcBorders>
            <w:shd w:val="clear" w:color="auto" w:fill="auto"/>
            <w:noWrap/>
            <w:vAlign w:val="bottom"/>
            <w:hideMark/>
          </w:tcPr>
          <w:p w14:paraId="222EEE96" w14:textId="77777777" w:rsidR="00A91679" w:rsidRPr="00A91679" w:rsidRDefault="00A91679" w:rsidP="00A75648">
            <w:pPr>
              <w:spacing w:after="0"/>
              <w:jc w:val="right"/>
              <w:rPr>
                <w:lang w:eastAsia="en-AU"/>
              </w:rPr>
            </w:pPr>
            <w:r w:rsidRPr="00A91679">
              <w:rPr>
                <w:lang w:eastAsia="en-AU"/>
              </w:rPr>
              <w:t>23</w:t>
            </w:r>
          </w:p>
        </w:tc>
      </w:tr>
    </w:tbl>
    <w:p w14:paraId="48F0249C" w14:textId="77777777" w:rsidR="00A91679" w:rsidRDefault="00A91679" w:rsidP="005922A0">
      <w:pPr>
        <w:rPr>
          <w:rFonts w:ascii="Helvetica Light" w:hAnsi="Helvetica Light" w:cstheme="minorBidi"/>
          <w:szCs w:val="20"/>
        </w:rPr>
      </w:pPr>
    </w:p>
    <w:p w14:paraId="6BBFD410" w14:textId="77777777" w:rsidR="005922A0" w:rsidRDefault="005922A0" w:rsidP="005922A0">
      <w:r>
        <w:t xml:space="preserve">Return to </w:t>
      </w:r>
      <w:hyperlink w:anchor="_3.2.2_Residential" w:history="1">
        <w:r w:rsidRPr="005922A0">
          <w:rPr>
            <w:rStyle w:val="Hyperlink"/>
          </w:rPr>
          <w:t>Residential</w:t>
        </w:r>
      </w:hyperlink>
    </w:p>
    <w:p w14:paraId="1728C430" w14:textId="3233E7F1" w:rsidR="005922A0" w:rsidRPr="00A75648" w:rsidRDefault="003B3A7A" w:rsidP="003B3A7A">
      <w:pPr>
        <w:pStyle w:val="Heading3"/>
        <w:ind w:left="1440" w:hanging="1440"/>
        <w:rPr>
          <w:rFonts w:hint="eastAsia"/>
        </w:rPr>
      </w:pPr>
      <w:r>
        <w:t>Table A.17</w:t>
      </w:r>
      <w:r>
        <w:tab/>
      </w:r>
      <w:r w:rsidR="00A75648" w:rsidRPr="00A91679">
        <w:t>Distribution of Education and Healthcare Floorspace by Postcode, City of Melbourne, FY2022</w:t>
      </w:r>
    </w:p>
    <w:tbl>
      <w:tblPr>
        <w:tblW w:w="3969" w:type="dxa"/>
        <w:tblInd w:w="-5" w:type="dxa"/>
        <w:tblLook w:val="04A0" w:firstRow="1" w:lastRow="0" w:firstColumn="1" w:lastColumn="0" w:noHBand="0" w:noVBand="1"/>
      </w:tblPr>
      <w:tblGrid>
        <w:gridCol w:w="1117"/>
        <w:gridCol w:w="2852"/>
      </w:tblGrid>
      <w:tr w:rsidR="00A91679" w:rsidRPr="00A75648" w14:paraId="78080E79" w14:textId="77777777" w:rsidTr="00A75648">
        <w:trPr>
          <w:trHeight w:val="300"/>
        </w:trPr>
        <w:tc>
          <w:tcPr>
            <w:tcW w:w="11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A14FAB" w14:textId="77777777" w:rsidR="00A91679" w:rsidRPr="00A75648" w:rsidRDefault="00A91679" w:rsidP="00A75648">
            <w:pPr>
              <w:spacing w:after="0"/>
              <w:rPr>
                <w:rFonts w:cs="Arial"/>
                <w:b/>
                <w:bCs/>
                <w:szCs w:val="20"/>
                <w:lang w:eastAsia="en-AU"/>
              </w:rPr>
            </w:pPr>
            <w:bookmarkStart w:id="234" w:name="_Figure_18:_Distribution"/>
            <w:bookmarkEnd w:id="234"/>
            <w:r w:rsidRPr="00A75648">
              <w:rPr>
                <w:rFonts w:cs="Arial"/>
                <w:b/>
                <w:bCs/>
                <w:szCs w:val="20"/>
                <w:lang w:eastAsia="en-AU"/>
              </w:rPr>
              <w:t>Postcode</w:t>
            </w:r>
          </w:p>
        </w:tc>
        <w:tc>
          <w:tcPr>
            <w:tcW w:w="2852" w:type="dxa"/>
            <w:tcBorders>
              <w:top w:val="single" w:sz="4" w:space="0" w:color="auto"/>
              <w:left w:val="nil"/>
              <w:bottom w:val="single" w:sz="4" w:space="0" w:color="auto"/>
              <w:right w:val="single" w:sz="4" w:space="0" w:color="auto"/>
            </w:tcBorders>
            <w:shd w:val="clear" w:color="auto" w:fill="auto"/>
            <w:noWrap/>
            <w:vAlign w:val="bottom"/>
            <w:hideMark/>
          </w:tcPr>
          <w:p w14:paraId="457A186E" w14:textId="77777777" w:rsidR="00A91679" w:rsidRPr="00A75648" w:rsidRDefault="00A91679" w:rsidP="00A75648">
            <w:pPr>
              <w:spacing w:after="0"/>
              <w:rPr>
                <w:rFonts w:cs="Arial"/>
                <w:b/>
                <w:bCs/>
                <w:szCs w:val="20"/>
                <w:lang w:eastAsia="en-AU"/>
              </w:rPr>
            </w:pPr>
            <w:r w:rsidRPr="00A75648">
              <w:rPr>
                <w:rFonts w:cs="Arial"/>
                <w:b/>
                <w:bCs/>
                <w:szCs w:val="20"/>
                <w:lang w:eastAsia="en-AU"/>
              </w:rPr>
              <w:t>Education and Healthcare Floorspace as a Percentage of the Total (%)</w:t>
            </w:r>
          </w:p>
        </w:tc>
      </w:tr>
      <w:tr w:rsidR="00A91679" w:rsidRPr="00A75648" w14:paraId="12C65A4D" w14:textId="77777777" w:rsidTr="00A75648">
        <w:trPr>
          <w:trHeight w:val="300"/>
        </w:trPr>
        <w:tc>
          <w:tcPr>
            <w:tcW w:w="1117" w:type="dxa"/>
            <w:tcBorders>
              <w:top w:val="nil"/>
              <w:left w:val="single" w:sz="4" w:space="0" w:color="auto"/>
              <w:bottom w:val="single" w:sz="4" w:space="0" w:color="auto"/>
              <w:right w:val="single" w:sz="4" w:space="0" w:color="auto"/>
            </w:tcBorders>
            <w:shd w:val="clear" w:color="auto" w:fill="auto"/>
            <w:noWrap/>
            <w:vAlign w:val="bottom"/>
            <w:hideMark/>
          </w:tcPr>
          <w:p w14:paraId="682021FA" w14:textId="77777777" w:rsidR="00A91679" w:rsidRPr="00A75648" w:rsidRDefault="00A91679" w:rsidP="008E1EF1">
            <w:pPr>
              <w:spacing w:after="0"/>
              <w:jc w:val="right"/>
              <w:rPr>
                <w:rFonts w:cs="Arial"/>
                <w:szCs w:val="20"/>
                <w:lang w:eastAsia="en-AU"/>
              </w:rPr>
            </w:pPr>
            <w:r w:rsidRPr="00A75648">
              <w:rPr>
                <w:rFonts w:cs="Arial"/>
                <w:szCs w:val="20"/>
                <w:lang w:eastAsia="en-AU"/>
              </w:rPr>
              <w:t>3000</w:t>
            </w:r>
          </w:p>
        </w:tc>
        <w:tc>
          <w:tcPr>
            <w:tcW w:w="2852" w:type="dxa"/>
            <w:tcBorders>
              <w:top w:val="nil"/>
              <w:left w:val="nil"/>
              <w:bottom w:val="single" w:sz="4" w:space="0" w:color="auto"/>
              <w:right w:val="single" w:sz="4" w:space="0" w:color="auto"/>
            </w:tcBorders>
            <w:shd w:val="clear" w:color="auto" w:fill="auto"/>
            <w:noWrap/>
            <w:vAlign w:val="bottom"/>
            <w:hideMark/>
          </w:tcPr>
          <w:p w14:paraId="33C474EC" w14:textId="77777777" w:rsidR="00A91679" w:rsidRPr="00A75648" w:rsidRDefault="00A91679" w:rsidP="00A75648">
            <w:pPr>
              <w:spacing w:after="0"/>
              <w:jc w:val="right"/>
              <w:rPr>
                <w:rFonts w:cs="Arial"/>
                <w:szCs w:val="20"/>
                <w:lang w:eastAsia="en-AU"/>
              </w:rPr>
            </w:pPr>
            <w:r w:rsidRPr="00A75648">
              <w:rPr>
                <w:rFonts w:cs="Arial"/>
                <w:szCs w:val="20"/>
                <w:lang w:eastAsia="en-AU"/>
              </w:rPr>
              <w:t>5%</w:t>
            </w:r>
          </w:p>
        </w:tc>
      </w:tr>
      <w:tr w:rsidR="00A91679" w:rsidRPr="00A75648" w14:paraId="51AF8A06" w14:textId="77777777" w:rsidTr="00A75648">
        <w:trPr>
          <w:trHeight w:val="300"/>
        </w:trPr>
        <w:tc>
          <w:tcPr>
            <w:tcW w:w="1117" w:type="dxa"/>
            <w:tcBorders>
              <w:top w:val="nil"/>
              <w:left w:val="single" w:sz="4" w:space="0" w:color="auto"/>
              <w:bottom w:val="single" w:sz="4" w:space="0" w:color="auto"/>
              <w:right w:val="single" w:sz="4" w:space="0" w:color="auto"/>
            </w:tcBorders>
            <w:shd w:val="clear" w:color="auto" w:fill="auto"/>
            <w:noWrap/>
            <w:vAlign w:val="bottom"/>
            <w:hideMark/>
          </w:tcPr>
          <w:p w14:paraId="5E830A45" w14:textId="77777777" w:rsidR="00A91679" w:rsidRPr="00A75648" w:rsidRDefault="00A91679" w:rsidP="008E1EF1">
            <w:pPr>
              <w:spacing w:after="0"/>
              <w:jc w:val="right"/>
              <w:rPr>
                <w:rFonts w:cs="Arial"/>
                <w:szCs w:val="20"/>
                <w:lang w:eastAsia="en-AU"/>
              </w:rPr>
            </w:pPr>
            <w:r w:rsidRPr="00A75648">
              <w:rPr>
                <w:rFonts w:cs="Arial"/>
                <w:szCs w:val="20"/>
                <w:lang w:eastAsia="en-AU"/>
              </w:rPr>
              <w:t>3002</w:t>
            </w:r>
          </w:p>
        </w:tc>
        <w:tc>
          <w:tcPr>
            <w:tcW w:w="2852" w:type="dxa"/>
            <w:tcBorders>
              <w:top w:val="nil"/>
              <w:left w:val="nil"/>
              <w:bottom w:val="single" w:sz="4" w:space="0" w:color="auto"/>
              <w:right w:val="single" w:sz="4" w:space="0" w:color="auto"/>
            </w:tcBorders>
            <w:shd w:val="clear" w:color="auto" w:fill="auto"/>
            <w:noWrap/>
            <w:vAlign w:val="bottom"/>
            <w:hideMark/>
          </w:tcPr>
          <w:p w14:paraId="642DF226" w14:textId="77777777" w:rsidR="00A91679" w:rsidRPr="00A75648" w:rsidRDefault="00A91679" w:rsidP="00A75648">
            <w:pPr>
              <w:spacing w:after="0"/>
              <w:jc w:val="right"/>
              <w:rPr>
                <w:rFonts w:cs="Arial"/>
                <w:szCs w:val="20"/>
                <w:lang w:eastAsia="en-AU"/>
              </w:rPr>
            </w:pPr>
            <w:r w:rsidRPr="00A75648">
              <w:rPr>
                <w:rFonts w:cs="Arial"/>
                <w:szCs w:val="20"/>
                <w:lang w:eastAsia="en-AU"/>
              </w:rPr>
              <w:t>13%</w:t>
            </w:r>
          </w:p>
        </w:tc>
      </w:tr>
      <w:tr w:rsidR="00A91679" w:rsidRPr="00A75648" w14:paraId="3697A6FA" w14:textId="77777777" w:rsidTr="00A75648">
        <w:trPr>
          <w:trHeight w:val="300"/>
        </w:trPr>
        <w:tc>
          <w:tcPr>
            <w:tcW w:w="1117" w:type="dxa"/>
            <w:tcBorders>
              <w:top w:val="nil"/>
              <w:left w:val="single" w:sz="4" w:space="0" w:color="auto"/>
              <w:bottom w:val="single" w:sz="4" w:space="0" w:color="auto"/>
              <w:right w:val="single" w:sz="4" w:space="0" w:color="auto"/>
            </w:tcBorders>
            <w:shd w:val="clear" w:color="auto" w:fill="auto"/>
            <w:noWrap/>
            <w:vAlign w:val="bottom"/>
            <w:hideMark/>
          </w:tcPr>
          <w:p w14:paraId="564EE970" w14:textId="77777777" w:rsidR="00A91679" w:rsidRPr="00A75648" w:rsidRDefault="00A91679" w:rsidP="008E1EF1">
            <w:pPr>
              <w:spacing w:after="0"/>
              <w:jc w:val="right"/>
              <w:rPr>
                <w:rFonts w:cs="Arial"/>
                <w:szCs w:val="20"/>
                <w:lang w:eastAsia="en-AU"/>
              </w:rPr>
            </w:pPr>
            <w:r w:rsidRPr="00A75648">
              <w:rPr>
                <w:rFonts w:cs="Arial"/>
                <w:szCs w:val="20"/>
                <w:lang w:eastAsia="en-AU"/>
              </w:rPr>
              <w:t>3003</w:t>
            </w:r>
          </w:p>
        </w:tc>
        <w:tc>
          <w:tcPr>
            <w:tcW w:w="2852" w:type="dxa"/>
            <w:tcBorders>
              <w:top w:val="nil"/>
              <w:left w:val="nil"/>
              <w:bottom w:val="single" w:sz="4" w:space="0" w:color="auto"/>
              <w:right w:val="single" w:sz="4" w:space="0" w:color="auto"/>
            </w:tcBorders>
            <w:shd w:val="clear" w:color="auto" w:fill="auto"/>
            <w:noWrap/>
            <w:vAlign w:val="bottom"/>
            <w:hideMark/>
          </w:tcPr>
          <w:p w14:paraId="2C5E3EB0" w14:textId="77777777" w:rsidR="00A91679" w:rsidRPr="00A75648" w:rsidRDefault="00A91679" w:rsidP="00A75648">
            <w:pPr>
              <w:spacing w:after="0"/>
              <w:jc w:val="right"/>
              <w:rPr>
                <w:rFonts w:cs="Arial"/>
                <w:szCs w:val="20"/>
                <w:lang w:eastAsia="en-AU"/>
              </w:rPr>
            </w:pPr>
            <w:r w:rsidRPr="00A75648">
              <w:rPr>
                <w:rFonts w:cs="Arial"/>
                <w:szCs w:val="20"/>
                <w:lang w:eastAsia="en-AU"/>
              </w:rPr>
              <w:t>1%</w:t>
            </w:r>
          </w:p>
        </w:tc>
      </w:tr>
      <w:tr w:rsidR="00A91679" w:rsidRPr="00A75648" w14:paraId="1650BF86" w14:textId="77777777" w:rsidTr="00A75648">
        <w:trPr>
          <w:trHeight w:val="300"/>
        </w:trPr>
        <w:tc>
          <w:tcPr>
            <w:tcW w:w="1117" w:type="dxa"/>
            <w:tcBorders>
              <w:top w:val="nil"/>
              <w:left w:val="single" w:sz="4" w:space="0" w:color="auto"/>
              <w:bottom w:val="single" w:sz="4" w:space="0" w:color="auto"/>
              <w:right w:val="single" w:sz="4" w:space="0" w:color="auto"/>
            </w:tcBorders>
            <w:shd w:val="clear" w:color="auto" w:fill="auto"/>
            <w:noWrap/>
            <w:vAlign w:val="bottom"/>
            <w:hideMark/>
          </w:tcPr>
          <w:p w14:paraId="72ED91C5" w14:textId="77777777" w:rsidR="00A91679" w:rsidRPr="00A75648" w:rsidRDefault="00A91679" w:rsidP="008E1EF1">
            <w:pPr>
              <w:spacing w:after="0"/>
              <w:jc w:val="right"/>
              <w:rPr>
                <w:rFonts w:cs="Arial"/>
                <w:szCs w:val="20"/>
                <w:lang w:eastAsia="en-AU"/>
              </w:rPr>
            </w:pPr>
            <w:r w:rsidRPr="00A75648">
              <w:rPr>
                <w:rFonts w:cs="Arial"/>
                <w:szCs w:val="20"/>
                <w:lang w:eastAsia="en-AU"/>
              </w:rPr>
              <w:t>3004</w:t>
            </w:r>
          </w:p>
        </w:tc>
        <w:tc>
          <w:tcPr>
            <w:tcW w:w="2852" w:type="dxa"/>
            <w:tcBorders>
              <w:top w:val="nil"/>
              <w:left w:val="nil"/>
              <w:bottom w:val="single" w:sz="4" w:space="0" w:color="auto"/>
              <w:right w:val="single" w:sz="4" w:space="0" w:color="auto"/>
            </w:tcBorders>
            <w:shd w:val="clear" w:color="auto" w:fill="auto"/>
            <w:noWrap/>
            <w:vAlign w:val="bottom"/>
            <w:hideMark/>
          </w:tcPr>
          <w:p w14:paraId="1EFE2150" w14:textId="77777777" w:rsidR="00A91679" w:rsidRPr="00A75648" w:rsidRDefault="00A91679" w:rsidP="00A75648">
            <w:pPr>
              <w:spacing w:after="0"/>
              <w:jc w:val="right"/>
              <w:rPr>
                <w:rFonts w:cs="Arial"/>
                <w:szCs w:val="20"/>
                <w:lang w:eastAsia="en-AU"/>
              </w:rPr>
            </w:pPr>
            <w:r w:rsidRPr="00A75648">
              <w:rPr>
                <w:rFonts w:cs="Arial"/>
                <w:szCs w:val="20"/>
                <w:lang w:eastAsia="en-AU"/>
              </w:rPr>
              <w:t>9%</w:t>
            </w:r>
          </w:p>
        </w:tc>
      </w:tr>
      <w:tr w:rsidR="00A91679" w:rsidRPr="00A75648" w14:paraId="659D9FF5" w14:textId="77777777" w:rsidTr="00A75648">
        <w:trPr>
          <w:trHeight w:val="300"/>
        </w:trPr>
        <w:tc>
          <w:tcPr>
            <w:tcW w:w="1117" w:type="dxa"/>
            <w:tcBorders>
              <w:top w:val="nil"/>
              <w:left w:val="single" w:sz="4" w:space="0" w:color="auto"/>
              <w:bottom w:val="single" w:sz="4" w:space="0" w:color="auto"/>
              <w:right w:val="single" w:sz="4" w:space="0" w:color="auto"/>
            </w:tcBorders>
            <w:shd w:val="clear" w:color="auto" w:fill="auto"/>
            <w:noWrap/>
            <w:vAlign w:val="bottom"/>
            <w:hideMark/>
          </w:tcPr>
          <w:p w14:paraId="32D039C4" w14:textId="77777777" w:rsidR="00A91679" w:rsidRPr="00A75648" w:rsidRDefault="00A91679" w:rsidP="008E1EF1">
            <w:pPr>
              <w:spacing w:after="0"/>
              <w:jc w:val="right"/>
              <w:rPr>
                <w:rFonts w:cs="Arial"/>
                <w:szCs w:val="20"/>
                <w:lang w:eastAsia="en-AU"/>
              </w:rPr>
            </w:pPr>
            <w:r w:rsidRPr="00A75648">
              <w:rPr>
                <w:rFonts w:cs="Arial"/>
                <w:szCs w:val="20"/>
                <w:lang w:eastAsia="en-AU"/>
              </w:rPr>
              <w:t>3006</w:t>
            </w:r>
          </w:p>
        </w:tc>
        <w:tc>
          <w:tcPr>
            <w:tcW w:w="2852" w:type="dxa"/>
            <w:tcBorders>
              <w:top w:val="nil"/>
              <w:left w:val="nil"/>
              <w:bottom w:val="single" w:sz="4" w:space="0" w:color="auto"/>
              <w:right w:val="single" w:sz="4" w:space="0" w:color="auto"/>
            </w:tcBorders>
            <w:shd w:val="clear" w:color="auto" w:fill="auto"/>
            <w:noWrap/>
            <w:vAlign w:val="bottom"/>
            <w:hideMark/>
          </w:tcPr>
          <w:p w14:paraId="7944F5FB" w14:textId="77777777" w:rsidR="00A91679" w:rsidRPr="00A75648" w:rsidRDefault="00A91679" w:rsidP="00A75648">
            <w:pPr>
              <w:spacing w:after="0"/>
              <w:jc w:val="right"/>
              <w:rPr>
                <w:rFonts w:cs="Arial"/>
                <w:szCs w:val="20"/>
                <w:lang w:eastAsia="en-AU"/>
              </w:rPr>
            </w:pPr>
            <w:r w:rsidRPr="00A75648">
              <w:rPr>
                <w:rFonts w:cs="Arial"/>
                <w:szCs w:val="20"/>
                <w:lang w:eastAsia="en-AU"/>
              </w:rPr>
              <w:t>2%</w:t>
            </w:r>
          </w:p>
        </w:tc>
      </w:tr>
      <w:tr w:rsidR="00A91679" w:rsidRPr="00A75648" w14:paraId="6ADA3FF0" w14:textId="77777777" w:rsidTr="00A75648">
        <w:trPr>
          <w:trHeight w:val="300"/>
        </w:trPr>
        <w:tc>
          <w:tcPr>
            <w:tcW w:w="1117" w:type="dxa"/>
            <w:tcBorders>
              <w:top w:val="nil"/>
              <w:left w:val="single" w:sz="4" w:space="0" w:color="auto"/>
              <w:bottom w:val="single" w:sz="4" w:space="0" w:color="auto"/>
              <w:right w:val="single" w:sz="4" w:space="0" w:color="auto"/>
            </w:tcBorders>
            <w:shd w:val="clear" w:color="auto" w:fill="auto"/>
            <w:noWrap/>
            <w:vAlign w:val="bottom"/>
            <w:hideMark/>
          </w:tcPr>
          <w:p w14:paraId="6B0E6AEB" w14:textId="77777777" w:rsidR="00A91679" w:rsidRPr="00A75648" w:rsidRDefault="00A91679" w:rsidP="008E1EF1">
            <w:pPr>
              <w:spacing w:after="0"/>
              <w:jc w:val="right"/>
              <w:rPr>
                <w:rFonts w:cs="Arial"/>
                <w:szCs w:val="20"/>
                <w:lang w:eastAsia="en-AU"/>
              </w:rPr>
            </w:pPr>
            <w:r w:rsidRPr="00A75648">
              <w:rPr>
                <w:rFonts w:cs="Arial"/>
                <w:szCs w:val="20"/>
                <w:lang w:eastAsia="en-AU"/>
              </w:rPr>
              <w:t>3008</w:t>
            </w:r>
          </w:p>
        </w:tc>
        <w:tc>
          <w:tcPr>
            <w:tcW w:w="2852" w:type="dxa"/>
            <w:tcBorders>
              <w:top w:val="nil"/>
              <w:left w:val="nil"/>
              <w:bottom w:val="single" w:sz="4" w:space="0" w:color="auto"/>
              <w:right w:val="single" w:sz="4" w:space="0" w:color="auto"/>
            </w:tcBorders>
            <w:shd w:val="clear" w:color="auto" w:fill="auto"/>
            <w:noWrap/>
            <w:vAlign w:val="bottom"/>
            <w:hideMark/>
          </w:tcPr>
          <w:p w14:paraId="2328AF4F" w14:textId="77777777" w:rsidR="00A91679" w:rsidRPr="00A75648" w:rsidRDefault="00A91679" w:rsidP="00A75648">
            <w:pPr>
              <w:spacing w:after="0"/>
              <w:jc w:val="right"/>
              <w:rPr>
                <w:rFonts w:cs="Arial"/>
                <w:szCs w:val="20"/>
                <w:lang w:eastAsia="en-AU"/>
              </w:rPr>
            </w:pPr>
            <w:r w:rsidRPr="00A75648">
              <w:rPr>
                <w:rFonts w:cs="Arial"/>
                <w:szCs w:val="20"/>
                <w:lang w:eastAsia="en-AU"/>
              </w:rPr>
              <w:t>1%</w:t>
            </w:r>
          </w:p>
        </w:tc>
      </w:tr>
      <w:tr w:rsidR="00A91679" w:rsidRPr="00A75648" w14:paraId="75A9134D" w14:textId="77777777" w:rsidTr="00A75648">
        <w:trPr>
          <w:trHeight w:val="300"/>
        </w:trPr>
        <w:tc>
          <w:tcPr>
            <w:tcW w:w="1117" w:type="dxa"/>
            <w:tcBorders>
              <w:top w:val="nil"/>
              <w:left w:val="single" w:sz="4" w:space="0" w:color="auto"/>
              <w:bottom w:val="single" w:sz="4" w:space="0" w:color="auto"/>
              <w:right w:val="single" w:sz="4" w:space="0" w:color="auto"/>
            </w:tcBorders>
            <w:shd w:val="clear" w:color="auto" w:fill="auto"/>
            <w:noWrap/>
            <w:vAlign w:val="bottom"/>
            <w:hideMark/>
          </w:tcPr>
          <w:p w14:paraId="51D3DD03" w14:textId="77777777" w:rsidR="00A91679" w:rsidRPr="00A75648" w:rsidRDefault="00A91679" w:rsidP="008E1EF1">
            <w:pPr>
              <w:spacing w:after="0"/>
              <w:jc w:val="right"/>
              <w:rPr>
                <w:rFonts w:cs="Arial"/>
                <w:szCs w:val="20"/>
                <w:lang w:eastAsia="en-AU"/>
              </w:rPr>
            </w:pPr>
            <w:r w:rsidRPr="00A75648">
              <w:rPr>
                <w:rFonts w:cs="Arial"/>
                <w:szCs w:val="20"/>
                <w:lang w:eastAsia="en-AU"/>
              </w:rPr>
              <w:lastRenderedPageBreak/>
              <w:t>3010</w:t>
            </w:r>
          </w:p>
        </w:tc>
        <w:tc>
          <w:tcPr>
            <w:tcW w:w="2852" w:type="dxa"/>
            <w:tcBorders>
              <w:top w:val="nil"/>
              <w:left w:val="nil"/>
              <w:bottom w:val="single" w:sz="4" w:space="0" w:color="auto"/>
              <w:right w:val="single" w:sz="4" w:space="0" w:color="auto"/>
            </w:tcBorders>
            <w:shd w:val="clear" w:color="auto" w:fill="auto"/>
            <w:noWrap/>
            <w:vAlign w:val="bottom"/>
            <w:hideMark/>
          </w:tcPr>
          <w:p w14:paraId="47D29BA0" w14:textId="77777777" w:rsidR="00A91679" w:rsidRPr="00A75648" w:rsidRDefault="00A91679" w:rsidP="00A75648">
            <w:pPr>
              <w:spacing w:after="0"/>
              <w:jc w:val="right"/>
              <w:rPr>
                <w:rFonts w:cs="Arial"/>
                <w:szCs w:val="20"/>
                <w:lang w:eastAsia="en-AU"/>
              </w:rPr>
            </w:pPr>
            <w:r w:rsidRPr="00A75648">
              <w:rPr>
                <w:rFonts w:cs="Arial"/>
                <w:szCs w:val="20"/>
                <w:lang w:eastAsia="en-AU"/>
              </w:rPr>
              <w:t>80%</w:t>
            </w:r>
          </w:p>
        </w:tc>
      </w:tr>
      <w:tr w:rsidR="00A91679" w:rsidRPr="00A75648" w14:paraId="7A1647FD" w14:textId="77777777" w:rsidTr="00A75648">
        <w:trPr>
          <w:trHeight w:val="300"/>
        </w:trPr>
        <w:tc>
          <w:tcPr>
            <w:tcW w:w="1117" w:type="dxa"/>
            <w:tcBorders>
              <w:top w:val="nil"/>
              <w:left w:val="single" w:sz="4" w:space="0" w:color="auto"/>
              <w:bottom w:val="single" w:sz="4" w:space="0" w:color="auto"/>
              <w:right w:val="single" w:sz="4" w:space="0" w:color="auto"/>
            </w:tcBorders>
            <w:shd w:val="clear" w:color="auto" w:fill="auto"/>
            <w:noWrap/>
            <w:vAlign w:val="bottom"/>
            <w:hideMark/>
          </w:tcPr>
          <w:p w14:paraId="72566A6E" w14:textId="77777777" w:rsidR="00A91679" w:rsidRPr="00A75648" w:rsidRDefault="00A91679" w:rsidP="008E1EF1">
            <w:pPr>
              <w:spacing w:after="0"/>
              <w:jc w:val="right"/>
              <w:rPr>
                <w:rFonts w:cs="Arial"/>
                <w:szCs w:val="20"/>
                <w:lang w:eastAsia="en-AU"/>
              </w:rPr>
            </w:pPr>
            <w:r w:rsidRPr="00A75648">
              <w:rPr>
                <w:rFonts w:cs="Arial"/>
                <w:szCs w:val="20"/>
                <w:lang w:eastAsia="en-AU"/>
              </w:rPr>
              <w:t>3031</w:t>
            </w:r>
          </w:p>
        </w:tc>
        <w:tc>
          <w:tcPr>
            <w:tcW w:w="2852" w:type="dxa"/>
            <w:tcBorders>
              <w:top w:val="nil"/>
              <w:left w:val="nil"/>
              <w:bottom w:val="single" w:sz="4" w:space="0" w:color="auto"/>
              <w:right w:val="single" w:sz="4" w:space="0" w:color="auto"/>
            </w:tcBorders>
            <w:shd w:val="clear" w:color="auto" w:fill="auto"/>
            <w:noWrap/>
            <w:vAlign w:val="bottom"/>
            <w:hideMark/>
          </w:tcPr>
          <w:p w14:paraId="783DE8BB" w14:textId="77777777" w:rsidR="00A91679" w:rsidRPr="00A75648" w:rsidRDefault="00A91679" w:rsidP="00A75648">
            <w:pPr>
              <w:spacing w:after="0"/>
              <w:jc w:val="right"/>
              <w:rPr>
                <w:rFonts w:cs="Arial"/>
                <w:szCs w:val="20"/>
                <w:lang w:eastAsia="en-AU"/>
              </w:rPr>
            </w:pPr>
            <w:r w:rsidRPr="00A75648">
              <w:rPr>
                <w:rFonts w:cs="Arial"/>
                <w:szCs w:val="20"/>
                <w:lang w:eastAsia="en-AU"/>
              </w:rPr>
              <w:t>3%</w:t>
            </w:r>
          </w:p>
        </w:tc>
      </w:tr>
      <w:tr w:rsidR="00A91679" w:rsidRPr="00A75648" w14:paraId="1058B36C" w14:textId="77777777" w:rsidTr="00A75648">
        <w:trPr>
          <w:trHeight w:val="300"/>
        </w:trPr>
        <w:tc>
          <w:tcPr>
            <w:tcW w:w="1117" w:type="dxa"/>
            <w:tcBorders>
              <w:top w:val="nil"/>
              <w:left w:val="single" w:sz="4" w:space="0" w:color="auto"/>
              <w:bottom w:val="single" w:sz="4" w:space="0" w:color="auto"/>
              <w:right w:val="single" w:sz="4" w:space="0" w:color="auto"/>
            </w:tcBorders>
            <w:shd w:val="clear" w:color="auto" w:fill="auto"/>
            <w:noWrap/>
            <w:vAlign w:val="bottom"/>
            <w:hideMark/>
          </w:tcPr>
          <w:p w14:paraId="43D4B111" w14:textId="77777777" w:rsidR="00A91679" w:rsidRPr="00A75648" w:rsidRDefault="00A91679" w:rsidP="008E1EF1">
            <w:pPr>
              <w:spacing w:after="0"/>
              <w:jc w:val="right"/>
              <w:rPr>
                <w:rFonts w:cs="Arial"/>
                <w:szCs w:val="20"/>
                <w:lang w:eastAsia="en-AU"/>
              </w:rPr>
            </w:pPr>
            <w:r w:rsidRPr="00A75648">
              <w:rPr>
                <w:rFonts w:cs="Arial"/>
                <w:szCs w:val="20"/>
                <w:lang w:eastAsia="en-AU"/>
              </w:rPr>
              <w:t>3032</w:t>
            </w:r>
          </w:p>
        </w:tc>
        <w:tc>
          <w:tcPr>
            <w:tcW w:w="2852" w:type="dxa"/>
            <w:tcBorders>
              <w:top w:val="nil"/>
              <w:left w:val="nil"/>
              <w:bottom w:val="single" w:sz="4" w:space="0" w:color="auto"/>
              <w:right w:val="single" w:sz="4" w:space="0" w:color="auto"/>
            </w:tcBorders>
            <w:shd w:val="clear" w:color="auto" w:fill="auto"/>
            <w:noWrap/>
            <w:vAlign w:val="bottom"/>
            <w:hideMark/>
          </w:tcPr>
          <w:p w14:paraId="5199B244" w14:textId="77777777" w:rsidR="00A91679" w:rsidRPr="00A75648" w:rsidRDefault="00A91679" w:rsidP="00A75648">
            <w:pPr>
              <w:spacing w:after="0"/>
              <w:jc w:val="right"/>
              <w:rPr>
                <w:rFonts w:cs="Arial"/>
                <w:szCs w:val="20"/>
                <w:lang w:eastAsia="en-AU"/>
              </w:rPr>
            </w:pPr>
            <w:r w:rsidRPr="00A75648">
              <w:rPr>
                <w:rFonts w:cs="Arial"/>
                <w:szCs w:val="20"/>
                <w:lang w:eastAsia="en-AU"/>
              </w:rPr>
              <w:t>0%</w:t>
            </w:r>
          </w:p>
        </w:tc>
      </w:tr>
      <w:tr w:rsidR="00A91679" w:rsidRPr="00A75648" w14:paraId="160DA747" w14:textId="77777777" w:rsidTr="00A75648">
        <w:trPr>
          <w:trHeight w:val="300"/>
        </w:trPr>
        <w:tc>
          <w:tcPr>
            <w:tcW w:w="1117" w:type="dxa"/>
            <w:tcBorders>
              <w:top w:val="nil"/>
              <w:left w:val="single" w:sz="4" w:space="0" w:color="auto"/>
              <w:bottom w:val="single" w:sz="4" w:space="0" w:color="auto"/>
              <w:right w:val="single" w:sz="4" w:space="0" w:color="auto"/>
            </w:tcBorders>
            <w:shd w:val="clear" w:color="auto" w:fill="auto"/>
            <w:noWrap/>
            <w:vAlign w:val="bottom"/>
            <w:hideMark/>
          </w:tcPr>
          <w:p w14:paraId="35E7EC1C" w14:textId="77777777" w:rsidR="00A91679" w:rsidRPr="00A75648" w:rsidRDefault="00A91679" w:rsidP="008E1EF1">
            <w:pPr>
              <w:spacing w:after="0"/>
              <w:jc w:val="right"/>
              <w:rPr>
                <w:rFonts w:cs="Arial"/>
                <w:szCs w:val="20"/>
                <w:lang w:eastAsia="en-AU"/>
              </w:rPr>
            </w:pPr>
            <w:r w:rsidRPr="00A75648">
              <w:rPr>
                <w:rFonts w:cs="Arial"/>
                <w:szCs w:val="20"/>
                <w:lang w:eastAsia="en-AU"/>
              </w:rPr>
              <w:t>3050</w:t>
            </w:r>
          </w:p>
        </w:tc>
        <w:tc>
          <w:tcPr>
            <w:tcW w:w="2852" w:type="dxa"/>
            <w:tcBorders>
              <w:top w:val="nil"/>
              <w:left w:val="nil"/>
              <w:bottom w:val="single" w:sz="4" w:space="0" w:color="auto"/>
              <w:right w:val="single" w:sz="4" w:space="0" w:color="auto"/>
            </w:tcBorders>
            <w:shd w:val="clear" w:color="auto" w:fill="auto"/>
            <w:noWrap/>
            <w:vAlign w:val="bottom"/>
            <w:hideMark/>
          </w:tcPr>
          <w:p w14:paraId="1D59B8A7" w14:textId="77777777" w:rsidR="00A91679" w:rsidRPr="00A75648" w:rsidRDefault="00A91679" w:rsidP="00A75648">
            <w:pPr>
              <w:spacing w:after="0"/>
              <w:jc w:val="right"/>
              <w:rPr>
                <w:rFonts w:cs="Arial"/>
                <w:szCs w:val="20"/>
                <w:lang w:eastAsia="en-AU"/>
              </w:rPr>
            </w:pPr>
            <w:r w:rsidRPr="00A75648">
              <w:rPr>
                <w:rFonts w:cs="Arial"/>
                <w:szCs w:val="20"/>
                <w:lang w:eastAsia="en-AU"/>
              </w:rPr>
              <w:t>74%</w:t>
            </w:r>
          </w:p>
        </w:tc>
      </w:tr>
      <w:tr w:rsidR="00A91679" w:rsidRPr="00A75648" w14:paraId="312D5781" w14:textId="77777777" w:rsidTr="00A75648">
        <w:trPr>
          <w:trHeight w:val="300"/>
        </w:trPr>
        <w:tc>
          <w:tcPr>
            <w:tcW w:w="1117" w:type="dxa"/>
            <w:tcBorders>
              <w:top w:val="nil"/>
              <w:left w:val="single" w:sz="4" w:space="0" w:color="auto"/>
              <w:bottom w:val="single" w:sz="4" w:space="0" w:color="auto"/>
              <w:right w:val="single" w:sz="4" w:space="0" w:color="auto"/>
            </w:tcBorders>
            <w:shd w:val="clear" w:color="auto" w:fill="auto"/>
            <w:noWrap/>
            <w:vAlign w:val="bottom"/>
            <w:hideMark/>
          </w:tcPr>
          <w:p w14:paraId="24D702A5" w14:textId="77777777" w:rsidR="00A91679" w:rsidRPr="00A75648" w:rsidRDefault="00A91679" w:rsidP="008E1EF1">
            <w:pPr>
              <w:spacing w:after="0"/>
              <w:jc w:val="right"/>
              <w:rPr>
                <w:rFonts w:cs="Arial"/>
                <w:szCs w:val="20"/>
                <w:lang w:eastAsia="en-AU"/>
              </w:rPr>
            </w:pPr>
            <w:r w:rsidRPr="00A75648">
              <w:rPr>
                <w:rFonts w:cs="Arial"/>
                <w:szCs w:val="20"/>
                <w:lang w:eastAsia="en-AU"/>
              </w:rPr>
              <w:t>3051</w:t>
            </w:r>
          </w:p>
        </w:tc>
        <w:tc>
          <w:tcPr>
            <w:tcW w:w="2852" w:type="dxa"/>
            <w:tcBorders>
              <w:top w:val="nil"/>
              <w:left w:val="nil"/>
              <w:bottom w:val="single" w:sz="4" w:space="0" w:color="auto"/>
              <w:right w:val="single" w:sz="4" w:space="0" w:color="auto"/>
            </w:tcBorders>
            <w:shd w:val="clear" w:color="auto" w:fill="auto"/>
            <w:noWrap/>
            <w:vAlign w:val="bottom"/>
            <w:hideMark/>
          </w:tcPr>
          <w:p w14:paraId="678D4217" w14:textId="77777777" w:rsidR="00A91679" w:rsidRPr="00A75648" w:rsidRDefault="00A91679" w:rsidP="00A75648">
            <w:pPr>
              <w:spacing w:after="0"/>
              <w:jc w:val="right"/>
              <w:rPr>
                <w:rFonts w:cs="Arial"/>
                <w:szCs w:val="20"/>
                <w:lang w:eastAsia="en-AU"/>
              </w:rPr>
            </w:pPr>
            <w:r w:rsidRPr="00A75648">
              <w:rPr>
                <w:rFonts w:cs="Arial"/>
                <w:szCs w:val="20"/>
                <w:lang w:eastAsia="en-AU"/>
              </w:rPr>
              <w:t>3%</w:t>
            </w:r>
          </w:p>
        </w:tc>
      </w:tr>
      <w:tr w:rsidR="00A91679" w:rsidRPr="00A75648" w14:paraId="57F9096A" w14:textId="77777777" w:rsidTr="00A75648">
        <w:trPr>
          <w:trHeight w:val="300"/>
        </w:trPr>
        <w:tc>
          <w:tcPr>
            <w:tcW w:w="1117" w:type="dxa"/>
            <w:tcBorders>
              <w:top w:val="nil"/>
              <w:left w:val="single" w:sz="4" w:space="0" w:color="auto"/>
              <w:bottom w:val="single" w:sz="4" w:space="0" w:color="auto"/>
              <w:right w:val="single" w:sz="4" w:space="0" w:color="auto"/>
            </w:tcBorders>
            <w:shd w:val="clear" w:color="auto" w:fill="auto"/>
            <w:noWrap/>
            <w:vAlign w:val="bottom"/>
            <w:hideMark/>
          </w:tcPr>
          <w:p w14:paraId="3382BFF6" w14:textId="77777777" w:rsidR="00A91679" w:rsidRPr="00A75648" w:rsidRDefault="00A91679" w:rsidP="008E1EF1">
            <w:pPr>
              <w:spacing w:after="0"/>
              <w:jc w:val="right"/>
              <w:rPr>
                <w:rFonts w:cs="Arial"/>
                <w:szCs w:val="20"/>
                <w:lang w:eastAsia="en-AU"/>
              </w:rPr>
            </w:pPr>
            <w:r w:rsidRPr="00A75648">
              <w:rPr>
                <w:rFonts w:cs="Arial"/>
                <w:szCs w:val="20"/>
                <w:lang w:eastAsia="en-AU"/>
              </w:rPr>
              <w:t>3052</w:t>
            </w:r>
          </w:p>
        </w:tc>
        <w:tc>
          <w:tcPr>
            <w:tcW w:w="2852" w:type="dxa"/>
            <w:tcBorders>
              <w:top w:val="nil"/>
              <w:left w:val="nil"/>
              <w:bottom w:val="single" w:sz="4" w:space="0" w:color="auto"/>
              <w:right w:val="single" w:sz="4" w:space="0" w:color="auto"/>
            </w:tcBorders>
            <w:shd w:val="clear" w:color="auto" w:fill="auto"/>
            <w:noWrap/>
            <w:vAlign w:val="bottom"/>
            <w:hideMark/>
          </w:tcPr>
          <w:p w14:paraId="3A0B20E0" w14:textId="77777777" w:rsidR="00A91679" w:rsidRPr="00A75648" w:rsidRDefault="00A91679" w:rsidP="00A75648">
            <w:pPr>
              <w:spacing w:after="0"/>
              <w:jc w:val="right"/>
              <w:rPr>
                <w:rFonts w:cs="Arial"/>
                <w:szCs w:val="20"/>
                <w:lang w:eastAsia="en-AU"/>
              </w:rPr>
            </w:pPr>
            <w:r w:rsidRPr="00A75648">
              <w:rPr>
                <w:rFonts w:cs="Arial"/>
                <w:szCs w:val="20"/>
                <w:lang w:eastAsia="en-AU"/>
              </w:rPr>
              <w:t>33%</w:t>
            </w:r>
          </w:p>
        </w:tc>
      </w:tr>
      <w:tr w:rsidR="00A91679" w:rsidRPr="00A75648" w14:paraId="21FAE6CF" w14:textId="77777777" w:rsidTr="00A75648">
        <w:trPr>
          <w:trHeight w:val="300"/>
        </w:trPr>
        <w:tc>
          <w:tcPr>
            <w:tcW w:w="1117" w:type="dxa"/>
            <w:tcBorders>
              <w:top w:val="nil"/>
              <w:left w:val="single" w:sz="4" w:space="0" w:color="auto"/>
              <w:bottom w:val="single" w:sz="4" w:space="0" w:color="auto"/>
              <w:right w:val="single" w:sz="4" w:space="0" w:color="auto"/>
            </w:tcBorders>
            <w:shd w:val="clear" w:color="auto" w:fill="auto"/>
            <w:noWrap/>
            <w:vAlign w:val="bottom"/>
            <w:hideMark/>
          </w:tcPr>
          <w:p w14:paraId="07EB11C3" w14:textId="77777777" w:rsidR="00A91679" w:rsidRPr="00A75648" w:rsidRDefault="00A91679" w:rsidP="008E1EF1">
            <w:pPr>
              <w:spacing w:after="0"/>
              <w:jc w:val="right"/>
              <w:rPr>
                <w:rFonts w:cs="Arial"/>
                <w:szCs w:val="20"/>
                <w:lang w:eastAsia="en-AU"/>
              </w:rPr>
            </w:pPr>
            <w:r w:rsidRPr="00A75648">
              <w:rPr>
                <w:rFonts w:cs="Arial"/>
                <w:szCs w:val="20"/>
                <w:lang w:eastAsia="en-AU"/>
              </w:rPr>
              <w:t>3053</w:t>
            </w:r>
          </w:p>
        </w:tc>
        <w:tc>
          <w:tcPr>
            <w:tcW w:w="2852" w:type="dxa"/>
            <w:tcBorders>
              <w:top w:val="nil"/>
              <w:left w:val="nil"/>
              <w:bottom w:val="single" w:sz="4" w:space="0" w:color="auto"/>
              <w:right w:val="single" w:sz="4" w:space="0" w:color="auto"/>
            </w:tcBorders>
            <w:shd w:val="clear" w:color="auto" w:fill="auto"/>
            <w:noWrap/>
            <w:vAlign w:val="bottom"/>
            <w:hideMark/>
          </w:tcPr>
          <w:p w14:paraId="601508AE" w14:textId="77777777" w:rsidR="00A91679" w:rsidRPr="00A75648" w:rsidRDefault="00A91679" w:rsidP="00A75648">
            <w:pPr>
              <w:spacing w:after="0"/>
              <w:jc w:val="right"/>
              <w:rPr>
                <w:rFonts w:cs="Arial"/>
                <w:szCs w:val="20"/>
                <w:lang w:eastAsia="en-AU"/>
              </w:rPr>
            </w:pPr>
            <w:r w:rsidRPr="00A75648">
              <w:rPr>
                <w:rFonts w:cs="Arial"/>
                <w:szCs w:val="20"/>
                <w:lang w:eastAsia="en-AU"/>
              </w:rPr>
              <w:t>12%</w:t>
            </w:r>
          </w:p>
        </w:tc>
      </w:tr>
      <w:tr w:rsidR="00A91679" w:rsidRPr="00A75648" w14:paraId="39E2CCE9" w14:textId="77777777" w:rsidTr="00A75648">
        <w:trPr>
          <w:trHeight w:val="300"/>
        </w:trPr>
        <w:tc>
          <w:tcPr>
            <w:tcW w:w="1117" w:type="dxa"/>
            <w:tcBorders>
              <w:top w:val="nil"/>
              <w:left w:val="single" w:sz="4" w:space="0" w:color="auto"/>
              <w:bottom w:val="single" w:sz="4" w:space="0" w:color="auto"/>
              <w:right w:val="single" w:sz="4" w:space="0" w:color="auto"/>
            </w:tcBorders>
            <w:shd w:val="clear" w:color="auto" w:fill="auto"/>
            <w:noWrap/>
            <w:vAlign w:val="bottom"/>
            <w:hideMark/>
          </w:tcPr>
          <w:p w14:paraId="317566BF" w14:textId="77777777" w:rsidR="00A91679" w:rsidRPr="00A75648" w:rsidRDefault="00A91679" w:rsidP="008E1EF1">
            <w:pPr>
              <w:spacing w:after="0"/>
              <w:jc w:val="right"/>
              <w:rPr>
                <w:rFonts w:cs="Arial"/>
                <w:szCs w:val="20"/>
                <w:lang w:eastAsia="en-AU"/>
              </w:rPr>
            </w:pPr>
            <w:r w:rsidRPr="00A75648">
              <w:rPr>
                <w:rFonts w:cs="Arial"/>
                <w:szCs w:val="20"/>
                <w:lang w:eastAsia="en-AU"/>
              </w:rPr>
              <w:t>3054</w:t>
            </w:r>
          </w:p>
        </w:tc>
        <w:tc>
          <w:tcPr>
            <w:tcW w:w="2852" w:type="dxa"/>
            <w:tcBorders>
              <w:top w:val="nil"/>
              <w:left w:val="nil"/>
              <w:bottom w:val="single" w:sz="4" w:space="0" w:color="auto"/>
              <w:right w:val="single" w:sz="4" w:space="0" w:color="auto"/>
            </w:tcBorders>
            <w:shd w:val="clear" w:color="auto" w:fill="auto"/>
            <w:noWrap/>
            <w:vAlign w:val="bottom"/>
            <w:hideMark/>
          </w:tcPr>
          <w:p w14:paraId="7FF3752A" w14:textId="77777777" w:rsidR="00A91679" w:rsidRPr="00A75648" w:rsidRDefault="00A91679" w:rsidP="00A75648">
            <w:pPr>
              <w:spacing w:after="0"/>
              <w:jc w:val="right"/>
              <w:rPr>
                <w:rFonts w:cs="Arial"/>
                <w:szCs w:val="20"/>
                <w:lang w:eastAsia="en-AU"/>
              </w:rPr>
            </w:pPr>
            <w:r w:rsidRPr="00A75648">
              <w:rPr>
                <w:rFonts w:cs="Arial"/>
                <w:szCs w:val="20"/>
                <w:lang w:eastAsia="en-AU"/>
              </w:rPr>
              <w:t>0%</w:t>
            </w:r>
          </w:p>
        </w:tc>
      </w:tr>
      <w:tr w:rsidR="00A91679" w:rsidRPr="00A75648" w14:paraId="36A9B503" w14:textId="77777777" w:rsidTr="00A75648">
        <w:trPr>
          <w:trHeight w:val="300"/>
        </w:trPr>
        <w:tc>
          <w:tcPr>
            <w:tcW w:w="1117" w:type="dxa"/>
            <w:tcBorders>
              <w:top w:val="nil"/>
              <w:left w:val="single" w:sz="4" w:space="0" w:color="auto"/>
              <w:bottom w:val="single" w:sz="4" w:space="0" w:color="auto"/>
              <w:right w:val="single" w:sz="4" w:space="0" w:color="auto"/>
            </w:tcBorders>
            <w:shd w:val="clear" w:color="auto" w:fill="auto"/>
            <w:noWrap/>
            <w:vAlign w:val="bottom"/>
            <w:hideMark/>
          </w:tcPr>
          <w:p w14:paraId="4CDBDBD6" w14:textId="77777777" w:rsidR="00A91679" w:rsidRPr="00A75648" w:rsidRDefault="00A91679" w:rsidP="008E1EF1">
            <w:pPr>
              <w:spacing w:after="0"/>
              <w:jc w:val="right"/>
              <w:rPr>
                <w:rFonts w:cs="Arial"/>
                <w:szCs w:val="20"/>
                <w:lang w:eastAsia="en-AU"/>
              </w:rPr>
            </w:pPr>
            <w:r w:rsidRPr="00A75648">
              <w:rPr>
                <w:rFonts w:cs="Arial"/>
                <w:szCs w:val="20"/>
                <w:lang w:eastAsia="en-AU"/>
              </w:rPr>
              <w:t>3141</w:t>
            </w:r>
          </w:p>
        </w:tc>
        <w:tc>
          <w:tcPr>
            <w:tcW w:w="2852" w:type="dxa"/>
            <w:tcBorders>
              <w:top w:val="nil"/>
              <w:left w:val="nil"/>
              <w:bottom w:val="single" w:sz="4" w:space="0" w:color="auto"/>
              <w:right w:val="single" w:sz="4" w:space="0" w:color="auto"/>
            </w:tcBorders>
            <w:shd w:val="clear" w:color="auto" w:fill="auto"/>
            <w:noWrap/>
            <w:vAlign w:val="bottom"/>
            <w:hideMark/>
          </w:tcPr>
          <w:p w14:paraId="298D8EBD" w14:textId="77777777" w:rsidR="00A91679" w:rsidRPr="00A75648" w:rsidRDefault="00A91679" w:rsidP="00A75648">
            <w:pPr>
              <w:spacing w:after="0"/>
              <w:jc w:val="right"/>
              <w:rPr>
                <w:rFonts w:cs="Arial"/>
                <w:szCs w:val="20"/>
                <w:lang w:eastAsia="en-AU"/>
              </w:rPr>
            </w:pPr>
            <w:r w:rsidRPr="00A75648">
              <w:rPr>
                <w:rFonts w:cs="Arial"/>
                <w:szCs w:val="20"/>
                <w:lang w:eastAsia="en-AU"/>
              </w:rPr>
              <w:t>8%</w:t>
            </w:r>
          </w:p>
        </w:tc>
      </w:tr>
      <w:tr w:rsidR="00A91679" w:rsidRPr="00A75648" w14:paraId="0549A39B" w14:textId="77777777" w:rsidTr="00A75648">
        <w:trPr>
          <w:trHeight w:val="300"/>
        </w:trPr>
        <w:tc>
          <w:tcPr>
            <w:tcW w:w="1117" w:type="dxa"/>
            <w:tcBorders>
              <w:top w:val="nil"/>
              <w:left w:val="single" w:sz="4" w:space="0" w:color="auto"/>
              <w:bottom w:val="single" w:sz="4" w:space="0" w:color="auto"/>
              <w:right w:val="single" w:sz="4" w:space="0" w:color="auto"/>
            </w:tcBorders>
            <w:shd w:val="clear" w:color="auto" w:fill="auto"/>
            <w:noWrap/>
            <w:vAlign w:val="bottom"/>
            <w:hideMark/>
          </w:tcPr>
          <w:p w14:paraId="27921174" w14:textId="77777777" w:rsidR="00A91679" w:rsidRPr="00A75648" w:rsidRDefault="00A91679" w:rsidP="008E1EF1">
            <w:pPr>
              <w:spacing w:after="0"/>
              <w:jc w:val="right"/>
              <w:rPr>
                <w:rFonts w:cs="Arial"/>
                <w:szCs w:val="20"/>
                <w:lang w:eastAsia="en-AU"/>
              </w:rPr>
            </w:pPr>
            <w:r w:rsidRPr="00A75648">
              <w:rPr>
                <w:rFonts w:cs="Arial"/>
                <w:szCs w:val="20"/>
                <w:lang w:eastAsia="en-AU"/>
              </w:rPr>
              <w:t>3181</w:t>
            </w:r>
          </w:p>
        </w:tc>
        <w:tc>
          <w:tcPr>
            <w:tcW w:w="2852" w:type="dxa"/>
            <w:tcBorders>
              <w:top w:val="nil"/>
              <w:left w:val="nil"/>
              <w:bottom w:val="single" w:sz="4" w:space="0" w:color="auto"/>
              <w:right w:val="single" w:sz="4" w:space="0" w:color="auto"/>
            </w:tcBorders>
            <w:shd w:val="clear" w:color="auto" w:fill="auto"/>
            <w:noWrap/>
            <w:vAlign w:val="bottom"/>
            <w:hideMark/>
          </w:tcPr>
          <w:p w14:paraId="29B44F0E" w14:textId="77777777" w:rsidR="00A91679" w:rsidRPr="00A75648" w:rsidRDefault="00A91679" w:rsidP="00A75648">
            <w:pPr>
              <w:spacing w:after="0"/>
              <w:jc w:val="right"/>
              <w:rPr>
                <w:rFonts w:cs="Arial"/>
                <w:szCs w:val="20"/>
                <w:lang w:eastAsia="en-AU"/>
              </w:rPr>
            </w:pPr>
            <w:r w:rsidRPr="00A75648">
              <w:rPr>
                <w:rFonts w:cs="Arial"/>
                <w:szCs w:val="20"/>
                <w:lang w:eastAsia="en-AU"/>
              </w:rPr>
              <w:t>95%</w:t>
            </w:r>
          </w:p>
        </w:tc>
      </w:tr>
      <w:tr w:rsidR="00A91679" w:rsidRPr="00A75648" w14:paraId="7257EB17" w14:textId="77777777" w:rsidTr="00A75648">
        <w:trPr>
          <w:trHeight w:val="300"/>
        </w:trPr>
        <w:tc>
          <w:tcPr>
            <w:tcW w:w="1117" w:type="dxa"/>
            <w:tcBorders>
              <w:top w:val="nil"/>
              <w:left w:val="single" w:sz="4" w:space="0" w:color="auto"/>
              <w:bottom w:val="single" w:sz="4" w:space="0" w:color="auto"/>
              <w:right w:val="single" w:sz="4" w:space="0" w:color="auto"/>
            </w:tcBorders>
            <w:shd w:val="clear" w:color="auto" w:fill="auto"/>
            <w:noWrap/>
            <w:vAlign w:val="bottom"/>
            <w:hideMark/>
          </w:tcPr>
          <w:p w14:paraId="75162AC7" w14:textId="77777777" w:rsidR="00A91679" w:rsidRPr="00A75648" w:rsidRDefault="00A91679" w:rsidP="008E1EF1">
            <w:pPr>
              <w:spacing w:after="0"/>
              <w:jc w:val="right"/>
              <w:rPr>
                <w:rFonts w:cs="Arial"/>
                <w:szCs w:val="20"/>
                <w:lang w:eastAsia="en-AU"/>
              </w:rPr>
            </w:pPr>
            <w:r w:rsidRPr="00A75648">
              <w:rPr>
                <w:rFonts w:cs="Arial"/>
                <w:szCs w:val="20"/>
                <w:lang w:eastAsia="en-AU"/>
              </w:rPr>
              <w:t>3207</w:t>
            </w:r>
          </w:p>
        </w:tc>
        <w:tc>
          <w:tcPr>
            <w:tcW w:w="2852" w:type="dxa"/>
            <w:tcBorders>
              <w:top w:val="nil"/>
              <w:left w:val="nil"/>
              <w:bottom w:val="single" w:sz="4" w:space="0" w:color="auto"/>
              <w:right w:val="single" w:sz="4" w:space="0" w:color="auto"/>
            </w:tcBorders>
            <w:shd w:val="clear" w:color="auto" w:fill="auto"/>
            <w:noWrap/>
            <w:vAlign w:val="bottom"/>
            <w:hideMark/>
          </w:tcPr>
          <w:p w14:paraId="6E73FA58" w14:textId="77777777" w:rsidR="00A91679" w:rsidRPr="00A75648" w:rsidRDefault="00A91679" w:rsidP="00A75648">
            <w:pPr>
              <w:spacing w:after="0"/>
              <w:jc w:val="right"/>
              <w:rPr>
                <w:rFonts w:cs="Arial"/>
                <w:szCs w:val="20"/>
                <w:lang w:eastAsia="en-AU"/>
              </w:rPr>
            </w:pPr>
            <w:r w:rsidRPr="00A75648">
              <w:rPr>
                <w:rFonts w:cs="Arial"/>
                <w:szCs w:val="20"/>
                <w:lang w:eastAsia="en-AU"/>
              </w:rPr>
              <w:t>4%</w:t>
            </w:r>
          </w:p>
        </w:tc>
      </w:tr>
    </w:tbl>
    <w:p w14:paraId="01D87C51" w14:textId="77777777" w:rsidR="00A91679" w:rsidRDefault="00A91679" w:rsidP="00A75648">
      <w:pPr>
        <w:rPr>
          <w:rFonts w:ascii="Helvetica Light" w:hAnsi="Helvetica Light" w:cstheme="minorBidi"/>
          <w:szCs w:val="20"/>
        </w:rPr>
      </w:pPr>
    </w:p>
    <w:p w14:paraId="274DBF3D" w14:textId="2CA216E2" w:rsidR="00A75648" w:rsidRDefault="00A75648" w:rsidP="00A75648">
      <w:r>
        <w:t xml:space="preserve">Return to </w:t>
      </w:r>
      <w:hyperlink w:anchor="_3.2.3_Education_and" w:history="1">
        <w:r w:rsidRPr="00A75648">
          <w:rPr>
            <w:rStyle w:val="Hyperlink"/>
          </w:rPr>
          <w:t>Education and Healthcare</w:t>
        </w:r>
      </w:hyperlink>
    </w:p>
    <w:p w14:paraId="7F6D34E9" w14:textId="6BB94FD2" w:rsidR="00A75648" w:rsidRPr="00B33DB1" w:rsidRDefault="003B3A7A" w:rsidP="00B33DB1">
      <w:pPr>
        <w:pStyle w:val="Heading3"/>
        <w:rPr>
          <w:rFonts w:hint="eastAsia"/>
        </w:rPr>
      </w:pPr>
      <w:bookmarkStart w:id="235" w:name="_Unused_Floorspace_by"/>
      <w:bookmarkEnd w:id="235"/>
      <w:r>
        <w:t>Table A.18</w:t>
      </w:r>
      <w:r>
        <w:tab/>
      </w:r>
      <w:r w:rsidR="00A75648" w:rsidRPr="00A75648">
        <w:t>Unused Floorspace by Category, City of Melbourne, FY2022</w:t>
      </w:r>
    </w:p>
    <w:tbl>
      <w:tblPr>
        <w:tblW w:w="5954" w:type="dxa"/>
        <w:tblInd w:w="-5" w:type="dxa"/>
        <w:tblLook w:val="04A0" w:firstRow="1" w:lastRow="0" w:firstColumn="1" w:lastColumn="0" w:noHBand="0" w:noVBand="1"/>
      </w:tblPr>
      <w:tblGrid>
        <w:gridCol w:w="3261"/>
        <w:gridCol w:w="2693"/>
      </w:tblGrid>
      <w:tr w:rsidR="00A91679" w:rsidRPr="00A91679" w14:paraId="10E373F1" w14:textId="77777777" w:rsidTr="008E1EF1">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6674FD" w14:textId="77777777" w:rsidR="00A91679" w:rsidRPr="00A75648" w:rsidRDefault="00A91679" w:rsidP="00A75648">
            <w:pPr>
              <w:spacing w:after="0"/>
              <w:rPr>
                <w:b/>
                <w:bCs/>
                <w:lang w:eastAsia="en-AU"/>
              </w:rPr>
            </w:pPr>
            <w:bookmarkStart w:id="236" w:name="_Figure_19:_Unused"/>
            <w:bookmarkEnd w:id="236"/>
            <w:r w:rsidRPr="00A75648">
              <w:rPr>
                <w:b/>
                <w:bCs/>
                <w:lang w:eastAsia="en-AU"/>
              </w:rPr>
              <w:t>Unused Space Categories</w:t>
            </w:r>
          </w:p>
        </w:tc>
        <w:tc>
          <w:tcPr>
            <w:tcW w:w="2693" w:type="dxa"/>
            <w:tcBorders>
              <w:top w:val="single" w:sz="4" w:space="0" w:color="auto"/>
              <w:left w:val="nil"/>
              <w:bottom w:val="single" w:sz="4" w:space="0" w:color="auto"/>
              <w:right w:val="single" w:sz="4" w:space="0" w:color="auto"/>
            </w:tcBorders>
            <w:shd w:val="clear" w:color="auto" w:fill="auto"/>
            <w:noWrap/>
            <w:vAlign w:val="bottom"/>
            <w:hideMark/>
          </w:tcPr>
          <w:p w14:paraId="07A2F025" w14:textId="77777777" w:rsidR="00A91679" w:rsidRPr="00A75648" w:rsidRDefault="00A91679" w:rsidP="00A75648">
            <w:pPr>
              <w:spacing w:after="0"/>
              <w:rPr>
                <w:b/>
                <w:bCs/>
                <w:lang w:eastAsia="en-AU"/>
              </w:rPr>
            </w:pPr>
            <w:r w:rsidRPr="00A75648">
              <w:rPr>
                <w:b/>
                <w:bCs/>
                <w:lang w:eastAsia="en-AU"/>
              </w:rPr>
              <w:t>Unused Floorspace (m2)</w:t>
            </w:r>
          </w:p>
        </w:tc>
      </w:tr>
      <w:tr w:rsidR="00A91679" w:rsidRPr="00A91679" w14:paraId="25EFFBC7" w14:textId="77777777" w:rsidTr="008E1EF1">
        <w:trPr>
          <w:trHeight w:val="300"/>
        </w:trPr>
        <w:tc>
          <w:tcPr>
            <w:tcW w:w="3261" w:type="dxa"/>
            <w:tcBorders>
              <w:top w:val="nil"/>
              <w:left w:val="single" w:sz="4" w:space="0" w:color="auto"/>
              <w:bottom w:val="single" w:sz="4" w:space="0" w:color="auto"/>
              <w:right w:val="single" w:sz="4" w:space="0" w:color="auto"/>
            </w:tcBorders>
            <w:shd w:val="clear" w:color="auto" w:fill="auto"/>
            <w:noWrap/>
            <w:vAlign w:val="bottom"/>
            <w:hideMark/>
          </w:tcPr>
          <w:p w14:paraId="00E39662" w14:textId="1DA59621" w:rsidR="00A91679" w:rsidRPr="00A91679" w:rsidRDefault="00A91679" w:rsidP="00A75648">
            <w:pPr>
              <w:spacing w:after="0"/>
              <w:rPr>
                <w:lang w:eastAsia="en-AU"/>
              </w:rPr>
            </w:pPr>
            <w:r w:rsidRPr="00A91679">
              <w:rPr>
                <w:lang w:eastAsia="en-AU"/>
              </w:rPr>
              <w:t>Under construction/</w:t>
            </w:r>
            <w:r w:rsidR="00A75648" w:rsidRPr="00A91679">
              <w:rPr>
                <w:lang w:eastAsia="en-AU"/>
              </w:rPr>
              <w:t>renovation</w:t>
            </w:r>
          </w:p>
        </w:tc>
        <w:tc>
          <w:tcPr>
            <w:tcW w:w="2693" w:type="dxa"/>
            <w:tcBorders>
              <w:top w:val="nil"/>
              <w:left w:val="nil"/>
              <w:bottom w:val="single" w:sz="4" w:space="0" w:color="auto"/>
              <w:right w:val="single" w:sz="4" w:space="0" w:color="auto"/>
            </w:tcBorders>
            <w:shd w:val="clear" w:color="auto" w:fill="auto"/>
            <w:noWrap/>
            <w:vAlign w:val="bottom"/>
            <w:hideMark/>
          </w:tcPr>
          <w:p w14:paraId="360CD910" w14:textId="2203C3D8" w:rsidR="00A91679" w:rsidRPr="00A91679" w:rsidRDefault="00A91679" w:rsidP="008E1EF1">
            <w:pPr>
              <w:spacing w:after="0"/>
              <w:jc w:val="right"/>
              <w:rPr>
                <w:lang w:eastAsia="en-AU"/>
              </w:rPr>
            </w:pPr>
            <w:r w:rsidRPr="00A91679">
              <w:rPr>
                <w:lang w:eastAsia="en-AU"/>
              </w:rPr>
              <w:t xml:space="preserve">1,079,972 </w:t>
            </w:r>
          </w:p>
        </w:tc>
      </w:tr>
      <w:tr w:rsidR="00A91679" w:rsidRPr="00A91679" w14:paraId="1EC260D2" w14:textId="77777777" w:rsidTr="008E1EF1">
        <w:trPr>
          <w:trHeight w:val="300"/>
        </w:trPr>
        <w:tc>
          <w:tcPr>
            <w:tcW w:w="3261" w:type="dxa"/>
            <w:tcBorders>
              <w:top w:val="nil"/>
              <w:left w:val="single" w:sz="4" w:space="0" w:color="auto"/>
              <w:bottom w:val="single" w:sz="4" w:space="0" w:color="auto"/>
              <w:right w:val="single" w:sz="4" w:space="0" w:color="auto"/>
            </w:tcBorders>
            <w:shd w:val="clear" w:color="auto" w:fill="auto"/>
            <w:noWrap/>
            <w:vAlign w:val="bottom"/>
            <w:hideMark/>
          </w:tcPr>
          <w:p w14:paraId="029AD2BE" w14:textId="77777777" w:rsidR="00A91679" w:rsidRPr="00A91679" w:rsidRDefault="00A91679" w:rsidP="00A75648">
            <w:pPr>
              <w:spacing w:after="0"/>
              <w:rPr>
                <w:lang w:eastAsia="en-AU"/>
              </w:rPr>
            </w:pPr>
            <w:r w:rsidRPr="00A91679">
              <w:rPr>
                <w:lang w:eastAsia="en-AU"/>
              </w:rPr>
              <w:t>Other</w:t>
            </w:r>
          </w:p>
        </w:tc>
        <w:tc>
          <w:tcPr>
            <w:tcW w:w="2693" w:type="dxa"/>
            <w:tcBorders>
              <w:top w:val="nil"/>
              <w:left w:val="nil"/>
              <w:bottom w:val="single" w:sz="4" w:space="0" w:color="auto"/>
              <w:right w:val="single" w:sz="4" w:space="0" w:color="auto"/>
            </w:tcBorders>
            <w:shd w:val="clear" w:color="auto" w:fill="auto"/>
            <w:noWrap/>
            <w:vAlign w:val="bottom"/>
            <w:hideMark/>
          </w:tcPr>
          <w:p w14:paraId="08938783" w14:textId="057CF5B0" w:rsidR="00A91679" w:rsidRPr="00A91679" w:rsidRDefault="00A91679" w:rsidP="008E1EF1">
            <w:pPr>
              <w:spacing w:after="0"/>
              <w:jc w:val="right"/>
              <w:rPr>
                <w:lang w:eastAsia="en-AU"/>
              </w:rPr>
            </w:pPr>
            <w:r w:rsidRPr="00A91679">
              <w:rPr>
                <w:lang w:eastAsia="en-AU"/>
              </w:rPr>
              <w:t xml:space="preserve">3,855,804 </w:t>
            </w:r>
          </w:p>
        </w:tc>
      </w:tr>
    </w:tbl>
    <w:p w14:paraId="0607297D" w14:textId="77777777" w:rsidR="00A91679" w:rsidRDefault="00A91679" w:rsidP="00A75648">
      <w:pPr>
        <w:rPr>
          <w:rFonts w:ascii="Helvetica Light" w:hAnsi="Helvetica Light" w:cstheme="minorBidi"/>
          <w:szCs w:val="20"/>
        </w:rPr>
      </w:pPr>
    </w:p>
    <w:p w14:paraId="270509A7" w14:textId="7D12612C" w:rsidR="00A75648" w:rsidRDefault="00A75648" w:rsidP="00A75648">
      <w:r>
        <w:t xml:space="preserve">Return to </w:t>
      </w:r>
      <w:hyperlink w:anchor="_3.2.4_Unused_Space" w:history="1">
        <w:r w:rsidRPr="00A75648">
          <w:rPr>
            <w:rStyle w:val="Hyperlink"/>
          </w:rPr>
          <w:t>Unused Space</w:t>
        </w:r>
      </w:hyperlink>
    </w:p>
    <w:p w14:paraId="7F8E54B1" w14:textId="37CCC6AF" w:rsidR="00A75648" w:rsidRPr="00A75648" w:rsidRDefault="003B3A7A" w:rsidP="00B33DB1">
      <w:pPr>
        <w:pStyle w:val="Heading3"/>
        <w:rPr>
          <w:rFonts w:hint="eastAsia"/>
        </w:rPr>
      </w:pPr>
      <w:bookmarkStart w:id="237" w:name="_Distribution_of_Unused"/>
      <w:bookmarkEnd w:id="237"/>
      <w:r>
        <w:t>Table A.19</w:t>
      </w:r>
      <w:r>
        <w:tab/>
      </w:r>
      <w:r w:rsidR="00A75648" w:rsidRPr="00A75648">
        <w:t>Distribution of Unused Floorspace by Postcode, City of Melbourne, FY2022</w:t>
      </w:r>
    </w:p>
    <w:tbl>
      <w:tblPr>
        <w:tblW w:w="3828" w:type="dxa"/>
        <w:tblInd w:w="-5" w:type="dxa"/>
        <w:tblLook w:val="04A0" w:firstRow="1" w:lastRow="0" w:firstColumn="1" w:lastColumn="0" w:noHBand="0" w:noVBand="1"/>
      </w:tblPr>
      <w:tblGrid>
        <w:gridCol w:w="1276"/>
        <w:gridCol w:w="2552"/>
      </w:tblGrid>
      <w:tr w:rsidR="00A91679" w:rsidRPr="00A91679" w14:paraId="16533DF8" w14:textId="77777777" w:rsidTr="008E1EF1">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C08A57" w14:textId="77777777" w:rsidR="00A91679" w:rsidRPr="00A75648" w:rsidRDefault="00A91679" w:rsidP="00A75648">
            <w:pPr>
              <w:spacing w:after="0"/>
              <w:rPr>
                <w:b/>
                <w:bCs/>
                <w:lang w:eastAsia="en-AU"/>
              </w:rPr>
            </w:pPr>
            <w:bookmarkStart w:id="238" w:name="_Figure_20:_Distribution"/>
            <w:bookmarkEnd w:id="238"/>
            <w:r w:rsidRPr="00A75648">
              <w:rPr>
                <w:b/>
                <w:bCs/>
                <w:lang w:eastAsia="en-AU"/>
              </w:rPr>
              <w:t>Postcode</w:t>
            </w:r>
          </w:p>
        </w:tc>
        <w:tc>
          <w:tcPr>
            <w:tcW w:w="2552" w:type="dxa"/>
            <w:tcBorders>
              <w:top w:val="single" w:sz="4" w:space="0" w:color="auto"/>
              <w:left w:val="nil"/>
              <w:bottom w:val="single" w:sz="4" w:space="0" w:color="auto"/>
              <w:right w:val="single" w:sz="4" w:space="0" w:color="auto"/>
            </w:tcBorders>
            <w:shd w:val="clear" w:color="auto" w:fill="auto"/>
            <w:noWrap/>
            <w:vAlign w:val="bottom"/>
            <w:hideMark/>
          </w:tcPr>
          <w:p w14:paraId="2488272A" w14:textId="77777777" w:rsidR="00A91679" w:rsidRPr="00A75648" w:rsidRDefault="00A91679" w:rsidP="00A75648">
            <w:pPr>
              <w:spacing w:after="0"/>
              <w:rPr>
                <w:b/>
                <w:bCs/>
                <w:lang w:eastAsia="en-AU"/>
              </w:rPr>
            </w:pPr>
            <w:r w:rsidRPr="00A75648">
              <w:rPr>
                <w:b/>
                <w:bCs/>
                <w:lang w:eastAsia="en-AU"/>
              </w:rPr>
              <w:t>Unused Floorspace (m2)</w:t>
            </w:r>
          </w:p>
        </w:tc>
      </w:tr>
      <w:tr w:rsidR="00A91679" w:rsidRPr="00A91679" w14:paraId="6ED88304" w14:textId="77777777" w:rsidTr="008E1EF1">
        <w:trPr>
          <w:trHeight w:val="30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127D000E" w14:textId="77777777" w:rsidR="00A91679" w:rsidRPr="00A91679" w:rsidRDefault="00A91679" w:rsidP="008E1EF1">
            <w:pPr>
              <w:spacing w:after="0"/>
              <w:jc w:val="right"/>
              <w:rPr>
                <w:lang w:eastAsia="en-AU"/>
              </w:rPr>
            </w:pPr>
            <w:r w:rsidRPr="00A91679">
              <w:rPr>
                <w:lang w:eastAsia="en-AU"/>
              </w:rPr>
              <w:t>3000</w:t>
            </w:r>
          </w:p>
        </w:tc>
        <w:tc>
          <w:tcPr>
            <w:tcW w:w="2552" w:type="dxa"/>
            <w:tcBorders>
              <w:top w:val="nil"/>
              <w:left w:val="nil"/>
              <w:bottom w:val="single" w:sz="4" w:space="0" w:color="auto"/>
              <w:right w:val="single" w:sz="4" w:space="0" w:color="auto"/>
            </w:tcBorders>
            <w:shd w:val="clear" w:color="auto" w:fill="auto"/>
            <w:noWrap/>
            <w:vAlign w:val="bottom"/>
            <w:hideMark/>
          </w:tcPr>
          <w:p w14:paraId="6077CBF6" w14:textId="2EDC25A6" w:rsidR="00A91679" w:rsidRPr="00A91679" w:rsidRDefault="00A91679" w:rsidP="00A75648">
            <w:pPr>
              <w:spacing w:after="0"/>
              <w:jc w:val="right"/>
              <w:rPr>
                <w:lang w:eastAsia="en-AU"/>
              </w:rPr>
            </w:pPr>
            <w:r w:rsidRPr="00A91679">
              <w:rPr>
                <w:lang w:eastAsia="en-AU"/>
              </w:rPr>
              <w:t xml:space="preserve">1,312,925 </w:t>
            </w:r>
          </w:p>
        </w:tc>
      </w:tr>
      <w:tr w:rsidR="00A91679" w:rsidRPr="00A91679" w14:paraId="3A6C652F" w14:textId="77777777" w:rsidTr="008E1EF1">
        <w:trPr>
          <w:trHeight w:val="30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03272AD1" w14:textId="77777777" w:rsidR="00A91679" w:rsidRPr="00A91679" w:rsidRDefault="00A91679" w:rsidP="008E1EF1">
            <w:pPr>
              <w:spacing w:after="0"/>
              <w:jc w:val="right"/>
              <w:rPr>
                <w:lang w:eastAsia="en-AU"/>
              </w:rPr>
            </w:pPr>
            <w:r w:rsidRPr="00A91679">
              <w:rPr>
                <w:lang w:eastAsia="en-AU"/>
              </w:rPr>
              <w:t>3003</w:t>
            </w:r>
          </w:p>
        </w:tc>
        <w:tc>
          <w:tcPr>
            <w:tcW w:w="2552" w:type="dxa"/>
            <w:tcBorders>
              <w:top w:val="nil"/>
              <w:left w:val="nil"/>
              <w:bottom w:val="single" w:sz="4" w:space="0" w:color="auto"/>
              <w:right w:val="single" w:sz="4" w:space="0" w:color="auto"/>
            </w:tcBorders>
            <w:shd w:val="clear" w:color="auto" w:fill="auto"/>
            <w:noWrap/>
            <w:vAlign w:val="bottom"/>
            <w:hideMark/>
          </w:tcPr>
          <w:p w14:paraId="10A238DE" w14:textId="4E9D1DCE" w:rsidR="00A91679" w:rsidRPr="00A91679" w:rsidRDefault="00A91679" w:rsidP="00A75648">
            <w:pPr>
              <w:spacing w:after="0"/>
              <w:jc w:val="right"/>
              <w:rPr>
                <w:lang w:eastAsia="en-AU"/>
              </w:rPr>
            </w:pPr>
            <w:r w:rsidRPr="00A91679">
              <w:rPr>
                <w:lang w:eastAsia="en-AU"/>
              </w:rPr>
              <w:t xml:space="preserve">711,154 </w:t>
            </w:r>
          </w:p>
        </w:tc>
      </w:tr>
      <w:tr w:rsidR="00A91679" w:rsidRPr="00A91679" w14:paraId="0078D1B7" w14:textId="77777777" w:rsidTr="008E1EF1">
        <w:trPr>
          <w:trHeight w:val="30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6B727FF5" w14:textId="77777777" w:rsidR="00A91679" w:rsidRPr="00A91679" w:rsidRDefault="00A91679" w:rsidP="008E1EF1">
            <w:pPr>
              <w:spacing w:after="0"/>
              <w:jc w:val="right"/>
              <w:rPr>
                <w:lang w:eastAsia="en-AU"/>
              </w:rPr>
            </w:pPr>
            <w:r w:rsidRPr="00A91679">
              <w:rPr>
                <w:lang w:eastAsia="en-AU"/>
              </w:rPr>
              <w:t>3207</w:t>
            </w:r>
          </w:p>
        </w:tc>
        <w:tc>
          <w:tcPr>
            <w:tcW w:w="2552" w:type="dxa"/>
            <w:tcBorders>
              <w:top w:val="nil"/>
              <w:left w:val="nil"/>
              <w:bottom w:val="single" w:sz="4" w:space="0" w:color="auto"/>
              <w:right w:val="single" w:sz="4" w:space="0" w:color="auto"/>
            </w:tcBorders>
            <w:shd w:val="clear" w:color="auto" w:fill="auto"/>
            <w:noWrap/>
            <w:vAlign w:val="bottom"/>
            <w:hideMark/>
          </w:tcPr>
          <w:p w14:paraId="22A3C993" w14:textId="7C8D5321" w:rsidR="00A91679" w:rsidRPr="00A91679" w:rsidRDefault="00A91679" w:rsidP="00A75648">
            <w:pPr>
              <w:spacing w:after="0"/>
              <w:jc w:val="right"/>
              <w:rPr>
                <w:lang w:eastAsia="en-AU"/>
              </w:rPr>
            </w:pPr>
            <w:r w:rsidRPr="00A91679">
              <w:rPr>
                <w:lang w:eastAsia="en-AU"/>
              </w:rPr>
              <w:t xml:space="preserve">669,473 </w:t>
            </w:r>
          </w:p>
        </w:tc>
      </w:tr>
      <w:tr w:rsidR="00A91679" w:rsidRPr="00A91679" w14:paraId="71D65EB7" w14:textId="77777777" w:rsidTr="008E1EF1">
        <w:trPr>
          <w:trHeight w:val="30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36120DA2" w14:textId="77777777" w:rsidR="00A91679" w:rsidRPr="00A91679" w:rsidRDefault="00A91679" w:rsidP="008E1EF1">
            <w:pPr>
              <w:spacing w:after="0"/>
              <w:jc w:val="right"/>
              <w:rPr>
                <w:lang w:eastAsia="en-AU"/>
              </w:rPr>
            </w:pPr>
            <w:r w:rsidRPr="00A91679">
              <w:rPr>
                <w:lang w:eastAsia="en-AU"/>
              </w:rPr>
              <w:t>3008</w:t>
            </w:r>
          </w:p>
        </w:tc>
        <w:tc>
          <w:tcPr>
            <w:tcW w:w="2552" w:type="dxa"/>
            <w:tcBorders>
              <w:top w:val="nil"/>
              <w:left w:val="nil"/>
              <w:bottom w:val="single" w:sz="4" w:space="0" w:color="auto"/>
              <w:right w:val="single" w:sz="4" w:space="0" w:color="auto"/>
            </w:tcBorders>
            <w:shd w:val="clear" w:color="auto" w:fill="auto"/>
            <w:noWrap/>
            <w:vAlign w:val="bottom"/>
            <w:hideMark/>
          </w:tcPr>
          <w:p w14:paraId="6DA1C383" w14:textId="54BB1D63" w:rsidR="00A91679" w:rsidRPr="00A91679" w:rsidRDefault="00A91679" w:rsidP="00A75648">
            <w:pPr>
              <w:spacing w:after="0"/>
              <w:jc w:val="right"/>
              <w:rPr>
                <w:lang w:eastAsia="en-AU"/>
              </w:rPr>
            </w:pPr>
            <w:r w:rsidRPr="00A91679">
              <w:rPr>
                <w:lang w:eastAsia="en-AU"/>
              </w:rPr>
              <w:t xml:space="preserve">439,595 </w:t>
            </w:r>
          </w:p>
        </w:tc>
      </w:tr>
      <w:tr w:rsidR="00A91679" w:rsidRPr="00A91679" w14:paraId="239972C4" w14:textId="77777777" w:rsidTr="008E1EF1">
        <w:trPr>
          <w:trHeight w:val="30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47FC8280" w14:textId="77777777" w:rsidR="00A91679" w:rsidRPr="00A91679" w:rsidRDefault="00A91679" w:rsidP="008E1EF1">
            <w:pPr>
              <w:spacing w:after="0"/>
              <w:jc w:val="right"/>
              <w:rPr>
                <w:lang w:eastAsia="en-AU"/>
              </w:rPr>
            </w:pPr>
            <w:r w:rsidRPr="00A91679">
              <w:rPr>
                <w:lang w:eastAsia="en-AU"/>
              </w:rPr>
              <w:t>3006</w:t>
            </w:r>
          </w:p>
        </w:tc>
        <w:tc>
          <w:tcPr>
            <w:tcW w:w="2552" w:type="dxa"/>
            <w:tcBorders>
              <w:top w:val="nil"/>
              <w:left w:val="nil"/>
              <w:bottom w:val="single" w:sz="4" w:space="0" w:color="auto"/>
              <w:right w:val="single" w:sz="4" w:space="0" w:color="auto"/>
            </w:tcBorders>
            <w:shd w:val="clear" w:color="auto" w:fill="auto"/>
            <w:noWrap/>
            <w:vAlign w:val="bottom"/>
            <w:hideMark/>
          </w:tcPr>
          <w:p w14:paraId="3D273142" w14:textId="2963374F" w:rsidR="00A91679" w:rsidRPr="00A91679" w:rsidRDefault="00A91679" w:rsidP="00A75648">
            <w:pPr>
              <w:spacing w:after="0"/>
              <w:jc w:val="right"/>
              <w:rPr>
                <w:lang w:eastAsia="en-AU"/>
              </w:rPr>
            </w:pPr>
            <w:r w:rsidRPr="00A91679">
              <w:rPr>
                <w:lang w:eastAsia="en-AU"/>
              </w:rPr>
              <w:t xml:space="preserve">193,935 </w:t>
            </w:r>
          </w:p>
        </w:tc>
      </w:tr>
      <w:tr w:rsidR="00A91679" w:rsidRPr="00A91679" w14:paraId="1032A899" w14:textId="77777777" w:rsidTr="008E1EF1">
        <w:trPr>
          <w:trHeight w:val="30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50D48F1C" w14:textId="77777777" w:rsidR="00A91679" w:rsidRPr="00A91679" w:rsidRDefault="00A91679" w:rsidP="008E1EF1">
            <w:pPr>
              <w:spacing w:after="0"/>
              <w:jc w:val="right"/>
              <w:rPr>
                <w:lang w:eastAsia="en-AU"/>
              </w:rPr>
            </w:pPr>
            <w:r w:rsidRPr="00A91679">
              <w:rPr>
                <w:lang w:eastAsia="en-AU"/>
              </w:rPr>
              <w:t>3051</w:t>
            </w:r>
          </w:p>
        </w:tc>
        <w:tc>
          <w:tcPr>
            <w:tcW w:w="2552" w:type="dxa"/>
            <w:tcBorders>
              <w:top w:val="nil"/>
              <w:left w:val="nil"/>
              <w:bottom w:val="single" w:sz="4" w:space="0" w:color="auto"/>
              <w:right w:val="single" w:sz="4" w:space="0" w:color="auto"/>
            </w:tcBorders>
            <w:shd w:val="clear" w:color="auto" w:fill="auto"/>
            <w:noWrap/>
            <w:vAlign w:val="bottom"/>
            <w:hideMark/>
          </w:tcPr>
          <w:p w14:paraId="05831113" w14:textId="5E4D8B18" w:rsidR="00A91679" w:rsidRPr="00A91679" w:rsidRDefault="00A91679" w:rsidP="00A75648">
            <w:pPr>
              <w:spacing w:after="0"/>
              <w:jc w:val="right"/>
              <w:rPr>
                <w:lang w:eastAsia="en-AU"/>
              </w:rPr>
            </w:pPr>
            <w:r w:rsidRPr="00A91679">
              <w:rPr>
                <w:lang w:eastAsia="en-AU"/>
              </w:rPr>
              <w:t xml:space="preserve">180,258 </w:t>
            </w:r>
          </w:p>
        </w:tc>
      </w:tr>
      <w:tr w:rsidR="00A91679" w:rsidRPr="00A91679" w14:paraId="3C2B7514" w14:textId="77777777" w:rsidTr="008E1EF1">
        <w:trPr>
          <w:trHeight w:val="30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027AACE2" w14:textId="77777777" w:rsidR="00A91679" w:rsidRPr="00A91679" w:rsidRDefault="00A91679" w:rsidP="008E1EF1">
            <w:pPr>
              <w:spacing w:after="0"/>
              <w:jc w:val="right"/>
              <w:rPr>
                <w:lang w:eastAsia="en-AU"/>
              </w:rPr>
            </w:pPr>
            <w:r w:rsidRPr="00A91679">
              <w:rPr>
                <w:lang w:eastAsia="en-AU"/>
              </w:rPr>
              <w:t>3053</w:t>
            </w:r>
          </w:p>
        </w:tc>
        <w:tc>
          <w:tcPr>
            <w:tcW w:w="2552" w:type="dxa"/>
            <w:tcBorders>
              <w:top w:val="nil"/>
              <w:left w:val="nil"/>
              <w:bottom w:val="single" w:sz="4" w:space="0" w:color="auto"/>
              <w:right w:val="single" w:sz="4" w:space="0" w:color="auto"/>
            </w:tcBorders>
            <w:shd w:val="clear" w:color="auto" w:fill="auto"/>
            <w:noWrap/>
            <w:vAlign w:val="bottom"/>
            <w:hideMark/>
          </w:tcPr>
          <w:p w14:paraId="37470F87" w14:textId="5FDDF6CD" w:rsidR="00A91679" w:rsidRPr="00A91679" w:rsidRDefault="00A91679" w:rsidP="00A75648">
            <w:pPr>
              <w:spacing w:after="0"/>
              <w:jc w:val="right"/>
              <w:rPr>
                <w:lang w:eastAsia="en-AU"/>
              </w:rPr>
            </w:pPr>
            <w:r w:rsidRPr="00A91679">
              <w:rPr>
                <w:lang w:eastAsia="en-AU"/>
              </w:rPr>
              <w:t xml:space="preserve">115,894 </w:t>
            </w:r>
          </w:p>
        </w:tc>
      </w:tr>
      <w:tr w:rsidR="00A91679" w:rsidRPr="00A91679" w14:paraId="1F13CC8E" w14:textId="77777777" w:rsidTr="008E1EF1">
        <w:trPr>
          <w:trHeight w:val="30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6A37523C" w14:textId="77777777" w:rsidR="00A91679" w:rsidRPr="00A91679" w:rsidRDefault="00A91679" w:rsidP="008E1EF1">
            <w:pPr>
              <w:spacing w:after="0"/>
              <w:jc w:val="right"/>
              <w:rPr>
                <w:lang w:eastAsia="en-AU"/>
              </w:rPr>
            </w:pPr>
            <w:r w:rsidRPr="00A91679">
              <w:rPr>
                <w:lang w:eastAsia="en-AU"/>
              </w:rPr>
              <w:t>3031</w:t>
            </w:r>
          </w:p>
        </w:tc>
        <w:tc>
          <w:tcPr>
            <w:tcW w:w="2552" w:type="dxa"/>
            <w:tcBorders>
              <w:top w:val="nil"/>
              <w:left w:val="nil"/>
              <w:bottom w:val="single" w:sz="4" w:space="0" w:color="auto"/>
              <w:right w:val="single" w:sz="4" w:space="0" w:color="auto"/>
            </w:tcBorders>
            <w:shd w:val="clear" w:color="auto" w:fill="auto"/>
            <w:noWrap/>
            <w:vAlign w:val="bottom"/>
            <w:hideMark/>
          </w:tcPr>
          <w:p w14:paraId="675ABD0F" w14:textId="61520391" w:rsidR="00A91679" w:rsidRPr="00A91679" w:rsidRDefault="00A91679" w:rsidP="00A75648">
            <w:pPr>
              <w:spacing w:after="0"/>
              <w:jc w:val="right"/>
              <w:rPr>
                <w:lang w:eastAsia="en-AU"/>
              </w:rPr>
            </w:pPr>
            <w:r w:rsidRPr="00A91679">
              <w:rPr>
                <w:lang w:eastAsia="en-AU"/>
              </w:rPr>
              <w:t xml:space="preserve">104,780 </w:t>
            </w:r>
          </w:p>
        </w:tc>
      </w:tr>
      <w:tr w:rsidR="00A91679" w:rsidRPr="00A91679" w14:paraId="402EC2D3" w14:textId="77777777" w:rsidTr="008E1EF1">
        <w:trPr>
          <w:trHeight w:val="30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559B30D6" w14:textId="77777777" w:rsidR="00A91679" w:rsidRPr="00A91679" w:rsidRDefault="00A91679" w:rsidP="008E1EF1">
            <w:pPr>
              <w:spacing w:after="0"/>
              <w:jc w:val="right"/>
              <w:rPr>
                <w:lang w:eastAsia="en-AU"/>
              </w:rPr>
            </w:pPr>
            <w:r w:rsidRPr="00A91679">
              <w:rPr>
                <w:lang w:eastAsia="en-AU"/>
              </w:rPr>
              <w:t>3004</w:t>
            </w:r>
          </w:p>
        </w:tc>
        <w:tc>
          <w:tcPr>
            <w:tcW w:w="2552" w:type="dxa"/>
            <w:tcBorders>
              <w:top w:val="nil"/>
              <w:left w:val="nil"/>
              <w:bottom w:val="single" w:sz="4" w:space="0" w:color="auto"/>
              <w:right w:val="single" w:sz="4" w:space="0" w:color="auto"/>
            </w:tcBorders>
            <w:shd w:val="clear" w:color="auto" w:fill="auto"/>
            <w:noWrap/>
            <w:vAlign w:val="bottom"/>
            <w:hideMark/>
          </w:tcPr>
          <w:p w14:paraId="3DAD65FF" w14:textId="225FBD80" w:rsidR="00A91679" w:rsidRPr="00A91679" w:rsidRDefault="00A91679" w:rsidP="00A75648">
            <w:pPr>
              <w:spacing w:after="0"/>
              <w:jc w:val="right"/>
              <w:rPr>
                <w:lang w:eastAsia="en-AU"/>
              </w:rPr>
            </w:pPr>
            <w:r w:rsidRPr="00A91679">
              <w:rPr>
                <w:lang w:eastAsia="en-AU"/>
              </w:rPr>
              <w:t xml:space="preserve">53,387 </w:t>
            </w:r>
          </w:p>
        </w:tc>
      </w:tr>
      <w:tr w:rsidR="00A91679" w:rsidRPr="00A91679" w14:paraId="0929F6A3" w14:textId="77777777" w:rsidTr="008E1EF1">
        <w:trPr>
          <w:trHeight w:val="30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5CF4F4AA" w14:textId="77777777" w:rsidR="00A91679" w:rsidRPr="00A91679" w:rsidRDefault="00A91679" w:rsidP="008E1EF1">
            <w:pPr>
              <w:spacing w:after="0"/>
              <w:jc w:val="right"/>
              <w:rPr>
                <w:lang w:eastAsia="en-AU"/>
              </w:rPr>
            </w:pPr>
            <w:r w:rsidRPr="00A91679">
              <w:rPr>
                <w:lang w:eastAsia="en-AU"/>
              </w:rPr>
              <w:t>3002</w:t>
            </w:r>
          </w:p>
        </w:tc>
        <w:tc>
          <w:tcPr>
            <w:tcW w:w="2552" w:type="dxa"/>
            <w:tcBorders>
              <w:top w:val="nil"/>
              <w:left w:val="nil"/>
              <w:bottom w:val="single" w:sz="4" w:space="0" w:color="auto"/>
              <w:right w:val="single" w:sz="4" w:space="0" w:color="auto"/>
            </w:tcBorders>
            <w:shd w:val="clear" w:color="auto" w:fill="auto"/>
            <w:noWrap/>
            <w:vAlign w:val="bottom"/>
            <w:hideMark/>
          </w:tcPr>
          <w:p w14:paraId="3C5AF9B2" w14:textId="4DF59996" w:rsidR="00A91679" w:rsidRPr="00A91679" w:rsidRDefault="00A91679" w:rsidP="00A75648">
            <w:pPr>
              <w:spacing w:after="0"/>
              <w:jc w:val="right"/>
              <w:rPr>
                <w:lang w:eastAsia="en-AU"/>
              </w:rPr>
            </w:pPr>
            <w:r w:rsidRPr="00A91679">
              <w:rPr>
                <w:lang w:eastAsia="en-AU"/>
              </w:rPr>
              <w:t xml:space="preserve">43,461 </w:t>
            </w:r>
          </w:p>
        </w:tc>
      </w:tr>
      <w:tr w:rsidR="00A91679" w:rsidRPr="00A91679" w14:paraId="516E8FF0" w14:textId="77777777" w:rsidTr="008E1EF1">
        <w:trPr>
          <w:trHeight w:val="30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29E77DF1" w14:textId="77777777" w:rsidR="00A91679" w:rsidRPr="00A91679" w:rsidRDefault="00A91679" w:rsidP="008E1EF1">
            <w:pPr>
              <w:spacing w:after="0"/>
              <w:jc w:val="right"/>
              <w:rPr>
                <w:lang w:eastAsia="en-AU"/>
              </w:rPr>
            </w:pPr>
            <w:r w:rsidRPr="00A91679">
              <w:rPr>
                <w:lang w:eastAsia="en-AU"/>
              </w:rPr>
              <w:t>3052</w:t>
            </w:r>
          </w:p>
        </w:tc>
        <w:tc>
          <w:tcPr>
            <w:tcW w:w="2552" w:type="dxa"/>
            <w:tcBorders>
              <w:top w:val="nil"/>
              <w:left w:val="nil"/>
              <w:bottom w:val="single" w:sz="4" w:space="0" w:color="auto"/>
              <w:right w:val="single" w:sz="4" w:space="0" w:color="auto"/>
            </w:tcBorders>
            <w:shd w:val="clear" w:color="auto" w:fill="auto"/>
            <w:noWrap/>
            <w:vAlign w:val="bottom"/>
            <w:hideMark/>
          </w:tcPr>
          <w:p w14:paraId="30D75F44" w14:textId="6211F146" w:rsidR="00A91679" w:rsidRPr="00A91679" w:rsidRDefault="00A91679" w:rsidP="00A75648">
            <w:pPr>
              <w:spacing w:after="0"/>
              <w:jc w:val="right"/>
              <w:rPr>
                <w:lang w:eastAsia="en-AU"/>
              </w:rPr>
            </w:pPr>
            <w:r w:rsidRPr="00A91679">
              <w:rPr>
                <w:lang w:eastAsia="en-AU"/>
              </w:rPr>
              <w:t xml:space="preserve">22,358 </w:t>
            </w:r>
          </w:p>
        </w:tc>
      </w:tr>
      <w:tr w:rsidR="00A91679" w:rsidRPr="00A91679" w14:paraId="63059DCD" w14:textId="77777777" w:rsidTr="008E1EF1">
        <w:trPr>
          <w:trHeight w:val="291"/>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1994DB08" w14:textId="77777777" w:rsidR="00A91679" w:rsidRPr="00A91679" w:rsidRDefault="00A91679" w:rsidP="008E1EF1">
            <w:pPr>
              <w:spacing w:after="0"/>
              <w:jc w:val="right"/>
              <w:rPr>
                <w:lang w:eastAsia="en-AU"/>
              </w:rPr>
            </w:pPr>
            <w:r w:rsidRPr="00A91679">
              <w:rPr>
                <w:lang w:eastAsia="en-AU"/>
              </w:rPr>
              <w:t>3010</w:t>
            </w:r>
          </w:p>
        </w:tc>
        <w:tc>
          <w:tcPr>
            <w:tcW w:w="2552" w:type="dxa"/>
            <w:tcBorders>
              <w:top w:val="nil"/>
              <w:left w:val="nil"/>
              <w:bottom w:val="single" w:sz="4" w:space="0" w:color="auto"/>
              <w:right w:val="single" w:sz="4" w:space="0" w:color="auto"/>
            </w:tcBorders>
            <w:shd w:val="clear" w:color="auto" w:fill="auto"/>
            <w:noWrap/>
            <w:vAlign w:val="bottom"/>
            <w:hideMark/>
          </w:tcPr>
          <w:p w14:paraId="7EA38A82" w14:textId="6561E5D7" w:rsidR="00A91679" w:rsidRPr="00A91679" w:rsidRDefault="00A91679" w:rsidP="008E1EF1">
            <w:pPr>
              <w:spacing w:after="0"/>
              <w:jc w:val="right"/>
              <w:rPr>
                <w:lang w:eastAsia="en-AU"/>
              </w:rPr>
            </w:pPr>
            <w:r w:rsidRPr="00A91679">
              <w:rPr>
                <w:lang w:eastAsia="en-AU"/>
              </w:rPr>
              <w:t>7,048</w:t>
            </w:r>
          </w:p>
        </w:tc>
      </w:tr>
    </w:tbl>
    <w:p w14:paraId="09547661" w14:textId="77777777" w:rsidR="00A75648" w:rsidRDefault="00A75648" w:rsidP="00A75648">
      <w:pPr>
        <w:rPr>
          <w:rFonts w:ascii="Helvetica Light" w:hAnsi="Helvetica Light" w:cstheme="minorBidi"/>
          <w:szCs w:val="20"/>
        </w:rPr>
      </w:pPr>
    </w:p>
    <w:p w14:paraId="084E2A4E" w14:textId="77777777" w:rsidR="00A75648" w:rsidRDefault="00A75648" w:rsidP="00A75648">
      <w:r>
        <w:t xml:space="preserve">Return to </w:t>
      </w:r>
      <w:hyperlink w:anchor="_3.2.4_Unused_Space" w:history="1">
        <w:r w:rsidRPr="00A75648">
          <w:rPr>
            <w:rStyle w:val="Hyperlink"/>
          </w:rPr>
          <w:t>Unused Space</w:t>
        </w:r>
      </w:hyperlink>
    </w:p>
    <w:p w14:paraId="729A4080" w14:textId="713C0E92" w:rsidR="00FE5606" w:rsidRPr="00FE5606" w:rsidRDefault="003B3A7A" w:rsidP="003B3A7A">
      <w:pPr>
        <w:pStyle w:val="Heading3"/>
        <w:ind w:left="1440" w:hanging="1440"/>
        <w:rPr>
          <w:rFonts w:hint="eastAsia"/>
        </w:rPr>
      </w:pPr>
      <w:bookmarkStart w:id="239" w:name="_Unused_Space_as"/>
      <w:bookmarkStart w:id="240" w:name="_Toc171951127"/>
      <w:bookmarkEnd w:id="239"/>
      <w:r>
        <w:t>Table A.</w:t>
      </w:r>
      <w:r w:rsidR="00A13E20">
        <w:t>20</w:t>
      </w:r>
      <w:r>
        <w:tab/>
      </w:r>
      <w:r w:rsidR="00FE5606" w:rsidRPr="00FE5606">
        <w:t>Unused Space as a Percentage of Total Floorspace by Postcode, City of Melbourne, FY2022</w:t>
      </w:r>
      <w:bookmarkEnd w:id="240"/>
    </w:p>
    <w:tbl>
      <w:tblPr>
        <w:tblW w:w="4820" w:type="dxa"/>
        <w:tblInd w:w="-5" w:type="dxa"/>
        <w:tblLook w:val="04A0" w:firstRow="1" w:lastRow="0" w:firstColumn="1" w:lastColumn="0" w:noHBand="0" w:noVBand="1"/>
      </w:tblPr>
      <w:tblGrid>
        <w:gridCol w:w="1117"/>
        <w:gridCol w:w="3703"/>
      </w:tblGrid>
      <w:tr w:rsidR="00A91679" w:rsidRPr="00A91679" w14:paraId="43843561" w14:textId="77777777" w:rsidTr="00FE5606">
        <w:trPr>
          <w:trHeight w:val="300"/>
        </w:trPr>
        <w:tc>
          <w:tcPr>
            <w:tcW w:w="11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695448" w14:textId="77777777" w:rsidR="00A91679" w:rsidRPr="00FE5606" w:rsidRDefault="00A91679" w:rsidP="00FE5606">
            <w:pPr>
              <w:spacing w:after="0"/>
              <w:rPr>
                <w:b/>
                <w:bCs/>
                <w:lang w:eastAsia="en-AU"/>
              </w:rPr>
            </w:pPr>
            <w:bookmarkStart w:id="241" w:name="_Figure_21:_Unused"/>
            <w:bookmarkEnd w:id="241"/>
            <w:r w:rsidRPr="00FE5606">
              <w:rPr>
                <w:b/>
                <w:bCs/>
                <w:lang w:eastAsia="en-AU"/>
              </w:rPr>
              <w:t>Postcode</w:t>
            </w:r>
          </w:p>
        </w:tc>
        <w:tc>
          <w:tcPr>
            <w:tcW w:w="3703" w:type="dxa"/>
            <w:tcBorders>
              <w:top w:val="single" w:sz="4" w:space="0" w:color="auto"/>
              <w:left w:val="nil"/>
              <w:bottom w:val="single" w:sz="4" w:space="0" w:color="auto"/>
              <w:right w:val="single" w:sz="4" w:space="0" w:color="auto"/>
            </w:tcBorders>
            <w:shd w:val="clear" w:color="auto" w:fill="auto"/>
            <w:noWrap/>
            <w:vAlign w:val="bottom"/>
            <w:hideMark/>
          </w:tcPr>
          <w:p w14:paraId="54D326CC" w14:textId="28C10419" w:rsidR="00A91679" w:rsidRPr="00FE5606" w:rsidRDefault="00A91679" w:rsidP="00FE5606">
            <w:pPr>
              <w:spacing w:after="0"/>
              <w:rPr>
                <w:b/>
                <w:bCs/>
                <w:lang w:eastAsia="en-AU"/>
              </w:rPr>
            </w:pPr>
            <w:r w:rsidRPr="00FE5606">
              <w:rPr>
                <w:b/>
                <w:bCs/>
                <w:lang w:eastAsia="en-AU"/>
              </w:rPr>
              <w:t>Unused Space as a Percentage of the Total Floor</w:t>
            </w:r>
            <w:r w:rsidR="00FE5606">
              <w:rPr>
                <w:b/>
                <w:bCs/>
                <w:lang w:eastAsia="en-AU"/>
              </w:rPr>
              <w:t xml:space="preserve"> A</w:t>
            </w:r>
            <w:r w:rsidRPr="00FE5606">
              <w:rPr>
                <w:b/>
                <w:bCs/>
                <w:lang w:eastAsia="en-AU"/>
              </w:rPr>
              <w:t>rea (%)</w:t>
            </w:r>
          </w:p>
        </w:tc>
      </w:tr>
      <w:tr w:rsidR="00A91679" w:rsidRPr="00A91679" w14:paraId="532218FA" w14:textId="77777777" w:rsidTr="00FE5606">
        <w:trPr>
          <w:trHeight w:val="300"/>
        </w:trPr>
        <w:tc>
          <w:tcPr>
            <w:tcW w:w="1117" w:type="dxa"/>
            <w:tcBorders>
              <w:top w:val="nil"/>
              <w:left w:val="single" w:sz="4" w:space="0" w:color="auto"/>
              <w:bottom w:val="single" w:sz="4" w:space="0" w:color="auto"/>
              <w:right w:val="single" w:sz="4" w:space="0" w:color="auto"/>
            </w:tcBorders>
            <w:shd w:val="clear" w:color="auto" w:fill="auto"/>
            <w:noWrap/>
            <w:vAlign w:val="bottom"/>
            <w:hideMark/>
          </w:tcPr>
          <w:p w14:paraId="420098D7" w14:textId="77777777" w:rsidR="00A91679" w:rsidRPr="00A91679" w:rsidRDefault="00A91679" w:rsidP="00FE5606">
            <w:pPr>
              <w:spacing w:after="0"/>
              <w:rPr>
                <w:lang w:eastAsia="en-AU"/>
              </w:rPr>
            </w:pPr>
            <w:r w:rsidRPr="00A91679">
              <w:rPr>
                <w:lang w:eastAsia="en-AU"/>
              </w:rPr>
              <w:lastRenderedPageBreak/>
              <w:t>3207</w:t>
            </w:r>
          </w:p>
        </w:tc>
        <w:tc>
          <w:tcPr>
            <w:tcW w:w="3703" w:type="dxa"/>
            <w:tcBorders>
              <w:top w:val="nil"/>
              <w:left w:val="nil"/>
              <w:bottom w:val="single" w:sz="4" w:space="0" w:color="auto"/>
              <w:right w:val="single" w:sz="4" w:space="0" w:color="auto"/>
            </w:tcBorders>
            <w:shd w:val="clear" w:color="auto" w:fill="auto"/>
            <w:noWrap/>
            <w:vAlign w:val="bottom"/>
            <w:hideMark/>
          </w:tcPr>
          <w:p w14:paraId="2BF43857" w14:textId="77777777" w:rsidR="00A91679" w:rsidRPr="00A91679" w:rsidRDefault="00A91679" w:rsidP="00FE5606">
            <w:pPr>
              <w:spacing w:after="0"/>
              <w:jc w:val="right"/>
              <w:rPr>
                <w:lang w:eastAsia="en-AU"/>
              </w:rPr>
            </w:pPr>
            <w:r w:rsidRPr="00A91679">
              <w:rPr>
                <w:lang w:eastAsia="en-AU"/>
              </w:rPr>
              <w:t>24%</w:t>
            </w:r>
          </w:p>
        </w:tc>
      </w:tr>
      <w:tr w:rsidR="00A91679" w:rsidRPr="00A91679" w14:paraId="1E1F578E" w14:textId="77777777" w:rsidTr="00FE5606">
        <w:trPr>
          <w:trHeight w:val="300"/>
        </w:trPr>
        <w:tc>
          <w:tcPr>
            <w:tcW w:w="1117" w:type="dxa"/>
            <w:tcBorders>
              <w:top w:val="nil"/>
              <w:left w:val="single" w:sz="4" w:space="0" w:color="auto"/>
              <w:bottom w:val="single" w:sz="4" w:space="0" w:color="auto"/>
              <w:right w:val="single" w:sz="4" w:space="0" w:color="auto"/>
            </w:tcBorders>
            <w:shd w:val="clear" w:color="auto" w:fill="auto"/>
            <w:noWrap/>
            <w:vAlign w:val="bottom"/>
            <w:hideMark/>
          </w:tcPr>
          <w:p w14:paraId="5E251193" w14:textId="77777777" w:rsidR="00A91679" w:rsidRPr="00A91679" w:rsidRDefault="00A91679" w:rsidP="00FE5606">
            <w:pPr>
              <w:spacing w:after="0"/>
              <w:rPr>
                <w:lang w:eastAsia="en-AU"/>
              </w:rPr>
            </w:pPr>
            <w:r w:rsidRPr="00A91679">
              <w:rPr>
                <w:lang w:eastAsia="en-AU"/>
              </w:rPr>
              <w:t>3003</w:t>
            </w:r>
          </w:p>
        </w:tc>
        <w:tc>
          <w:tcPr>
            <w:tcW w:w="3703" w:type="dxa"/>
            <w:tcBorders>
              <w:top w:val="nil"/>
              <w:left w:val="nil"/>
              <w:bottom w:val="single" w:sz="4" w:space="0" w:color="auto"/>
              <w:right w:val="single" w:sz="4" w:space="0" w:color="auto"/>
            </w:tcBorders>
            <w:shd w:val="clear" w:color="auto" w:fill="auto"/>
            <w:noWrap/>
            <w:vAlign w:val="bottom"/>
            <w:hideMark/>
          </w:tcPr>
          <w:p w14:paraId="4F201DAD" w14:textId="77777777" w:rsidR="00A91679" w:rsidRPr="00A91679" w:rsidRDefault="00A91679" w:rsidP="00FE5606">
            <w:pPr>
              <w:spacing w:after="0"/>
              <w:jc w:val="right"/>
              <w:rPr>
                <w:lang w:eastAsia="en-AU"/>
              </w:rPr>
            </w:pPr>
            <w:r w:rsidRPr="00A91679">
              <w:rPr>
                <w:lang w:eastAsia="en-AU"/>
              </w:rPr>
              <w:t>16%</w:t>
            </w:r>
          </w:p>
        </w:tc>
      </w:tr>
      <w:tr w:rsidR="00A91679" w:rsidRPr="00A91679" w14:paraId="2B682F54" w14:textId="77777777" w:rsidTr="00FE5606">
        <w:trPr>
          <w:trHeight w:val="300"/>
        </w:trPr>
        <w:tc>
          <w:tcPr>
            <w:tcW w:w="1117" w:type="dxa"/>
            <w:tcBorders>
              <w:top w:val="nil"/>
              <w:left w:val="single" w:sz="4" w:space="0" w:color="auto"/>
              <w:bottom w:val="single" w:sz="4" w:space="0" w:color="auto"/>
              <w:right w:val="single" w:sz="4" w:space="0" w:color="auto"/>
            </w:tcBorders>
            <w:shd w:val="clear" w:color="auto" w:fill="auto"/>
            <w:noWrap/>
            <w:vAlign w:val="bottom"/>
            <w:hideMark/>
          </w:tcPr>
          <w:p w14:paraId="336EB708" w14:textId="77777777" w:rsidR="00A91679" w:rsidRPr="00A91679" w:rsidRDefault="00A91679" w:rsidP="00FE5606">
            <w:pPr>
              <w:spacing w:after="0"/>
              <w:rPr>
                <w:lang w:eastAsia="en-AU"/>
              </w:rPr>
            </w:pPr>
            <w:r w:rsidRPr="00A91679">
              <w:rPr>
                <w:lang w:eastAsia="en-AU"/>
              </w:rPr>
              <w:t>3054</w:t>
            </w:r>
          </w:p>
        </w:tc>
        <w:tc>
          <w:tcPr>
            <w:tcW w:w="3703" w:type="dxa"/>
            <w:tcBorders>
              <w:top w:val="nil"/>
              <w:left w:val="nil"/>
              <w:bottom w:val="single" w:sz="4" w:space="0" w:color="auto"/>
              <w:right w:val="single" w:sz="4" w:space="0" w:color="auto"/>
            </w:tcBorders>
            <w:shd w:val="clear" w:color="auto" w:fill="auto"/>
            <w:noWrap/>
            <w:vAlign w:val="bottom"/>
            <w:hideMark/>
          </w:tcPr>
          <w:p w14:paraId="39707C95" w14:textId="77777777" w:rsidR="00A91679" w:rsidRPr="00A91679" w:rsidRDefault="00A91679" w:rsidP="00FE5606">
            <w:pPr>
              <w:spacing w:after="0"/>
              <w:jc w:val="right"/>
              <w:rPr>
                <w:lang w:eastAsia="en-AU"/>
              </w:rPr>
            </w:pPr>
            <w:r w:rsidRPr="00A91679">
              <w:rPr>
                <w:lang w:eastAsia="en-AU"/>
              </w:rPr>
              <w:t>11%</w:t>
            </w:r>
          </w:p>
        </w:tc>
      </w:tr>
      <w:tr w:rsidR="00A91679" w:rsidRPr="00A91679" w14:paraId="2F93A0A7" w14:textId="77777777" w:rsidTr="00FE5606">
        <w:trPr>
          <w:trHeight w:val="300"/>
        </w:trPr>
        <w:tc>
          <w:tcPr>
            <w:tcW w:w="1117" w:type="dxa"/>
            <w:tcBorders>
              <w:top w:val="nil"/>
              <w:left w:val="single" w:sz="4" w:space="0" w:color="auto"/>
              <w:bottom w:val="single" w:sz="4" w:space="0" w:color="auto"/>
              <w:right w:val="single" w:sz="4" w:space="0" w:color="auto"/>
            </w:tcBorders>
            <w:shd w:val="clear" w:color="auto" w:fill="auto"/>
            <w:noWrap/>
            <w:vAlign w:val="bottom"/>
            <w:hideMark/>
          </w:tcPr>
          <w:p w14:paraId="56EC8321" w14:textId="77777777" w:rsidR="00A91679" w:rsidRPr="00A91679" w:rsidRDefault="00A91679" w:rsidP="00FE5606">
            <w:pPr>
              <w:spacing w:after="0"/>
              <w:rPr>
                <w:lang w:eastAsia="en-AU"/>
              </w:rPr>
            </w:pPr>
            <w:r w:rsidRPr="00A91679">
              <w:rPr>
                <w:lang w:eastAsia="en-AU"/>
              </w:rPr>
              <w:t>3000</w:t>
            </w:r>
          </w:p>
        </w:tc>
        <w:tc>
          <w:tcPr>
            <w:tcW w:w="3703" w:type="dxa"/>
            <w:tcBorders>
              <w:top w:val="nil"/>
              <w:left w:val="nil"/>
              <w:bottom w:val="single" w:sz="4" w:space="0" w:color="auto"/>
              <w:right w:val="single" w:sz="4" w:space="0" w:color="auto"/>
            </w:tcBorders>
            <w:shd w:val="clear" w:color="auto" w:fill="auto"/>
            <w:noWrap/>
            <w:vAlign w:val="bottom"/>
            <w:hideMark/>
          </w:tcPr>
          <w:p w14:paraId="4A6F6C1E" w14:textId="77777777" w:rsidR="00A91679" w:rsidRPr="00A91679" w:rsidRDefault="00A91679" w:rsidP="00FE5606">
            <w:pPr>
              <w:spacing w:after="0"/>
              <w:jc w:val="right"/>
              <w:rPr>
                <w:lang w:eastAsia="en-AU"/>
              </w:rPr>
            </w:pPr>
            <w:r w:rsidRPr="00A91679">
              <w:rPr>
                <w:lang w:eastAsia="en-AU"/>
              </w:rPr>
              <w:t>9%</w:t>
            </w:r>
          </w:p>
        </w:tc>
      </w:tr>
      <w:tr w:rsidR="00A91679" w:rsidRPr="00A91679" w14:paraId="106F9B89" w14:textId="77777777" w:rsidTr="00FE5606">
        <w:trPr>
          <w:trHeight w:val="300"/>
        </w:trPr>
        <w:tc>
          <w:tcPr>
            <w:tcW w:w="1117" w:type="dxa"/>
            <w:tcBorders>
              <w:top w:val="nil"/>
              <w:left w:val="single" w:sz="4" w:space="0" w:color="auto"/>
              <w:bottom w:val="single" w:sz="4" w:space="0" w:color="auto"/>
              <w:right w:val="single" w:sz="4" w:space="0" w:color="auto"/>
            </w:tcBorders>
            <w:shd w:val="clear" w:color="auto" w:fill="auto"/>
            <w:noWrap/>
            <w:vAlign w:val="bottom"/>
            <w:hideMark/>
          </w:tcPr>
          <w:p w14:paraId="4D86F3C5" w14:textId="77777777" w:rsidR="00A91679" w:rsidRPr="00A91679" w:rsidRDefault="00A91679" w:rsidP="00FE5606">
            <w:pPr>
              <w:spacing w:after="0"/>
              <w:rPr>
                <w:lang w:eastAsia="en-AU"/>
              </w:rPr>
            </w:pPr>
            <w:r w:rsidRPr="00A91679">
              <w:rPr>
                <w:lang w:eastAsia="en-AU"/>
              </w:rPr>
              <w:t>3051</w:t>
            </w:r>
          </w:p>
        </w:tc>
        <w:tc>
          <w:tcPr>
            <w:tcW w:w="3703" w:type="dxa"/>
            <w:tcBorders>
              <w:top w:val="nil"/>
              <w:left w:val="nil"/>
              <w:bottom w:val="single" w:sz="4" w:space="0" w:color="auto"/>
              <w:right w:val="single" w:sz="4" w:space="0" w:color="auto"/>
            </w:tcBorders>
            <w:shd w:val="clear" w:color="auto" w:fill="auto"/>
            <w:noWrap/>
            <w:vAlign w:val="bottom"/>
            <w:hideMark/>
          </w:tcPr>
          <w:p w14:paraId="4D42A2E2" w14:textId="77777777" w:rsidR="00A91679" w:rsidRPr="00A91679" w:rsidRDefault="00A91679" w:rsidP="00FE5606">
            <w:pPr>
              <w:spacing w:after="0"/>
              <w:jc w:val="right"/>
              <w:rPr>
                <w:lang w:eastAsia="en-AU"/>
              </w:rPr>
            </w:pPr>
            <w:r w:rsidRPr="00A91679">
              <w:rPr>
                <w:lang w:eastAsia="en-AU"/>
              </w:rPr>
              <w:t>9%</w:t>
            </w:r>
          </w:p>
        </w:tc>
      </w:tr>
      <w:tr w:rsidR="00A91679" w:rsidRPr="00A91679" w14:paraId="0E2A7744" w14:textId="77777777" w:rsidTr="00FE5606">
        <w:trPr>
          <w:trHeight w:val="300"/>
        </w:trPr>
        <w:tc>
          <w:tcPr>
            <w:tcW w:w="1117" w:type="dxa"/>
            <w:tcBorders>
              <w:top w:val="nil"/>
              <w:left w:val="single" w:sz="4" w:space="0" w:color="auto"/>
              <w:bottom w:val="single" w:sz="4" w:space="0" w:color="auto"/>
              <w:right w:val="single" w:sz="4" w:space="0" w:color="auto"/>
            </w:tcBorders>
            <w:shd w:val="clear" w:color="auto" w:fill="auto"/>
            <w:noWrap/>
            <w:vAlign w:val="bottom"/>
            <w:hideMark/>
          </w:tcPr>
          <w:p w14:paraId="24AE8BAC" w14:textId="77777777" w:rsidR="00A91679" w:rsidRPr="00A91679" w:rsidRDefault="00A91679" w:rsidP="00FE5606">
            <w:pPr>
              <w:spacing w:after="0"/>
              <w:rPr>
                <w:lang w:eastAsia="en-AU"/>
              </w:rPr>
            </w:pPr>
            <w:r w:rsidRPr="00A91679">
              <w:rPr>
                <w:lang w:eastAsia="en-AU"/>
              </w:rPr>
              <w:t>3008</w:t>
            </w:r>
          </w:p>
        </w:tc>
        <w:tc>
          <w:tcPr>
            <w:tcW w:w="3703" w:type="dxa"/>
            <w:tcBorders>
              <w:top w:val="nil"/>
              <w:left w:val="nil"/>
              <w:bottom w:val="single" w:sz="4" w:space="0" w:color="auto"/>
              <w:right w:val="single" w:sz="4" w:space="0" w:color="auto"/>
            </w:tcBorders>
            <w:shd w:val="clear" w:color="auto" w:fill="auto"/>
            <w:noWrap/>
            <w:vAlign w:val="bottom"/>
            <w:hideMark/>
          </w:tcPr>
          <w:p w14:paraId="5731021A" w14:textId="77777777" w:rsidR="00A91679" w:rsidRPr="00A91679" w:rsidRDefault="00A91679" w:rsidP="00FE5606">
            <w:pPr>
              <w:spacing w:after="0"/>
              <w:jc w:val="right"/>
              <w:rPr>
                <w:lang w:eastAsia="en-AU"/>
              </w:rPr>
            </w:pPr>
            <w:r w:rsidRPr="00A91679">
              <w:rPr>
                <w:lang w:eastAsia="en-AU"/>
              </w:rPr>
              <w:t>9%</w:t>
            </w:r>
          </w:p>
        </w:tc>
      </w:tr>
      <w:tr w:rsidR="00A91679" w:rsidRPr="00A91679" w14:paraId="55E12C8D" w14:textId="77777777" w:rsidTr="00FE5606">
        <w:trPr>
          <w:trHeight w:val="300"/>
        </w:trPr>
        <w:tc>
          <w:tcPr>
            <w:tcW w:w="1117" w:type="dxa"/>
            <w:tcBorders>
              <w:top w:val="nil"/>
              <w:left w:val="single" w:sz="4" w:space="0" w:color="auto"/>
              <w:bottom w:val="single" w:sz="4" w:space="0" w:color="auto"/>
              <w:right w:val="single" w:sz="4" w:space="0" w:color="auto"/>
            </w:tcBorders>
            <w:shd w:val="clear" w:color="auto" w:fill="auto"/>
            <w:noWrap/>
            <w:vAlign w:val="bottom"/>
            <w:hideMark/>
          </w:tcPr>
          <w:p w14:paraId="0E2E1AB0" w14:textId="77777777" w:rsidR="00A91679" w:rsidRPr="00A91679" w:rsidRDefault="00A91679" w:rsidP="00FE5606">
            <w:pPr>
              <w:spacing w:after="0"/>
              <w:rPr>
                <w:lang w:eastAsia="en-AU"/>
              </w:rPr>
            </w:pPr>
            <w:r w:rsidRPr="00A91679">
              <w:rPr>
                <w:lang w:eastAsia="en-AU"/>
              </w:rPr>
              <w:t>3031</w:t>
            </w:r>
          </w:p>
        </w:tc>
        <w:tc>
          <w:tcPr>
            <w:tcW w:w="3703" w:type="dxa"/>
            <w:tcBorders>
              <w:top w:val="nil"/>
              <w:left w:val="nil"/>
              <w:bottom w:val="single" w:sz="4" w:space="0" w:color="auto"/>
              <w:right w:val="single" w:sz="4" w:space="0" w:color="auto"/>
            </w:tcBorders>
            <w:shd w:val="clear" w:color="auto" w:fill="auto"/>
            <w:noWrap/>
            <w:vAlign w:val="bottom"/>
            <w:hideMark/>
          </w:tcPr>
          <w:p w14:paraId="19C28125" w14:textId="77777777" w:rsidR="00A91679" w:rsidRPr="00A91679" w:rsidRDefault="00A91679" w:rsidP="00FE5606">
            <w:pPr>
              <w:spacing w:after="0"/>
              <w:jc w:val="right"/>
              <w:rPr>
                <w:lang w:eastAsia="en-AU"/>
              </w:rPr>
            </w:pPr>
            <w:r w:rsidRPr="00A91679">
              <w:rPr>
                <w:lang w:eastAsia="en-AU"/>
              </w:rPr>
              <w:t>9%</w:t>
            </w:r>
          </w:p>
        </w:tc>
      </w:tr>
      <w:tr w:rsidR="00A91679" w:rsidRPr="00A91679" w14:paraId="4440EC34" w14:textId="77777777" w:rsidTr="00FE5606">
        <w:trPr>
          <w:trHeight w:val="300"/>
        </w:trPr>
        <w:tc>
          <w:tcPr>
            <w:tcW w:w="1117" w:type="dxa"/>
            <w:tcBorders>
              <w:top w:val="nil"/>
              <w:left w:val="single" w:sz="4" w:space="0" w:color="auto"/>
              <w:bottom w:val="single" w:sz="4" w:space="0" w:color="auto"/>
              <w:right w:val="single" w:sz="4" w:space="0" w:color="auto"/>
            </w:tcBorders>
            <w:shd w:val="clear" w:color="auto" w:fill="auto"/>
            <w:noWrap/>
            <w:vAlign w:val="bottom"/>
            <w:hideMark/>
          </w:tcPr>
          <w:p w14:paraId="3A76FB55" w14:textId="77777777" w:rsidR="00A91679" w:rsidRPr="00A91679" w:rsidRDefault="00A91679" w:rsidP="00FE5606">
            <w:pPr>
              <w:spacing w:after="0"/>
              <w:rPr>
                <w:lang w:eastAsia="en-AU"/>
              </w:rPr>
            </w:pPr>
            <w:r w:rsidRPr="00A91679">
              <w:rPr>
                <w:lang w:eastAsia="en-AU"/>
              </w:rPr>
              <w:t>3004</w:t>
            </w:r>
          </w:p>
        </w:tc>
        <w:tc>
          <w:tcPr>
            <w:tcW w:w="3703" w:type="dxa"/>
            <w:tcBorders>
              <w:top w:val="nil"/>
              <w:left w:val="nil"/>
              <w:bottom w:val="single" w:sz="4" w:space="0" w:color="auto"/>
              <w:right w:val="single" w:sz="4" w:space="0" w:color="auto"/>
            </w:tcBorders>
            <w:shd w:val="clear" w:color="auto" w:fill="auto"/>
            <w:noWrap/>
            <w:vAlign w:val="bottom"/>
            <w:hideMark/>
          </w:tcPr>
          <w:p w14:paraId="0194CB1E" w14:textId="77777777" w:rsidR="00A91679" w:rsidRPr="00A91679" w:rsidRDefault="00A91679" w:rsidP="00FE5606">
            <w:pPr>
              <w:spacing w:after="0"/>
              <w:jc w:val="right"/>
              <w:rPr>
                <w:lang w:eastAsia="en-AU"/>
              </w:rPr>
            </w:pPr>
            <w:r w:rsidRPr="00A91679">
              <w:rPr>
                <w:lang w:eastAsia="en-AU"/>
              </w:rPr>
              <w:t>6%</w:t>
            </w:r>
          </w:p>
        </w:tc>
      </w:tr>
      <w:tr w:rsidR="00A91679" w:rsidRPr="00A91679" w14:paraId="784B20B2" w14:textId="77777777" w:rsidTr="00FE5606">
        <w:trPr>
          <w:trHeight w:val="300"/>
        </w:trPr>
        <w:tc>
          <w:tcPr>
            <w:tcW w:w="1117" w:type="dxa"/>
            <w:tcBorders>
              <w:top w:val="nil"/>
              <w:left w:val="single" w:sz="4" w:space="0" w:color="auto"/>
              <w:bottom w:val="single" w:sz="4" w:space="0" w:color="auto"/>
              <w:right w:val="single" w:sz="4" w:space="0" w:color="auto"/>
            </w:tcBorders>
            <w:shd w:val="clear" w:color="auto" w:fill="auto"/>
            <w:noWrap/>
            <w:vAlign w:val="bottom"/>
            <w:hideMark/>
          </w:tcPr>
          <w:p w14:paraId="09B26A7A" w14:textId="77777777" w:rsidR="00A91679" w:rsidRPr="00A91679" w:rsidRDefault="00A91679" w:rsidP="00FE5606">
            <w:pPr>
              <w:spacing w:after="0"/>
              <w:rPr>
                <w:lang w:eastAsia="en-AU"/>
              </w:rPr>
            </w:pPr>
            <w:r w:rsidRPr="00A91679">
              <w:rPr>
                <w:lang w:eastAsia="en-AU"/>
              </w:rPr>
              <w:t>3053</w:t>
            </w:r>
          </w:p>
        </w:tc>
        <w:tc>
          <w:tcPr>
            <w:tcW w:w="3703" w:type="dxa"/>
            <w:tcBorders>
              <w:top w:val="nil"/>
              <w:left w:val="nil"/>
              <w:bottom w:val="single" w:sz="4" w:space="0" w:color="auto"/>
              <w:right w:val="single" w:sz="4" w:space="0" w:color="auto"/>
            </w:tcBorders>
            <w:shd w:val="clear" w:color="auto" w:fill="auto"/>
            <w:noWrap/>
            <w:vAlign w:val="bottom"/>
            <w:hideMark/>
          </w:tcPr>
          <w:p w14:paraId="1CAB7242" w14:textId="77777777" w:rsidR="00A91679" w:rsidRPr="00A91679" w:rsidRDefault="00A91679" w:rsidP="00FE5606">
            <w:pPr>
              <w:spacing w:after="0"/>
              <w:jc w:val="right"/>
              <w:rPr>
                <w:lang w:eastAsia="en-AU"/>
              </w:rPr>
            </w:pPr>
            <w:r w:rsidRPr="00A91679">
              <w:rPr>
                <w:lang w:eastAsia="en-AU"/>
              </w:rPr>
              <w:t>5%</w:t>
            </w:r>
          </w:p>
        </w:tc>
      </w:tr>
      <w:tr w:rsidR="00A91679" w:rsidRPr="00A91679" w14:paraId="4AB4675D" w14:textId="77777777" w:rsidTr="00FE5606">
        <w:trPr>
          <w:trHeight w:val="300"/>
        </w:trPr>
        <w:tc>
          <w:tcPr>
            <w:tcW w:w="1117" w:type="dxa"/>
            <w:tcBorders>
              <w:top w:val="nil"/>
              <w:left w:val="single" w:sz="4" w:space="0" w:color="auto"/>
              <w:bottom w:val="single" w:sz="4" w:space="0" w:color="auto"/>
              <w:right w:val="single" w:sz="4" w:space="0" w:color="auto"/>
            </w:tcBorders>
            <w:shd w:val="clear" w:color="auto" w:fill="auto"/>
            <w:noWrap/>
            <w:vAlign w:val="bottom"/>
            <w:hideMark/>
          </w:tcPr>
          <w:p w14:paraId="75323AE1" w14:textId="77777777" w:rsidR="00A91679" w:rsidRPr="00A91679" w:rsidRDefault="00A91679" w:rsidP="00FE5606">
            <w:pPr>
              <w:spacing w:after="0"/>
              <w:rPr>
                <w:lang w:eastAsia="en-AU"/>
              </w:rPr>
            </w:pPr>
            <w:r w:rsidRPr="00A91679">
              <w:rPr>
                <w:lang w:eastAsia="en-AU"/>
              </w:rPr>
              <w:t>3006</w:t>
            </w:r>
          </w:p>
        </w:tc>
        <w:tc>
          <w:tcPr>
            <w:tcW w:w="3703" w:type="dxa"/>
            <w:tcBorders>
              <w:top w:val="nil"/>
              <w:left w:val="nil"/>
              <w:bottom w:val="single" w:sz="4" w:space="0" w:color="auto"/>
              <w:right w:val="single" w:sz="4" w:space="0" w:color="auto"/>
            </w:tcBorders>
            <w:shd w:val="clear" w:color="auto" w:fill="auto"/>
            <w:noWrap/>
            <w:vAlign w:val="bottom"/>
            <w:hideMark/>
          </w:tcPr>
          <w:p w14:paraId="2309D16F" w14:textId="77777777" w:rsidR="00A91679" w:rsidRPr="00A91679" w:rsidRDefault="00A91679" w:rsidP="00FE5606">
            <w:pPr>
              <w:spacing w:after="0"/>
              <w:jc w:val="right"/>
              <w:rPr>
                <w:lang w:eastAsia="en-AU"/>
              </w:rPr>
            </w:pPr>
            <w:r w:rsidRPr="00A91679">
              <w:rPr>
                <w:lang w:eastAsia="en-AU"/>
              </w:rPr>
              <w:t>4%</w:t>
            </w:r>
          </w:p>
        </w:tc>
      </w:tr>
      <w:tr w:rsidR="00A91679" w:rsidRPr="00A91679" w14:paraId="1452948F" w14:textId="77777777" w:rsidTr="00FE5606">
        <w:trPr>
          <w:trHeight w:val="300"/>
        </w:trPr>
        <w:tc>
          <w:tcPr>
            <w:tcW w:w="1117" w:type="dxa"/>
            <w:tcBorders>
              <w:top w:val="nil"/>
              <w:left w:val="single" w:sz="4" w:space="0" w:color="auto"/>
              <w:bottom w:val="single" w:sz="4" w:space="0" w:color="auto"/>
              <w:right w:val="single" w:sz="4" w:space="0" w:color="auto"/>
            </w:tcBorders>
            <w:shd w:val="clear" w:color="auto" w:fill="auto"/>
            <w:noWrap/>
            <w:vAlign w:val="bottom"/>
            <w:hideMark/>
          </w:tcPr>
          <w:p w14:paraId="05EE450A" w14:textId="77777777" w:rsidR="00A91679" w:rsidRPr="00A91679" w:rsidRDefault="00A91679" w:rsidP="00FE5606">
            <w:pPr>
              <w:spacing w:after="0"/>
              <w:rPr>
                <w:lang w:eastAsia="en-AU"/>
              </w:rPr>
            </w:pPr>
            <w:r w:rsidRPr="00A91679">
              <w:rPr>
                <w:lang w:eastAsia="en-AU"/>
              </w:rPr>
              <w:t>3002</w:t>
            </w:r>
          </w:p>
        </w:tc>
        <w:tc>
          <w:tcPr>
            <w:tcW w:w="3703" w:type="dxa"/>
            <w:tcBorders>
              <w:top w:val="nil"/>
              <w:left w:val="nil"/>
              <w:bottom w:val="single" w:sz="4" w:space="0" w:color="auto"/>
              <w:right w:val="single" w:sz="4" w:space="0" w:color="auto"/>
            </w:tcBorders>
            <w:shd w:val="clear" w:color="auto" w:fill="auto"/>
            <w:noWrap/>
            <w:vAlign w:val="bottom"/>
            <w:hideMark/>
          </w:tcPr>
          <w:p w14:paraId="20DB337A" w14:textId="77777777" w:rsidR="00A91679" w:rsidRPr="00A91679" w:rsidRDefault="00A91679" w:rsidP="00FE5606">
            <w:pPr>
              <w:spacing w:after="0"/>
              <w:jc w:val="right"/>
              <w:rPr>
                <w:lang w:eastAsia="en-AU"/>
              </w:rPr>
            </w:pPr>
            <w:r w:rsidRPr="00A91679">
              <w:rPr>
                <w:lang w:eastAsia="en-AU"/>
              </w:rPr>
              <w:t>3%</w:t>
            </w:r>
          </w:p>
        </w:tc>
      </w:tr>
      <w:tr w:rsidR="00A91679" w:rsidRPr="00A91679" w14:paraId="1DC369A4" w14:textId="77777777" w:rsidTr="00FE5606">
        <w:trPr>
          <w:trHeight w:val="300"/>
        </w:trPr>
        <w:tc>
          <w:tcPr>
            <w:tcW w:w="1117" w:type="dxa"/>
            <w:tcBorders>
              <w:top w:val="nil"/>
              <w:left w:val="single" w:sz="4" w:space="0" w:color="auto"/>
              <w:bottom w:val="single" w:sz="4" w:space="0" w:color="auto"/>
              <w:right w:val="single" w:sz="4" w:space="0" w:color="auto"/>
            </w:tcBorders>
            <w:shd w:val="clear" w:color="auto" w:fill="auto"/>
            <w:noWrap/>
            <w:vAlign w:val="bottom"/>
            <w:hideMark/>
          </w:tcPr>
          <w:p w14:paraId="3F19DF22" w14:textId="77777777" w:rsidR="00A91679" w:rsidRPr="00A91679" w:rsidRDefault="00A91679" w:rsidP="00FE5606">
            <w:pPr>
              <w:spacing w:after="0"/>
              <w:rPr>
                <w:lang w:eastAsia="en-AU"/>
              </w:rPr>
            </w:pPr>
            <w:r w:rsidRPr="00A91679">
              <w:rPr>
                <w:lang w:eastAsia="en-AU"/>
              </w:rPr>
              <w:t>3052</w:t>
            </w:r>
          </w:p>
        </w:tc>
        <w:tc>
          <w:tcPr>
            <w:tcW w:w="3703" w:type="dxa"/>
            <w:tcBorders>
              <w:top w:val="nil"/>
              <w:left w:val="nil"/>
              <w:bottom w:val="single" w:sz="4" w:space="0" w:color="auto"/>
              <w:right w:val="single" w:sz="4" w:space="0" w:color="auto"/>
            </w:tcBorders>
            <w:shd w:val="clear" w:color="auto" w:fill="auto"/>
            <w:noWrap/>
            <w:vAlign w:val="bottom"/>
            <w:hideMark/>
          </w:tcPr>
          <w:p w14:paraId="5E91E322" w14:textId="77777777" w:rsidR="00A91679" w:rsidRPr="00A91679" w:rsidRDefault="00A91679" w:rsidP="00FE5606">
            <w:pPr>
              <w:spacing w:after="0"/>
              <w:jc w:val="right"/>
              <w:rPr>
                <w:lang w:eastAsia="en-AU"/>
              </w:rPr>
            </w:pPr>
            <w:r w:rsidRPr="00A91679">
              <w:rPr>
                <w:lang w:eastAsia="en-AU"/>
              </w:rPr>
              <w:t>2%</w:t>
            </w:r>
          </w:p>
        </w:tc>
      </w:tr>
      <w:tr w:rsidR="00A91679" w:rsidRPr="00A91679" w14:paraId="285972DA" w14:textId="77777777" w:rsidTr="00FE5606">
        <w:trPr>
          <w:trHeight w:val="300"/>
        </w:trPr>
        <w:tc>
          <w:tcPr>
            <w:tcW w:w="1117" w:type="dxa"/>
            <w:tcBorders>
              <w:top w:val="nil"/>
              <w:left w:val="single" w:sz="4" w:space="0" w:color="auto"/>
              <w:bottom w:val="single" w:sz="4" w:space="0" w:color="auto"/>
              <w:right w:val="single" w:sz="4" w:space="0" w:color="auto"/>
            </w:tcBorders>
            <w:shd w:val="clear" w:color="auto" w:fill="auto"/>
            <w:noWrap/>
            <w:vAlign w:val="bottom"/>
            <w:hideMark/>
          </w:tcPr>
          <w:p w14:paraId="6CB88DB2" w14:textId="77777777" w:rsidR="00A91679" w:rsidRPr="00A91679" w:rsidRDefault="00A91679" w:rsidP="00FE5606">
            <w:pPr>
              <w:spacing w:after="0"/>
              <w:rPr>
                <w:lang w:eastAsia="en-AU"/>
              </w:rPr>
            </w:pPr>
            <w:r w:rsidRPr="00A91679">
              <w:rPr>
                <w:lang w:eastAsia="en-AU"/>
              </w:rPr>
              <w:t>3010</w:t>
            </w:r>
          </w:p>
        </w:tc>
        <w:tc>
          <w:tcPr>
            <w:tcW w:w="3703" w:type="dxa"/>
            <w:tcBorders>
              <w:top w:val="nil"/>
              <w:left w:val="nil"/>
              <w:bottom w:val="single" w:sz="4" w:space="0" w:color="auto"/>
              <w:right w:val="single" w:sz="4" w:space="0" w:color="auto"/>
            </w:tcBorders>
            <w:shd w:val="clear" w:color="auto" w:fill="auto"/>
            <w:noWrap/>
            <w:vAlign w:val="bottom"/>
            <w:hideMark/>
          </w:tcPr>
          <w:p w14:paraId="7F20CCB0" w14:textId="77777777" w:rsidR="00A91679" w:rsidRPr="00A91679" w:rsidRDefault="00A91679" w:rsidP="00FE5606">
            <w:pPr>
              <w:spacing w:after="0"/>
              <w:jc w:val="right"/>
              <w:rPr>
                <w:lang w:eastAsia="en-AU"/>
              </w:rPr>
            </w:pPr>
            <w:r w:rsidRPr="00A91679">
              <w:rPr>
                <w:lang w:eastAsia="en-AU"/>
              </w:rPr>
              <w:t>2%</w:t>
            </w:r>
          </w:p>
        </w:tc>
      </w:tr>
    </w:tbl>
    <w:p w14:paraId="32E95313" w14:textId="77777777" w:rsidR="00A91679" w:rsidRDefault="00A91679" w:rsidP="00FE5606">
      <w:pPr>
        <w:rPr>
          <w:rFonts w:ascii="Helvetica Light" w:hAnsi="Helvetica Light" w:cstheme="minorBidi"/>
          <w:szCs w:val="20"/>
        </w:rPr>
      </w:pPr>
    </w:p>
    <w:p w14:paraId="0C160FBF" w14:textId="77777777" w:rsidR="00FE5606" w:rsidRDefault="00FE5606" w:rsidP="00FE5606">
      <w:r>
        <w:t xml:space="preserve">Return to </w:t>
      </w:r>
      <w:hyperlink w:anchor="_3.2.4_Unused_Space" w:history="1">
        <w:r w:rsidRPr="00A75648">
          <w:rPr>
            <w:rStyle w:val="Hyperlink"/>
          </w:rPr>
          <w:t>Unused Space</w:t>
        </w:r>
      </w:hyperlink>
    </w:p>
    <w:p w14:paraId="22ECB5E2" w14:textId="52FB6A69" w:rsidR="00FE5606" w:rsidRPr="00FE5606" w:rsidRDefault="003B3A7A" w:rsidP="00B33DB1">
      <w:pPr>
        <w:pStyle w:val="Heading3"/>
        <w:rPr>
          <w:rFonts w:hint="eastAsia"/>
        </w:rPr>
      </w:pPr>
      <w:bookmarkStart w:id="242" w:name="_Top_Ten_Land-Use"/>
      <w:bookmarkEnd w:id="242"/>
      <w:r>
        <w:t>Table A.2</w:t>
      </w:r>
      <w:r w:rsidR="00A13E20">
        <w:t>1</w:t>
      </w:r>
      <w:r>
        <w:tab/>
      </w:r>
      <w:r w:rsidR="00FE5606" w:rsidRPr="00FE5606">
        <w:t>Top Ten Land-Use Descriptors of Unused Buildings</w:t>
      </w:r>
    </w:p>
    <w:tbl>
      <w:tblPr>
        <w:tblW w:w="5954" w:type="dxa"/>
        <w:tblInd w:w="-5" w:type="dxa"/>
        <w:tblLook w:val="04A0" w:firstRow="1" w:lastRow="0" w:firstColumn="1" w:lastColumn="0" w:noHBand="0" w:noVBand="1"/>
      </w:tblPr>
      <w:tblGrid>
        <w:gridCol w:w="3402"/>
        <w:gridCol w:w="2552"/>
      </w:tblGrid>
      <w:tr w:rsidR="00A91679" w:rsidRPr="00A91679" w14:paraId="4B3A2995" w14:textId="77777777" w:rsidTr="00FE5606">
        <w:trPr>
          <w:trHeight w:val="300"/>
        </w:trPr>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A73188" w14:textId="77777777" w:rsidR="00A91679" w:rsidRPr="00FE5606" w:rsidRDefault="00A91679" w:rsidP="00FE5606">
            <w:pPr>
              <w:spacing w:after="0"/>
              <w:rPr>
                <w:b/>
                <w:bCs/>
                <w:lang w:eastAsia="en-AU"/>
              </w:rPr>
            </w:pPr>
            <w:bookmarkStart w:id="243" w:name="_Figure_22:_Top"/>
            <w:bookmarkEnd w:id="243"/>
            <w:r w:rsidRPr="00FE5606">
              <w:rPr>
                <w:b/>
                <w:bCs/>
                <w:lang w:eastAsia="en-AU"/>
              </w:rPr>
              <w:t>Space Use Type</w:t>
            </w:r>
          </w:p>
        </w:tc>
        <w:tc>
          <w:tcPr>
            <w:tcW w:w="2552" w:type="dxa"/>
            <w:tcBorders>
              <w:top w:val="single" w:sz="4" w:space="0" w:color="auto"/>
              <w:left w:val="nil"/>
              <w:bottom w:val="single" w:sz="4" w:space="0" w:color="auto"/>
              <w:right w:val="single" w:sz="4" w:space="0" w:color="auto"/>
            </w:tcBorders>
            <w:shd w:val="clear" w:color="auto" w:fill="auto"/>
            <w:noWrap/>
            <w:vAlign w:val="bottom"/>
            <w:hideMark/>
          </w:tcPr>
          <w:p w14:paraId="73241B59" w14:textId="77777777" w:rsidR="00A91679" w:rsidRPr="00FE5606" w:rsidRDefault="00A91679" w:rsidP="00FE5606">
            <w:pPr>
              <w:spacing w:after="0"/>
              <w:rPr>
                <w:b/>
                <w:bCs/>
                <w:lang w:eastAsia="en-AU"/>
              </w:rPr>
            </w:pPr>
            <w:r w:rsidRPr="00FE5606">
              <w:rPr>
                <w:b/>
                <w:bCs/>
                <w:lang w:eastAsia="en-AU"/>
              </w:rPr>
              <w:t>Count of Buildings (-)</w:t>
            </w:r>
          </w:p>
        </w:tc>
      </w:tr>
      <w:tr w:rsidR="00A91679" w:rsidRPr="00A91679" w14:paraId="37ED541E" w14:textId="77777777" w:rsidTr="00FE5606">
        <w:trPr>
          <w:trHeight w:val="300"/>
        </w:trPr>
        <w:tc>
          <w:tcPr>
            <w:tcW w:w="3402" w:type="dxa"/>
            <w:tcBorders>
              <w:top w:val="nil"/>
              <w:left w:val="single" w:sz="4" w:space="0" w:color="auto"/>
              <w:bottom w:val="single" w:sz="4" w:space="0" w:color="auto"/>
              <w:right w:val="single" w:sz="4" w:space="0" w:color="auto"/>
            </w:tcBorders>
            <w:shd w:val="clear" w:color="auto" w:fill="auto"/>
            <w:noWrap/>
            <w:vAlign w:val="bottom"/>
            <w:hideMark/>
          </w:tcPr>
          <w:p w14:paraId="115A0389" w14:textId="77777777" w:rsidR="00A91679" w:rsidRPr="00A91679" w:rsidRDefault="00A91679" w:rsidP="00FE5606">
            <w:pPr>
              <w:spacing w:after="0"/>
              <w:rPr>
                <w:lang w:eastAsia="en-AU"/>
              </w:rPr>
            </w:pPr>
            <w:r w:rsidRPr="00A91679">
              <w:rPr>
                <w:lang w:eastAsia="en-AU"/>
              </w:rPr>
              <w:t>Office</w:t>
            </w:r>
          </w:p>
        </w:tc>
        <w:tc>
          <w:tcPr>
            <w:tcW w:w="2552" w:type="dxa"/>
            <w:tcBorders>
              <w:top w:val="nil"/>
              <w:left w:val="nil"/>
              <w:bottom w:val="single" w:sz="4" w:space="0" w:color="auto"/>
              <w:right w:val="single" w:sz="4" w:space="0" w:color="auto"/>
            </w:tcBorders>
            <w:shd w:val="clear" w:color="auto" w:fill="auto"/>
            <w:noWrap/>
            <w:vAlign w:val="bottom"/>
            <w:hideMark/>
          </w:tcPr>
          <w:p w14:paraId="45466068" w14:textId="77777777" w:rsidR="00A91679" w:rsidRPr="00A91679" w:rsidRDefault="00A91679" w:rsidP="00FE5606">
            <w:pPr>
              <w:spacing w:after="0"/>
              <w:jc w:val="right"/>
              <w:rPr>
                <w:lang w:eastAsia="en-AU"/>
              </w:rPr>
            </w:pPr>
            <w:r w:rsidRPr="00A91679">
              <w:rPr>
                <w:lang w:eastAsia="en-AU"/>
              </w:rPr>
              <w:t>145</w:t>
            </w:r>
          </w:p>
        </w:tc>
      </w:tr>
      <w:tr w:rsidR="00A91679" w:rsidRPr="00A91679" w14:paraId="2DF3CDDF" w14:textId="77777777" w:rsidTr="00FE5606">
        <w:trPr>
          <w:trHeight w:val="300"/>
        </w:trPr>
        <w:tc>
          <w:tcPr>
            <w:tcW w:w="3402" w:type="dxa"/>
            <w:tcBorders>
              <w:top w:val="nil"/>
              <w:left w:val="single" w:sz="4" w:space="0" w:color="auto"/>
              <w:bottom w:val="single" w:sz="4" w:space="0" w:color="auto"/>
              <w:right w:val="single" w:sz="4" w:space="0" w:color="auto"/>
            </w:tcBorders>
            <w:shd w:val="clear" w:color="auto" w:fill="auto"/>
            <w:noWrap/>
            <w:vAlign w:val="bottom"/>
            <w:hideMark/>
          </w:tcPr>
          <w:p w14:paraId="26C0D0AD" w14:textId="77777777" w:rsidR="00A91679" w:rsidRPr="00A91679" w:rsidRDefault="00A91679" w:rsidP="00FE5606">
            <w:pPr>
              <w:spacing w:after="0"/>
              <w:rPr>
                <w:lang w:eastAsia="en-AU"/>
              </w:rPr>
            </w:pPr>
            <w:r w:rsidRPr="00A91679">
              <w:rPr>
                <w:lang w:eastAsia="en-AU"/>
              </w:rPr>
              <w:t>Retail/Office</w:t>
            </w:r>
          </w:p>
        </w:tc>
        <w:tc>
          <w:tcPr>
            <w:tcW w:w="2552" w:type="dxa"/>
            <w:tcBorders>
              <w:top w:val="nil"/>
              <w:left w:val="nil"/>
              <w:bottom w:val="single" w:sz="4" w:space="0" w:color="auto"/>
              <w:right w:val="single" w:sz="4" w:space="0" w:color="auto"/>
            </w:tcBorders>
            <w:shd w:val="clear" w:color="auto" w:fill="auto"/>
            <w:noWrap/>
            <w:vAlign w:val="bottom"/>
            <w:hideMark/>
          </w:tcPr>
          <w:p w14:paraId="4E124527" w14:textId="77777777" w:rsidR="00A91679" w:rsidRPr="00A91679" w:rsidRDefault="00A91679" w:rsidP="00FE5606">
            <w:pPr>
              <w:spacing w:after="0"/>
              <w:jc w:val="right"/>
              <w:rPr>
                <w:lang w:eastAsia="en-AU"/>
              </w:rPr>
            </w:pPr>
            <w:r w:rsidRPr="00A91679">
              <w:rPr>
                <w:lang w:eastAsia="en-AU"/>
              </w:rPr>
              <w:t>97</w:t>
            </w:r>
          </w:p>
        </w:tc>
      </w:tr>
      <w:tr w:rsidR="00A91679" w:rsidRPr="00A91679" w14:paraId="5D290830" w14:textId="77777777" w:rsidTr="00FE5606">
        <w:trPr>
          <w:trHeight w:val="300"/>
        </w:trPr>
        <w:tc>
          <w:tcPr>
            <w:tcW w:w="3402" w:type="dxa"/>
            <w:tcBorders>
              <w:top w:val="nil"/>
              <w:left w:val="single" w:sz="4" w:space="0" w:color="auto"/>
              <w:bottom w:val="single" w:sz="4" w:space="0" w:color="auto"/>
              <w:right w:val="single" w:sz="4" w:space="0" w:color="auto"/>
            </w:tcBorders>
            <w:shd w:val="clear" w:color="auto" w:fill="auto"/>
            <w:noWrap/>
            <w:vAlign w:val="bottom"/>
            <w:hideMark/>
          </w:tcPr>
          <w:p w14:paraId="7D2DC2A5" w14:textId="77777777" w:rsidR="00A91679" w:rsidRPr="00A91679" w:rsidRDefault="00A91679" w:rsidP="00FE5606">
            <w:pPr>
              <w:spacing w:after="0"/>
              <w:rPr>
                <w:lang w:eastAsia="en-AU"/>
              </w:rPr>
            </w:pPr>
            <w:r w:rsidRPr="00A91679">
              <w:rPr>
                <w:lang w:eastAsia="en-AU"/>
              </w:rPr>
              <w:t>Warehouse/Store</w:t>
            </w:r>
          </w:p>
        </w:tc>
        <w:tc>
          <w:tcPr>
            <w:tcW w:w="2552" w:type="dxa"/>
            <w:tcBorders>
              <w:top w:val="nil"/>
              <w:left w:val="nil"/>
              <w:bottom w:val="single" w:sz="4" w:space="0" w:color="auto"/>
              <w:right w:val="single" w:sz="4" w:space="0" w:color="auto"/>
            </w:tcBorders>
            <w:shd w:val="clear" w:color="auto" w:fill="auto"/>
            <w:noWrap/>
            <w:vAlign w:val="bottom"/>
            <w:hideMark/>
          </w:tcPr>
          <w:p w14:paraId="5F911D97" w14:textId="77777777" w:rsidR="00A91679" w:rsidRPr="00A91679" w:rsidRDefault="00A91679" w:rsidP="00FE5606">
            <w:pPr>
              <w:spacing w:after="0"/>
              <w:jc w:val="right"/>
              <w:rPr>
                <w:lang w:eastAsia="en-AU"/>
              </w:rPr>
            </w:pPr>
            <w:r w:rsidRPr="00A91679">
              <w:rPr>
                <w:lang w:eastAsia="en-AU"/>
              </w:rPr>
              <w:t>85</w:t>
            </w:r>
          </w:p>
        </w:tc>
      </w:tr>
      <w:tr w:rsidR="00A91679" w:rsidRPr="00A91679" w14:paraId="5C762A3E" w14:textId="77777777" w:rsidTr="00FE5606">
        <w:trPr>
          <w:trHeight w:val="300"/>
        </w:trPr>
        <w:tc>
          <w:tcPr>
            <w:tcW w:w="3402" w:type="dxa"/>
            <w:tcBorders>
              <w:top w:val="nil"/>
              <w:left w:val="single" w:sz="4" w:space="0" w:color="auto"/>
              <w:bottom w:val="single" w:sz="4" w:space="0" w:color="auto"/>
              <w:right w:val="single" w:sz="4" w:space="0" w:color="auto"/>
            </w:tcBorders>
            <w:shd w:val="clear" w:color="auto" w:fill="auto"/>
            <w:noWrap/>
            <w:vAlign w:val="bottom"/>
            <w:hideMark/>
          </w:tcPr>
          <w:p w14:paraId="0A2C0D94" w14:textId="77777777" w:rsidR="00A91679" w:rsidRPr="00A91679" w:rsidRDefault="00A91679" w:rsidP="00FE5606">
            <w:pPr>
              <w:spacing w:after="0"/>
              <w:rPr>
                <w:lang w:eastAsia="en-AU"/>
              </w:rPr>
            </w:pPr>
            <w:r w:rsidRPr="00A91679">
              <w:rPr>
                <w:lang w:eastAsia="en-AU"/>
              </w:rPr>
              <w:t>Shop</w:t>
            </w:r>
          </w:p>
        </w:tc>
        <w:tc>
          <w:tcPr>
            <w:tcW w:w="2552" w:type="dxa"/>
            <w:tcBorders>
              <w:top w:val="nil"/>
              <w:left w:val="nil"/>
              <w:bottom w:val="single" w:sz="4" w:space="0" w:color="auto"/>
              <w:right w:val="single" w:sz="4" w:space="0" w:color="auto"/>
            </w:tcBorders>
            <w:shd w:val="clear" w:color="auto" w:fill="auto"/>
            <w:noWrap/>
            <w:vAlign w:val="bottom"/>
            <w:hideMark/>
          </w:tcPr>
          <w:p w14:paraId="5711AF12" w14:textId="77777777" w:rsidR="00A91679" w:rsidRPr="00A91679" w:rsidRDefault="00A91679" w:rsidP="00FE5606">
            <w:pPr>
              <w:spacing w:after="0"/>
              <w:jc w:val="right"/>
              <w:rPr>
                <w:lang w:eastAsia="en-AU"/>
              </w:rPr>
            </w:pPr>
            <w:r w:rsidRPr="00A91679">
              <w:rPr>
                <w:lang w:eastAsia="en-AU"/>
              </w:rPr>
              <w:t>62</w:t>
            </w:r>
          </w:p>
        </w:tc>
      </w:tr>
      <w:tr w:rsidR="00A91679" w:rsidRPr="00A91679" w14:paraId="342C0DE6" w14:textId="77777777" w:rsidTr="00FE5606">
        <w:trPr>
          <w:trHeight w:val="300"/>
        </w:trPr>
        <w:tc>
          <w:tcPr>
            <w:tcW w:w="3402" w:type="dxa"/>
            <w:tcBorders>
              <w:top w:val="nil"/>
              <w:left w:val="single" w:sz="4" w:space="0" w:color="auto"/>
              <w:bottom w:val="single" w:sz="4" w:space="0" w:color="auto"/>
              <w:right w:val="single" w:sz="4" w:space="0" w:color="auto"/>
            </w:tcBorders>
            <w:shd w:val="clear" w:color="auto" w:fill="auto"/>
            <w:noWrap/>
            <w:vAlign w:val="bottom"/>
            <w:hideMark/>
          </w:tcPr>
          <w:p w14:paraId="3C3F6B29" w14:textId="77777777" w:rsidR="00A91679" w:rsidRPr="00A91679" w:rsidRDefault="00A91679" w:rsidP="00FE5606">
            <w:pPr>
              <w:spacing w:after="0"/>
              <w:rPr>
                <w:lang w:eastAsia="en-AU"/>
              </w:rPr>
            </w:pPr>
            <w:r w:rsidRPr="00A91679">
              <w:rPr>
                <w:lang w:eastAsia="en-AU"/>
              </w:rPr>
              <w:t>Retail/Residential</w:t>
            </w:r>
          </w:p>
        </w:tc>
        <w:tc>
          <w:tcPr>
            <w:tcW w:w="2552" w:type="dxa"/>
            <w:tcBorders>
              <w:top w:val="nil"/>
              <w:left w:val="nil"/>
              <w:bottom w:val="single" w:sz="4" w:space="0" w:color="auto"/>
              <w:right w:val="single" w:sz="4" w:space="0" w:color="auto"/>
            </w:tcBorders>
            <w:shd w:val="clear" w:color="auto" w:fill="auto"/>
            <w:noWrap/>
            <w:vAlign w:val="bottom"/>
            <w:hideMark/>
          </w:tcPr>
          <w:p w14:paraId="67FEC72E" w14:textId="77777777" w:rsidR="00A91679" w:rsidRPr="00A91679" w:rsidRDefault="00A91679" w:rsidP="00FE5606">
            <w:pPr>
              <w:spacing w:after="0"/>
              <w:jc w:val="right"/>
              <w:rPr>
                <w:lang w:eastAsia="en-AU"/>
              </w:rPr>
            </w:pPr>
            <w:r w:rsidRPr="00A91679">
              <w:rPr>
                <w:lang w:eastAsia="en-AU"/>
              </w:rPr>
              <w:t>53</w:t>
            </w:r>
          </w:p>
        </w:tc>
      </w:tr>
      <w:tr w:rsidR="00A91679" w:rsidRPr="00A91679" w14:paraId="7D00BF1C" w14:textId="77777777" w:rsidTr="00FE5606">
        <w:trPr>
          <w:trHeight w:val="300"/>
        </w:trPr>
        <w:tc>
          <w:tcPr>
            <w:tcW w:w="3402" w:type="dxa"/>
            <w:tcBorders>
              <w:top w:val="nil"/>
              <w:left w:val="single" w:sz="4" w:space="0" w:color="auto"/>
              <w:bottom w:val="single" w:sz="4" w:space="0" w:color="auto"/>
              <w:right w:val="single" w:sz="4" w:space="0" w:color="auto"/>
            </w:tcBorders>
            <w:shd w:val="clear" w:color="auto" w:fill="auto"/>
            <w:noWrap/>
            <w:vAlign w:val="bottom"/>
            <w:hideMark/>
          </w:tcPr>
          <w:p w14:paraId="191DF065" w14:textId="77777777" w:rsidR="00A91679" w:rsidRPr="00A91679" w:rsidRDefault="00A91679" w:rsidP="00FE5606">
            <w:pPr>
              <w:spacing w:after="0"/>
              <w:rPr>
                <w:lang w:eastAsia="en-AU"/>
              </w:rPr>
            </w:pPr>
            <w:r w:rsidRPr="00A91679">
              <w:rPr>
                <w:lang w:eastAsia="en-AU"/>
              </w:rPr>
              <w:t>Retail</w:t>
            </w:r>
          </w:p>
        </w:tc>
        <w:tc>
          <w:tcPr>
            <w:tcW w:w="2552" w:type="dxa"/>
            <w:tcBorders>
              <w:top w:val="nil"/>
              <w:left w:val="nil"/>
              <w:bottom w:val="single" w:sz="4" w:space="0" w:color="auto"/>
              <w:right w:val="single" w:sz="4" w:space="0" w:color="auto"/>
            </w:tcBorders>
            <w:shd w:val="clear" w:color="auto" w:fill="auto"/>
            <w:noWrap/>
            <w:vAlign w:val="bottom"/>
            <w:hideMark/>
          </w:tcPr>
          <w:p w14:paraId="2C9C233E" w14:textId="77777777" w:rsidR="00A91679" w:rsidRPr="00A91679" w:rsidRDefault="00A91679" w:rsidP="00FE5606">
            <w:pPr>
              <w:spacing w:after="0"/>
              <w:jc w:val="right"/>
              <w:rPr>
                <w:lang w:eastAsia="en-AU"/>
              </w:rPr>
            </w:pPr>
            <w:r w:rsidRPr="00A91679">
              <w:rPr>
                <w:lang w:eastAsia="en-AU"/>
              </w:rPr>
              <w:t>48</w:t>
            </w:r>
          </w:p>
        </w:tc>
      </w:tr>
      <w:tr w:rsidR="00A91679" w:rsidRPr="00A91679" w14:paraId="40D9EFD8" w14:textId="77777777" w:rsidTr="00FE5606">
        <w:trPr>
          <w:trHeight w:val="300"/>
        </w:trPr>
        <w:tc>
          <w:tcPr>
            <w:tcW w:w="3402" w:type="dxa"/>
            <w:tcBorders>
              <w:top w:val="nil"/>
              <w:left w:val="single" w:sz="4" w:space="0" w:color="auto"/>
              <w:bottom w:val="single" w:sz="4" w:space="0" w:color="auto"/>
              <w:right w:val="single" w:sz="4" w:space="0" w:color="auto"/>
            </w:tcBorders>
            <w:shd w:val="clear" w:color="auto" w:fill="auto"/>
            <w:noWrap/>
            <w:vAlign w:val="bottom"/>
            <w:hideMark/>
          </w:tcPr>
          <w:p w14:paraId="20B0A137" w14:textId="77777777" w:rsidR="00A91679" w:rsidRPr="00A91679" w:rsidRDefault="00A91679" w:rsidP="00FE5606">
            <w:pPr>
              <w:spacing w:after="0"/>
              <w:rPr>
                <w:lang w:eastAsia="en-AU"/>
              </w:rPr>
            </w:pPr>
            <w:r w:rsidRPr="00A91679">
              <w:rPr>
                <w:lang w:eastAsia="en-AU"/>
              </w:rPr>
              <w:t>Retail/Office/Carpark</w:t>
            </w:r>
          </w:p>
        </w:tc>
        <w:tc>
          <w:tcPr>
            <w:tcW w:w="2552" w:type="dxa"/>
            <w:tcBorders>
              <w:top w:val="nil"/>
              <w:left w:val="nil"/>
              <w:bottom w:val="single" w:sz="4" w:space="0" w:color="auto"/>
              <w:right w:val="single" w:sz="4" w:space="0" w:color="auto"/>
            </w:tcBorders>
            <w:shd w:val="clear" w:color="auto" w:fill="auto"/>
            <w:noWrap/>
            <w:vAlign w:val="bottom"/>
            <w:hideMark/>
          </w:tcPr>
          <w:p w14:paraId="33258130" w14:textId="77777777" w:rsidR="00A91679" w:rsidRPr="00A91679" w:rsidRDefault="00A91679" w:rsidP="00FE5606">
            <w:pPr>
              <w:spacing w:after="0"/>
              <w:jc w:val="right"/>
              <w:rPr>
                <w:lang w:eastAsia="en-AU"/>
              </w:rPr>
            </w:pPr>
            <w:r w:rsidRPr="00A91679">
              <w:rPr>
                <w:lang w:eastAsia="en-AU"/>
              </w:rPr>
              <w:t>35</w:t>
            </w:r>
          </w:p>
        </w:tc>
      </w:tr>
      <w:tr w:rsidR="00A91679" w:rsidRPr="00A91679" w14:paraId="6B86E177" w14:textId="77777777" w:rsidTr="00FE5606">
        <w:trPr>
          <w:trHeight w:val="300"/>
        </w:trPr>
        <w:tc>
          <w:tcPr>
            <w:tcW w:w="3402" w:type="dxa"/>
            <w:tcBorders>
              <w:top w:val="nil"/>
              <w:left w:val="single" w:sz="4" w:space="0" w:color="auto"/>
              <w:bottom w:val="single" w:sz="4" w:space="0" w:color="auto"/>
              <w:right w:val="single" w:sz="4" w:space="0" w:color="auto"/>
            </w:tcBorders>
            <w:shd w:val="clear" w:color="auto" w:fill="auto"/>
            <w:noWrap/>
            <w:vAlign w:val="bottom"/>
            <w:hideMark/>
          </w:tcPr>
          <w:p w14:paraId="03D31068" w14:textId="77777777" w:rsidR="00A91679" w:rsidRPr="00A91679" w:rsidRDefault="00A91679" w:rsidP="00FE5606">
            <w:pPr>
              <w:spacing w:after="0"/>
              <w:rPr>
                <w:lang w:eastAsia="en-AU"/>
              </w:rPr>
            </w:pPr>
            <w:r w:rsidRPr="00A91679">
              <w:rPr>
                <w:lang w:eastAsia="en-AU"/>
              </w:rPr>
              <w:t>Industrial (Manufacturing)</w:t>
            </w:r>
          </w:p>
        </w:tc>
        <w:tc>
          <w:tcPr>
            <w:tcW w:w="2552" w:type="dxa"/>
            <w:tcBorders>
              <w:top w:val="nil"/>
              <w:left w:val="nil"/>
              <w:bottom w:val="single" w:sz="4" w:space="0" w:color="auto"/>
              <w:right w:val="single" w:sz="4" w:space="0" w:color="auto"/>
            </w:tcBorders>
            <w:shd w:val="clear" w:color="auto" w:fill="auto"/>
            <w:noWrap/>
            <w:vAlign w:val="bottom"/>
            <w:hideMark/>
          </w:tcPr>
          <w:p w14:paraId="53291E93" w14:textId="77777777" w:rsidR="00A91679" w:rsidRPr="00A91679" w:rsidRDefault="00A91679" w:rsidP="00FE5606">
            <w:pPr>
              <w:spacing w:after="0"/>
              <w:jc w:val="right"/>
              <w:rPr>
                <w:lang w:eastAsia="en-AU"/>
              </w:rPr>
            </w:pPr>
            <w:r w:rsidRPr="00A91679">
              <w:rPr>
                <w:lang w:eastAsia="en-AU"/>
              </w:rPr>
              <w:t>33</w:t>
            </w:r>
          </w:p>
        </w:tc>
      </w:tr>
      <w:tr w:rsidR="00A91679" w:rsidRPr="00A91679" w14:paraId="5DE736C7" w14:textId="77777777" w:rsidTr="00FE5606">
        <w:trPr>
          <w:trHeight w:val="300"/>
        </w:trPr>
        <w:tc>
          <w:tcPr>
            <w:tcW w:w="3402" w:type="dxa"/>
            <w:tcBorders>
              <w:top w:val="nil"/>
              <w:left w:val="single" w:sz="4" w:space="0" w:color="auto"/>
              <w:bottom w:val="single" w:sz="4" w:space="0" w:color="auto"/>
              <w:right w:val="single" w:sz="4" w:space="0" w:color="auto"/>
            </w:tcBorders>
            <w:shd w:val="clear" w:color="auto" w:fill="auto"/>
            <w:noWrap/>
            <w:vAlign w:val="bottom"/>
            <w:hideMark/>
          </w:tcPr>
          <w:p w14:paraId="308479EF" w14:textId="77777777" w:rsidR="00A91679" w:rsidRPr="00A91679" w:rsidRDefault="00A91679" w:rsidP="00FE5606">
            <w:pPr>
              <w:spacing w:after="0"/>
              <w:rPr>
                <w:lang w:eastAsia="en-AU"/>
              </w:rPr>
            </w:pPr>
            <w:r w:rsidRPr="00A91679">
              <w:rPr>
                <w:lang w:eastAsia="en-AU"/>
              </w:rPr>
              <w:t>Current Re-development Site - Commercial</w:t>
            </w:r>
          </w:p>
        </w:tc>
        <w:tc>
          <w:tcPr>
            <w:tcW w:w="2552" w:type="dxa"/>
            <w:tcBorders>
              <w:top w:val="nil"/>
              <w:left w:val="nil"/>
              <w:bottom w:val="single" w:sz="4" w:space="0" w:color="auto"/>
              <w:right w:val="single" w:sz="4" w:space="0" w:color="auto"/>
            </w:tcBorders>
            <w:shd w:val="clear" w:color="auto" w:fill="auto"/>
            <w:noWrap/>
            <w:vAlign w:val="bottom"/>
            <w:hideMark/>
          </w:tcPr>
          <w:p w14:paraId="65468849" w14:textId="77777777" w:rsidR="00A91679" w:rsidRPr="00A91679" w:rsidRDefault="00A91679" w:rsidP="00FE5606">
            <w:pPr>
              <w:spacing w:after="0"/>
              <w:jc w:val="right"/>
              <w:rPr>
                <w:lang w:eastAsia="en-AU"/>
              </w:rPr>
            </w:pPr>
            <w:r w:rsidRPr="00A91679">
              <w:rPr>
                <w:lang w:eastAsia="en-AU"/>
              </w:rPr>
              <w:t>27</w:t>
            </w:r>
          </w:p>
        </w:tc>
      </w:tr>
      <w:tr w:rsidR="00A91679" w:rsidRPr="00A91679" w14:paraId="5F73935C" w14:textId="77777777" w:rsidTr="00FE5606">
        <w:trPr>
          <w:trHeight w:val="300"/>
        </w:trPr>
        <w:tc>
          <w:tcPr>
            <w:tcW w:w="3402" w:type="dxa"/>
            <w:tcBorders>
              <w:top w:val="nil"/>
              <w:left w:val="single" w:sz="4" w:space="0" w:color="auto"/>
              <w:bottom w:val="single" w:sz="4" w:space="0" w:color="auto"/>
              <w:right w:val="single" w:sz="4" w:space="0" w:color="auto"/>
            </w:tcBorders>
            <w:shd w:val="clear" w:color="auto" w:fill="auto"/>
            <w:noWrap/>
            <w:vAlign w:val="bottom"/>
            <w:hideMark/>
          </w:tcPr>
          <w:p w14:paraId="0A2D5D78" w14:textId="77777777" w:rsidR="00A91679" w:rsidRPr="00A91679" w:rsidRDefault="00A91679" w:rsidP="00FE5606">
            <w:pPr>
              <w:spacing w:after="0"/>
              <w:rPr>
                <w:lang w:eastAsia="en-AU"/>
              </w:rPr>
            </w:pPr>
            <w:r w:rsidRPr="00A91679">
              <w:rPr>
                <w:lang w:eastAsia="en-AU"/>
              </w:rPr>
              <w:t>Office/Parking</w:t>
            </w:r>
          </w:p>
        </w:tc>
        <w:tc>
          <w:tcPr>
            <w:tcW w:w="2552" w:type="dxa"/>
            <w:tcBorders>
              <w:top w:val="nil"/>
              <w:left w:val="nil"/>
              <w:bottom w:val="single" w:sz="4" w:space="0" w:color="auto"/>
              <w:right w:val="single" w:sz="4" w:space="0" w:color="auto"/>
            </w:tcBorders>
            <w:shd w:val="clear" w:color="auto" w:fill="auto"/>
            <w:noWrap/>
            <w:vAlign w:val="bottom"/>
            <w:hideMark/>
          </w:tcPr>
          <w:p w14:paraId="09676AA9" w14:textId="77777777" w:rsidR="00A91679" w:rsidRPr="00A91679" w:rsidRDefault="00A91679" w:rsidP="00FE5606">
            <w:pPr>
              <w:spacing w:after="0"/>
              <w:jc w:val="right"/>
              <w:rPr>
                <w:lang w:eastAsia="en-AU"/>
              </w:rPr>
            </w:pPr>
            <w:r w:rsidRPr="00A91679">
              <w:rPr>
                <w:lang w:eastAsia="en-AU"/>
              </w:rPr>
              <w:t>25</w:t>
            </w:r>
          </w:p>
        </w:tc>
      </w:tr>
    </w:tbl>
    <w:p w14:paraId="55898FA2" w14:textId="77777777" w:rsidR="00A91679" w:rsidRDefault="00A91679" w:rsidP="00FE5606">
      <w:pPr>
        <w:rPr>
          <w:rFonts w:ascii="Helvetica Light" w:hAnsi="Helvetica Light" w:cstheme="minorBidi"/>
          <w:szCs w:val="20"/>
        </w:rPr>
      </w:pPr>
    </w:p>
    <w:p w14:paraId="2649C526" w14:textId="77777777" w:rsidR="00FE5606" w:rsidRDefault="00FE5606" w:rsidP="00FE5606">
      <w:r>
        <w:t xml:space="preserve">Return to </w:t>
      </w:r>
      <w:hyperlink w:anchor="_3.2.4_Unused_Space" w:history="1">
        <w:r w:rsidRPr="00A75648">
          <w:rPr>
            <w:rStyle w:val="Hyperlink"/>
          </w:rPr>
          <w:t>Unused Space</w:t>
        </w:r>
      </w:hyperlink>
    </w:p>
    <w:p w14:paraId="6D525C4E" w14:textId="60643557" w:rsidR="00FE5606" w:rsidRPr="00FE5606" w:rsidRDefault="003B3A7A" w:rsidP="00B33DB1">
      <w:pPr>
        <w:pStyle w:val="Heading3"/>
        <w:rPr>
          <w:rFonts w:hint="eastAsia"/>
        </w:rPr>
      </w:pPr>
      <w:bookmarkStart w:id="244" w:name="_Grade_of_Unused"/>
      <w:bookmarkEnd w:id="244"/>
      <w:r>
        <w:t>Table A</w:t>
      </w:r>
      <w:r w:rsidR="00A13E20">
        <w:t>.22</w:t>
      </w:r>
      <w:r>
        <w:tab/>
      </w:r>
      <w:r w:rsidR="00FE5606" w:rsidRPr="00FE5606">
        <w:t>Grade of Unused Office Buildings</w:t>
      </w:r>
    </w:p>
    <w:tbl>
      <w:tblPr>
        <w:tblW w:w="5954" w:type="dxa"/>
        <w:tblInd w:w="-5" w:type="dxa"/>
        <w:tblLook w:val="04A0" w:firstRow="1" w:lastRow="0" w:firstColumn="1" w:lastColumn="0" w:noHBand="0" w:noVBand="1"/>
      </w:tblPr>
      <w:tblGrid>
        <w:gridCol w:w="3402"/>
        <w:gridCol w:w="2552"/>
      </w:tblGrid>
      <w:tr w:rsidR="00A91679" w:rsidRPr="00A91679" w14:paraId="7DE52010" w14:textId="77777777" w:rsidTr="00FE5606">
        <w:trPr>
          <w:trHeight w:val="300"/>
        </w:trPr>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7221AA" w14:textId="77777777" w:rsidR="00A91679" w:rsidRPr="00FE5606" w:rsidRDefault="00A91679" w:rsidP="00FE5606">
            <w:pPr>
              <w:spacing w:after="0"/>
              <w:rPr>
                <w:b/>
                <w:bCs/>
                <w:lang w:eastAsia="en-AU"/>
              </w:rPr>
            </w:pPr>
            <w:bookmarkStart w:id="245" w:name="_Figure_23:_Grade"/>
            <w:bookmarkEnd w:id="245"/>
            <w:r w:rsidRPr="00FE5606">
              <w:rPr>
                <w:b/>
                <w:bCs/>
                <w:lang w:eastAsia="en-AU"/>
              </w:rPr>
              <w:t>Building Grade Category</w:t>
            </w:r>
          </w:p>
        </w:tc>
        <w:tc>
          <w:tcPr>
            <w:tcW w:w="2552" w:type="dxa"/>
            <w:tcBorders>
              <w:top w:val="single" w:sz="4" w:space="0" w:color="auto"/>
              <w:left w:val="nil"/>
              <w:bottom w:val="single" w:sz="4" w:space="0" w:color="auto"/>
              <w:right w:val="single" w:sz="4" w:space="0" w:color="auto"/>
            </w:tcBorders>
            <w:shd w:val="clear" w:color="auto" w:fill="auto"/>
            <w:noWrap/>
            <w:vAlign w:val="bottom"/>
            <w:hideMark/>
          </w:tcPr>
          <w:p w14:paraId="018246DC" w14:textId="77777777" w:rsidR="00A91679" w:rsidRPr="00FE5606" w:rsidRDefault="00A91679" w:rsidP="00FE5606">
            <w:pPr>
              <w:spacing w:after="0"/>
              <w:rPr>
                <w:b/>
                <w:bCs/>
                <w:lang w:eastAsia="en-AU"/>
              </w:rPr>
            </w:pPr>
            <w:r w:rsidRPr="00FE5606">
              <w:rPr>
                <w:b/>
                <w:bCs/>
                <w:lang w:eastAsia="en-AU"/>
              </w:rPr>
              <w:t>Count of Buildings (-)</w:t>
            </w:r>
          </w:p>
        </w:tc>
      </w:tr>
      <w:tr w:rsidR="00A91679" w:rsidRPr="00A91679" w14:paraId="25D5D898" w14:textId="77777777" w:rsidTr="00FE5606">
        <w:trPr>
          <w:trHeight w:val="300"/>
        </w:trPr>
        <w:tc>
          <w:tcPr>
            <w:tcW w:w="3402" w:type="dxa"/>
            <w:tcBorders>
              <w:top w:val="nil"/>
              <w:left w:val="single" w:sz="4" w:space="0" w:color="auto"/>
              <w:bottom w:val="single" w:sz="4" w:space="0" w:color="auto"/>
              <w:right w:val="single" w:sz="4" w:space="0" w:color="auto"/>
            </w:tcBorders>
            <w:shd w:val="clear" w:color="auto" w:fill="auto"/>
            <w:noWrap/>
            <w:vAlign w:val="bottom"/>
            <w:hideMark/>
          </w:tcPr>
          <w:p w14:paraId="5A0C0437" w14:textId="77777777" w:rsidR="00A91679" w:rsidRPr="00A91679" w:rsidRDefault="00A91679" w:rsidP="00FE5606">
            <w:pPr>
              <w:spacing w:after="0"/>
              <w:rPr>
                <w:lang w:eastAsia="en-AU"/>
              </w:rPr>
            </w:pPr>
            <w:r w:rsidRPr="00A91679">
              <w:rPr>
                <w:lang w:eastAsia="en-AU"/>
              </w:rPr>
              <w:t>D Grade</w:t>
            </w:r>
          </w:p>
        </w:tc>
        <w:tc>
          <w:tcPr>
            <w:tcW w:w="2552" w:type="dxa"/>
            <w:tcBorders>
              <w:top w:val="nil"/>
              <w:left w:val="nil"/>
              <w:bottom w:val="single" w:sz="4" w:space="0" w:color="auto"/>
              <w:right w:val="single" w:sz="4" w:space="0" w:color="auto"/>
            </w:tcBorders>
            <w:shd w:val="clear" w:color="auto" w:fill="auto"/>
            <w:noWrap/>
            <w:vAlign w:val="bottom"/>
            <w:hideMark/>
          </w:tcPr>
          <w:p w14:paraId="1A0AA7D8" w14:textId="77777777" w:rsidR="00A91679" w:rsidRPr="00A91679" w:rsidRDefault="00A91679" w:rsidP="00FE5606">
            <w:pPr>
              <w:spacing w:after="0"/>
              <w:jc w:val="right"/>
              <w:rPr>
                <w:lang w:eastAsia="en-AU"/>
              </w:rPr>
            </w:pPr>
            <w:r w:rsidRPr="00A91679">
              <w:rPr>
                <w:lang w:eastAsia="en-AU"/>
              </w:rPr>
              <w:t>35</w:t>
            </w:r>
          </w:p>
        </w:tc>
      </w:tr>
      <w:tr w:rsidR="00A91679" w:rsidRPr="00A91679" w14:paraId="636C9725" w14:textId="77777777" w:rsidTr="00FE5606">
        <w:trPr>
          <w:trHeight w:val="300"/>
        </w:trPr>
        <w:tc>
          <w:tcPr>
            <w:tcW w:w="3402" w:type="dxa"/>
            <w:tcBorders>
              <w:top w:val="nil"/>
              <w:left w:val="single" w:sz="4" w:space="0" w:color="auto"/>
              <w:bottom w:val="single" w:sz="4" w:space="0" w:color="auto"/>
              <w:right w:val="single" w:sz="4" w:space="0" w:color="auto"/>
            </w:tcBorders>
            <w:shd w:val="clear" w:color="auto" w:fill="auto"/>
            <w:noWrap/>
            <w:vAlign w:val="bottom"/>
            <w:hideMark/>
          </w:tcPr>
          <w:p w14:paraId="17E311DE" w14:textId="77777777" w:rsidR="00A91679" w:rsidRPr="00A91679" w:rsidRDefault="00A91679" w:rsidP="00FE5606">
            <w:pPr>
              <w:spacing w:after="0"/>
              <w:rPr>
                <w:lang w:eastAsia="en-AU"/>
              </w:rPr>
            </w:pPr>
            <w:r w:rsidRPr="00A91679">
              <w:rPr>
                <w:lang w:eastAsia="en-AU"/>
              </w:rPr>
              <w:t>C Grade</w:t>
            </w:r>
          </w:p>
        </w:tc>
        <w:tc>
          <w:tcPr>
            <w:tcW w:w="2552" w:type="dxa"/>
            <w:tcBorders>
              <w:top w:val="nil"/>
              <w:left w:val="nil"/>
              <w:bottom w:val="single" w:sz="4" w:space="0" w:color="auto"/>
              <w:right w:val="single" w:sz="4" w:space="0" w:color="auto"/>
            </w:tcBorders>
            <w:shd w:val="clear" w:color="auto" w:fill="auto"/>
            <w:noWrap/>
            <w:vAlign w:val="bottom"/>
            <w:hideMark/>
          </w:tcPr>
          <w:p w14:paraId="7D313288" w14:textId="77777777" w:rsidR="00A91679" w:rsidRPr="00A91679" w:rsidRDefault="00A91679" w:rsidP="00FE5606">
            <w:pPr>
              <w:spacing w:after="0"/>
              <w:jc w:val="right"/>
              <w:rPr>
                <w:lang w:eastAsia="en-AU"/>
              </w:rPr>
            </w:pPr>
            <w:r w:rsidRPr="00A91679">
              <w:rPr>
                <w:lang w:eastAsia="en-AU"/>
              </w:rPr>
              <w:t>26</w:t>
            </w:r>
          </w:p>
        </w:tc>
      </w:tr>
      <w:tr w:rsidR="00A91679" w:rsidRPr="00A91679" w14:paraId="60207EC3" w14:textId="77777777" w:rsidTr="00FE5606">
        <w:trPr>
          <w:trHeight w:val="300"/>
        </w:trPr>
        <w:tc>
          <w:tcPr>
            <w:tcW w:w="3402" w:type="dxa"/>
            <w:tcBorders>
              <w:top w:val="nil"/>
              <w:left w:val="single" w:sz="4" w:space="0" w:color="auto"/>
              <w:bottom w:val="single" w:sz="4" w:space="0" w:color="auto"/>
              <w:right w:val="single" w:sz="4" w:space="0" w:color="auto"/>
            </w:tcBorders>
            <w:shd w:val="clear" w:color="auto" w:fill="auto"/>
            <w:noWrap/>
            <w:vAlign w:val="bottom"/>
            <w:hideMark/>
          </w:tcPr>
          <w:p w14:paraId="57EF5D80" w14:textId="77777777" w:rsidR="00A91679" w:rsidRPr="00A91679" w:rsidRDefault="00A91679" w:rsidP="00FE5606">
            <w:pPr>
              <w:spacing w:after="0"/>
              <w:rPr>
                <w:lang w:eastAsia="en-AU"/>
              </w:rPr>
            </w:pPr>
            <w:r w:rsidRPr="00A91679">
              <w:rPr>
                <w:lang w:eastAsia="en-AU"/>
              </w:rPr>
              <w:t>B Grade</w:t>
            </w:r>
          </w:p>
        </w:tc>
        <w:tc>
          <w:tcPr>
            <w:tcW w:w="2552" w:type="dxa"/>
            <w:tcBorders>
              <w:top w:val="nil"/>
              <w:left w:val="nil"/>
              <w:bottom w:val="single" w:sz="4" w:space="0" w:color="auto"/>
              <w:right w:val="single" w:sz="4" w:space="0" w:color="auto"/>
            </w:tcBorders>
            <w:shd w:val="clear" w:color="auto" w:fill="auto"/>
            <w:noWrap/>
            <w:vAlign w:val="bottom"/>
            <w:hideMark/>
          </w:tcPr>
          <w:p w14:paraId="14E2E965" w14:textId="77777777" w:rsidR="00A91679" w:rsidRPr="00A91679" w:rsidRDefault="00A91679" w:rsidP="00FE5606">
            <w:pPr>
              <w:spacing w:after="0"/>
              <w:jc w:val="right"/>
              <w:rPr>
                <w:lang w:eastAsia="en-AU"/>
              </w:rPr>
            </w:pPr>
            <w:r w:rsidRPr="00A91679">
              <w:rPr>
                <w:lang w:eastAsia="en-AU"/>
              </w:rPr>
              <w:t>20</w:t>
            </w:r>
          </w:p>
        </w:tc>
      </w:tr>
      <w:tr w:rsidR="00A91679" w:rsidRPr="00A91679" w14:paraId="3DC9452C" w14:textId="77777777" w:rsidTr="00FE5606">
        <w:trPr>
          <w:trHeight w:val="300"/>
        </w:trPr>
        <w:tc>
          <w:tcPr>
            <w:tcW w:w="3402" w:type="dxa"/>
            <w:tcBorders>
              <w:top w:val="nil"/>
              <w:left w:val="single" w:sz="4" w:space="0" w:color="auto"/>
              <w:bottom w:val="single" w:sz="4" w:space="0" w:color="auto"/>
              <w:right w:val="single" w:sz="4" w:space="0" w:color="auto"/>
            </w:tcBorders>
            <w:shd w:val="clear" w:color="auto" w:fill="auto"/>
            <w:noWrap/>
            <w:vAlign w:val="bottom"/>
            <w:hideMark/>
          </w:tcPr>
          <w:p w14:paraId="59ABEC16" w14:textId="77777777" w:rsidR="00A91679" w:rsidRPr="00A91679" w:rsidRDefault="00A91679" w:rsidP="00FE5606">
            <w:pPr>
              <w:spacing w:after="0"/>
              <w:rPr>
                <w:lang w:eastAsia="en-AU"/>
              </w:rPr>
            </w:pPr>
            <w:r w:rsidRPr="00A91679">
              <w:rPr>
                <w:lang w:eastAsia="en-AU"/>
              </w:rPr>
              <w:t>A Grade</w:t>
            </w:r>
          </w:p>
        </w:tc>
        <w:tc>
          <w:tcPr>
            <w:tcW w:w="2552" w:type="dxa"/>
            <w:tcBorders>
              <w:top w:val="nil"/>
              <w:left w:val="nil"/>
              <w:bottom w:val="single" w:sz="4" w:space="0" w:color="auto"/>
              <w:right w:val="single" w:sz="4" w:space="0" w:color="auto"/>
            </w:tcBorders>
            <w:shd w:val="clear" w:color="auto" w:fill="auto"/>
            <w:noWrap/>
            <w:vAlign w:val="bottom"/>
            <w:hideMark/>
          </w:tcPr>
          <w:p w14:paraId="338CDB63" w14:textId="77777777" w:rsidR="00A91679" w:rsidRPr="00A91679" w:rsidRDefault="00A91679" w:rsidP="00FE5606">
            <w:pPr>
              <w:spacing w:after="0"/>
              <w:jc w:val="right"/>
              <w:rPr>
                <w:lang w:eastAsia="en-AU"/>
              </w:rPr>
            </w:pPr>
            <w:r w:rsidRPr="00A91679">
              <w:rPr>
                <w:lang w:eastAsia="en-AU"/>
              </w:rPr>
              <w:t>0</w:t>
            </w:r>
          </w:p>
        </w:tc>
      </w:tr>
      <w:tr w:rsidR="00A91679" w:rsidRPr="00A91679" w14:paraId="484D0702" w14:textId="77777777" w:rsidTr="00FE5606">
        <w:trPr>
          <w:trHeight w:val="300"/>
        </w:trPr>
        <w:tc>
          <w:tcPr>
            <w:tcW w:w="3402" w:type="dxa"/>
            <w:tcBorders>
              <w:top w:val="nil"/>
              <w:left w:val="single" w:sz="4" w:space="0" w:color="auto"/>
              <w:bottom w:val="single" w:sz="4" w:space="0" w:color="auto"/>
              <w:right w:val="single" w:sz="4" w:space="0" w:color="auto"/>
            </w:tcBorders>
            <w:shd w:val="clear" w:color="auto" w:fill="auto"/>
            <w:noWrap/>
            <w:vAlign w:val="bottom"/>
            <w:hideMark/>
          </w:tcPr>
          <w:p w14:paraId="6D6F8B83" w14:textId="77777777" w:rsidR="00A91679" w:rsidRPr="00A91679" w:rsidRDefault="00A91679" w:rsidP="00FE5606">
            <w:pPr>
              <w:spacing w:after="0"/>
              <w:rPr>
                <w:lang w:eastAsia="en-AU"/>
              </w:rPr>
            </w:pPr>
            <w:r w:rsidRPr="00A91679">
              <w:rPr>
                <w:lang w:eastAsia="en-AU"/>
              </w:rPr>
              <w:t>Premium</w:t>
            </w:r>
          </w:p>
        </w:tc>
        <w:tc>
          <w:tcPr>
            <w:tcW w:w="2552" w:type="dxa"/>
            <w:tcBorders>
              <w:top w:val="nil"/>
              <w:left w:val="nil"/>
              <w:bottom w:val="single" w:sz="4" w:space="0" w:color="auto"/>
              <w:right w:val="single" w:sz="4" w:space="0" w:color="auto"/>
            </w:tcBorders>
            <w:shd w:val="clear" w:color="auto" w:fill="auto"/>
            <w:noWrap/>
            <w:vAlign w:val="bottom"/>
            <w:hideMark/>
          </w:tcPr>
          <w:p w14:paraId="6B481B52" w14:textId="77777777" w:rsidR="00A91679" w:rsidRPr="00A91679" w:rsidRDefault="00A91679" w:rsidP="00FE5606">
            <w:pPr>
              <w:spacing w:after="0"/>
              <w:jc w:val="right"/>
              <w:rPr>
                <w:lang w:eastAsia="en-AU"/>
              </w:rPr>
            </w:pPr>
            <w:r w:rsidRPr="00A91679">
              <w:rPr>
                <w:lang w:eastAsia="en-AU"/>
              </w:rPr>
              <w:t>0</w:t>
            </w:r>
          </w:p>
        </w:tc>
      </w:tr>
    </w:tbl>
    <w:p w14:paraId="7E597D21" w14:textId="77777777" w:rsidR="00A91679" w:rsidRDefault="00A91679" w:rsidP="00FE5606">
      <w:pPr>
        <w:rPr>
          <w:rFonts w:ascii="Helvetica Light" w:hAnsi="Helvetica Light" w:cstheme="minorBidi"/>
          <w:szCs w:val="20"/>
        </w:rPr>
      </w:pPr>
    </w:p>
    <w:p w14:paraId="1443E33C" w14:textId="77777777" w:rsidR="00FE5606" w:rsidRDefault="00FE5606" w:rsidP="00FE5606">
      <w:r>
        <w:t xml:space="preserve">Return to </w:t>
      </w:r>
      <w:hyperlink w:anchor="_3.2.4_Unused_Space" w:history="1">
        <w:r w:rsidRPr="00A75648">
          <w:rPr>
            <w:rStyle w:val="Hyperlink"/>
          </w:rPr>
          <w:t>Unused Space</w:t>
        </w:r>
      </w:hyperlink>
    </w:p>
    <w:p w14:paraId="03C88703" w14:textId="77777777" w:rsidR="008E1EF1" w:rsidRDefault="008E1EF1" w:rsidP="008E1EF1">
      <w:bookmarkStart w:id="246" w:name="_Estimated_Share_of"/>
      <w:bookmarkEnd w:id="246"/>
    </w:p>
    <w:p w14:paraId="218D43A0" w14:textId="77777777" w:rsidR="008E1EF1" w:rsidRDefault="008E1EF1" w:rsidP="008E1EF1"/>
    <w:p w14:paraId="602406BF" w14:textId="02CEDB04" w:rsidR="00FE5606" w:rsidRPr="00FE5606" w:rsidRDefault="003B3A7A" w:rsidP="00B33DB1">
      <w:pPr>
        <w:pStyle w:val="Heading3"/>
        <w:rPr>
          <w:rFonts w:hint="eastAsia"/>
        </w:rPr>
      </w:pPr>
      <w:r>
        <w:t>Table A.2</w:t>
      </w:r>
      <w:r w:rsidR="00A13E20">
        <w:t>3</w:t>
      </w:r>
      <w:r>
        <w:tab/>
      </w:r>
      <w:r w:rsidR="00FE5606" w:rsidRPr="00FE5606">
        <w:t>Estimated Share of Unused Space by Previous Space-Use</w:t>
      </w:r>
    </w:p>
    <w:tbl>
      <w:tblPr>
        <w:tblW w:w="5954" w:type="dxa"/>
        <w:tblInd w:w="-5" w:type="dxa"/>
        <w:tblLook w:val="04A0" w:firstRow="1" w:lastRow="0" w:firstColumn="1" w:lastColumn="0" w:noHBand="0" w:noVBand="1"/>
      </w:tblPr>
      <w:tblGrid>
        <w:gridCol w:w="2725"/>
        <w:gridCol w:w="3229"/>
      </w:tblGrid>
      <w:tr w:rsidR="00A91679" w:rsidRPr="00A91679" w14:paraId="477DD48F" w14:textId="77777777" w:rsidTr="00FE5606">
        <w:trPr>
          <w:trHeight w:val="300"/>
        </w:trPr>
        <w:tc>
          <w:tcPr>
            <w:tcW w:w="27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961D98" w14:textId="77777777" w:rsidR="00A91679" w:rsidRPr="00FE5606" w:rsidRDefault="00A91679" w:rsidP="00FE5606">
            <w:pPr>
              <w:spacing w:after="0"/>
              <w:rPr>
                <w:b/>
                <w:bCs/>
                <w:lang w:eastAsia="en-AU"/>
              </w:rPr>
            </w:pPr>
            <w:bookmarkStart w:id="247" w:name="_Figure_24:_Estimated"/>
            <w:bookmarkEnd w:id="247"/>
            <w:r w:rsidRPr="00FE5606">
              <w:rPr>
                <w:b/>
                <w:bCs/>
                <w:lang w:eastAsia="en-AU"/>
              </w:rPr>
              <w:t>Previous Space Use Type</w:t>
            </w:r>
          </w:p>
        </w:tc>
        <w:tc>
          <w:tcPr>
            <w:tcW w:w="3229" w:type="dxa"/>
            <w:tcBorders>
              <w:top w:val="single" w:sz="4" w:space="0" w:color="auto"/>
              <w:left w:val="nil"/>
              <w:bottom w:val="single" w:sz="4" w:space="0" w:color="auto"/>
              <w:right w:val="single" w:sz="4" w:space="0" w:color="auto"/>
            </w:tcBorders>
            <w:shd w:val="clear" w:color="auto" w:fill="auto"/>
            <w:noWrap/>
            <w:vAlign w:val="bottom"/>
            <w:hideMark/>
          </w:tcPr>
          <w:p w14:paraId="39FA0425" w14:textId="77777777" w:rsidR="00A91679" w:rsidRPr="00FE5606" w:rsidRDefault="00A91679" w:rsidP="00FE5606">
            <w:pPr>
              <w:spacing w:after="0"/>
              <w:rPr>
                <w:b/>
                <w:bCs/>
                <w:lang w:eastAsia="en-AU"/>
              </w:rPr>
            </w:pPr>
            <w:r w:rsidRPr="00FE5606">
              <w:rPr>
                <w:b/>
                <w:bCs/>
                <w:lang w:eastAsia="en-AU"/>
              </w:rPr>
              <w:t>Unused Space as a Percentage of the Total Floor Area (%)</w:t>
            </w:r>
          </w:p>
        </w:tc>
      </w:tr>
      <w:tr w:rsidR="00A91679" w:rsidRPr="00A91679" w14:paraId="33F2FD3C" w14:textId="77777777" w:rsidTr="00FE5606">
        <w:trPr>
          <w:trHeight w:val="300"/>
        </w:trPr>
        <w:tc>
          <w:tcPr>
            <w:tcW w:w="2725" w:type="dxa"/>
            <w:tcBorders>
              <w:top w:val="nil"/>
              <w:left w:val="single" w:sz="4" w:space="0" w:color="auto"/>
              <w:bottom w:val="single" w:sz="4" w:space="0" w:color="auto"/>
              <w:right w:val="single" w:sz="4" w:space="0" w:color="auto"/>
            </w:tcBorders>
            <w:shd w:val="clear" w:color="auto" w:fill="auto"/>
            <w:noWrap/>
            <w:vAlign w:val="bottom"/>
            <w:hideMark/>
          </w:tcPr>
          <w:p w14:paraId="415058FA" w14:textId="77777777" w:rsidR="00A91679" w:rsidRPr="00A91679" w:rsidRDefault="00A91679" w:rsidP="00FE5606">
            <w:pPr>
              <w:spacing w:after="0"/>
              <w:rPr>
                <w:lang w:eastAsia="en-AU"/>
              </w:rPr>
            </w:pPr>
            <w:r w:rsidRPr="00A91679">
              <w:rPr>
                <w:lang w:eastAsia="en-AU"/>
              </w:rPr>
              <w:t>Office</w:t>
            </w:r>
          </w:p>
        </w:tc>
        <w:tc>
          <w:tcPr>
            <w:tcW w:w="3229" w:type="dxa"/>
            <w:tcBorders>
              <w:top w:val="nil"/>
              <w:left w:val="nil"/>
              <w:bottom w:val="single" w:sz="4" w:space="0" w:color="auto"/>
              <w:right w:val="single" w:sz="4" w:space="0" w:color="auto"/>
            </w:tcBorders>
            <w:shd w:val="clear" w:color="auto" w:fill="auto"/>
            <w:noWrap/>
            <w:vAlign w:val="bottom"/>
            <w:hideMark/>
          </w:tcPr>
          <w:p w14:paraId="42723F4B" w14:textId="77777777" w:rsidR="00A91679" w:rsidRPr="00A91679" w:rsidRDefault="00A91679" w:rsidP="00FE5606">
            <w:pPr>
              <w:spacing w:after="0"/>
              <w:jc w:val="right"/>
              <w:rPr>
                <w:lang w:eastAsia="en-AU"/>
              </w:rPr>
            </w:pPr>
            <w:r w:rsidRPr="00A91679">
              <w:rPr>
                <w:lang w:eastAsia="en-AU"/>
              </w:rPr>
              <w:t>44%</w:t>
            </w:r>
          </w:p>
        </w:tc>
      </w:tr>
      <w:tr w:rsidR="00A91679" w:rsidRPr="00A91679" w14:paraId="5FF4768B" w14:textId="77777777" w:rsidTr="00FE5606">
        <w:trPr>
          <w:trHeight w:val="300"/>
        </w:trPr>
        <w:tc>
          <w:tcPr>
            <w:tcW w:w="2725" w:type="dxa"/>
            <w:tcBorders>
              <w:top w:val="nil"/>
              <w:left w:val="single" w:sz="4" w:space="0" w:color="auto"/>
              <w:bottom w:val="single" w:sz="4" w:space="0" w:color="auto"/>
              <w:right w:val="single" w:sz="4" w:space="0" w:color="auto"/>
            </w:tcBorders>
            <w:shd w:val="clear" w:color="auto" w:fill="auto"/>
            <w:noWrap/>
            <w:vAlign w:val="bottom"/>
            <w:hideMark/>
          </w:tcPr>
          <w:p w14:paraId="0BE9AA3C" w14:textId="77777777" w:rsidR="00A91679" w:rsidRPr="00A91679" w:rsidRDefault="00A91679" w:rsidP="00FE5606">
            <w:pPr>
              <w:spacing w:after="0"/>
              <w:rPr>
                <w:lang w:eastAsia="en-AU"/>
              </w:rPr>
            </w:pPr>
            <w:r w:rsidRPr="00A91679">
              <w:rPr>
                <w:lang w:eastAsia="en-AU"/>
              </w:rPr>
              <w:t>Transport</w:t>
            </w:r>
          </w:p>
        </w:tc>
        <w:tc>
          <w:tcPr>
            <w:tcW w:w="3229" w:type="dxa"/>
            <w:tcBorders>
              <w:top w:val="nil"/>
              <w:left w:val="nil"/>
              <w:bottom w:val="single" w:sz="4" w:space="0" w:color="auto"/>
              <w:right w:val="single" w:sz="4" w:space="0" w:color="auto"/>
            </w:tcBorders>
            <w:shd w:val="clear" w:color="auto" w:fill="auto"/>
            <w:noWrap/>
            <w:vAlign w:val="bottom"/>
            <w:hideMark/>
          </w:tcPr>
          <w:p w14:paraId="1E34858F" w14:textId="77777777" w:rsidR="00A91679" w:rsidRPr="00A91679" w:rsidRDefault="00A91679" w:rsidP="00FE5606">
            <w:pPr>
              <w:spacing w:after="0"/>
              <w:jc w:val="right"/>
              <w:rPr>
                <w:lang w:eastAsia="en-AU"/>
              </w:rPr>
            </w:pPr>
            <w:r w:rsidRPr="00A91679">
              <w:rPr>
                <w:lang w:eastAsia="en-AU"/>
              </w:rPr>
              <w:t>15%</w:t>
            </w:r>
          </w:p>
        </w:tc>
      </w:tr>
      <w:tr w:rsidR="00A91679" w:rsidRPr="00A91679" w14:paraId="5094DAE1" w14:textId="77777777" w:rsidTr="00FE5606">
        <w:trPr>
          <w:trHeight w:val="300"/>
        </w:trPr>
        <w:tc>
          <w:tcPr>
            <w:tcW w:w="2725" w:type="dxa"/>
            <w:tcBorders>
              <w:top w:val="nil"/>
              <w:left w:val="single" w:sz="4" w:space="0" w:color="auto"/>
              <w:bottom w:val="single" w:sz="4" w:space="0" w:color="auto"/>
              <w:right w:val="single" w:sz="4" w:space="0" w:color="auto"/>
            </w:tcBorders>
            <w:shd w:val="clear" w:color="auto" w:fill="auto"/>
            <w:noWrap/>
            <w:vAlign w:val="bottom"/>
            <w:hideMark/>
          </w:tcPr>
          <w:p w14:paraId="4074AA28" w14:textId="77777777" w:rsidR="00A91679" w:rsidRPr="00A91679" w:rsidRDefault="00A91679" w:rsidP="00FE5606">
            <w:pPr>
              <w:spacing w:after="0"/>
              <w:rPr>
                <w:lang w:eastAsia="en-AU"/>
              </w:rPr>
            </w:pPr>
            <w:r w:rsidRPr="00A91679">
              <w:rPr>
                <w:lang w:eastAsia="en-AU"/>
              </w:rPr>
              <w:t>Retail</w:t>
            </w:r>
          </w:p>
        </w:tc>
        <w:tc>
          <w:tcPr>
            <w:tcW w:w="3229" w:type="dxa"/>
            <w:tcBorders>
              <w:top w:val="nil"/>
              <w:left w:val="nil"/>
              <w:bottom w:val="single" w:sz="4" w:space="0" w:color="auto"/>
              <w:right w:val="single" w:sz="4" w:space="0" w:color="auto"/>
            </w:tcBorders>
            <w:shd w:val="clear" w:color="auto" w:fill="auto"/>
            <w:noWrap/>
            <w:vAlign w:val="bottom"/>
            <w:hideMark/>
          </w:tcPr>
          <w:p w14:paraId="56B09D71" w14:textId="77777777" w:rsidR="00A91679" w:rsidRPr="00A91679" w:rsidRDefault="00A91679" w:rsidP="00FE5606">
            <w:pPr>
              <w:spacing w:after="0"/>
              <w:jc w:val="right"/>
              <w:rPr>
                <w:lang w:eastAsia="en-AU"/>
              </w:rPr>
            </w:pPr>
            <w:r w:rsidRPr="00A91679">
              <w:rPr>
                <w:lang w:eastAsia="en-AU"/>
              </w:rPr>
              <w:t>11%</w:t>
            </w:r>
          </w:p>
        </w:tc>
      </w:tr>
      <w:tr w:rsidR="00A91679" w:rsidRPr="00A91679" w14:paraId="67C10D75" w14:textId="77777777" w:rsidTr="00FE5606">
        <w:trPr>
          <w:trHeight w:val="300"/>
        </w:trPr>
        <w:tc>
          <w:tcPr>
            <w:tcW w:w="2725" w:type="dxa"/>
            <w:tcBorders>
              <w:top w:val="nil"/>
              <w:left w:val="single" w:sz="4" w:space="0" w:color="auto"/>
              <w:bottom w:val="single" w:sz="4" w:space="0" w:color="auto"/>
              <w:right w:val="single" w:sz="4" w:space="0" w:color="auto"/>
            </w:tcBorders>
            <w:shd w:val="clear" w:color="auto" w:fill="auto"/>
            <w:noWrap/>
            <w:vAlign w:val="bottom"/>
            <w:hideMark/>
          </w:tcPr>
          <w:p w14:paraId="799DD9FA" w14:textId="77777777" w:rsidR="00A91679" w:rsidRPr="00A91679" w:rsidRDefault="00A91679" w:rsidP="00FE5606">
            <w:pPr>
              <w:spacing w:after="0"/>
              <w:rPr>
                <w:lang w:eastAsia="en-AU"/>
              </w:rPr>
            </w:pPr>
            <w:r w:rsidRPr="00A91679">
              <w:rPr>
                <w:lang w:eastAsia="en-AU"/>
              </w:rPr>
              <w:t>Residential</w:t>
            </w:r>
          </w:p>
        </w:tc>
        <w:tc>
          <w:tcPr>
            <w:tcW w:w="3229" w:type="dxa"/>
            <w:tcBorders>
              <w:top w:val="nil"/>
              <w:left w:val="nil"/>
              <w:bottom w:val="single" w:sz="4" w:space="0" w:color="auto"/>
              <w:right w:val="single" w:sz="4" w:space="0" w:color="auto"/>
            </w:tcBorders>
            <w:shd w:val="clear" w:color="auto" w:fill="auto"/>
            <w:noWrap/>
            <w:vAlign w:val="bottom"/>
            <w:hideMark/>
          </w:tcPr>
          <w:p w14:paraId="37C04FC5" w14:textId="77777777" w:rsidR="00A91679" w:rsidRPr="00A91679" w:rsidRDefault="00A91679" w:rsidP="00FE5606">
            <w:pPr>
              <w:spacing w:after="0"/>
              <w:jc w:val="right"/>
              <w:rPr>
                <w:lang w:eastAsia="en-AU"/>
              </w:rPr>
            </w:pPr>
            <w:r w:rsidRPr="00A91679">
              <w:rPr>
                <w:lang w:eastAsia="en-AU"/>
              </w:rPr>
              <w:t>9%</w:t>
            </w:r>
          </w:p>
        </w:tc>
      </w:tr>
      <w:tr w:rsidR="00A91679" w:rsidRPr="00A91679" w14:paraId="655F2A52" w14:textId="77777777" w:rsidTr="00FE5606">
        <w:trPr>
          <w:trHeight w:val="300"/>
        </w:trPr>
        <w:tc>
          <w:tcPr>
            <w:tcW w:w="2725" w:type="dxa"/>
            <w:tcBorders>
              <w:top w:val="nil"/>
              <w:left w:val="single" w:sz="4" w:space="0" w:color="auto"/>
              <w:bottom w:val="single" w:sz="4" w:space="0" w:color="auto"/>
              <w:right w:val="single" w:sz="4" w:space="0" w:color="auto"/>
            </w:tcBorders>
            <w:shd w:val="clear" w:color="auto" w:fill="auto"/>
            <w:noWrap/>
            <w:vAlign w:val="bottom"/>
            <w:hideMark/>
          </w:tcPr>
          <w:p w14:paraId="742E39FC" w14:textId="77777777" w:rsidR="00A91679" w:rsidRPr="00A91679" w:rsidRDefault="00A91679" w:rsidP="00FE5606">
            <w:pPr>
              <w:spacing w:after="0"/>
              <w:rPr>
                <w:lang w:eastAsia="en-AU"/>
              </w:rPr>
            </w:pPr>
            <w:r w:rsidRPr="00A91679">
              <w:rPr>
                <w:lang w:eastAsia="en-AU"/>
              </w:rPr>
              <w:t>Manufacturing/light industrial</w:t>
            </w:r>
          </w:p>
        </w:tc>
        <w:tc>
          <w:tcPr>
            <w:tcW w:w="3229" w:type="dxa"/>
            <w:tcBorders>
              <w:top w:val="nil"/>
              <w:left w:val="nil"/>
              <w:bottom w:val="single" w:sz="4" w:space="0" w:color="auto"/>
              <w:right w:val="single" w:sz="4" w:space="0" w:color="auto"/>
            </w:tcBorders>
            <w:shd w:val="clear" w:color="auto" w:fill="auto"/>
            <w:noWrap/>
            <w:vAlign w:val="bottom"/>
            <w:hideMark/>
          </w:tcPr>
          <w:p w14:paraId="2C737BBF" w14:textId="77777777" w:rsidR="00A91679" w:rsidRPr="00A91679" w:rsidRDefault="00A91679" w:rsidP="00FE5606">
            <w:pPr>
              <w:spacing w:after="0"/>
              <w:jc w:val="right"/>
              <w:rPr>
                <w:lang w:eastAsia="en-AU"/>
              </w:rPr>
            </w:pPr>
            <w:r w:rsidRPr="00A91679">
              <w:rPr>
                <w:lang w:eastAsia="en-AU"/>
              </w:rPr>
              <w:t>9%</w:t>
            </w:r>
          </w:p>
        </w:tc>
      </w:tr>
      <w:tr w:rsidR="00A91679" w:rsidRPr="00A91679" w14:paraId="649D1A69" w14:textId="77777777" w:rsidTr="00FE5606">
        <w:trPr>
          <w:trHeight w:val="300"/>
        </w:trPr>
        <w:tc>
          <w:tcPr>
            <w:tcW w:w="2725" w:type="dxa"/>
            <w:tcBorders>
              <w:top w:val="nil"/>
              <w:left w:val="single" w:sz="4" w:space="0" w:color="auto"/>
              <w:bottom w:val="single" w:sz="4" w:space="0" w:color="auto"/>
              <w:right w:val="single" w:sz="4" w:space="0" w:color="auto"/>
            </w:tcBorders>
            <w:shd w:val="clear" w:color="auto" w:fill="auto"/>
            <w:noWrap/>
            <w:vAlign w:val="bottom"/>
            <w:hideMark/>
          </w:tcPr>
          <w:p w14:paraId="0EE78720" w14:textId="77777777" w:rsidR="00A91679" w:rsidRPr="00A91679" w:rsidRDefault="00A91679" w:rsidP="00FE5606">
            <w:pPr>
              <w:spacing w:after="0"/>
              <w:rPr>
                <w:lang w:eastAsia="en-AU"/>
              </w:rPr>
            </w:pPr>
            <w:r w:rsidRPr="00A91679">
              <w:rPr>
                <w:lang w:eastAsia="en-AU"/>
              </w:rPr>
              <w:t>Outdoor space</w:t>
            </w:r>
          </w:p>
        </w:tc>
        <w:tc>
          <w:tcPr>
            <w:tcW w:w="3229" w:type="dxa"/>
            <w:tcBorders>
              <w:top w:val="nil"/>
              <w:left w:val="nil"/>
              <w:bottom w:val="single" w:sz="4" w:space="0" w:color="auto"/>
              <w:right w:val="single" w:sz="4" w:space="0" w:color="auto"/>
            </w:tcBorders>
            <w:shd w:val="clear" w:color="auto" w:fill="auto"/>
            <w:noWrap/>
            <w:vAlign w:val="bottom"/>
            <w:hideMark/>
          </w:tcPr>
          <w:p w14:paraId="6337895A" w14:textId="77777777" w:rsidR="00A91679" w:rsidRPr="00A91679" w:rsidRDefault="00A91679" w:rsidP="00FE5606">
            <w:pPr>
              <w:spacing w:after="0"/>
              <w:jc w:val="right"/>
              <w:rPr>
                <w:lang w:eastAsia="en-AU"/>
              </w:rPr>
            </w:pPr>
            <w:r w:rsidRPr="00A91679">
              <w:rPr>
                <w:lang w:eastAsia="en-AU"/>
              </w:rPr>
              <w:t>6%</w:t>
            </w:r>
          </w:p>
        </w:tc>
      </w:tr>
      <w:tr w:rsidR="00A91679" w:rsidRPr="00A91679" w14:paraId="77341A62" w14:textId="77777777" w:rsidTr="00FE5606">
        <w:trPr>
          <w:trHeight w:val="300"/>
        </w:trPr>
        <w:tc>
          <w:tcPr>
            <w:tcW w:w="2725" w:type="dxa"/>
            <w:tcBorders>
              <w:top w:val="nil"/>
              <w:left w:val="single" w:sz="4" w:space="0" w:color="auto"/>
              <w:bottom w:val="single" w:sz="4" w:space="0" w:color="auto"/>
              <w:right w:val="single" w:sz="4" w:space="0" w:color="auto"/>
            </w:tcBorders>
            <w:shd w:val="clear" w:color="auto" w:fill="auto"/>
            <w:noWrap/>
            <w:vAlign w:val="bottom"/>
            <w:hideMark/>
          </w:tcPr>
          <w:p w14:paraId="7A0B0A61" w14:textId="77777777" w:rsidR="00A91679" w:rsidRPr="00A91679" w:rsidRDefault="00A91679" w:rsidP="00FE5606">
            <w:pPr>
              <w:spacing w:after="0"/>
              <w:rPr>
                <w:lang w:eastAsia="en-AU"/>
              </w:rPr>
            </w:pPr>
            <w:r w:rsidRPr="00A91679">
              <w:rPr>
                <w:lang w:eastAsia="en-AU"/>
              </w:rPr>
              <w:t>Education</w:t>
            </w:r>
          </w:p>
        </w:tc>
        <w:tc>
          <w:tcPr>
            <w:tcW w:w="3229" w:type="dxa"/>
            <w:tcBorders>
              <w:top w:val="nil"/>
              <w:left w:val="nil"/>
              <w:bottom w:val="single" w:sz="4" w:space="0" w:color="auto"/>
              <w:right w:val="single" w:sz="4" w:space="0" w:color="auto"/>
            </w:tcBorders>
            <w:shd w:val="clear" w:color="auto" w:fill="auto"/>
            <w:noWrap/>
            <w:vAlign w:val="bottom"/>
            <w:hideMark/>
          </w:tcPr>
          <w:p w14:paraId="149A1C15" w14:textId="77777777" w:rsidR="00A91679" w:rsidRPr="00A91679" w:rsidRDefault="00A91679" w:rsidP="00FE5606">
            <w:pPr>
              <w:spacing w:after="0"/>
              <w:jc w:val="right"/>
              <w:rPr>
                <w:lang w:eastAsia="en-AU"/>
              </w:rPr>
            </w:pPr>
            <w:r w:rsidRPr="00A91679">
              <w:rPr>
                <w:lang w:eastAsia="en-AU"/>
              </w:rPr>
              <w:t>2%</w:t>
            </w:r>
          </w:p>
        </w:tc>
      </w:tr>
      <w:tr w:rsidR="00A91679" w:rsidRPr="00A91679" w14:paraId="701E2674" w14:textId="77777777" w:rsidTr="00FE5606">
        <w:trPr>
          <w:trHeight w:val="300"/>
        </w:trPr>
        <w:tc>
          <w:tcPr>
            <w:tcW w:w="2725" w:type="dxa"/>
            <w:tcBorders>
              <w:top w:val="nil"/>
              <w:left w:val="single" w:sz="4" w:space="0" w:color="auto"/>
              <w:bottom w:val="single" w:sz="4" w:space="0" w:color="auto"/>
              <w:right w:val="single" w:sz="4" w:space="0" w:color="auto"/>
            </w:tcBorders>
            <w:shd w:val="clear" w:color="auto" w:fill="auto"/>
            <w:noWrap/>
            <w:vAlign w:val="bottom"/>
            <w:hideMark/>
          </w:tcPr>
          <w:p w14:paraId="24E509C1" w14:textId="77DBED12" w:rsidR="00A91679" w:rsidRPr="00A91679" w:rsidRDefault="00A91679" w:rsidP="00FE5606">
            <w:pPr>
              <w:spacing w:after="0"/>
              <w:rPr>
                <w:lang w:eastAsia="en-AU"/>
              </w:rPr>
            </w:pPr>
            <w:r w:rsidRPr="00A91679">
              <w:rPr>
                <w:lang w:eastAsia="en-AU"/>
              </w:rPr>
              <w:t xml:space="preserve">Commercial </w:t>
            </w:r>
            <w:r w:rsidR="00FE5606" w:rsidRPr="00A91679">
              <w:rPr>
                <w:lang w:eastAsia="en-AU"/>
              </w:rPr>
              <w:t>accommodation</w:t>
            </w:r>
          </w:p>
        </w:tc>
        <w:tc>
          <w:tcPr>
            <w:tcW w:w="3229" w:type="dxa"/>
            <w:tcBorders>
              <w:top w:val="nil"/>
              <w:left w:val="nil"/>
              <w:bottom w:val="single" w:sz="4" w:space="0" w:color="auto"/>
              <w:right w:val="single" w:sz="4" w:space="0" w:color="auto"/>
            </w:tcBorders>
            <w:shd w:val="clear" w:color="auto" w:fill="auto"/>
            <w:noWrap/>
            <w:vAlign w:val="bottom"/>
            <w:hideMark/>
          </w:tcPr>
          <w:p w14:paraId="01B3F72D" w14:textId="77777777" w:rsidR="00A91679" w:rsidRPr="00A91679" w:rsidRDefault="00A91679" w:rsidP="00FE5606">
            <w:pPr>
              <w:spacing w:after="0"/>
              <w:jc w:val="right"/>
              <w:rPr>
                <w:lang w:eastAsia="en-AU"/>
              </w:rPr>
            </w:pPr>
            <w:r w:rsidRPr="00A91679">
              <w:rPr>
                <w:lang w:eastAsia="en-AU"/>
              </w:rPr>
              <w:t>2%</w:t>
            </w:r>
          </w:p>
        </w:tc>
      </w:tr>
      <w:tr w:rsidR="00A91679" w:rsidRPr="00A91679" w14:paraId="5ACDCAC8" w14:textId="77777777" w:rsidTr="00FE5606">
        <w:trPr>
          <w:trHeight w:val="300"/>
        </w:trPr>
        <w:tc>
          <w:tcPr>
            <w:tcW w:w="2725" w:type="dxa"/>
            <w:tcBorders>
              <w:top w:val="nil"/>
              <w:left w:val="single" w:sz="4" w:space="0" w:color="auto"/>
              <w:bottom w:val="single" w:sz="4" w:space="0" w:color="auto"/>
              <w:right w:val="single" w:sz="4" w:space="0" w:color="auto"/>
            </w:tcBorders>
            <w:shd w:val="clear" w:color="auto" w:fill="auto"/>
            <w:noWrap/>
            <w:vAlign w:val="bottom"/>
            <w:hideMark/>
          </w:tcPr>
          <w:p w14:paraId="4FB61752" w14:textId="77777777" w:rsidR="00A91679" w:rsidRPr="00A91679" w:rsidRDefault="00A91679" w:rsidP="00FE5606">
            <w:pPr>
              <w:spacing w:after="0"/>
              <w:rPr>
                <w:lang w:eastAsia="en-AU"/>
              </w:rPr>
            </w:pPr>
            <w:r w:rsidRPr="00A91679">
              <w:rPr>
                <w:lang w:eastAsia="en-AU"/>
              </w:rPr>
              <w:t xml:space="preserve">All other </w:t>
            </w:r>
          </w:p>
        </w:tc>
        <w:tc>
          <w:tcPr>
            <w:tcW w:w="3229" w:type="dxa"/>
            <w:tcBorders>
              <w:top w:val="nil"/>
              <w:left w:val="nil"/>
              <w:bottom w:val="single" w:sz="4" w:space="0" w:color="auto"/>
              <w:right w:val="single" w:sz="4" w:space="0" w:color="auto"/>
            </w:tcBorders>
            <w:shd w:val="clear" w:color="auto" w:fill="auto"/>
            <w:noWrap/>
            <w:vAlign w:val="bottom"/>
            <w:hideMark/>
          </w:tcPr>
          <w:p w14:paraId="17A973D7" w14:textId="77777777" w:rsidR="00A91679" w:rsidRPr="00A91679" w:rsidRDefault="00A91679" w:rsidP="00FE5606">
            <w:pPr>
              <w:spacing w:after="0"/>
              <w:jc w:val="right"/>
              <w:rPr>
                <w:lang w:eastAsia="en-AU"/>
              </w:rPr>
            </w:pPr>
            <w:r w:rsidRPr="00A91679">
              <w:rPr>
                <w:lang w:eastAsia="en-AU"/>
              </w:rPr>
              <w:t>2%</w:t>
            </w:r>
          </w:p>
        </w:tc>
      </w:tr>
    </w:tbl>
    <w:p w14:paraId="5408D63C" w14:textId="77777777" w:rsidR="00A91679" w:rsidRDefault="00A91679" w:rsidP="00FE5606">
      <w:pPr>
        <w:rPr>
          <w:rFonts w:ascii="Helvetica Light" w:hAnsi="Helvetica Light" w:cstheme="minorBidi"/>
          <w:szCs w:val="20"/>
        </w:rPr>
      </w:pPr>
    </w:p>
    <w:p w14:paraId="140EFF11" w14:textId="77777777" w:rsidR="00FE5606" w:rsidRDefault="00FE5606" w:rsidP="00FE5606">
      <w:r>
        <w:t xml:space="preserve">Return to </w:t>
      </w:r>
      <w:hyperlink w:anchor="_3.2.4_Unused_Space" w:history="1">
        <w:r w:rsidRPr="00A75648">
          <w:rPr>
            <w:rStyle w:val="Hyperlink"/>
          </w:rPr>
          <w:t>Unused Space</w:t>
        </w:r>
      </w:hyperlink>
    </w:p>
    <w:p w14:paraId="38F106A5" w14:textId="3B6B73DB" w:rsidR="00FE5606" w:rsidRPr="00FE5606" w:rsidRDefault="003B3A7A" w:rsidP="00B33DB1">
      <w:pPr>
        <w:pStyle w:val="Heading3"/>
        <w:rPr>
          <w:rFonts w:hint="eastAsia"/>
        </w:rPr>
      </w:pPr>
      <w:bookmarkStart w:id="248" w:name="_Estimated_Allocation_of"/>
      <w:bookmarkEnd w:id="248"/>
      <w:r>
        <w:t>Table A.2</w:t>
      </w:r>
      <w:r w:rsidR="00A13E20">
        <w:t>4</w:t>
      </w:r>
      <w:r>
        <w:tab/>
      </w:r>
      <w:r w:rsidR="00FE5606" w:rsidRPr="00FE5606">
        <w:t>Estimated Allocation of Unused Floor Space to Previous Space-Use</w:t>
      </w:r>
    </w:p>
    <w:tbl>
      <w:tblPr>
        <w:tblW w:w="6663" w:type="dxa"/>
        <w:tblInd w:w="-5" w:type="dxa"/>
        <w:tblLook w:val="04A0" w:firstRow="1" w:lastRow="0" w:firstColumn="1" w:lastColumn="0" w:noHBand="0" w:noVBand="1"/>
      </w:tblPr>
      <w:tblGrid>
        <w:gridCol w:w="3382"/>
        <w:gridCol w:w="3281"/>
      </w:tblGrid>
      <w:tr w:rsidR="00A91679" w:rsidRPr="00A91679" w14:paraId="14AE3135" w14:textId="77777777" w:rsidTr="00FE5606">
        <w:trPr>
          <w:trHeight w:val="300"/>
        </w:trPr>
        <w:tc>
          <w:tcPr>
            <w:tcW w:w="33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63E3A3" w14:textId="77777777" w:rsidR="00A91679" w:rsidRPr="00FE5606" w:rsidRDefault="00A91679" w:rsidP="00FE5606">
            <w:pPr>
              <w:spacing w:after="0"/>
              <w:rPr>
                <w:b/>
                <w:bCs/>
                <w:lang w:eastAsia="en-AU"/>
              </w:rPr>
            </w:pPr>
            <w:bookmarkStart w:id="249" w:name="_Figure_25:_Estimated"/>
            <w:bookmarkEnd w:id="249"/>
            <w:r w:rsidRPr="00FE5606">
              <w:rPr>
                <w:b/>
                <w:bCs/>
                <w:lang w:eastAsia="en-AU"/>
              </w:rPr>
              <w:t>Previous Space Use Type</w:t>
            </w:r>
          </w:p>
        </w:tc>
        <w:tc>
          <w:tcPr>
            <w:tcW w:w="3281" w:type="dxa"/>
            <w:tcBorders>
              <w:top w:val="single" w:sz="4" w:space="0" w:color="auto"/>
              <w:left w:val="nil"/>
              <w:bottom w:val="single" w:sz="4" w:space="0" w:color="auto"/>
              <w:right w:val="single" w:sz="4" w:space="0" w:color="auto"/>
            </w:tcBorders>
            <w:shd w:val="clear" w:color="auto" w:fill="auto"/>
            <w:noWrap/>
            <w:vAlign w:val="bottom"/>
            <w:hideMark/>
          </w:tcPr>
          <w:p w14:paraId="7C20E2EA" w14:textId="77777777" w:rsidR="00A91679" w:rsidRPr="00FE5606" w:rsidRDefault="00A91679" w:rsidP="00FE5606">
            <w:pPr>
              <w:spacing w:after="0"/>
              <w:rPr>
                <w:b/>
                <w:bCs/>
                <w:lang w:eastAsia="en-AU"/>
              </w:rPr>
            </w:pPr>
            <w:r w:rsidRPr="00FE5606">
              <w:rPr>
                <w:b/>
                <w:bCs/>
                <w:lang w:eastAsia="en-AU"/>
              </w:rPr>
              <w:t>Unused Space Floor Area (m2)</w:t>
            </w:r>
          </w:p>
        </w:tc>
      </w:tr>
      <w:tr w:rsidR="00A91679" w:rsidRPr="00A91679" w14:paraId="6AF7BDEA" w14:textId="77777777" w:rsidTr="00FE5606">
        <w:trPr>
          <w:trHeight w:val="300"/>
        </w:trPr>
        <w:tc>
          <w:tcPr>
            <w:tcW w:w="3382" w:type="dxa"/>
            <w:tcBorders>
              <w:top w:val="nil"/>
              <w:left w:val="single" w:sz="4" w:space="0" w:color="auto"/>
              <w:bottom w:val="single" w:sz="4" w:space="0" w:color="auto"/>
              <w:right w:val="single" w:sz="4" w:space="0" w:color="auto"/>
            </w:tcBorders>
            <w:shd w:val="clear" w:color="auto" w:fill="auto"/>
            <w:noWrap/>
            <w:vAlign w:val="bottom"/>
            <w:hideMark/>
          </w:tcPr>
          <w:p w14:paraId="79A27E04" w14:textId="77777777" w:rsidR="00A91679" w:rsidRPr="00A91679" w:rsidRDefault="00A91679" w:rsidP="00FE5606">
            <w:pPr>
              <w:spacing w:after="0"/>
              <w:rPr>
                <w:lang w:eastAsia="en-AU"/>
              </w:rPr>
            </w:pPr>
            <w:r w:rsidRPr="00A91679">
              <w:rPr>
                <w:lang w:eastAsia="en-AU"/>
              </w:rPr>
              <w:t>Office</w:t>
            </w:r>
          </w:p>
        </w:tc>
        <w:tc>
          <w:tcPr>
            <w:tcW w:w="3281" w:type="dxa"/>
            <w:tcBorders>
              <w:top w:val="nil"/>
              <w:left w:val="nil"/>
              <w:bottom w:val="single" w:sz="4" w:space="0" w:color="auto"/>
              <w:right w:val="single" w:sz="4" w:space="0" w:color="auto"/>
            </w:tcBorders>
            <w:shd w:val="clear" w:color="auto" w:fill="auto"/>
            <w:noWrap/>
            <w:vAlign w:val="bottom"/>
            <w:hideMark/>
          </w:tcPr>
          <w:p w14:paraId="69C94F65" w14:textId="362A5772" w:rsidR="00A91679" w:rsidRPr="00A91679" w:rsidRDefault="00A91679" w:rsidP="00FE5606">
            <w:pPr>
              <w:spacing w:after="0"/>
              <w:jc w:val="right"/>
              <w:rPr>
                <w:lang w:eastAsia="en-AU"/>
              </w:rPr>
            </w:pPr>
            <w:r w:rsidRPr="00A91679">
              <w:rPr>
                <w:lang w:eastAsia="en-AU"/>
              </w:rPr>
              <w:t xml:space="preserve">1,688,769 </w:t>
            </w:r>
          </w:p>
        </w:tc>
      </w:tr>
      <w:tr w:rsidR="00A91679" w:rsidRPr="00A91679" w14:paraId="747FCFED" w14:textId="77777777" w:rsidTr="00FE5606">
        <w:trPr>
          <w:trHeight w:val="300"/>
        </w:trPr>
        <w:tc>
          <w:tcPr>
            <w:tcW w:w="3382" w:type="dxa"/>
            <w:tcBorders>
              <w:top w:val="nil"/>
              <w:left w:val="single" w:sz="4" w:space="0" w:color="auto"/>
              <w:bottom w:val="single" w:sz="4" w:space="0" w:color="auto"/>
              <w:right w:val="single" w:sz="4" w:space="0" w:color="auto"/>
            </w:tcBorders>
            <w:shd w:val="clear" w:color="auto" w:fill="auto"/>
            <w:noWrap/>
            <w:vAlign w:val="bottom"/>
            <w:hideMark/>
          </w:tcPr>
          <w:p w14:paraId="3D3DAD3F" w14:textId="77777777" w:rsidR="00A91679" w:rsidRPr="00A91679" w:rsidRDefault="00A91679" w:rsidP="00FE5606">
            <w:pPr>
              <w:spacing w:after="0"/>
              <w:rPr>
                <w:lang w:eastAsia="en-AU"/>
              </w:rPr>
            </w:pPr>
            <w:r w:rsidRPr="00A91679">
              <w:rPr>
                <w:lang w:eastAsia="en-AU"/>
              </w:rPr>
              <w:t>Transport</w:t>
            </w:r>
          </w:p>
        </w:tc>
        <w:tc>
          <w:tcPr>
            <w:tcW w:w="3281" w:type="dxa"/>
            <w:tcBorders>
              <w:top w:val="nil"/>
              <w:left w:val="nil"/>
              <w:bottom w:val="single" w:sz="4" w:space="0" w:color="auto"/>
              <w:right w:val="single" w:sz="4" w:space="0" w:color="auto"/>
            </w:tcBorders>
            <w:shd w:val="clear" w:color="auto" w:fill="auto"/>
            <w:noWrap/>
            <w:vAlign w:val="bottom"/>
            <w:hideMark/>
          </w:tcPr>
          <w:p w14:paraId="022C31D1" w14:textId="39586176" w:rsidR="00A91679" w:rsidRPr="00A91679" w:rsidRDefault="00A91679" w:rsidP="00FE5606">
            <w:pPr>
              <w:spacing w:after="0"/>
              <w:jc w:val="right"/>
              <w:rPr>
                <w:lang w:eastAsia="en-AU"/>
              </w:rPr>
            </w:pPr>
            <w:r w:rsidRPr="00A91679">
              <w:rPr>
                <w:lang w:eastAsia="en-AU"/>
              </w:rPr>
              <w:t xml:space="preserve">588,118 </w:t>
            </w:r>
          </w:p>
        </w:tc>
      </w:tr>
      <w:tr w:rsidR="00A91679" w:rsidRPr="00A91679" w14:paraId="4E8DF138" w14:textId="77777777" w:rsidTr="00FE5606">
        <w:trPr>
          <w:trHeight w:val="300"/>
        </w:trPr>
        <w:tc>
          <w:tcPr>
            <w:tcW w:w="3382" w:type="dxa"/>
            <w:tcBorders>
              <w:top w:val="nil"/>
              <w:left w:val="single" w:sz="4" w:space="0" w:color="auto"/>
              <w:bottom w:val="single" w:sz="4" w:space="0" w:color="auto"/>
              <w:right w:val="single" w:sz="4" w:space="0" w:color="auto"/>
            </w:tcBorders>
            <w:shd w:val="clear" w:color="auto" w:fill="auto"/>
            <w:noWrap/>
            <w:vAlign w:val="bottom"/>
            <w:hideMark/>
          </w:tcPr>
          <w:p w14:paraId="6658AF5C" w14:textId="77777777" w:rsidR="00A91679" w:rsidRPr="00A91679" w:rsidRDefault="00A91679" w:rsidP="00FE5606">
            <w:pPr>
              <w:spacing w:after="0"/>
              <w:rPr>
                <w:lang w:eastAsia="en-AU"/>
              </w:rPr>
            </w:pPr>
            <w:r w:rsidRPr="00A91679">
              <w:rPr>
                <w:lang w:eastAsia="en-AU"/>
              </w:rPr>
              <w:t>Retail</w:t>
            </w:r>
          </w:p>
        </w:tc>
        <w:tc>
          <w:tcPr>
            <w:tcW w:w="3281" w:type="dxa"/>
            <w:tcBorders>
              <w:top w:val="nil"/>
              <w:left w:val="nil"/>
              <w:bottom w:val="single" w:sz="4" w:space="0" w:color="auto"/>
              <w:right w:val="single" w:sz="4" w:space="0" w:color="auto"/>
            </w:tcBorders>
            <w:shd w:val="clear" w:color="auto" w:fill="auto"/>
            <w:noWrap/>
            <w:vAlign w:val="bottom"/>
            <w:hideMark/>
          </w:tcPr>
          <w:p w14:paraId="734C3B5A" w14:textId="519E27C9" w:rsidR="00A91679" w:rsidRPr="00A91679" w:rsidRDefault="00A91679" w:rsidP="00FE5606">
            <w:pPr>
              <w:spacing w:after="0"/>
              <w:jc w:val="right"/>
              <w:rPr>
                <w:lang w:eastAsia="en-AU"/>
              </w:rPr>
            </w:pPr>
            <w:r w:rsidRPr="00A91679">
              <w:rPr>
                <w:lang w:eastAsia="en-AU"/>
              </w:rPr>
              <w:t xml:space="preserve">408,056 </w:t>
            </w:r>
          </w:p>
        </w:tc>
      </w:tr>
      <w:tr w:rsidR="00A91679" w:rsidRPr="00A91679" w14:paraId="3C879945" w14:textId="77777777" w:rsidTr="00FE5606">
        <w:trPr>
          <w:trHeight w:val="300"/>
        </w:trPr>
        <w:tc>
          <w:tcPr>
            <w:tcW w:w="3382" w:type="dxa"/>
            <w:tcBorders>
              <w:top w:val="nil"/>
              <w:left w:val="single" w:sz="4" w:space="0" w:color="auto"/>
              <w:bottom w:val="single" w:sz="4" w:space="0" w:color="auto"/>
              <w:right w:val="single" w:sz="4" w:space="0" w:color="auto"/>
            </w:tcBorders>
            <w:shd w:val="clear" w:color="auto" w:fill="auto"/>
            <w:noWrap/>
            <w:vAlign w:val="bottom"/>
            <w:hideMark/>
          </w:tcPr>
          <w:p w14:paraId="366BBF32" w14:textId="77777777" w:rsidR="00A91679" w:rsidRPr="00A91679" w:rsidRDefault="00A91679" w:rsidP="00FE5606">
            <w:pPr>
              <w:spacing w:after="0"/>
              <w:rPr>
                <w:lang w:eastAsia="en-AU"/>
              </w:rPr>
            </w:pPr>
            <w:r w:rsidRPr="00A91679">
              <w:rPr>
                <w:lang w:eastAsia="en-AU"/>
              </w:rPr>
              <w:t>Manufacturing/light industrial</w:t>
            </w:r>
          </w:p>
        </w:tc>
        <w:tc>
          <w:tcPr>
            <w:tcW w:w="3281" w:type="dxa"/>
            <w:tcBorders>
              <w:top w:val="nil"/>
              <w:left w:val="nil"/>
              <w:bottom w:val="single" w:sz="4" w:space="0" w:color="auto"/>
              <w:right w:val="single" w:sz="4" w:space="0" w:color="auto"/>
            </w:tcBorders>
            <w:shd w:val="clear" w:color="auto" w:fill="auto"/>
            <w:noWrap/>
            <w:vAlign w:val="bottom"/>
            <w:hideMark/>
          </w:tcPr>
          <w:p w14:paraId="5E92B070" w14:textId="260D317E" w:rsidR="00A91679" w:rsidRPr="00A91679" w:rsidRDefault="00A91679" w:rsidP="00FE5606">
            <w:pPr>
              <w:spacing w:after="0"/>
              <w:jc w:val="right"/>
              <w:rPr>
                <w:lang w:eastAsia="en-AU"/>
              </w:rPr>
            </w:pPr>
            <w:r w:rsidRPr="00A91679">
              <w:rPr>
                <w:lang w:eastAsia="en-AU"/>
              </w:rPr>
              <w:t xml:space="preserve">355,728 </w:t>
            </w:r>
          </w:p>
        </w:tc>
      </w:tr>
      <w:tr w:rsidR="00A91679" w:rsidRPr="00A91679" w14:paraId="3165C27D" w14:textId="77777777" w:rsidTr="00FE5606">
        <w:trPr>
          <w:trHeight w:val="300"/>
        </w:trPr>
        <w:tc>
          <w:tcPr>
            <w:tcW w:w="3382" w:type="dxa"/>
            <w:tcBorders>
              <w:top w:val="nil"/>
              <w:left w:val="single" w:sz="4" w:space="0" w:color="auto"/>
              <w:bottom w:val="single" w:sz="4" w:space="0" w:color="auto"/>
              <w:right w:val="single" w:sz="4" w:space="0" w:color="auto"/>
            </w:tcBorders>
            <w:shd w:val="clear" w:color="auto" w:fill="auto"/>
            <w:noWrap/>
            <w:vAlign w:val="bottom"/>
            <w:hideMark/>
          </w:tcPr>
          <w:p w14:paraId="390FCB14" w14:textId="77777777" w:rsidR="00A91679" w:rsidRPr="00A91679" w:rsidRDefault="00A91679" w:rsidP="00FE5606">
            <w:pPr>
              <w:spacing w:after="0"/>
              <w:rPr>
                <w:lang w:eastAsia="en-AU"/>
              </w:rPr>
            </w:pPr>
            <w:r w:rsidRPr="00A91679">
              <w:rPr>
                <w:lang w:eastAsia="en-AU"/>
              </w:rPr>
              <w:t>Residential</w:t>
            </w:r>
          </w:p>
        </w:tc>
        <w:tc>
          <w:tcPr>
            <w:tcW w:w="3281" w:type="dxa"/>
            <w:tcBorders>
              <w:top w:val="nil"/>
              <w:left w:val="nil"/>
              <w:bottom w:val="single" w:sz="4" w:space="0" w:color="auto"/>
              <w:right w:val="single" w:sz="4" w:space="0" w:color="auto"/>
            </w:tcBorders>
            <w:shd w:val="clear" w:color="auto" w:fill="auto"/>
            <w:noWrap/>
            <w:vAlign w:val="bottom"/>
            <w:hideMark/>
          </w:tcPr>
          <w:p w14:paraId="2DEE7E08" w14:textId="6469BADA" w:rsidR="00A91679" w:rsidRPr="00A91679" w:rsidRDefault="00A91679" w:rsidP="00FE5606">
            <w:pPr>
              <w:spacing w:after="0"/>
              <w:jc w:val="right"/>
              <w:rPr>
                <w:lang w:eastAsia="en-AU"/>
              </w:rPr>
            </w:pPr>
            <w:r w:rsidRPr="00A91679">
              <w:rPr>
                <w:lang w:eastAsia="en-AU"/>
              </w:rPr>
              <w:t xml:space="preserve">363,070 </w:t>
            </w:r>
          </w:p>
        </w:tc>
      </w:tr>
      <w:tr w:rsidR="00A91679" w:rsidRPr="00A91679" w14:paraId="358C9555" w14:textId="77777777" w:rsidTr="00FE5606">
        <w:trPr>
          <w:trHeight w:val="300"/>
        </w:trPr>
        <w:tc>
          <w:tcPr>
            <w:tcW w:w="3382" w:type="dxa"/>
            <w:tcBorders>
              <w:top w:val="nil"/>
              <w:left w:val="single" w:sz="4" w:space="0" w:color="auto"/>
              <w:bottom w:val="single" w:sz="4" w:space="0" w:color="auto"/>
              <w:right w:val="single" w:sz="4" w:space="0" w:color="auto"/>
            </w:tcBorders>
            <w:shd w:val="clear" w:color="auto" w:fill="auto"/>
            <w:noWrap/>
            <w:vAlign w:val="bottom"/>
            <w:hideMark/>
          </w:tcPr>
          <w:p w14:paraId="27E2F720" w14:textId="77777777" w:rsidR="00A91679" w:rsidRPr="00A91679" w:rsidRDefault="00A91679" w:rsidP="00FE5606">
            <w:pPr>
              <w:spacing w:after="0"/>
              <w:rPr>
                <w:lang w:eastAsia="en-AU"/>
              </w:rPr>
            </w:pPr>
            <w:r w:rsidRPr="00A91679">
              <w:rPr>
                <w:lang w:eastAsia="en-AU"/>
              </w:rPr>
              <w:t>Outdoor space</w:t>
            </w:r>
          </w:p>
        </w:tc>
        <w:tc>
          <w:tcPr>
            <w:tcW w:w="3281" w:type="dxa"/>
            <w:tcBorders>
              <w:top w:val="nil"/>
              <w:left w:val="nil"/>
              <w:bottom w:val="single" w:sz="4" w:space="0" w:color="auto"/>
              <w:right w:val="single" w:sz="4" w:space="0" w:color="auto"/>
            </w:tcBorders>
            <w:shd w:val="clear" w:color="auto" w:fill="auto"/>
            <w:noWrap/>
            <w:vAlign w:val="bottom"/>
            <w:hideMark/>
          </w:tcPr>
          <w:p w14:paraId="492F4591" w14:textId="5D5CB194" w:rsidR="00A91679" w:rsidRPr="00A91679" w:rsidRDefault="00A91679" w:rsidP="00FE5606">
            <w:pPr>
              <w:spacing w:after="0"/>
              <w:jc w:val="right"/>
              <w:rPr>
                <w:lang w:eastAsia="en-AU"/>
              </w:rPr>
            </w:pPr>
            <w:r w:rsidRPr="00A91679">
              <w:rPr>
                <w:lang w:eastAsia="en-AU"/>
              </w:rPr>
              <w:t xml:space="preserve">240,364 </w:t>
            </w:r>
          </w:p>
        </w:tc>
      </w:tr>
      <w:tr w:rsidR="00A91679" w:rsidRPr="00A91679" w14:paraId="16A3EB75" w14:textId="77777777" w:rsidTr="00FE5606">
        <w:trPr>
          <w:trHeight w:val="300"/>
        </w:trPr>
        <w:tc>
          <w:tcPr>
            <w:tcW w:w="3382" w:type="dxa"/>
            <w:tcBorders>
              <w:top w:val="nil"/>
              <w:left w:val="single" w:sz="4" w:space="0" w:color="auto"/>
              <w:bottom w:val="single" w:sz="4" w:space="0" w:color="auto"/>
              <w:right w:val="single" w:sz="4" w:space="0" w:color="auto"/>
            </w:tcBorders>
            <w:shd w:val="clear" w:color="auto" w:fill="auto"/>
            <w:noWrap/>
            <w:vAlign w:val="bottom"/>
            <w:hideMark/>
          </w:tcPr>
          <w:p w14:paraId="6D49A68F" w14:textId="77777777" w:rsidR="00A91679" w:rsidRPr="00A91679" w:rsidRDefault="00A91679" w:rsidP="00FE5606">
            <w:pPr>
              <w:spacing w:after="0"/>
              <w:rPr>
                <w:lang w:eastAsia="en-AU"/>
              </w:rPr>
            </w:pPr>
            <w:r w:rsidRPr="00A91679">
              <w:rPr>
                <w:lang w:eastAsia="en-AU"/>
              </w:rPr>
              <w:t>Education</w:t>
            </w:r>
          </w:p>
        </w:tc>
        <w:tc>
          <w:tcPr>
            <w:tcW w:w="3281" w:type="dxa"/>
            <w:tcBorders>
              <w:top w:val="nil"/>
              <w:left w:val="nil"/>
              <w:bottom w:val="single" w:sz="4" w:space="0" w:color="auto"/>
              <w:right w:val="single" w:sz="4" w:space="0" w:color="auto"/>
            </w:tcBorders>
            <w:shd w:val="clear" w:color="auto" w:fill="auto"/>
            <w:noWrap/>
            <w:vAlign w:val="bottom"/>
            <w:hideMark/>
          </w:tcPr>
          <w:p w14:paraId="3D879D22" w14:textId="01F1368D" w:rsidR="00A91679" w:rsidRPr="00A91679" w:rsidRDefault="00A91679" w:rsidP="00FE5606">
            <w:pPr>
              <w:spacing w:after="0"/>
              <w:jc w:val="right"/>
              <w:rPr>
                <w:lang w:eastAsia="en-AU"/>
              </w:rPr>
            </w:pPr>
            <w:r w:rsidRPr="00A91679">
              <w:rPr>
                <w:lang w:eastAsia="en-AU"/>
              </w:rPr>
              <w:t xml:space="preserve">79,439 </w:t>
            </w:r>
          </w:p>
        </w:tc>
      </w:tr>
      <w:tr w:rsidR="00A91679" w:rsidRPr="00A91679" w14:paraId="0468A0FB" w14:textId="77777777" w:rsidTr="00FE5606">
        <w:trPr>
          <w:trHeight w:val="300"/>
        </w:trPr>
        <w:tc>
          <w:tcPr>
            <w:tcW w:w="3382" w:type="dxa"/>
            <w:tcBorders>
              <w:top w:val="nil"/>
              <w:left w:val="single" w:sz="4" w:space="0" w:color="auto"/>
              <w:bottom w:val="single" w:sz="4" w:space="0" w:color="auto"/>
              <w:right w:val="single" w:sz="4" w:space="0" w:color="auto"/>
            </w:tcBorders>
            <w:shd w:val="clear" w:color="auto" w:fill="auto"/>
            <w:noWrap/>
            <w:vAlign w:val="bottom"/>
            <w:hideMark/>
          </w:tcPr>
          <w:p w14:paraId="298CB3A2" w14:textId="6452D68D" w:rsidR="00A91679" w:rsidRPr="00A91679" w:rsidRDefault="00A91679" w:rsidP="00FE5606">
            <w:pPr>
              <w:spacing w:after="0"/>
              <w:rPr>
                <w:lang w:eastAsia="en-AU"/>
              </w:rPr>
            </w:pPr>
            <w:r w:rsidRPr="00A91679">
              <w:rPr>
                <w:lang w:eastAsia="en-AU"/>
              </w:rPr>
              <w:t xml:space="preserve">Commercial </w:t>
            </w:r>
            <w:r w:rsidR="00FE5606" w:rsidRPr="00A91679">
              <w:rPr>
                <w:lang w:eastAsia="en-AU"/>
              </w:rPr>
              <w:t>accommodation</w:t>
            </w:r>
          </w:p>
        </w:tc>
        <w:tc>
          <w:tcPr>
            <w:tcW w:w="3281" w:type="dxa"/>
            <w:tcBorders>
              <w:top w:val="nil"/>
              <w:left w:val="nil"/>
              <w:bottom w:val="single" w:sz="4" w:space="0" w:color="auto"/>
              <w:right w:val="single" w:sz="4" w:space="0" w:color="auto"/>
            </w:tcBorders>
            <w:shd w:val="clear" w:color="auto" w:fill="auto"/>
            <w:noWrap/>
            <w:vAlign w:val="bottom"/>
            <w:hideMark/>
          </w:tcPr>
          <w:p w14:paraId="15D4164F" w14:textId="55273861" w:rsidR="00A91679" w:rsidRPr="00A91679" w:rsidRDefault="00A91679" w:rsidP="00FE5606">
            <w:pPr>
              <w:spacing w:after="0"/>
              <w:jc w:val="right"/>
              <w:rPr>
                <w:lang w:eastAsia="en-AU"/>
              </w:rPr>
            </w:pPr>
            <w:r w:rsidRPr="00A91679">
              <w:rPr>
                <w:lang w:eastAsia="en-AU"/>
              </w:rPr>
              <w:t xml:space="preserve">69,506 </w:t>
            </w:r>
          </w:p>
        </w:tc>
      </w:tr>
      <w:tr w:rsidR="00A91679" w:rsidRPr="00A91679" w14:paraId="335DBF99" w14:textId="77777777" w:rsidTr="00FE5606">
        <w:trPr>
          <w:trHeight w:val="300"/>
        </w:trPr>
        <w:tc>
          <w:tcPr>
            <w:tcW w:w="3382" w:type="dxa"/>
            <w:tcBorders>
              <w:top w:val="nil"/>
              <w:left w:val="single" w:sz="4" w:space="0" w:color="auto"/>
              <w:bottom w:val="single" w:sz="4" w:space="0" w:color="auto"/>
              <w:right w:val="single" w:sz="4" w:space="0" w:color="auto"/>
            </w:tcBorders>
            <w:shd w:val="clear" w:color="auto" w:fill="auto"/>
            <w:noWrap/>
            <w:vAlign w:val="bottom"/>
            <w:hideMark/>
          </w:tcPr>
          <w:p w14:paraId="3CF46D37" w14:textId="77777777" w:rsidR="00A91679" w:rsidRPr="00A91679" w:rsidRDefault="00A91679" w:rsidP="00FE5606">
            <w:pPr>
              <w:spacing w:after="0"/>
              <w:rPr>
                <w:lang w:eastAsia="en-AU"/>
              </w:rPr>
            </w:pPr>
            <w:r w:rsidRPr="00A91679">
              <w:rPr>
                <w:lang w:eastAsia="en-AU"/>
              </w:rPr>
              <w:t xml:space="preserve">All other </w:t>
            </w:r>
          </w:p>
        </w:tc>
        <w:tc>
          <w:tcPr>
            <w:tcW w:w="3281" w:type="dxa"/>
            <w:tcBorders>
              <w:top w:val="nil"/>
              <w:left w:val="nil"/>
              <w:bottom w:val="single" w:sz="4" w:space="0" w:color="auto"/>
              <w:right w:val="single" w:sz="4" w:space="0" w:color="auto"/>
            </w:tcBorders>
            <w:shd w:val="clear" w:color="auto" w:fill="auto"/>
            <w:noWrap/>
            <w:vAlign w:val="bottom"/>
            <w:hideMark/>
          </w:tcPr>
          <w:p w14:paraId="080E9B05" w14:textId="17DF313D" w:rsidR="00A91679" w:rsidRPr="00A91679" w:rsidRDefault="00A91679" w:rsidP="00FE5606">
            <w:pPr>
              <w:spacing w:after="0"/>
              <w:jc w:val="right"/>
              <w:rPr>
                <w:lang w:eastAsia="en-AU"/>
              </w:rPr>
            </w:pPr>
            <w:r w:rsidRPr="00A91679">
              <w:rPr>
                <w:lang w:eastAsia="en-AU"/>
              </w:rPr>
              <w:t xml:space="preserve">62,753 </w:t>
            </w:r>
          </w:p>
        </w:tc>
      </w:tr>
    </w:tbl>
    <w:p w14:paraId="4B795B3E" w14:textId="77777777" w:rsidR="00FE5606" w:rsidRDefault="00FE5606" w:rsidP="00FE5606"/>
    <w:p w14:paraId="1A12851B" w14:textId="53890B0A" w:rsidR="00FE5606" w:rsidRDefault="00FE5606" w:rsidP="00FE5606">
      <w:r>
        <w:t xml:space="preserve">Return to </w:t>
      </w:r>
      <w:hyperlink w:anchor="_3.2.4_Unused_Space" w:history="1">
        <w:r w:rsidRPr="00A75648">
          <w:rPr>
            <w:rStyle w:val="Hyperlink"/>
          </w:rPr>
          <w:t>Unused Space</w:t>
        </w:r>
      </w:hyperlink>
    </w:p>
    <w:p w14:paraId="40A7D400" w14:textId="0BCC540C" w:rsidR="00A91679" w:rsidRPr="00B33DB1" w:rsidRDefault="003B3A7A" w:rsidP="00B33DB1">
      <w:pPr>
        <w:pStyle w:val="Heading3"/>
        <w:rPr>
          <w:rFonts w:hint="eastAsia"/>
        </w:rPr>
      </w:pPr>
      <w:r>
        <w:t>Table A.2</w:t>
      </w:r>
      <w:r w:rsidR="00A13E20">
        <w:t>5</w:t>
      </w:r>
      <w:r>
        <w:tab/>
      </w:r>
      <w:r w:rsidR="00B33DB1" w:rsidRPr="00FE5606">
        <w:t>Count of Buildings, FY 2022</w:t>
      </w:r>
    </w:p>
    <w:tbl>
      <w:tblPr>
        <w:tblW w:w="5387" w:type="dxa"/>
        <w:tblInd w:w="-5" w:type="dxa"/>
        <w:tblLook w:val="04A0" w:firstRow="1" w:lastRow="0" w:firstColumn="1" w:lastColumn="0" w:noHBand="0" w:noVBand="1"/>
      </w:tblPr>
      <w:tblGrid>
        <w:gridCol w:w="3402"/>
        <w:gridCol w:w="1985"/>
      </w:tblGrid>
      <w:tr w:rsidR="00A91679" w:rsidRPr="00A91679" w14:paraId="44901585" w14:textId="77777777" w:rsidTr="008E1EF1">
        <w:trPr>
          <w:trHeight w:val="300"/>
        </w:trPr>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16E257" w14:textId="77777777" w:rsidR="00A91679" w:rsidRPr="00B33DB1" w:rsidRDefault="00A91679" w:rsidP="00B33DB1">
            <w:pPr>
              <w:spacing w:after="0"/>
              <w:rPr>
                <w:b/>
                <w:bCs/>
                <w:lang w:eastAsia="en-AU"/>
              </w:rPr>
            </w:pPr>
            <w:bookmarkStart w:id="250" w:name="_Figure_26:_Count"/>
            <w:bookmarkEnd w:id="250"/>
            <w:r w:rsidRPr="00B33DB1">
              <w:rPr>
                <w:b/>
                <w:bCs/>
                <w:lang w:eastAsia="en-AU"/>
              </w:rPr>
              <w:t>Primary Space Use Category</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14:paraId="31F5FA4C" w14:textId="77777777" w:rsidR="00A91679" w:rsidRPr="00B33DB1" w:rsidRDefault="00A91679" w:rsidP="00B33DB1">
            <w:pPr>
              <w:spacing w:after="0"/>
              <w:rPr>
                <w:b/>
                <w:bCs/>
                <w:lang w:eastAsia="en-AU"/>
              </w:rPr>
            </w:pPr>
            <w:r w:rsidRPr="00B33DB1">
              <w:rPr>
                <w:b/>
                <w:bCs/>
                <w:lang w:eastAsia="en-AU"/>
              </w:rPr>
              <w:t>Building Count (-)</w:t>
            </w:r>
          </w:p>
        </w:tc>
      </w:tr>
      <w:tr w:rsidR="00A91679" w:rsidRPr="00A91679" w14:paraId="63FDC145" w14:textId="77777777" w:rsidTr="008E1EF1">
        <w:trPr>
          <w:trHeight w:val="300"/>
        </w:trPr>
        <w:tc>
          <w:tcPr>
            <w:tcW w:w="3402" w:type="dxa"/>
            <w:tcBorders>
              <w:top w:val="nil"/>
              <w:left w:val="single" w:sz="4" w:space="0" w:color="auto"/>
              <w:bottom w:val="single" w:sz="4" w:space="0" w:color="auto"/>
              <w:right w:val="single" w:sz="4" w:space="0" w:color="auto"/>
            </w:tcBorders>
            <w:shd w:val="clear" w:color="auto" w:fill="auto"/>
            <w:noWrap/>
            <w:vAlign w:val="bottom"/>
            <w:hideMark/>
          </w:tcPr>
          <w:p w14:paraId="669655F9" w14:textId="77777777" w:rsidR="00A91679" w:rsidRPr="00A91679" w:rsidRDefault="00A91679" w:rsidP="00B33DB1">
            <w:pPr>
              <w:spacing w:after="0"/>
              <w:rPr>
                <w:lang w:eastAsia="en-AU"/>
              </w:rPr>
            </w:pPr>
            <w:r w:rsidRPr="00A91679">
              <w:rPr>
                <w:lang w:eastAsia="en-AU"/>
              </w:rPr>
              <w:t>House/Townhouse</w:t>
            </w:r>
          </w:p>
        </w:tc>
        <w:tc>
          <w:tcPr>
            <w:tcW w:w="1985" w:type="dxa"/>
            <w:tcBorders>
              <w:top w:val="nil"/>
              <w:left w:val="nil"/>
              <w:bottom w:val="single" w:sz="4" w:space="0" w:color="auto"/>
              <w:right w:val="single" w:sz="4" w:space="0" w:color="auto"/>
            </w:tcBorders>
            <w:shd w:val="clear" w:color="auto" w:fill="auto"/>
            <w:noWrap/>
            <w:vAlign w:val="bottom"/>
            <w:hideMark/>
          </w:tcPr>
          <w:p w14:paraId="306D1650" w14:textId="46933511" w:rsidR="00A91679" w:rsidRPr="00A91679" w:rsidRDefault="00A91679" w:rsidP="00B33DB1">
            <w:pPr>
              <w:spacing w:after="0"/>
              <w:jc w:val="right"/>
              <w:rPr>
                <w:lang w:eastAsia="en-AU"/>
              </w:rPr>
            </w:pPr>
            <w:r w:rsidRPr="00A91679">
              <w:rPr>
                <w:lang w:eastAsia="en-AU"/>
              </w:rPr>
              <w:t xml:space="preserve">8,644 </w:t>
            </w:r>
          </w:p>
        </w:tc>
      </w:tr>
      <w:tr w:rsidR="00A91679" w:rsidRPr="00A91679" w14:paraId="06C1C6FE" w14:textId="77777777" w:rsidTr="008E1EF1">
        <w:trPr>
          <w:trHeight w:val="300"/>
        </w:trPr>
        <w:tc>
          <w:tcPr>
            <w:tcW w:w="3402" w:type="dxa"/>
            <w:tcBorders>
              <w:top w:val="nil"/>
              <w:left w:val="single" w:sz="4" w:space="0" w:color="auto"/>
              <w:bottom w:val="single" w:sz="4" w:space="0" w:color="auto"/>
              <w:right w:val="single" w:sz="4" w:space="0" w:color="auto"/>
            </w:tcBorders>
            <w:shd w:val="clear" w:color="auto" w:fill="auto"/>
            <w:noWrap/>
            <w:vAlign w:val="bottom"/>
            <w:hideMark/>
          </w:tcPr>
          <w:p w14:paraId="18EC557A" w14:textId="77777777" w:rsidR="00A91679" w:rsidRPr="00A91679" w:rsidRDefault="00A91679" w:rsidP="00B33DB1">
            <w:pPr>
              <w:spacing w:after="0"/>
              <w:rPr>
                <w:lang w:eastAsia="en-AU"/>
              </w:rPr>
            </w:pPr>
            <w:r w:rsidRPr="00A91679">
              <w:rPr>
                <w:lang w:eastAsia="en-AU"/>
              </w:rPr>
              <w:t>All other</w:t>
            </w:r>
          </w:p>
        </w:tc>
        <w:tc>
          <w:tcPr>
            <w:tcW w:w="1985" w:type="dxa"/>
            <w:tcBorders>
              <w:top w:val="nil"/>
              <w:left w:val="nil"/>
              <w:bottom w:val="single" w:sz="4" w:space="0" w:color="auto"/>
              <w:right w:val="single" w:sz="4" w:space="0" w:color="auto"/>
            </w:tcBorders>
            <w:shd w:val="clear" w:color="auto" w:fill="auto"/>
            <w:noWrap/>
            <w:vAlign w:val="bottom"/>
            <w:hideMark/>
          </w:tcPr>
          <w:p w14:paraId="3D97E1E4" w14:textId="5D7BDF3C" w:rsidR="00A91679" w:rsidRPr="00A91679" w:rsidRDefault="00A91679" w:rsidP="00B33DB1">
            <w:pPr>
              <w:spacing w:after="0"/>
              <w:jc w:val="right"/>
              <w:rPr>
                <w:lang w:eastAsia="en-AU"/>
              </w:rPr>
            </w:pPr>
            <w:r w:rsidRPr="00A91679">
              <w:rPr>
                <w:lang w:eastAsia="en-AU"/>
              </w:rPr>
              <w:t xml:space="preserve">5,443 </w:t>
            </w:r>
          </w:p>
        </w:tc>
      </w:tr>
    </w:tbl>
    <w:p w14:paraId="04E7227B" w14:textId="77777777" w:rsidR="00A91679" w:rsidRDefault="00A91679" w:rsidP="00B33DB1">
      <w:pPr>
        <w:rPr>
          <w:rFonts w:ascii="Helvetica Light" w:hAnsi="Helvetica Light" w:cstheme="minorBidi"/>
          <w:szCs w:val="20"/>
        </w:rPr>
      </w:pPr>
    </w:p>
    <w:p w14:paraId="34E300F3" w14:textId="0C4FF65A" w:rsidR="00B33DB1" w:rsidRPr="007E394F" w:rsidRDefault="00B33DB1" w:rsidP="00B33DB1">
      <w:pPr>
        <w:rPr>
          <w:rStyle w:val="Hyperlink"/>
        </w:rPr>
      </w:pPr>
      <w:r w:rsidRPr="007E394F">
        <w:t xml:space="preserve">Return to </w:t>
      </w:r>
      <w:hyperlink w:anchor="_3.3_Building_Primary" w:history="1">
        <w:r w:rsidRPr="007E394F">
          <w:rPr>
            <w:rStyle w:val="Hyperlink"/>
          </w:rPr>
          <w:t>Building Primary Space-Use</w:t>
        </w:r>
      </w:hyperlink>
    </w:p>
    <w:p w14:paraId="163652CB" w14:textId="607D91BF" w:rsidR="00B33DB1" w:rsidRPr="00B33DB1" w:rsidRDefault="003B3A7A" w:rsidP="00944E9B">
      <w:pPr>
        <w:pStyle w:val="Heading3"/>
        <w:ind w:left="1440" w:hanging="1440"/>
        <w:rPr>
          <w:rFonts w:hint="eastAsia"/>
        </w:rPr>
      </w:pPr>
      <w:bookmarkStart w:id="251" w:name="_Count_of_Buildings"/>
      <w:bookmarkEnd w:id="251"/>
      <w:r>
        <w:t>Table A.2</w:t>
      </w:r>
      <w:r w:rsidR="00A13E20">
        <w:t>6</w:t>
      </w:r>
      <w:r>
        <w:tab/>
      </w:r>
      <w:r w:rsidR="00B33DB1" w:rsidRPr="00A91679">
        <w:t xml:space="preserve">Count of Buildings by Primary Space Use (excluding House/Townhouse), </w:t>
      </w:r>
      <w:r w:rsidR="00944E9B">
        <w:br/>
      </w:r>
      <w:r w:rsidR="00B33DB1" w:rsidRPr="00A91679">
        <w:t>FY 2022</w:t>
      </w:r>
    </w:p>
    <w:tbl>
      <w:tblPr>
        <w:tblW w:w="5387" w:type="dxa"/>
        <w:tblInd w:w="-5" w:type="dxa"/>
        <w:tblLook w:val="04A0" w:firstRow="1" w:lastRow="0" w:firstColumn="1" w:lastColumn="0" w:noHBand="0" w:noVBand="1"/>
      </w:tblPr>
      <w:tblGrid>
        <w:gridCol w:w="3402"/>
        <w:gridCol w:w="1985"/>
      </w:tblGrid>
      <w:tr w:rsidR="00A91679" w:rsidRPr="00A91679" w14:paraId="750909FE" w14:textId="77777777" w:rsidTr="008E1EF1">
        <w:trPr>
          <w:trHeight w:val="300"/>
        </w:trPr>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CE02EE" w14:textId="77777777" w:rsidR="00A91679" w:rsidRPr="00B33DB1" w:rsidRDefault="00A91679" w:rsidP="00B33DB1">
            <w:pPr>
              <w:spacing w:after="0"/>
              <w:rPr>
                <w:b/>
                <w:bCs/>
                <w:lang w:eastAsia="en-AU"/>
              </w:rPr>
            </w:pPr>
            <w:bookmarkStart w:id="252" w:name="_Figure_27:_Count"/>
            <w:bookmarkEnd w:id="252"/>
            <w:r w:rsidRPr="00B33DB1">
              <w:rPr>
                <w:b/>
                <w:bCs/>
                <w:lang w:eastAsia="en-AU"/>
              </w:rPr>
              <w:lastRenderedPageBreak/>
              <w:t>Primary Space Use (excluding House/Townhouse)</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14:paraId="345326EC" w14:textId="77777777" w:rsidR="00A91679" w:rsidRPr="00B33DB1" w:rsidRDefault="00A91679" w:rsidP="00B33DB1">
            <w:pPr>
              <w:spacing w:after="0"/>
              <w:rPr>
                <w:b/>
                <w:bCs/>
                <w:lang w:eastAsia="en-AU"/>
              </w:rPr>
            </w:pPr>
            <w:r w:rsidRPr="00B33DB1">
              <w:rPr>
                <w:b/>
                <w:bCs/>
                <w:lang w:eastAsia="en-AU"/>
              </w:rPr>
              <w:t>Building Count (-)</w:t>
            </w:r>
          </w:p>
        </w:tc>
      </w:tr>
      <w:tr w:rsidR="00A91679" w:rsidRPr="00A91679" w14:paraId="28E5A7F2" w14:textId="77777777" w:rsidTr="008E1EF1">
        <w:trPr>
          <w:trHeight w:val="300"/>
        </w:trPr>
        <w:tc>
          <w:tcPr>
            <w:tcW w:w="3402" w:type="dxa"/>
            <w:tcBorders>
              <w:top w:val="nil"/>
              <w:left w:val="single" w:sz="4" w:space="0" w:color="auto"/>
              <w:bottom w:val="single" w:sz="4" w:space="0" w:color="auto"/>
              <w:right w:val="single" w:sz="4" w:space="0" w:color="auto"/>
            </w:tcBorders>
            <w:shd w:val="clear" w:color="auto" w:fill="auto"/>
            <w:noWrap/>
            <w:vAlign w:val="bottom"/>
            <w:hideMark/>
          </w:tcPr>
          <w:p w14:paraId="76D15972" w14:textId="77777777" w:rsidR="00A91679" w:rsidRPr="00A91679" w:rsidRDefault="00A91679" w:rsidP="00B33DB1">
            <w:pPr>
              <w:spacing w:after="0"/>
              <w:rPr>
                <w:lang w:eastAsia="en-AU"/>
              </w:rPr>
            </w:pPr>
            <w:r w:rsidRPr="00A91679">
              <w:rPr>
                <w:lang w:eastAsia="en-AU"/>
              </w:rPr>
              <w:t>Residential apartments</w:t>
            </w:r>
          </w:p>
        </w:tc>
        <w:tc>
          <w:tcPr>
            <w:tcW w:w="1985" w:type="dxa"/>
            <w:tcBorders>
              <w:top w:val="nil"/>
              <w:left w:val="nil"/>
              <w:bottom w:val="single" w:sz="4" w:space="0" w:color="auto"/>
              <w:right w:val="single" w:sz="4" w:space="0" w:color="auto"/>
            </w:tcBorders>
            <w:shd w:val="clear" w:color="auto" w:fill="auto"/>
            <w:noWrap/>
            <w:vAlign w:val="bottom"/>
            <w:hideMark/>
          </w:tcPr>
          <w:p w14:paraId="58615423" w14:textId="4258DCDE" w:rsidR="00A91679" w:rsidRPr="00A91679" w:rsidRDefault="00A91679" w:rsidP="00B33DB1">
            <w:pPr>
              <w:spacing w:after="0"/>
              <w:jc w:val="right"/>
              <w:rPr>
                <w:lang w:eastAsia="en-AU"/>
              </w:rPr>
            </w:pPr>
            <w:r w:rsidRPr="00A91679">
              <w:rPr>
                <w:lang w:eastAsia="en-AU"/>
              </w:rPr>
              <w:t xml:space="preserve">1,409 </w:t>
            </w:r>
          </w:p>
        </w:tc>
      </w:tr>
      <w:tr w:rsidR="00A91679" w:rsidRPr="00A91679" w14:paraId="2B51D932" w14:textId="77777777" w:rsidTr="008E1EF1">
        <w:trPr>
          <w:trHeight w:val="300"/>
        </w:trPr>
        <w:tc>
          <w:tcPr>
            <w:tcW w:w="3402" w:type="dxa"/>
            <w:tcBorders>
              <w:top w:val="nil"/>
              <w:left w:val="single" w:sz="4" w:space="0" w:color="auto"/>
              <w:bottom w:val="single" w:sz="4" w:space="0" w:color="auto"/>
              <w:right w:val="single" w:sz="4" w:space="0" w:color="auto"/>
            </w:tcBorders>
            <w:shd w:val="clear" w:color="auto" w:fill="auto"/>
            <w:noWrap/>
            <w:vAlign w:val="bottom"/>
            <w:hideMark/>
          </w:tcPr>
          <w:p w14:paraId="0D68B19B" w14:textId="77777777" w:rsidR="00A91679" w:rsidRPr="00A91679" w:rsidRDefault="00A91679" w:rsidP="00B33DB1">
            <w:pPr>
              <w:spacing w:after="0"/>
              <w:rPr>
                <w:lang w:eastAsia="en-AU"/>
              </w:rPr>
            </w:pPr>
            <w:r w:rsidRPr="00A91679">
              <w:rPr>
                <w:lang w:eastAsia="en-AU"/>
              </w:rPr>
              <w:t>Other unoccupied</w:t>
            </w:r>
          </w:p>
        </w:tc>
        <w:tc>
          <w:tcPr>
            <w:tcW w:w="1985" w:type="dxa"/>
            <w:tcBorders>
              <w:top w:val="nil"/>
              <w:left w:val="nil"/>
              <w:bottom w:val="single" w:sz="4" w:space="0" w:color="auto"/>
              <w:right w:val="single" w:sz="4" w:space="0" w:color="auto"/>
            </w:tcBorders>
            <w:shd w:val="clear" w:color="auto" w:fill="auto"/>
            <w:noWrap/>
            <w:vAlign w:val="bottom"/>
            <w:hideMark/>
          </w:tcPr>
          <w:p w14:paraId="04722DC0" w14:textId="39EE9724" w:rsidR="00A91679" w:rsidRPr="00A91679" w:rsidRDefault="00A91679" w:rsidP="00B33DB1">
            <w:pPr>
              <w:spacing w:after="0"/>
              <w:jc w:val="right"/>
              <w:rPr>
                <w:lang w:eastAsia="en-AU"/>
              </w:rPr>
            </w:pPr>
            <w:r w:rsidRPr="00A91679">
              <w:rPr>
                <w:lang w:eastAsia="en-AU"/>
              </w:rPr>
              <w:t xml:space="preserve">844 </w:t>
            </w:r>
          </w:p>
        </w:tc>
      </w:tr>
      <w:tr w:rsidR="00A91679" w:rsidRPr="00A91679" w14:paraId="4B8AC9BD" w14:textId="77777777" w:rsidTr="008E1EF1">
        <w:trPr>
          <w:trHeight w:val="300"/>
        </w:trPr>
        <w:tc>
          <w:tcPr>
            <w:tcW w:w="3402" w:type="dxa"/>
            <w:tcBorders>
              <w:top w:val="nil"/>
              <w:left w:val="single" w:sz="4" w:space="0" w:color="auto"/>
              <w:bottom w:val="single" w:sz="4" w:space="0" w:color="auto"/>
              <w:right w:val="single" w:sz="4" w:space="0" w:color="auto"/>
            </w:tcBorders>
            <w:shd w:val="clear" w:color="auto" w:fill="auto"/>
            <w:noWrap/>
            <w:vAlign w:val="bottom"/>
            <w:hideMark/>
          </w:tcPr>
          <w:p w14:paraId="7E0620B6" w14:textId="77777777" w:rsidR="00A91679" w:rsidRPr="00A91679" w:rsidRDefault="00A91679" w:rsidP="00B33DB1">
            <w:pPr>
              <w:spacing w:after="0"/>
              <w:rPr>
                <w:lang w:eastAsia="en-AU"/>
              </w:rPr>
            </w:pPr>
            <w:r w:rsidRPr="00A91679">
              <w:rPr>
                <w:lang w:eastAsia="en-AU"/>
              </w:rPr>
              <w:t>Offices</w:t>
            </w:r>
          </w:p>
        </w:tc>
        <w:tc>
          <w:tcPr>
            <w:tcW w:w="1985" w:type="dxa"/>
            <w:tcBorders>
              <w:top w:val="nil"/>
              <w:left w:val="nil"/>
              <w:bottom w:val="single" w:sz="4" w:space="0" w:color="auto"/>
              <w:right w:val="single" w:sz="4" w:space="0" w:color="auto"/>
            </w:tcBorders>
            <w:shd w:val="clear" w:color="auto" w:fill="auto"/>
            <w:noWrap/>
            <w:vAlign w:val="bottom"/>
            <w:hideMark/>
          </w:tcPr>
          <w:p w14:paraId="4C21E63F" w14:textId="7EC80127" w:rsidR="00A91679" w:rsidRPr="00A91679" w:rsidRDefault="00A91679" w:rsidP="00B33DB1">
            <w:pPr>
              <w:spacing w:after="0"/>
              <w:jc w:val="right"/>
              <w:rPr>
                <w:lang w:eastAsia="en-AU"/>
              </w:rPr>
            </w:pPr>
            <w:r w:rsidRPr="00A91679">
              <w:rPr>
                <w:lang w:eastAsia="en-AU"/>
              </w:rPr>
              <w:t xml:space="preserve">784 </w:t>
            </w:r>
          </w:p>
        </w:tc>
      </w:tr>
      <w:tr w:rsidR="00A91679" w:rsidRPr="00A91679" w14:paraId="0EE41EAF" w14:textId="77777777" w:rsidTr="008E1EF1">
        <w:trPr>
          <w:trHeight w:val="300"/>
        </w:trPr>
        <w:tc>
          <w:tcPr>
            <w:tcW w:w="3402" w:type="dxa"/>
            <w:tcBorders>
              <w:top w:val="nil"/>
              <w:left w:val="single" w:sz="4" w:space="0" w:color="auto"/>
              <w:bottom w:val="single" w:sz="4" w:space="0" w:color="auto"/>
              <w:right w:val="single" w:sz="4" w:space="0" w:color="auto"/>
            </w:tcBorders>
            <w:shd w:val="clear" w:color="auto" w:fill="auto"/>
            <w:noWrap/>
            <w:vAlign w:val="bottom"/>
            <w:hideMark/>
          </w:tcPr>
          <w:p w14:paraId="266A431C" w14:textId="77777777" w:rsidR="00A91679" w:rsidRPr="00A91679" w:rsidRDefault="00A91679" w:rsidP="00B33DB1">
            <w:pPr>
              <w:spacing w:after="0"/>
              <w:rPr>
                <w:lang w:eastAsia="en-AU"/>
              </w:rPr>
            </w:pPr>
            <w:r w:rsidRPr="00A91679">
              <w:rPr>
                <w:lang w:eastAsia="en-AU"/>
              </w:rPr>
              <w:t>Entertainment/recreation</w:t>
            </w:r>
          </w:p>
        </w:tc>
        <w:tc>
          <w:tcPr>
            <w:tcW w:w="1985" w:type="dxa"/>
            <w:tcBorders>
              <w:top w:val="nil"/>
              <w:left w:val="nil"/>
              <w:bottom w:val="single" w:sz="4" w:space="0" w:color="auto"/>
              <w:right w:val="single" w:sz="4" w:space="0" w:color="auto"/>
            </w:tcBorders>
            <w:shd w:val="clear" w:color="auto" w:fill="auto"/>
            <w:noWrap/>
            <w:vAlign w:val="bottom"/>
            <w:hideMark/>
          </w:tcPr>
          <w:p w14:paraId="559D4EC7" w14:textId="3598E2CC" w:rsidR="00A91679" w:rsidRPr="00A91679" w:rsidRDefault="00A91679" w:rsidP="00B33DB1">
            <w:pPr>
              <w:spacing w:after="0"/>
              <w:jc w:val="right"/>
              <w:rPr>
                <w:lang w:eastAsia="en-AU"/>
              </w:rPr>
            </w:pPr>
            <w:r w:rsidRPr="00A91679">
              <w:rPr>
                <w:lang w:eastAsia="en-AU"/>
              </w:rPr>
              <w:t xml:space="preserve">531 </w:t>
            </w:r>
          </w:p>
        </w:tc>
      </w:tr>
      <w:tr w:rsidR="00A91679" w:rsidRPr="00A91679" w14:paraId="04E53386" w14:textId="77777777" w:rsidTr="008E1EF1">
        <w:trPr>
          <w:trHeight w:val="300"/>
        </w:trPr>
        <w:tc>
          <w:tcPr>
            <w:tcW w:w="3402" w:type="dxa"/>
            <w:tcBorders>
              <w:top w:val="nil"/>
              <w:left w:val="single" w:sz="4" w:space="0" w:color="auto"/>
              <w:bottom w:val="single" w:sz="4" w:space="0" w:color="auto"/>
              <w:right w:val="single" w:sz="4" w:space="0" w:color="auto"/>
            </w:tcBorders>
            <w:shd w:val="clear" w:color="auto" w:fill="auto"/>
            <w:noWrap/>
            <w:vAlign w:val="bottom"/>
            <w:hideMark/>
          </w:tcPr>
          <w:p w14:paraId="6079D2C0" w14:textId="77777777" w:rsidR="00A91679" w:rsidRPr="00A91679" w:rsidRDefault="00A91679" w:rsidP="00B33DB1">
            <w:pPr>
              <w:spacing w:after="0"/>
              <w:rPr>
                <w:lang w:eastAsia="en-AU"/>
              </w:rPr>
            </w:pPr>
            <w:r w:rsidRPr="00A91679">
              <w:rPr>
                <w:lang w:eastAsia="en-AU"/>
              </w:rPr>
              <w:t>Manufacturing/light industrial</w:t>
            </w:r>
          </w:p>
        </w:tc>
        <w:tc>
          <w:tcPr>
            <w:tcW w:w="1985" w:type="dxa"/>
            <w:tcBorders>
              <w:top w:val="nil"/>
              <w:left w:val="nil"/>
              <w:bottom w:val="single" w:sz="4" w:space="0" w:color="auto"/>
              <w:right w:val="single" w:sz="4" w:space="0" w:color="auto"/>
            </w:tcBorders>
            <w:shd w:val="clear" w:color="auto" w:fill="auto"/>
            <w:noWrap/>
            <w:vAlign w:val="bottom"/>
            <w:hideMark/>
          </w:tcPr>
          <w:p w14:paraId="3C96EBEA" w14:textId="60ECA576" w:rsidR="00A91679" w:rsidRPr="00A91679" w:rsidRDefault="00A91679" w:rsidP="00B33DB1">
            <w:pPr>
              <w:spacing w:after="0"/>
              <w:jc w:val="right"/>
              <w:rPr>
                <w:lang w:eastAsia="en-AU"/>
              </w:rPr>
            </w:pPr>
            <w:r w:rsidRPr="00A91679">
              <w:rPr>
                <w:lang w:eastAsia="en-AU"/>
              </w:rPr>
              <w:t xml:space="preserve">390 </w:t>
            </w:r>
          </w:p>
        </w:tc>
      </w:tr>
      <w:tr w:rsidR="00A91679" w:rsidRPr="00A91679" w14:paraId="435ED86A" w14:textId="77777777" w:rsidTr="008E1EF1">
        <w:trPr>
          <w:trHeight w:val="300"/>
        </w:trPr>
        <w:tc>
          <w:tcPr>
            <w:tcW w:w="3402" w:type="dxa"/>
            <w:tcBorders>
              <w:top w:val="nil"/>
              <w:left w:val="single" w:sz="4" w:space="0" w:color="auto"/>
              <w:bottom w:val="single" w:sz="4" w:space="0" w:color="auto"/>
              <w:right w:val="single" w:sz="4" w:space="0" w:color="auto"/>
            </w:tcBorders>
            <w:shd w:val="clear" w:color="auto" w:fill="auto"/>
            <w:noWrap/>
            <w:vAlign w:val="bottom"/>
            <w:hideMark/>
          </w:tcPr>
          <w:p w14:paraId="67F6420A" w14:textId="77777777" w:rsidR="00A91679" w:rsidRPr="00A91679" w:rsidRDefault="00A91679" w:rsidP="00B33DB1">
            <w:pPr>
              <w:spacing w:after="0"/>
              <w:rPr>
                <w:lang w:eastAsia="en-AU"/>
              </w:rPr>
            </w:pPr>
            <w:r w:rsidRPr="00A91679">
              <w:rPr>
                <w:lang w:eastAsia="en-AU"/>
              </w:rPr>
              <w:t>Retail</w:t>
            </w:r>
          </w:p>
        </w:tc>
        <w:tc>
          <w:tcPr>
            <w:tcW w:w="1985" w:type="dxa"/>
            <w:tcBorders>
              <w:top w:val="nil"/>
              <w:left w:val="nil"/>
              <w:bottom w:val="single" w:sz="4" w:space="0" w:color="auto"/>
              <w:right w:val="single" w:sz="4" w:space="0" w:color="auto"/>
            </w:tcBorders>
            <w:shd w:val="clear" w:color="auto" w:fill="auto"/>
            <w:noWrap/>
            <w:vAlign w:val="bottom"/>
            <w:hideMark/>
          </w:tcPr>
          <w:p w14:paraId="6D5079D5" w14:textId="2CE3F04E" w:rsidR="00A91679" w:rsidRPr="00A91679" w:rsidRDefault="00A91679" w:rsidP="00B33DB1">
            <w:pPr>
              <w:spacing w:after="0"/>
              <w:jc w:val="right"/>
              <w:rPr>
                <w:lang w:eastAsia="en-AU"/>
              </w:rPr>
            </w:pPr>
            <w:r w:rsidRPr="00A91679">
              <w:rPr>
                <w:lang w:eastAsia="en-AU"/>
              </w:rPr>
              <w:t xml:space="preserve">387 </w:t>
            </w:r>
          </w:p>
        </w:tc>
      </w:tr>
      <w:tr w:rsidR="00A91679" w:rsidRPr="00A91679" w14:paraId="5259B430" w14:textId="77777777" w:rsidTr="008E1EF1">
        <w:trPr>
          <w:trHeight w:val="300"/>
        </w:trPr>
        <w:tc>
          <w:tcPr>
            <w:tcW w:w="3402" w:type="dxa"/>
            <w:tcBorders>
              <w:top w:val="nil"/>
              <w:left w:val="single" w:sz="4" w:space="0" w:color="auto"/>
              <w:bottom w:val="single" w:sz="4" w:space="0" w:color="auto"/>
              <w:right w:val="single" w:sz="4" w:space="0" w:color="auto"/>
            </w:tcBorders>
            <w:shd w:val="clear" w:color="auto" w:fill="auto"/>
            <w:noWrap/>
            <w:vAlign w:val="bottom"/>
            <w:hideMark/>
          </w:tcPr>
          <w:p w14:paraId="28A1340D" w14:textId="77777777" w:rsidR="00A91679" w:rsidRPr="00A91679" w:rsidRDefault="00A91679" w:rsidP="00B33DB1">
            <w:pPr>
              <w:spacing w:after="0"/>
              <w:rPr>
                <w:lang w:eastAsia="en-AU"/>
              </w:rPr>
            </w:pPr>
            <w:r w:rsidRPr="00A91679">
              <w:rPr>
                <w:lang w:eastAsia="en-AU"/>
              </w:rPr>
              <w:t>Education</w:t>
            </w:r>
          </w:p>
        </w:tc>
        <w:tc>
          <w:tcPr>
            <w:tcW w:w="1985" w:type="dxa"/>
            <w:tcBorders>
              <w:top w:val="nil"/>
              <w:left w:val="nil"/>
              <w:bottom w:val="single" w:sz="4" w:space="0" w:color="auto"/>
              <w:right w:val="single" w:sz="4" w:space="0" w:color="auto"/>
            </w:tcBorders>
            <w:shd w:val="clear" w:color="auto" w:fill="auto"/>
            <w:noWrap/>
            <w:vAlign w:val="bottom"/>
            <w:hideMark/>
          </w:tcPr>
          <w:p w14:paraId="4B568C85" w14:textId="7B8CE053" w:rsidR="00A91679" w:rsidRPr="00A91679" w:rsidRDefault="00A91679" w:rsidP="00B33DB1">
            <w:pPr>
              <w:spacing w:after="0"/>
              <w:jc w:val="right"/>
              <w:rPr>
                <w:lang w:eastAsia="en-AU"/>
              </w:rPr>
            </w:pPr>
            <w:r w:rsidRPr="00A91679">
              <w:rPr>
                <w:lang w:eastAsia="en-AU"/>
              </w:rPr>
              <w:t xml:space="preserve">220 </w:t>
            </w:r>
          </w:p>
        </w:tc>
      </w:tr>
      <w:tr w:rsidR="00A91679" w:rsidRPr="00A91679" w14:paraId="68EFBBC5" w14:textId="77777777" w:rsidTr="008E1EF1">
        <w:trPr>
          <w:trHeight w:val="300"/>
        </w:trPr>
        <w:tc>
          <w:tcPr>
            <w:tcW w:w="3402" w:type="dxa"/>
            <w:tcBorders>
              <w:top w:val="nil"/>
              <w:left w:val="single" w:sz="4" w:space="0" w:color="auto"/>
              <w:bottom w:val="single" w:sz="4" w:space="0" w:color="auto"/>
              <w:right w:val="single" w:sz="4" w:space="0" w:color="auto"/>
            </w:tcBorders>
            <w:shd w:val="clear" w:color="auto" w:fill="auto"/>
            <w:noWrap/>
            <w:vAlign w:val="bottom"/>
            <w:hideMark/>
          </w:tcPr>
          <w:p w14:paraId="56628887" w14:textId="31083012" w:rsidR="00A91679" w:rsidRPr="00A91679" w:rsidRDefault="00A91679" w:rsidP="00B33DB1">
            <w:pPr>
              <w:spacing w:after="0"/>
              <w:rPr>
                <w:lang w:eastAsia="en-AU"/>
              </w:rPr>
            </w:pPr>
            <w:r w:rsidRPr="00A91679">
              <w:rPr>
                <w:lang w:eastAsia="en-AU"/>
              </w:rPr>
              <w:t xml:space="preserve">Commercial </w:t>
            </w:r>
            <w:r w:rsidR="00FE5606" w:rsidRPr="00A91679">
              <w:rPr>
                <w:lang w:eastAsia="en-AU"/>
              </w:rPr>
              <w:t>accommodation</w:t>
            </w:r>
          </w:p>
        </w:tc>
        <w:tc>
          <w:tcPr>
            <w:tcW w:w="1985" w:type="dxa"/>
            <w:tcBorders>
              <w:top w:val="nil"/>
              <w:left w:val="nil"/>
              <w:bottom w:val="single" w:sz="4" w:space="0" w:color="auto"/>
              <w:right w:val="single" w:sz="4" w:space="0" w:color="auto"/>
            </w:tcBorders>
            <w:shd w:val="clear" w:color="auto" w:fill="auto"/>
            <w:noWrap/>
            <w:vAlign w:val="bottom"/>
            <w:hideMark/>
          </w:tcPr>
          <w:p w14:paraId="1D1C7CE2" w14:textId="1F37C301" w:rsidR="00A91679" w:rsidRPr="00A91679" w:rsidRDefault="00A91679" w:rsidP="00B33DB1">
            <w:pPr>
              <w:spacing w:after="0"/>
              <w:jc w:val="right"/>
              <w:rPr>
                <w:lang w:eastAsia="en-AU"/>
              </w:rPr>
            </w:pPr>
            <w:r w:rsidRPr="00A91679">
              <w:rPr>
                <w:lang w:eastAsia="en-AU"/>
              </w:rPr>
              <w:t xml:space="preserve">160 </w:t>
            </w:r>
          </w:p>
        </w:tc>
      </w:tr>
      <w:tr w:rsidR="00A91679" w:rsidRPr="00A91679" w14:paraId="18153135" w14:textId="77777777" w:rsidTr="008E1EF1">
        <w:trPr>
          <w:trHeight w:val="300"/>
        </w:trPr>
        <w:tc>
          <w:tcPr>
            <w:tcW w:w="3402" w:type="dxa"/>
            <w:tcBorders>
              <w:top w:val="nil"/>
              <w:left w:val="single" w:sz="4" w:space="0" w:color="auto"/>
              <w:bottom w:val="single" w:sz="4" w:space="0" w:color="auto"/>
              <w:right w:val="single" w:sz="4" w:space="0" w:color="auto"/>
            </w:tcBorders>
            <w:shd w:val="clear" w:color="auto" w:fill="auto"/>
            <w:noWrap/>
            <w:vAlign w:val="bottom"/>
            <w:hideMark/>
          </w:tcPr>
          <w:p w14:paraId="50037452" w14:textId="77777777" w:rsidR="00A91679" w:rsidRPr="00A91679" w:rsidRDefault="00A91679" w:rsidP="00B33DB1">
            <w:pPr>
              <w:spacing w:after="0"/>
              <w:rPr>
                <w:lang w:eastAsia="en-AU"/>
              </w:rPr>
            </w:pPr>
            <w:r w:rsidRPr="00A91679">
              <w:rPr>
                <w:lang w:eastAsia="en-AU"/>
              </w:rPr>
              <w:t>Other</w:t>
            </w:r>
          </w:p>
        </w:tc>
        <w:tc>
          <w:tcPr>
            <w:tcW w:w="1985" w:type="dxa"/>
            <w:tcBorders>
              <w:top w:val="nil"/>
              <w:left w:val="nil"/>
              <w:bottom w:val="single" w:sz="4" w:space="0" w:color="auto"/>
              <w:right w:val="single" w:sz="4" w:space="0" w:color="auto"/>
            </w:tcBorders>
            <w:shd w:val="clear" w:color="auto" w:fill="auto"/>
            <w:noWrap/>
            <w:vAlign w:val="bottom"/>
            <w:hideMark/>
          </w:tcPr>
          <w:p w14:paraId="2F923C04" w14:textId="06E62B77" w:rsidR="00A91679" w:rsidRPr="00A91679" w:rsidRDefault="00A91679" w:rsidP="00B33DB1">
            <w:pPr>
              <w:spacing w:after="0"/>
              <w:jc w:val="right"/>
              <w:rPr>
                <w:lang w:eastAsia="en-AU"/>
              </w:rPr>
            </w:pPr>
            <w:r w:rsidRPr="00A91679">
              <w:rPr>
                <w:lang w:eastAsia="en-AU"/>
              </w:rPr>
              <w:t xml:space="preserve">154 </w:t>
            </w:r>
          </w:p>
        </w:tc>
      </w:tr>
      <w:tr w:rsidR="00A91679" w:rsidRPr="00A91679" w14:paraId="2AD029F3" w14:textId="77777777" w:rsidTr="008E1EF1">
        <w:trPr>
          <w:trHeight w:val="300"/>
        </w:trPr>
        <w:tc>
          <w:tcPr>
            <w:tcW w:w="3402" w:type="dxa"/>
            <w:tcBorders>
              <w:top w:val="nil"/>
              <w:left w:val="single" w:sz="4" w:space="0" w:color="auto"/>
              <w:bottom w:val="single" w:sz="4" w:space="0" w:color="auto"/>
              <w:right w:val="single" w:sz="4" w:space="0" w:color="auto"/>
            </w:tcBorders>
            <w:shd w:val="clear" w:color="auto" w:fill="auto"/>
            <w:noWrap/>
            <w:vAlign w:val="bottom"/>
            <w:hideMark/>
          </w:tcPr>
          <w:p w14:paraId="000D8A3C" w14:textId="0A39F624" w:rsidR="00A91679" w:rsidRPr="00A91679" w:rsidRDefault="00A91679" w:rsidP="00B33DB1">
            <w:pPr>
              <w:spacing w:after="0"/>
              <w:rPr>
                <w:lang w:eastAsia="en-AU"/>
              </w:rPr>
            </w:pPr>
            <w:r w:rsidRPr="00A91679">
              <w:rPr>
                <w:lang w:eastAsia="en-AU"/>
              </w:rPr>
              <w:t xml:space="preserve">Institutional and student </w:t>
            </w:r>
            <w:r w:rsidR="00FE5606" w:rsidRPr="00A91679">
              <w:rPr>
                <w:lang w:eastAsia="en-AU"/>
              </w:rPr>
              <w:t>accommodation</w:t>
            </w:r>
          </w:p>
        </w:tc>
        <w:tc>
          <w:tcPr>
            <w:tcW w:w="1985" w:type="dxa"/>
            <w:tcBorders>
              <w:top w:val="nil"/>
              <w:left w:val="nil"/>
              <w:bottom w:val="single" w:sz="4" w:space="0" w:color="auto"/>
              <w:right w:val="single" w:sz="4" w:space="0" w:color="auto"/>
            </w:tcBorders>
            <w:shd w:val="clear" w:color="auto" w:fill="auto"/>
            <w:noWrap/>
            <w:vAlign w:val="bottom"/>
            <w:hideMark/>
          </w:tcPr>
          <w:p w14:paraId="227CDA51" w14:textId="66D97792" w:rsidR="00A91679" w:rsidRPr="00A91679" w:rsidRDefault="00A91679" w:rsidP="00B33DB1">
            <w:pPr>
              <w:spacing w:after="0"/>
              <w:jc w:val="right"/>
              <w:rPr>
                <w:lang w:eastAsia="en-AU"/>
              </w:rPr>
            </w:pPr>
            <w:r w:rsidRPr="00A91679">
              <w:rPr>
                <w:lang w:eastAsia="en-AU"/>
              </w:rPr>
              <w:t xml:space="preserve">130 </w:t>
            </w:r>
          </w:p>
        </w:tc>
      </w:tr>
      <w:tr w:rsidR="00A91679" w:rsidRPr="00A91679" w14:paraId="721C51A1" w14:textId="77777777" w:rsidTr="008E1EF1">
        <w:trPr>
          <w:trHeight w:val="300"/>
        </w:trPr>
        <w:tc>
          <w:tcPr>
            <w:tcW w:w="3402" w:type="dxa"/>
            <w:tcBorders>
              <w:top w:val="nil"/>
              <w:left w:val="single" w:sz="4" w:space="0" w:color="auto"/>
              <w:bottom w:val="single" w:sz="4" w:space="0" w:color="auto"/>
              <w:right w:val="single" w:sz="4" w:space="0" w:color="auto"/>
            </w:tcBorders>
            <w:shd w:val="clear" w:color="auto" w:fill="auto"/>
            <w:noWrap/>
            <w:vAlign w:val="bottom"/>
            <w:hideMark/>
          </w:tcPr>
          <w:p w14:paraId="0EE60C33" w14:textId="77777777" w:rsidR="00A91679" w:rsidRPr="00A91679" w:rsidRDefault="00A91679" w:rsidP="00B33DB1">
            <w:pPr>
              <w:spacing w:after="0"/>
              <w:rPr>
                <w:lang w:eastAsia="en-AU"/>
              </w:rPr>
            </w:pPr>
            <w:r w:rsidRPr="00A91679">
              <w:rPr>
                <w:lang w:eastAsia="en-AU"/>
              </w:rPr>
              <w:t>Community/public use</w:t>
            </w:r>
          </w:p>
        </w:tc>
        <w:tc>
          <w:tcPr>
            <w:tcW w:w="1985" w:type="dxa"/>
            <w:tcBorders>
              <w:top w:val="nil"/>
              <w:left w:val="nil"/>
              <w:bottom w:val="single" w:sz="4" w:space="0" w:color="auto"/>
              <w:right w:val="single" w:sz="4" w:space="0" w:color="auto"/>
            </w:tcBorders>
            <w:shd w:val="clear" w:color="auto" w:fill="auto"/>
            <w:noWrap/>
            <w:vAlign w:val="bottom"/>
            <w:hideMark/>
          </w:tcPr>
          <w:p w14:paraId="2A6EA77E" w14:textId="27E864CA" w:rsidR="00A91679" w:rsidRPr="00A91679" w:rsidRDefault="00A91679" w:rsidP="00B33DB1">
            <w:pPr>
              <w:spacing w:after="0"/>
              <w:jc w:val="right"/>
              <w:rPr>
                <w:lang w:eastAsia="en-AU"/>
              </w:rPr>
            </w:pPr>
            <w:r w:rsidRPr="00A91679">
              <w:rPr>
                <w:lang w:eastAsia="en-AU"/>
              </w:rPr>
              <w:t xml:space="preserve">123 </w:t>
            </w:r>
          </w:p>
        </w:tc>
      </w:tr>
      <w:tr w:rsidR="00A91679" w:rsidRPr="00A91679" w14:paraId="14DAEBA3" w14:textId="77777777" w:rsidTr="008E1EF1">
        <w:trPr>
          <w:trHeight w:val="300"/>
        </w:trPr>
        <w:tc>
          <w:tcPr>
            <w:tcW w:w="3402" w:type="dxa"/>
            <w:tcBorders>
              <w:top w:val="nil"/>
              <w:left w:val="single" w:sz="4" w:space="0" w:color="auto"/>
              <w:bottom w:val="single" w:sz="4" w:space="0" w:color="auto"/>
              <w:right w:val="single" w:sz="4" w:space="0" w:color="auto"/>
            </w:tcBorders>
            <w:shd w:val="clear" w:color="auto" w:fill="auto"/>
            <w:noWrap/>
            <w:vAlign w:val="bottom"/>
            <w:hideMark/>
          </w:tcPr>
          <w:p w14:paraId="43748AEB" w14:textId="7EE8DA49" w:rsidR="00A91679" w:rsidRPr="00A91679" w:rsidRDefault="00A91679" w:rsidP="00B33DB1">
            <w:pPr>
              <w:spacing w:after="0"/>
              <w:rPr>
                <w:lang w:eastAsia="en-AU"/>
              </w:rPr>
            </w:pPr>
            <w:r w:rsidRPr="00A91679">
              <w:rPr>
                <w:lang w:eastAsia="en-AU"/>
              </w:rPr>
              <w:t xml:space="preserve">Under construction or </w:t>
            </w:r>
            <w:r w:rsidR="00FE5606" w:rsidRPr="00A91679">
              <w:rPr>
                <w:lang w:eastAsia="en-AU"/>
              </w:rPr>
              <w:t>renovation</w:t>
            </w:r>
          </w:p>
        </w:tc>
        <w:tc>
          <w:tcPr>
            <w:tcW w:w="1985" w:type="dxa"/>
            <w:tcBorders>
              <w:top w:val="nil"/>
              <w:left w:val="nil"/>
              <w:bottom w:val="single" w:sz="4" w:space="0" w:color="auto"/>
              <w:right w:val="single" w:sz="4" w:space="0" w:color="auto"/>
            </w:tcBorders>
            <w:shd w:val="clear" w:color="auto" w:fill="auto"/>
            <w:noWrap/>
            <w:vAlign w:val="bottom"/>
            <w:hideMark/>
          </w:tcPr>
          <w:p w14:paraId="690235E8" w14:textId="79EC76BF" w:rsidR="00A91679" w:rsidRPr="00A91679" w:rsidRDefault="00A91679" w:rsidP="00B33DB1">
            <w:pPr>
              <w:spacing w:after="0"/>
              <w:jc w:val="right"/>
              <w:rPr>
                <w:lang w:eastAsia="en-AU"/>
              </w:rPr>
            </w:pPr>
            <w:r w:rsidRPr="00A91679">
              <w:rPr>
                <w:lang w:eastAsia="en-AU"/>
              </w:rPr>
              <w:t xml:space="preserve">118 </w:t>
            </w:r>
          </w:p>
        </w:tc>
      </w:tr>
      <w:tr w:rsidR="00A91679" w:rsidRPr="00A91679" w14:paraId="3E192111" w14:textId="77777777" w:rsidTr="008E1EF1">
        <w:trPr>
          <w:trHeight w:val="300"/>
        </w:trPr>
        <w:tc>
          <w:tcPr>
            <w:tcW w:w="3402" w:type="dxa"/>
            <w:tcBorders>
              <w:top w:val="nil"/>
              <w:left w:val="single" w:sz="4" w:space="0" w:color="auto"/>
              <w:bottom w:val="single" w:sz="4" w:space="0" w:color="auto"/>
              <w:right w:val="single" w:sz="4" w:space="0" w:color="auto"/>
            </w:tcBorders>
            <w:shd w:val="clear" w:color="auto" w:fill="auto"/>
            <w:noWrap/>
            <w:vAlign w:val="bottom"/>
            <w:hideMark/>
          </w:tcPr>
          <w:p w14:paraId="2D8E8456" w14:textId="77777777" w:rsidR="00A91679" w:rsidRPr="00A91679" w:rsidRDefault="00A91679" w:rsidP="00B33DB1">
            <w:pPr>
              <w:spacing w:after="0"/>
              <w:rPr>
                <w:lang w:eastAsia="en-AU"/>
              </w:rPr>
            </w:pPr>
            <w:r w:rsidRPr="00A91679">
              <w:rPr>
                <w:lang w:eastAsia="en-AU"/>
              </w:rPr>
              <w:t>Parking</w:t>
            </w:r>
          </w:p>
        </w:tc>
        <w:tc>
          <w:tcPr>
            <w:tcW w:w="1985" w:type="dxa"/>
            <w:tcBorders>
              <w:top w:val="nil"/>
              <w:left w:val="nil"/>
              <w:bottom w:val="single" w:sz="4" w:space="0" w:color="auto"/>
              <w:right w:val="single" w:sz="4" w:space="0" w:color="auto"/>
            </w:tcBorders>
            <w:shd w:val="clear" w:color="auto" w:fill="auto"/>
            <w:noWrap/>
            <w:vAlign w:val="bottom"/>
            <w:hideMark/>
          </w:tcPr>
          <w:p w14:paraId="4F77B2F4" w14:textId="1BF62014" w:rsidR="00A91679" w:rsidRPr="00A91679" w:rsidRDefault="00A91679" w:rsidP="00B33DB1">
            <w:pPr>
              <w:spacing w:after="0"/>
              <w:jc w:val="right"/>
              <w:rPr>
                <w:lang w:eastAsia="en-AU"/>
              </w:rPr>
            </w:pPr>
            <w:r w:rsidRPr="00A91679">
              <w:rPr>
                <w:lang w:eastAsia="en-AU"/>
              </w:rPr>
              <w:t xml:space="preserve">98 </w:t>
            </w:r>
          </w:p>
        </w:tc>
      </w:tr>
      <w:tr w:rsidR="00A91679" w:rsidRPr="00A91679" w14:paraId="74205C10" w14:textId="77777777" w:rsidTr="008E1EF1">
        <w:trPr>
          <w:trHeight w:val="300"/>
        </w:trPr>
        <w:tc>
          <w:tcPr>
            <w:tcW w:w="3402" w:type="dxa"/>
            <w:tcBorders>
              <w:top w:val="nil"/>
              <w:left w:val="single" w:sz="4" w:space="0" w:color="auto"/>
              <w:bottom w:val="single" w:sz="4" w:space="0" w:color="auto"/>
              <w:right w:val="single" w:sz="4" w:space="0" w:color="auto"/>
            </w:tcBorders>
            <w:shd w:val="clear" w:color="auto" w:fill="auto"/>
            <w:noWrap/>
            <w:vAlign w:val="bottom"/>
            <w:hideMark/>
          </w:tcPr>
          <w:p w14:paraId="65166EA0" w14:textId="77777777" w:rsidR="00A91679" w:rsidRPr="00A91679" w:rsidRDefault="00A91679" w:rsidP="00B33DB1">
            <w:pPr>
              <w:spacing w:after="0"/>
              <w:rPr>
                <w:lang w:eastAsia="en-AU"/>
              </w:rPr>
            </w:pPr>
            <w:r w:rsidRPr="00A91679">
              <w:rPr>
                <w:lang w:eastAsia="en-AU"/>
              </w:rPr>
              <w:t>Hospitals/healthcare</w:t>
            </w:r>
          </w:p>
        </w:tc>
        <w:tc>
          <w:tcPr>
            <w:tcW w:w="1985" w:type="dxa"/>
            <w:tcBorders>
              <w:top w:val="nil"/>
              <w:left w:val="nil"/>
              <w:bottom w:val="single" w:sz="4" w:space="0" w:color="auto"/>
              <w:right w:val="single" w:sz="4" w:space="0" w:color="auto"/>
            </w:tcBorders>
            <w:shd w:val="clear" w:color="auto" w:fill="auto"/>
            <w:noWrap/>
            <w:vAlign w:val="bottom"/>
            <w:hideMark/>
          </w:tcPr>
          <w:p w14:paraId="289EEE15" w14:textId="3CDF994D" w:rsidR="00A91679" w:rsidRPr="00A91679" w:rsidRDefault="00A91679" w:rsidP="00B33DB1">
            <w:pPr>
              <w:spacing w:after="0"/>
              <w:jc w:val="right"/>
              <w:rPr>
                <w:lang w:eastAsia="en-AU"/>
              </w:rPr>
            </w:pPr>
            <w:r w:rsidRPr="00A91679">
              <w:rPr>
                <w:lang w:eastAsia="en-AU"/>
              </w:rPr>
              <w:t xml:space="preserve">80 </w:t>
            </w:r>
          </w:p>
        </w:tc>
      </w:tr>
      <w:tr w:rsidR="00A91679" w:rsidRPr="00A91679" w14:paraId="0A71F215" w14:textId="77777777" w:rsidTr="008E1EF1">
        <w:trPr>
          <w:trHeight w:val="300"/>
        </w:trPr>
        <w:tc>
          <w:tcPr>
            <w:tcW w:w="3402" w:type="dxa"/>
            <w:tcBorders>
              <w:top w:val="nil"/>
              <w:left w:val="single" w:sz="4" w:space="0" w:color="auto"/>
              <w:bottom w:val="single" w:sz="4" w:space="0" w:color="auto"/>
              <w:right w:val="single" w:sz="4" w:space="0" w:color="auto"/>
            </w:tcBorders>
            <w:shd w:val="clear" w:color="auto" w:fill="auto"/>
            <w:noWrap/>
            <w:vAlign w:val="bottom"/>
            <w:hideMark/>
          </w:tcPr>
          <w:p w14:paraId="1878DA1C" w14:textId="77777777" w:rsidR="00A91679" w:rsidRPr="00A91679" w:rsidRDefault="00A91679" w:rsidP="00B33DB1">
            <w:pPr>
              <w:spacing w:after="0"/>
              <w:rPr>
                <w:lang w:eastAsia="en-AU"/>
              </w:rPr>
            </w:pPr>
            <w:r w:rsidRPr="00A91679">
              <w:rPr>
                <w:lang w:eastAsia="en-AU"/>
              </w:rPr>
              <w:t>Transport</w:t>
            </w:r>
          </w:p>
        </w:tc>
        <w:tc>
          <w:tcPr>
            <w:tcW w:w="1985" w:type="dxa"/>
            <w:tcBorders>
              <w:top w:val="nil"/>
              <w:left w:val="nil"/>
              <w:bottom w:val="single" w:sz="4" w:space="0" w:color="auto"/>
              <w:right w:val="single" w:sz="4" w:space="0" w:color="auto"/>
            </w:tcBorders>
            <w:shd w:val="clear" w:color="auto" w:fill="auto"/>
            <w:noWrap/>
            <w:vAlign w:val="bottom"/>
            <w:hideMark/>
          </w:tcPr>
          <w:p w14:paraId="6F54273B" w14:textId="1CDB3846" w:rsidR="00A91679" w:rsidRPr="00A91679" w:rsidRDefault="00A91679" w:rsidP="00B33DB1">
            <w:pPr>
              <w:spacing w:after="0"/>
              <w:jc w:val="right"/>
              <w:rPr>
                <w:lang w:eastAsia="en-AU"/>
              </w:rPr>
            </w:pPr>
            <w:r w:rsidRPr="00A91679">
              <w:rPr>
                <w:lang w:eastAsia="en-AU"/>
              </w:rPr>
              <w:t xml:space="preserve">15 </w:t>
            </w:r>
          </w:p>
        </w:tc>
      </w:tr>
    </w:tbl>
    <w:p w14:paraId="40B4B30F" w14:textId="77777777" w:rsidR="00A91679" w:rsidRDefault="00A91679" w:rsidP="00B33DB1">
      <w:pPr>
        <w:rPr>
          <w:rFonts w:ascii="Helvetica Light" w:hAnsi="Helvetica Light" w:cstheme="minorBidi"/>
          <w:szCs w:val="20"/>
        </w:rPr>
      </w:pPr>
    </w:p>
    <w:p w14:paraId="6D4C432F" w14:textId="77777777" w:rsidR="00B33DB1" w:rsidRPr="007E394F" w:rsidRDefault="00B33DB1" w:rsidP="00B33DB1">
      <w:pPr>
        <w:rPr>
          <w:rStyle w:val="Hyperlink"/>
        </w:rPr>
      </w:pPr>
      <w:r w:rsidRPr="007E394F">
        <w:t xml:space="preserve">Return to </w:t>
      </w:r>
      <w:hyperlink w:anchor="_3.3_Building_Primary" w:history="1">
        <w:r w:rsidRPr="007E394F">
          <w:rPr>
            <w:rStyle w:val="Hyperlink"/>
          </w:rPr>
          <w:t>Building Primary Space-Use</w:t>
        </w:r>
      </w:hyperlink>
    </w:p>
    <w:p w14:paraId="0EFAC2C3" w14:textId="4B4C7C5D" w:rsidR="00B33DB1" w:rsidRPr="00B33DB1" w:rsidRDefault="00944E9B" w:rsidP="00B33DB1">
      <w:pPr>
        <w:pStyle w:val="Heading3"/>
        <w:rPr>
          <w:rFonts w:hint="eastAsia"/>
        </w:rPr>
      </w:pPr>
      <w:bookmarkStart w:id="253" w:name="_Number_of_Embedded"/>
      <w:bookmarkEnd w:id="253"/>
      <w:r>
        <w:t>Table A.2</w:t>
      </w:r>
      <w:r w:rsidR="00A13E20">
        <w:t>7</w:t>
      </w:r>
      <w:r>
        <w:tab/>
      </w:r>
      <w:r w:rsidR="00B33DB1" w:rsidRPr="00A91679">
        <w:t>Number of Embedded Networks by Building Type, City of Melbourne, FY2024</w:t>
      </w:r>
    </w:p>
    <w:tbl>
      <w:tblPr>
        <w:tblW w:w="6096" w:type="dxa"/>
        <w:tblInd w:w="-5" w:type="dxa"/>
        <w:tblLook w:val="04A0" w:firstRow="1" w:lastRow="0" w:firstColumn="1" w:lastColumn="0" w:noHBand="0" w:noVBand="1"/>
      </w:tblPr>
      <w:tblGrid>
        <w:gridCol w:w="2739"/>
        <w:gridCol w:w="3357"/>
      </w:tblGrid>
      <w:tr w:rsidR="00A91679" w:rsidRPr="00A91679" w14:paraId="4C7338B3" w14:textId="77777777" w:rsidTr="008E1EF1">
        <w:trPr>
          <w:trHeight w:val="300"/>
        </w:trPr>
        <w:tc>
          <w:tcPr>
            <w:tcW w:w="27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D2A901" w14:textId="77777777" w:rsidR="00A91679" w:rsidRPr="00B33DB1" w:rsidRDefault="00A91679" w:rsidP="00B33DB1">
            <w:pPr>
              <w:spacing w:after="0"/>
              <w:rPr>
                <w:b/>
                <w:bCs/>
                <w:lang w:eastAsia="en-AU"/>
              </w:rPr>
            </w:pPr>
            <w:bookmarkStart w:id="254" w:name="_Figure_28:_"/>
            <w:bookmarkEnd w:id="254"/>
            <w:r w:rsidRPr="00B33DB1">
              <w:rPr>
                <w:b/>
                <w:bCs/>
                <w:lang w:eastAsia="en-AU"/>
              </w:rPr>
              <w:t>Building Type</w:t>
            </w:r>
          </w:p>
        </w:tc>
        <w:tc>
          <w:tcPr>
            <w:tcW w:w="3357" w:type="dxa"/>
            <w:tcBorders>
              <w:top w:val="single" w:sz="4" w:space="0" w:color="auto"/>
              <w:left w:val="nil"/>
              <w:bottom w:val="single" w:sz="4" w:space="0" w:color="auto"/>
              <w:right w:val="single" w:sz="4" w:space="0" w:color="auto"/>
            </w:tcBorders>
            <w:shd w:val="clear" w:color="auto" w:fill="auto"/>
            <w:noWrap/>
            <w:vAlign w:val="bottom"/>
            <w:hideMark/>
          </w:tcPr>
          <w:p w14:paraId="7BAA39AA" w14:textId="64BF406C" w:rsidR="00A91679" w:rsidRPr="00B33DB1" w:rsidRDefault="00A91679" w:rsidP="00B33DB1">
            <w:pPr>
              <w:spacing w:after="0"/>
              <w:rPr>
                <w:b/>
                <w:bCs/>
                <w:lang w:eastAsia="en-AU"/>
              </w:rPr>
            </w:pPr>
            <w:r w:rsidRPr="00B33DB1">
              <w:rPr>
                <w:b/>
                <w:bCs/>
                <w:lang w:eastAsia="en-AU"/>
              </w:rPr>
              <w:t>Count of Embedded Networks</w:t>
            </w:r>
            <w:r w:rsidR="00B33DB1">
              <w:rPr>
                <w:b/>
                <w:bCs/>
                <w:lang w:eastAsia="en-AU"/>
              </w:rPr>
              <w:t xml:space="preserve"> (-)</w:t>
            </w:r>
          </w:p>
        </w:tc>
      </w:tr>
      <w:tr w:rsidR="00A91679" w:rsidRPr="00A91679" w14:paraId="28E67AA8" w14:textId="77777777" w:rsidTr="008E1EF1">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B53144C" w14:textId="77777777" w:rsidR="00A91679" w:rsidRPr="00A91679" w:rsidRDefault="00A91679" w:rsidP="00B33DB1">
            <w:pPr>
              <w:spacing w:after="0"/>
              <w:rPr>
                <w:lang w:eastAsia="en-AU"/>
              </w:rPr>
            </w:pPr>
            <w:r w:rsidRPr="00A91679">
              <w:rPr>
                <w:lang w:eastAsia="en-AU"/>
              </w:rPr>
              <w:t>Apartment buildings</w:t>
            </w:r>
          </w:p>
        </w:tc>
        <w:tc>
          <w:tcPr>
            <w:tcW w:w="3357" w:type="dxa"/>
            <w:tcBorders>
              <w:top w:val="nil"/>
              <w:left w:val="nil"/>
              <w:bottom w:val="single" w:sz="4" w:space="0" w:color="auto"/>
              <w:right w:val="single" w:sz="4" w:space="0" w:color="auto"/>
            </w:tcBorders>
            <w:shd w:val="clear" w:color="auto" w:fill="auto"/>
            <w:noWrap/>
            <w:vAlign w:val="bottom"/>
            <w:hideMark/>
          </w:tcPr>
          <w:p w14:paraId="3D3EAFAE" w14:textId="77777777" w:rsidR="00A91679" w:rsidRPr="00A91679" w:rsidRDefault="00A91679" w:rsidP="00B33DB1">
            <w:pPr>
              <w:spacing w:after="0"/>
              <w:jc w:val="right"/>
              <w:rPr>
                <w:lang w:eastAsia="en-AU"/>
              </w:rPr>
            </w:pPr>
            <w:r w:rsidRPr="00A91679">
              <w:rPr>
                <w:lang w:eastAsia="en-AU"/>
              </w:rPr>
              <w:t>136</w:t>
            </w:r>
          </w:p>
        </w:tc>
      </w:tr>
      <w:tr w:rsidR="00A91679" w:rsidRPr="00A91679" w14:paraId="6FF85541" w14:textId="77777777" w:rsidTr="008E1EF1">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CFC4DB5" w14:textId="77777777" w:rsidR="00A91679" w:rsidRPr="00A91679" w:rsidRDefault="00A91679" w:rsidP="00B33DB1">
            <w:pPr>
              <w:spacing w:after="0"/>
              <w:rPr>
                <w:lang w:eastAsia="en-AU"/>
              </w:rPr>
            </w:pPr>
            <w:r w:rsidRPr="00A91679">
              <w:rPr>
                <w:lang w:eastAsia="en-AU"/>
              </w:rPr>
              <w:t>Construction sites</w:t>
            </w:r>
          </w:p>
        </w:tc>
        <w:tc>
          <w:tcPr>
            <w:tcW w:w="3357" w:type="dxa"/>
            <w:tcBorders>
              <w:top w:val="nil"/>
              <w:left w:val="nil"/>
              <w:bottom w:val="single" w:sz="4" w:space="0" w:color="auto"/>
              <w:right w:val="single" w:sz="4" w:space="0" w:color="auto"/>
            </w:tcBorders>
            <w:shd w:val="clear" w:color="auto" w:fill="auto"/>
            <w:noWrap/>
            <w:vAlign w:val="bottom"/>
            <w:hideMark/>
          </w:tcPr>
          <w:p w14:paraId="663DE7F3" w14:textId="77777777" w:rsidR="00A91679" w:rsidRPr="00A91679" w:rsidRDefault="00A91679" w:rsidP="00B33DB1">
            <w:pPr>
              <w:spacing w:after="0"/>
              <w:jc w:val="right"/>
              <w:rPr>
                <w:lang w:eastAsia="en-AU"/>
              </w:rPr>
            </w:pPr>
            <w:r w:rsidRPr="00A91679">
              <w:rPr>
                <w:lang w:eastAsia="en-AU"/>
              </w:rPr>
              <w:t>32</w:t>
            </w:r>
          </w:p>
        </w:tc>
      </w:tr>
      <w:tr w:rsidR="00A91679" w:rsidRPr="00A91679" w14:paraId="374DEE44" w14:textId="77777777" w:rsidTr="008E1EF1">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4EB81BF" w14:textId="77777777" w:rsidR="00A91679" w:rsidRPr="00A91679" w:rsidRDefault="00A91679" w:rsidP="00B33DB1">
            <w:pPr>
              <w:spacing w:after="0"/>
              <w:rPr>
                <w:lang w:eastAsia="en-AU"/>
              </w:rPr>
            </w:pPr>
            <w:r w:rsidRPr="00A91679">
              <w:rPr>
                <w:lang w:eastAsia="en-AU"/>
              </w:rPr>
              <w:t>Other</w:t>
            </w:r>
          </w:p>
        </w:tc>
        <w:tc>
          <w:tcPr>
            <w:tcW w:w="3357" w:type="dxa"/>
            <w:tcBorders>
              <w:top w:val="nil"/>
              <w:left w:val="nil"/>
              <w:bottom w:val="single" w:sz="4" w:space="0" w:color="auto"/>
              <w:right w:val="single" w:sz="4" w:space="0" w:color="auto"/>
            </w:tcBorders>
            <w:shd w:val="clear" w:color="auto" w:fill="auto"/>
            <w:noWrap/>
            <w:vAlign w:val="bottom"/>
            <w:hideMark/>
          </w:tcPr>
          <w:p w14:paraId="79DD3BD9" w14:textId="77777777" w:rsidR="00A91679" w:rsidRPr="00A91679" w:rsidRDefault="00A91679" w:rsidP="00B33DB1">
            <w:pPr>
              <w:spacing w:after="0"/>
              <w:jc w:val="right"/>
              <w:rPr>
                <w:lang w:eastAsia="en-AU"/>
              </w:rPr>
            </w:pPr>
            <w:r w:rsidRPr="00A91679">
              <w:rPr>
                <w:lang w:eastAsia="en-AU"/>
              </w:rPr>
              <w:t>73</w:t>
            </w:r>
          </w:p>
        </w:tc>
      </w:tr>
    </w:tbl>
    <w:p w14:paraId="6518C3D1" w14:textId="77777777" w:rsidR="00A91679" w:rsidRDefault="00A91679" w:rsidP="00B33DB1">
      <w:pPr>
        <w:rPr>
          <w:rFonts w:ascii="Helvetica Light" w:hAnsi="Helvetica Light" w:cstheme="minorBidi"/>
          <w:szCs w:val="20"/>
        </w:rPr>
      </w:pPr>
    </w:p>
    <w:p w14:paraId="4871C168" w14:textId="2A6EC8D6" w:rsidR="00B33DB1" w:rsidRPr="007E394F" w:rsidRDefault="00B33DB1" w:rsidP="00B33DB1">
      <w:pPr>
        <w:rPr>
          <w:rStyle w:val="Hyperlink"/>
        </w:rPr>
      </w:pPr>
      <w:r w:rsidRPr="007E394F">
        <w:t xml:space="preserve">Return to </w:t>
      </w:r>
      <w:hyperlink w:anchor="_3.4_Embedded_Networks" w:history="1">
        <w:r w:rsidR="004A4E44" w:rsidRPr="007E394F">
          <w:rPr>
            <w:rStyle w:val="Hyperlink"/>
          </w:rPr>
          <w:t>Embedded Networks</w:t>
        </w:r>
      </w:hyperlink>
    </w:p>
    <w:p w14:paraId="504F3342" w14:textId="0B152CDB" w:rsidR="00B33DB1" w:rsidRPr="004A4E44" w:rsidRDefault="00944E9B" w:rsidP="004A4E44">
      <w:pPr>
        <w:pStyle w:val="Heading3"/>
        <w:rPr>
          <w:rFonts w:hint="eastAsia"/>
        </w:rPr>
      </w:pPr>
      <w:bookmarkStart w:id="255" w:name="_Apartment_Floor_Area"/>
      <w:bookmarkEnd w:id="255"/>
      <w:r>
        <w:t>Table A.2</w:t>
      </w:r>
      <w:r w:rsidR="00A13E20">
        <w:t>8</w:t>
      </w:r>
      <w:r>
        <w:tab/>
      </w:r>
      <w:r w:rsidR="00B33DB1" w:rsidRPr="00A91679">
        <w:t>Apartment Floor Area Behind Embedded Networks, City of Melbourne, FY2024</w:t>
      </w:r>
    </w:p>
    <w:tbl>
      <w:tblPr>
        <w:tblW w:w="6804" w:type="dxa"/>
        <w:tblInd w:w="-5" w:type="dxa"/>
        <w:tblLook w:val="04A0" w:firstRow="1" w:lastRow="0" w:firstColumn="1" w:lastColumn="0" w:noHBand="0" w:noVBand="1"/>
      </w:tblPr>
      <w:tblGrid>
        <w:gridCol w:w="3969"/>
        <w:gridCol w:w="2835"/>
      </w:tblGrid>
      <w:tr w:rsidR="00A91679" w:rsidRPr="00A91679" w14:paraId="5E7C7011" w14:textId="77777777" w:rsidTr="008E1EF1">
        <w:trPr>
          <w:trHeight w:val="300"/>
        </w:trPr>
        <w:tc>
          <w:tcPr>
            <w:tcW w:w="39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614EC6" w14:textId="77777777" w:rsidR="00A91679" w:rsidRPr="00B33DB1" w:rsidRDefault="00A91679" w:rsidP="00B33DB1">
            <w:pPr>
              <w:spacing w:after="0"/>
              <w:rPr>
                <w:b/>
                <w:bCs/>
                <w:lang w:eastAsia="en-AU"/>
              </w:rPr>
            </w:pPr>
            <w:bookmarkStart w:id="256" w:name="_Figure_29:_Apartment"/>
            <w:bookmarkEnd w:id="256"/>
            <w:r w:rsidRPr="00B33DB1">
              <w:rPr>
                <w:b/>
                <w:bCs/>
                <w:lang w:eastAsia="en-AU"/>
              </w:rPr>
              <w:t>Embedded/Non-Embedded Network Category</w:t>
            </w:r>
          </w:p>
        </w:tc>
        <w:tc>
          <w:tcPr>
            <w:tcW w:w="2835" w:type="dxa"/>
            <w:tcBorders>
              <w:top w:val="single" w:sz="4" w:space="0" w:color="auto"/>
              <w:left w:val="nil"/>
              <w:bottom w:val="single" w:sz="4" w:space="0" w:color="auto"/>
              <w:right w:val="single" w:sz="4" w:space="0" w:color="auto"/>
            </w:tcBorders>
            <w:shd w:val="clear" w:color="auto" w:fill="auto"/>
            <w:noWrap/>
            <w:vAlign w:val="bottom"/>
            <w:hideMark/>
          </w:tcPr>
          <w:p w14:paraId="6517D612" w14:textId="77777777" w:rsidR="00A91679" w:rsidRPr="00B33DB1" w:rsidRDefault="00A91679" w:rsidP="00B33DB1">
            <w:pPr>
              <w:spacing w:after="0"/>
              <w:rPr>
                <w:b/>
                <w:bCs/>
                <w:lang w:eastAsia="en-AU"/>
              </w:rPr>
            </w:pPr>
            <w:r w:rsidRPr="00B33DB1">
              <w:rPr>
                <w:b/>
                <w:bCs/>
                <w:lang w:eastAsia="en-AU"/>
              </w:rPr>
              <w:t>Apartment Floor Area (m2)</w:t>
            </w:r>
          </w:p>
        </w:tc>
      </w:tr>
      <w:tr w:rsidR="00A91679" w:rsidRPr="00A91679" w14:paraId="1D9B0D7D" w14:textId="77777777" w:rsidTr="008E1EF1">
        <w:trPr>
          <w:trHeight w:val="300"/>
        </w:trPr>
        <w:tc>
          <w:tcPr>
            <w:tcW w:w="3969" w:type="dxa"/>
            <w:tcBorders>
              <w:top w:val="nil"/>
              <w:left w:val="single" w:sz="4" w:space="0" w:color="auto"/>
              <w:bottom w:val="single" w:sz="4" w:space="0" w:color="auto"/>
              <w:right w:val="single" w:sz="4" w:space="0" w:color="auto"/>
            </w:tcBorders>
            <w:shd w:val="clear" w:color="auto" w:fill="auto"/>
            <w:noWrap/>
            <w:vAlign w:val="bottom"/>
            <w:hideMark/>
          </w:tcPr>
          <w:p w14:paraId="66E41BDB" w14:textId="77777777" w:rsidR="00A91679" w:rsidRPr="00A91679" w:rsidRDefault="00A91679" w:rsidP="00B33DB1">
            <w:pPr>
              <w:spacing w:after="0"/>
              <w:rPr>
                <w:lang w:eastAsia="en-AU"/>
              </w:rPr>
            </w:pPr>
            <w:r w:rsidRPr="00A91679">
              <w:rPr>
                <w:lang w:eastAsia="en-AU"/>
              </w:rPr>
              <w:t>Embedded network apartment area</w:t>
            </w:r>
          </w:p>
        </w:tc>
        <w:tc>
          <w:tcPr>
            <w:tcW w:w="2835" w:type="dxa"/>
            <w:tcBorders>
              <w:top w:val="nil"/>
              <w:left w:val="nil"/>
              <w:bottom w:val="single" w:sz="4" w:space="0" w:color="auto"/>
              <w:right w:val="single" w:sz="4" w:space="0" w:color="auto"/>
            </w:tcBorders>
            <w:shd w:val="clear" w:color="auto" w:fill="auto"/>
            <w:noWrap/>
            <w:vAlign w:val="bottom"/>
            <w:hideMark/>
          </w:tcPr>
          <w:p w14:paraId="580D9F09" w14:textId="7DEF2021" w:rsidR="00A91679" w:rsidRPr="00A91679" w:rsidRDefault="00A91679" w:rsidP="006D687C">
            <w:pPr>
              <w:spacing w:after="0"/>
              <w:jc w:val="right"/>
              <w:rPr>
                <w:lang w:eastAsia="en-AU"/>
              </w:rPr>
            </w:pPr>
            <w:r w:rsidRPr="00A91679">
              <w:rPr>
                <w:lang w:eastAsia="en-AU"/>
              </w:rPr>
              <w:t xml:space="preserve">4,195,178 </w:t>
            </w:r>
          </w:p>
        </w:tc>
      </w:tr>
      <w:tr w:rsidR="00A91679" w:rsidRPr="00A91679" w14:paraId="288FA969" w14:textId="77777777" w:rsidTr="008E1EF1">
        <w:trPr>
          <w:trHeight w:val="300"/>
        </w:trPr>
        <w:tc>
          <w:tcPr>
            <w:tcW w:w="3969" w:type="dxa"/>
            <w:tcBorders>
              <w:top w:val="nil"/>
              <w:left w:val="single" w:sz="4" w:space="0" w:color="auto"/>
              <w:bottom w:val="single" w:sz="4" w:space="0" w:color="auto"/>
              <w:right w:val="single" w:sz="4" w:space="0" w:color="auto"/>
            </w:tcBorders>
            <w:shd w:val="clear" w:color="auto" w:fill="auto"/>
            <w:noWrap/>
            <w:vAlign w:val="bottom"/>
            <w:hideMark/>
          </w:tcPr>
          <w:p w14:paraId="6061397E" w14:textId="77777777" w:rsidR="00A91679" w:rsidRPr="00A91679" w:rsidRDefault="00A91679" w:rsidP="00B33DB1">
            <w:pPr>
              <w:spacing w:after="0"/>
              <w:rPr>
                <w:lang w:eastAsia="en-AU"/>
              </w:rPr>
            </w:pPr>
            <w:r w:rsidRPr="00A91679">
              <w:rPr>
                <w:lang w:eastAsia="en-AU"/>
              </w:rPr>
              <w:t>Non-embedded network apartment area</w:t>
            </w:r>
          </w:p>
        </w:tc>
        <w:tc>
          <w:tcPr>
            <w:tcW w:w="2835" w:type="dxa"/>
            <w:tcBorders>
              <w:top w:val="nil"/>
              <w:left w:val="nil"/>
              <w:bottom w:val="single" w:sz="4" w:space="0" w:color="auto"/>
              <w:right w:val="single" w:sz="4" w:space="0" w:color="auto"/>
            </w:tcBorders>
            <w:shd w:val="clear" w:color="auto" w:fill="auto"/>
            <w:noWrap/>
            <w:vAlign w:val="bottom"/>
            <w:hideMark/>
          </w:tcPr>
          <w:p w14:paraId="0CE782C0" w14:textId="6175B7E6" w:rsidR="00A91679" w:rsidRPr="00A91679" w:rsidRDefault="00A91679" w:rsidP="006D687C">
            <w:pPr>
              <w:spacing w:after="0"/>
              <w:jc w:val="right"/>
              <w:rPr>
                <w:lang w:eastAsia="en-AU"/>
              </w:rPr>
            </w:pPr>
            <w:r w:rsidRPr="00A91679">
              <w:rPr>
                <w:lang w:eastAsia="en-AU"/>
              </w:rPr>
              <w:t xml:space="preserve">7,664,696 </w:t>
            </w:r>
          </w:p>
        </w:tc>
      </w:tr>
    </w:tbl>
    <w:p w14:paraId="19AEC306" w14:textId="77777777" w:rsidR="00A91679" w:rsidRDefault="00A91679" w:rsidP="004A4E44">
      <w:pPr>
        <w:rPr>
          <w:rFonts w:ascii="Helvetica Light" w:hAnsi="Helvetica Light" w:cstheme="minorBidi"/>
          <w:szCs w:val="20"/>
        </w:rPr>
      </w:pPr>
    </w:p>
    <w:p w14:paraId="72ACC9D7" w14:textId="77777777" w:rsidR="004A4E44" w:rsidRPr="007E394F" w:rsidRDefault="004A4E44" w:rsidP="004A4E44">
      <w:pPr>
        <w:rPr>
          <w:rStyle w:val="Hyperlink"/>
        </w:rPr>
      </w:pPr>
      <w:r w:rsidRPr="007E394F">
        <w:t xml:space="preserve">Return to </w:t>
      </w:r>
      <w:hyperlink w:anchor="_3.4_Embedded_Networks" w:history="1">
        <w:r w:rsidRPr="007E394F">
          <w:rPr>
            <w:rStyle w:val="Hyperlink"/>
          </w:rPr>
          <w:t>Embedded Networks</w:t>
        </w:r>
      </w:hyperlink>
    </w:p>
    <w:p w14:paraId="52C1FF39" w14:textId="680EC9CE" w:rsidR="004A4E44" w:rsidRPr="004A4E44" w:rsidRDefault="00944E9B" w:rsidP="004A4E44">
      <w:pPr>
        <w:pStyle w:val="Heading3"/>
        <w:rPr>
          <w:rFonts w:hint="eastAsia"/>
        </w:rPr>
      </w:pPr>
      <w:bookmarkStart w:id="257" w:name="_Total_Energy_Consumption"/>
      <w:bookmarkEnd w:id="257"/>
      <w:r>
        <w:t>Table A.2</w:t>
      </w:r>
      <w:r w:rsidR="00A13E20">
        <w:t>9</w:t>
      </w:r>
      <w:r>
        <w:tab/>
      </w:r>
      <w:r w:rsidR="004A4E44" w:rsidRPr="00A91679">
        <w:t>Total Energy Consumption by Fuel Type, City of Melbourne, FY2022</w:t>
      </w:r>
    </w:p>
    <w:tbl>
      <w:tblPr>
        <w:tblW w:w="5387" w:type="dxa"/>
        <w:tblInd w:w="-5" w:type="dxa"/>
        <w:tblLook w:val="04A0" w:firstRow="1" w:lastRow="0" w:firstColumn="1" w:lastColumn="0" w:noHBand="0" w:noVBand="1"/>
      </w:tblPr>
      <w:tblGrid>
        <w:gridCol w:w="1985"/>
        <w:gridCol w:w="3402"/>
      </w:tblGrid>
      <w:tr w:rsidR="00A91679" w:rsidRPr="00A91679" w14:paraId="3A73C725" w14:textId="77777777" w:rsidTr="004A4E44">
        <w:trPr>
          <w:trHeight w:val="300"/>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C281ED" w14:textId="77777777" w:rsidR="00A91679" w:rsidRPr="004A4E44" w:rsidRDefault="00A91679" w:rsidP="004A4E44">
            <w:pPr>
              <w:spacing w:after="0"/>
              <w:rPr>
                <w:b/>
                <w:bCs/>
                <w:lang w:eastAsia="en-AU"/>
              </w:rPr>
            </w:pPr>
            <w:bookmarkStart w:id="258" w:name="_Figure_30:_"/>
            <w:bookmarkEnd w:id="258"/>
            <w:r w:rsidRPr="004A4E44">
              <w:rPr>
                <w:b/>
                <w:bCs/>
                <w:lang w:eastAsia="en-AU"/>
              </w:rPr>
              <w:t>Fuel Type</w:t>
            </w:r>
          </w:p>
        </w:tc>
        <w:tc>
          <w:tcPr>
            <w:tcW w:w="3402" w:type="dxa"/>
            <w:tcBorders>
              <w:top w:val="single" w:sz="4" w:space="0" w:color="auto"/>
              <w:left w:val="nil"/>
              <w:bottom w:val="single" w:sz="4" w:space="0" w:color="auto"/>
              <w:right w:val="single" w:sz="4" w:space="0" w:color="auto"/>
            </w:tcBorders>
            <w:shd w:val="clear" w:color="auto" w:fill="auto"/>
            <w:noWrap/>
            <w:vAlign w:val="bottom"/>
            <w:hideMark/>
          </w:tcPr>
          <w:p w14:paraId="55FF33D1" w14:textId="77777777" w:rsidR="00A91679" w:rsidRPr="004A4E44" w:rsidRDefault="00A91679" w:rsidP="004A4E44">
            <w:pPr>
              <w:spacing w:after="0"/>
              <w:rPr>
                <w:b/>
                <w:bCs/>
                <w:lang w:eastAsia="en-AU"/>
              </w:rPr>
            </w:pPr>
            <w:r w:rsidRPr="004A4E44">
              <w:rPr>
                <w:b/>
                <w:bCs/>
                <w:lang w:eastAsia="en-AU"/>
              </w:rPr>
              <w:t>Total Energy Consumption (TJ)</w:t>
            </w:r>
          </w:p>
        </w:tc>
      </w:tr>
      <w:tr w:rsidR="00A91679" w:rsidRPr="00A91679" w14:paraId="66BA1094" w14:textId="77777777" w:rsidTr="004A4E44">
        <w:trPr>
          <w:trHeight w:val="30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06ABB7B4" w14:textId="77777777" w:rsidR="00A91679" w:rsidRPr="00A91679" w:rsidRDefault="00A91679" w:rsidP="004A4E44">
            <w:pPr>
              <w:spacing w:after="0"/>
              <w:rPr>
                <w:lang w:eastAsia="en-AU"/>
              </w:rPr>
            </w:pPr>
            <w:r w:rsidRPr="00A91679">
              <w:rPr>
                <w:lang w:eastAsia="en-AU"/>
              </w:rPr>
              <w:t>Gas</w:t>
            </w:r>
          </w:p>
        </w:tc>
        <w:tc>
          <w:tcPr>
            <w:tcW w:w="3402" w:type="dxa"/>
            <w:tcBorders>
              <w:top w:val="nil"/>
              <w:left w:val="nil"/>
              <w:bottom w:val="single" w:sz="4" w:space="0" w:color="auto"/>
              <w:right w:val="single" w:sz="4" w:space="0" w:color="auto"/>
            </w:tcBorders>
            <w:shd w:val="clear" w:color="auto" w:fill="auto"/>
            <w:noWrap/>
            <w:vAlign w:val="bottom"/>
            <w:hideMark/>
          </w:tcPr>
          <w:p w14:paraId="04B31F07" w14:textId="77777777" w:rsidR="00A91679" w:rsidRPr="00A91679" w:rsidRDefault="00A91679" w:rsidP="004A4E44">
            <w:pPr>
              <w:spacing w:after="0"/>
              <w:jc w:val="right"/>
              <w:rPr>
                <w:lang w:eastAsia="en-AU"/>
              </w:rPr>
            </w:pPr>
            <w:r w:rsidRPr="00A91679">
              <w:rPr>
                <w:lang w:eastAsia="en-AU"/>
              </w:rPr>
              <w:t xml:space="preserve">                                             6,661 </w:t>
            </w:r>
          </w:p>
        </w:tc>
      </w:tr>
      <w:tr w:rsidR="00A91679" w:rsidRPr="00A91679" w14:paraId="383EE766" w14:textId="77777777" w:rsidTr="004A4E44">
        <w:trPr>
          <w:trHeight w:val="30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0B1AF115" w14:textId="77777777" w:rsidR="00A91679" w:rsidRPr="00A91679" w:rsidRDefault="00A91679" w:rsidP="004A4E44">
            <w:pPr>
              <w:spacing w:after="0"/>
              <w:rPr>
                <w:lang w:eastAsia="en-AU"/>
              </w:rPr>
            </w:pPr>
            <w:r w:rsidRPr="00A91679">
              <w:rPr>
                <w:lang w:eastAsia="en-AU"/>
              </w:rPr>
              <w:t>Electricity</w:t>
            </w:r>
          </w:p>
        </w:tc>
        <w:tc>
          <w:tcPr>
            <w:tcW w:w="3402" w:type="dxa"/>
            <w:tcBorders>
              <w:top w:val="nil"/>
              <w:left w:val="nil"/>
              <w:bottom w:val="single" w:sz="4" w:space="0" w:color="auto"/>
              <w:right w:val="single" w:sz="4" w:space="0" w:color="auto"/>
            </w:tcBorders>
            <w:shd w:val="clear" w:color="auto" w:fill="auto"/>
            <w:noWrap/>
            <w:vAlign w:val="bottom"/>
            <w:hideMark/>
          </w:tcPr>
          <w:p w14:paraId="239F7B03" w14:textId="77777777" w:rsidR="00A91679" w:rsidRPr="00A91679" w:rsidRDefault="00A91679" w:rsidP="004A4E44">
            <w:pPr>
              <w:spacing w:after="0"/>
              <w:jc w:val="right"/>
              <w:rPr>
                <w:lang w:eastAsia="en-AU"/>
              </w:rPr>
            </w:pPr>
            <w:r w:rsidRPr="00A91679">
              <w:rPr>
                <w:lang w:eastAsia="en-AU"/>
              </w:rPr>
              <w:t xml:space="preserve">                                             9,611 </w:t>
            </w:r>
          </w:p>
        </w:tc>
      </w:tr>
    </w:tbl>
    <w:p w14:paraId="6D737A7F" w14:textId="77777777" w:rsidR="00A91679" w:rsidRDefault="00A91679" w:rsidP="004A4E44">
      <w:pPr>
        <w:rPr>
          <w:rFonts w:ascii="Helvetica Light" w:hAnsi="Helvetica Light" w:cstheme="minorBidi"/>
          <w:szCs w:val="20"/>
        </w:rPr>
      </w:pPr>
    </w:p>
    <w:p w14:paraId="4C1D1EB1" w14:textId="3AE6E48C" w:rsidR="004A4E44" w:rsidRPr="007E394F" w:rsidRDefault="004A4E44" w:rsidP="004A4E44">
      <w:r w:rsidRPr="007E394F">
        <w:lastRenderedPageBreak/>
        <w:t xml:space="preserve">Return to </w:t>
      </w:r>
      <w:hyperlink w:anchor="_4.1_Overview_of" w:history="1">
        <w:r w:rsidRPr="007E394F">
          <w:rPr>
            <w:rStyle w:val="Hyperlink"/>
          </w:rPr>
          <w:t>Overview of Energy Consumption</w:t>
        </w:r>
      </w:hyperlink>
    </w:p>
    <w:p w14:paraId="32FCB359" w14:textId="77777777" w:rsidR="008E1EF1" w:rsidRDefault="008E1EF1" w:rsidP="008E1EF1">
      <w:bookmarkStart w:id="259" w:name="_Total_Stationary_Energy"/>
      <w:bookmarkEnd w:id="259"/>
    </w:p>
    <w:p w14:paraId="7C23E634" w14:textId="77777777" w:rsidR="008E1EF1" w:rsidRDefault="008E1EF1" w:rsidP="008E1EF1"/>
    <w:p w14:paraId="0C5EE4ED" w14:textId="3334EB8A" w:rsidR="004A4E44" w:rsidRPr="004A4E44" w:rsidRDefault="00944E9B" w:rsidP="004A4E44">
      <w:pPr>
        <w:pStyle w:val="Heading3"/>
        <w:rPr>
          <w:rFonts w:hint="eastAsia"/>
        </w:rPr>
      </w:pPr>
      <w:r>
        <w:t>Table A.</w:t>
      </w:r>
      <w:r w:rsidR="00A13E20">
        <w:t>30</w:t>
      </w:r>
      <w:r>
        <w:tab/>
      </w:r>
      <w:r w:rsidR="004A4E44" w:rsidRPr="00A91679">
        <w:t>Total Stationary Energy Consumption by Postcode, City of Melbourne, 2022</w:t>
      </w:r>
    </w:p>
    <w:tbl>
      <w:tblPr>
        <w:tblW w:w="4962" w:type="dxa"/>
        <w:tblInd w:w="-5" w:type="dxa"/>
        <w:tblLook w:val="04A0" w:firstRow="1" w:lastRow="0" w:firstColumn="1" w:lastColumn="0" w:noHBand="0" w:noVBand="1"/>
      </w:tblPr>
      <w:tblGrid>
        <w:gridCol w:w="1271"/>
        <w:gridCol w:w="3691"/>
      </w:tblGrid>
      <w:tr w:rsidR="00A91679" w:rsidRPr="00A91679" w14:paraId="6D1C19EC" w14:textId="77777777" w:rsidTr="004A4E44">
        <w:trPr>
          <w:trHeight w:val="300"/>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E60A1F" w14:textId="77777777" w:rsidR="00A91679" w:rsidRPr="004A4E44" w:rsidRDefault="00A91679" w:rsidP="004A4E44">
            <w:pPr>
              <w:spacing w:after="0"/>
              <w:rPr>
                <w:b/>
                <w:bCs/>
                <w:lang w:eastAsia="en-AU"/>
              </w:rPr>
            </w:pPr>
            <w:bookmarkStart w:id="260" w:name="_Figure_31:_Total"/>
            <w:bookmarkEnd w:id="260"/>
            <w:r w:rsidRPr="004A4E44">
              <w:rPr>
                <w:b/>
                <w:bCs/>
                <w:lang w:eastAsia="en-AU"/>
              </w:rPr>
              <w:t>Postcode</w:t>
            </w:r>
          </w:p>
        </w:tc>
        <w:tc>
          <w:tcPr>
            <w:tcW w:w="3691" w:type="dxa"/>
            <w:tcBorders>
              <w:top w:val="single" w:sz="4" w:space="0" w:color="auto"/>
              <w:left w:val="nil"/>
              <w:bottom w:val="single" w:sz="4" w:space="0" w:color="auto"/>
              <w:right w:val="single" w:sz="4" w:space="0" w:color="auto"/>
            </w:tcBorders>
            <w:shd w:val="clear" w:color="auto" w:fill="auto"/>
            <w:noWrap/>
            <w:vAlign w:val="bottom"/>
            <w:hideMark/>
          </w:tcPr>
          <w:p w14:paraId="201F5567" w14:textId="77777777" w:rsidR="00A91679" w:rsidRPr="004A4E44" w:rsidRDefault="00A91679" w:rsidP="004A4E44">
            <w:pPr>
              <w:spacing w:after="0"/>
              <w:rPr>
                <w:b/>
                <w:bCs/>
                <w:lang w:eastAsia="en-AU"/>
              </w:rPr>
            </w:pPr>
            <w:r w:rsidRPr="004A4E44">
              <w:rPr>
                <w:b/>
                <w:bCs/>
                <w:lang w:eastAsia="en-AU"/>
              </w:rPr>
              <w:t xml:space="preserve">Total Stationary Energy Consumption (TJ) </w:t>
            </w:r>
          </w:p>
        </w:tc>
      </w:tr>
      <w:tr w:rsidR="00A91679" w:rsidRPr="00A91679" w14:paraId="162752B0" w14:textId="77777777" w:rsidTr="004A4E44">
        <w:trPr>
          <w:trHeight w:val="30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6A1B53D7" w14:textId="77777777" w:rsidR="00A91679" w:rsidRPr="00A91679" w:rsidRDefault="00A91679" w:rsidP="004A4E44">
            <w:pPr>
              <w:spacing w:after="0"/>
              <w:jc w:val="right"/>
              <w:rPr>
                <w:lang w:eastAsia="en-AU"/>
              </w:rPr>
            </w:pPr>
            <w:r w:rsidRPr="00A91679">
              <w:rPr>
                <w:lang w:eastAsia="en-AU"/>
              </w:rPr>
              <w:t>3000</w:t>
            </w:r>
          </w:p>
        </w:tc>
        <w:tc>
          <w:tcPr>
            <w:tcW w:w="3691" w:type="dxa"/>
            <w:tcBorders>
              <w:top w:val="nil"/>
              <w:left w:val="nil"/>
              <w:bottom w:val="single" w:sz="4" w:space="0" w:color="auto"/>
              <w:right w:val="single" w:sz="4" w:space="0" w:color="auto"/>
            </w:tcBorders>
            <w:shd w:val="clear" w:color="auto" w:fill="auto"/>
            <w:noWrap/>
            <w:vAlign w:val="bottom"/>
            <w:hideMark/>
          </w:tcPr>
          <w:p w14:paraId="356C4888" w14:textId="4807AE5B" w:rsidR="00A91679" w:rsidRPr="00A91679" w:rsidRDefault="00A91679" w:rsidP="004A4E44">
            <w:pPr>
              <w:spacing w:after="0"/>
              <w:jc w:val="right"/>
              <w:rPr>
                <w:lang w:eastAsia="en-AU"/>
              </w:rPr>
            </w:pPr>
            <w:r w:rsidRPr="00A91679">
              <w:rPr>
                <w:lang w:eastAsia="en-AU"/>
              </w:rPr>
              <w:t xml:space="preserve">6,165 </w:t>
            </w:r>
          </w:p>
        </w:tc>
      </w:tr>
      <w:tr w:rsidR="00A91679" w:rsidRPr="00A91679" w14:paraId="72872704" w14:textId="77777777" w:rsidTr="004A4E44">
        <w:trPr>
          <w:trHeight w:val="30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7D9BF623" w14:textId="77777777" w:rsidR="00A91679" w:rsidRPr="00A91679" w:rsidRDefault="00A91679" w:rsidP="004A4E44">
            <w:pPr>
              <w:spacing w:after="0"/>
              <w:jc w:val="right"/>
              <w:rPr>
                <w:lang w:eastAsia="en-AU"/>
              </w:rPr>
            </w:pPr>
            <w:r w:rsidRPr="00A91679">
              <w:rPr>
                <w:lang w:eastAsia="en-AU"/>
              </w:rPr>
              <w:t>3006</w:t>
            </w:r>
          </w:p>
        </w:tc>
        <w:tc>
          <w:tcPr>
            <w:tcW w:w="3691" w:type="dxa"/>
            <w:tcBorders>
              <w:top w:val="nil"/>
              <w:left w:val="nil"/>
              <w:bottom w:val="single" w:sz="4" w:space="0" w:color="auto"/>
              <w:right w:val="single" w:sz="4" w:space="0" w:color="auto"/>
            </w:tcBorders>
            <w:shd w:val="clear" w:color="auto" w:fill="auto"/>
            <w:noWrap/>
            <w:vAlign w:val="bottom"/>
            <w:hideMark/>
          </w:tcPr>
          <w:p w14:paraId="633E9280" w14:textId="69B8AAF4" w:rsidR="00A91679" w:rsidRPr="00A91679" w:rsidRDefault="00A91679" w:rsidP="004A4E44">
            <w:pPr>
              <w:spacing w:after="0"/>
              <w:jc w:val="right"/>
              <w:rPr>
                <w:lang w:eastAsia="en-AU"/>
              </w:rPr>
            </w:pPr>
            <w:r w:rsidRPr="00A91679">
              <w:rPr>
                <w:lang w:eastAsia="en-AU"/>
              </w:rPr>
              <w:t xml:space="preserve">1,806 </w:t>
            </w:r>
          </w:p>
        </w:tc>
      </w:tr>
      <w:tr w:rsidR="00A91679" w:rsidRPr="00A91679" w14:paraId="5925C701" w14:textId="77777777" w:rsidTr="004A4E44">
        <w:trPr>
          <w:trHeight w:val="30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45F0C195" w14:textId="77777777" w:rsidR="00A91679" w:rsidRPr="00A91679" w:rsidRDefault="00A91679" w:rsidP="004A4E44">
            <w:pPr>
              <w:spacing w:after="0"/>
              <w:jc w:val="right"/>
              <w:rPr>
                <w:lang w:eastAsia="en-AU"/>
              </w:rPr>
            </w:pPr>
            <w:r w:rsidRPr="00A91679">
              <w:rPr>
                <w:lang w:eastAsia="en-AU"/>
              </w:rPr>
              <w:t>3008</w:t>
            </w:r>
          </w:p>
        </w:tc>
        <w:tc>
          <w:tcPr>
            <w:tcW w:w="3691" w:type="dxa"/>
            <w:tcBorders>
              <w:top w:val="nil"/>
              <w:left w:val="nil"/>
              <w:bottom w:val="single" w:sz="4" w:space="0" w:color="auto"/>
              <w:right w:val="single" w:sz="4" w:space="0" w:color="auto"/>
            </w:tcBorders>
            <w:shd w:val="clear" w:color="auto" w:fill="auto"/>
            <w:noWrap/>
            <w:vAlign w:val="bottom"/>
            <w:hideMark/>
          </w:tcPr>
          <w:p w14:paraId="403F5828" w14:textId="6142993B" w:rsidR="00A91679" w:rsidRPr="00A91679" w:rsidRDefault="00A91679" w:rsidP="004A4E44">
            <w:pPr>
              <w:spacing w:after="0"/>
              <w:jc w:val="right"/>
              <w:rPr>
                <w:lang w:eastAsia="en-AU"/>
              </w:rPr>
            </w:pPr>
            <w:r w:rsidRPr="00A91679">
              <w:rPr>
                <w:lang w:eastAsia="en-AU"/>
              </w:rPr>
              <w:t xml:space="preserve">1,730 </w:t>
            </w:r>
          </w:p>
        </w:tc>
      </w:tr>
      <w:tr w:rsidR="00A91679" w:rsidRPr="00A91679" w14:paraId="34BE5C1C" w14:textId="77777777" w:rsidTr="004A4E44">
        <w:trPr>
          <w:trHeight w:val="30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19504E5A" w14:textId="77777777" w:rsidR="00A91679" w:rsidRPr="00A91679" w:rsidRDefault="00A91679" w:rsidP="004A4E44">
            <w:pPr>
              <w:spacing w:after="0"/>
              <w:jc w:val="right"/>
              <w:rPr>
                <w:lang w:eastAsia="en-AU"/>
              </w:rPr>
            </w:pPr>
            <w:r w:rsidRPr="00A91679">
              <w:rPr>
                <w:lang w:eastAsia="en-AU"/>
              </w:rPr>
              <w:t>3053</w:t>
            </w:r>
          </w:p>
        </w:tc>
        <w:tc>
          <w:tcPr>
            <w:tcW w:w="3691" w:type="dxa"/>
            <w:tcBorders>
              <w:top w:val="nil"/>
              <w:left w:val="nil"/>
              <w:bottom w:val="single" w:sz="4" w:space="0" w:color="auto"/>
              <w:right w:val="single" w:sz="4" w:space="0" w:color="auto"/>
            </w:tcBorders>
            <w:shd w:val="clear" w:color="auto" w:fill="auto"/>
            <w:noWrap/>
            <w:vAlign w:val="bottom"/>
            <w:hideMark/>
          </w:tcPr>
          <w:p w14:paraId="38DA9622" w14:textId="48FE8FB4" w:rsidR="00A91679" w:rsidRPr="00A91679" w:rsidRDefault="00A91679" w:rsidP="004A4E44">
            <w:pPr>
              <w:spacing w:after="0"/>
              <w:jc w:val="right"/>
              <w:rPr>
                <w:lang w:eastAsia="en-AU"/>
              </w:rPr>
            </w:pPr>
            <w:r w:rsidRPr="00A91679">
              <w:rPr>
                <w:lang w:eastAsia="en-AU"/>
              </w:rPr>
              <w:t xml:space="preserve">935 </w:t>
            </w:r>
          </w:p>
        </w:tc>
      </w:tr>
      <w:tr w:rsidR="00A91679" w:rsidRPr="00A91679" w14:paraId="760ABE36" w14:textId="77777777" w:rsidTr="004A4E44">
        <w:trPr>
          <w:trHeight w:val="30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05E07C23" w14:textId="77777777" w:rsidR="00A91679" w:rsidRPr="00A91679" w:rsidRDefault="00A91679" w:rsidP="004A4E44">
            <w:pPr>
              <w:spacing w:after="0"/>
              <w:jc w:val="right"/>
              <w:rPr>
                <w:lang w:eastAsia="en-AU"/>
              </w:rPr>
            </w:pPr>
            <w:r w:rsidRPr="00A91679">
              <w:rPr>
                <w:lang w:eastAsia="en-AU"/>
              </w:rPr>
              <w:t>3002</w:t>
            </w:r>
          </w:p>
        </w:tc>
        <w:tc>
          <w:tcPr>
            <w:tcW w:w="3691" w:type="dxa"/>
            <w:tcBorders>
              <w:top w:val="nil"/>
              <w:left w:val="nil"/>
              <w:bottom w:val="single" w:sz="4" w:space="0" w:color="auto"/>
              <w:right w:val="single" w:sz="4" w:space="0" w:color="auto"/>
            </w:tcBorders>
            <w:shd w:val="clear" w:color="auto" w:fill="auto"/>
            <w:noWrap/>
            <w:vAlign w:val="bottom"/>
            <w:hideMark/>
          </w:tcPr>
          <w:p w14:paraId="1006F5A7" w14:textId="68DBCD58" w:rsidR="00A91679" w:rsidRPr="00A91679" w:rsidRDefault="00A91679" w:rsidP="004A4E44">
            <w:pPr>
              <w:spacing w:after="0"/>
              <w:jc w:val="right"/>
              <w:rPr>
                <w:lang w:eastAsia="en-AU"/>
              </w:rPr>
            </w:pPr>
            <w:r w:rsidRPr="00A91679">
              <w:rPr>
                <w:lang w:eastAsia="en-AU"/>
              </w:rPr>
              <w:t xml:space="preserve">869 </w:t>
            </w:r>
          </w:p>
        </w:tc>
      </w:tr>
      <w:tr w:rsidR="00A91679" w:rsidRPr="00A91679" w14:paraId="09528383" w14:textId="77777777" w:rsidTr="004A4E44">
        <w:trPr>
          <w:trHeight w:val="30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153026D0" w14:textId="77777777" w:rsidR="00A91679" w:rsidRPr="00A91679" w:rsidRDefault="00A91679" w:rsidP="004A4E44">
            <w:pPr>
              <w:spacing w:after="0"/>
              <w:jc w:val="right"/>
              <w:rPr>
                <w:lang w:eastAsia="en-AU"/>
              </w:rPr>
            </w:pPr>
            <w:r w:rsidRPr="00A91679">
              <w:rPr>
                <w:lang w:eastAsia="en-AU"/>
              </w:rPr>
              <w:t>3051</w:t>
            </w:r>
          </w:p>
        </w:tc>
        <w:tc>
          <w:tcPr>
            <w:tcW w:w="3691" w:type="dxa"/>
            <w:tcBorders>
              <w:top w:val="nil"/>
              <w:left w:val="nil"/>
              <w:bottom w:val="single" w:sz="4" w:space="0" w:color="auto"/>
              <w:right w:val="single" w:sz="4" w:space="0" w:color="auto"/>
            </w:tcBorders>
            <w:shd w:val="clear" w:color="auto" w:fill="auto"/>
            <w:noWrap/>
            <w:vAlign w:val="bottom"/>
            <w:hideMark/>
          </w:tcPr>
          <w:p w14:paraId="734DC384" w14:textId="64E30BCF" w:rsidR="00A91679" w:rsidRPr="00A91679" w:rsidRDefault="004A4E44" w:rsidP="004A4E44">
            <w:pPr>
              <w:spacing w:after="0"/>
              <w:jc w:val="right"/>
              <w:rPr>
                <w:lang w:eastAsia="en-AU"/>
              </w:rPr>
            </w:pPr>
            <w:r>
              <w:rPr>
                <w:lang w:eastAsia="en-AU"/>
              </w:rPr>
              <w:t>7</w:t>
            </w:r>
            <w:r w:rsidR="00A91679" w:rsidRPr="00A91679">
              <w:rPr>
                <w:lang w:eastAsia="en-AU"/>
              </w:rPr>
              <w:t xml:space="preserve">30 </w:t>
            </w:r>
          </w:p>
        </w:tc>
      </w:tr>
      <w:tr w:rsidR="00A91679" w:rsidRPr="00A91679" w14:paraId="3AA6D058" w14:textId="77777777" w:rsidTr="004A4E44">
        <w:trPr>
          <w:trHeight w:val="30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3D8BE313" w14:textId="77777777" w:rsidR="00A91679" w:rsidRPr="00A91679" w:rsidRDefault="00A91679" w:rsidP="004A4E44">
            <w:pPr>
              <w:spacing w:after="0"/>
              <w:jc w:val="right"/>
              <w:rPr>
                <w:lang w:eastAsia="en-AU"/>
              </w:rPr>
            </w:pPr>
            <w:r w:rsidRPr="00A91679">
              <w:rPr>
                <w:lang w:eastAsia="en-AU"/>
              </w:rPr>
              <w:t>3207</w:t>
            </w:r>
          </w:p>
        </w:tc>
        <w:tc>
          <w:tcPr>
            <w:tcW w:w="3691" w:type="dxa"/>
            <w:tcBorders>
              <w:top w:val="nil"/>
              <w:left w:val="nil"/>
              <w:bottom w:val="single" w:sz="4" w:space="0" w:color="auto"/>
              <w:right w:val="single" w:sz="4" w:space="0" w:color="auto"/>
            </w:tcBorders>
            <w:shd w:val="clear" w:color="auto" w:fill="auto"/>
            <w:noWrap/>
            <w:vAlign w:val="bottom"/>
            <w:hideMark/>
          </w:tcPr>
          <w:p w14:paraId="3A93295E" w14:textId="7548F603" w:rsidR="00A91679" w:rsidRPr="00A91679" w:rsidRDefault="00A91679" w:rsidP="004A4E44">
            <w:pPr>
              <w:spacing w:after="0"/>
              <w:jc w:val="right"/>
              <w:rPr>
                <w:lang w:eastAsia="en-AU"/>
              </w:rPr>
            </w:pPr>
            <w:r w:rsidRPr="00A91679">
              <w:rPr>
                <w:lang w:eastAsia="en-AU"/>
              </w:rPr>
              <w:t xml:space="preserve">653 </w:t>
            </w:r>
          </w:p>
        </w:tc>
      </w:tr>
      <w:tr w:rsidR="00A91679" w:rsidRPr="00A91679" w14:paraId="6DE09FF8" w14:textId="77777777" w:rsidTr="004A4E44">
        <w:trPr>
          <w:trHeight w:val="30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2C93879A" w14:textId="77777777" w:rsidR="00A91679" w:rsidRPr="00A91679" w:rsidRDefault="00A91679" w:rsidP="004A4E44">
            <w:pPr>
              <w:spacing w:after="0"/>
              <w:jc w:val="right"/>
              <w:rPr>
                <w:lang w:eastAsia="en-AU"/>
              </w:rPr>
            </w:pPr>
            <w:r w:rsidRPr="00A91679">
              <w:rPr>
                <w:lang w:eastAsia="en-AU"/>
              </w:rPr>
              <w:t>3003</w:t>
            </w:r>
          </w:p>
        </w:tc>
        <w:tc>
          <w:tcPr>
            <w:tcW w:w="3691" w:type="dxa"/>
            <w:tcBorders>
              <w:top w:val="nil"/>
              <w:left w:val="nil"/>
              <w:bottom w:val="single" w:sz="4" w:space="0" w:color="auto"/>
              <w:right w:val="single" w:sz="4" w:space="0" w:color="auto"/>
            </w:tcBorders>
            <w:shd w:val="clear" w:color="auto" w:fill="auto"/>
            <w:noWrap/>
            <w:vAlign w:val="bottom"/>
            <w:hideMark/>
          </w:tcPr>
          <w:p w14:paraId="32C5EB4C" w14:textId="0B12CDED" w:rsidR="00A91679" w:rsidRPr="00A91679" w:rsidRDefault="00A91679" w:rsidP="004A4E44">
            <w:pPr>
              <w:spacing w:after="0"/>
              <w:jc w:val="right"/>
              <w:rPr>
                <w:lang w:eastAsia="en-AU"/>
              </w:rPr>
            </w:pPr>
            <w:r w:rsidRPr="00A91679">
              <w:rPr>
                <w:lang w:eastAsia="en-AU"/>
              </w:rPr>
              <w:t xml:space="preserve">630 </w:t>
            </w:r>
          </w:p>
        </w:tc>
      </w:tr>
      <w:tr w:rsidR="00A91679" w:rsidRPr="00A91679" w14:paraId="6798BB3F" w14:textId="77777777" w:rsidTr="004A4E44">
        <w:trPr>
          <w:trHeight w:val="30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5D65D35F" w14:textId="77777777" w:rsidR="00A91679" w:rsidRPr="00A91679" w:rsidRDefault="00A91679" w:rsidP="004A4E44">
            <w:pPr>
              <w:spacing w:after="0"/>
              <w:jc w:val="right"/>
              <w:rPr>
                <w:lang w:eastAsia="en-AU"/>
              </w:rPr>
            </w:pPr>
            <w:r w:rsidRPr="00A91679">
              <w:rPr>
                <w:lang w:eastAsia="en-AU"/>
              </w:rPr>
              <w:t>3052</w:t>
            </w:r>
          </w:p>
        </w:tc>
        <w:tc>
          <w:tcPr>
            <w:tcW w:w="3691" w:type="dxa"/>
            <w:tcBorders>
              <w:top w:val="nil"/>
              <w:left w:val="nil"/>
              <w:bottom w:val="single" w:sz="4" w:space="0" w:color="auto"/>
              <w:right w:val="single" w:sz="4" w:space="0" w:color="auto"/>
            </w:tcBorders>
            <w:shd w:val="clear" w:color="auto" w:fill="auto"/>
            <w:noWrap/>
            <w:vAlign w:val="bottom"/>
            <w:hideMark/>
          </w:tcPr>
          <w:p w14:paraId="266ABB1B" w14:textId="6B72A1E3" w:rsidR="00A91679" w:rsidRPr="00A91679" w:rsidRDefault="00A91679" w:rsidP="004A4E44">
            <w:pPr>
              <w:spacing w:after="0"/>
              <w:jc w:val="right"/>
              <w:rPr>
                <w:lang w:eastAsia="en-AU"/>
              </w:rPr>
            </w:pPr>
            <w:r w:rsidRPr="00A91679">
              <w:rPr>
                <w:lang w:eastAsia="en-AU"/>
              </w:rPr>
              <w:t xml:space="preserve">610 </w:t>
            </w:r>
          </w:p>
        </w:tc>
      </w:tr>
      <w:tr w:rsidR="00A91679" w:rsidRPr="00A91679" w14:paraId="710EDE1A" w14:textId="77777777" w:rsidTr="004A4E44">
        <w:trPr>
          <w:trHeight w:val="30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695441D1" w14:textId="77777777" w:rsidR="00A91679" w:rsidRPr="00A91679" w:rsidRDefault="00A91679" w:rsidP="004A4E44">
            <w:pPr>
              <w:spacing w:after="0"/>
              <w:jc w:val="right"/>
              <w:rPr>
                <w:lang w:eastAsia="en-AU"/>
              </w:rPr>
            </w:pPr>
            <w:r w:rsidRPr="00A91679">
              <w:rPr>
                <w:lang w:eastAsia="en-AU"/>
              </w:rPr>
              <w:t>3050</w:t>
            </w:r>
          </w:p>
        </w:tc>
        <w:tc>
          <w:tcPr>
            <w:tcW w:w="3691" w:type="dxa"/>
            <w:tcBorders>
              <w:top w:val="nil"/>
              <w:left w:val="nil"/>
              <w:bottom w:val="single" w:sz="4" w:space="0" w:color="auto"/>
              <w:right w:val="single" w:sz="4" w:space="0" w:color="auto"/>
            </w:tcBorders>
            <w:shd w:val="clear" w:color="auto" w:fill="auto"/>
            <w:noWrap/>
            <w:vAlign w:val="bottom"/>
            <w:hideMark/>
          </w:tcPr>
          <w:p w14:paraId="606DD846" w14:textId="27B9626D" w:rsidR="00A91679" w:rsidRPr="00A91679" w:rsidRDefault="00A91679" w:rsidP="004A4E44">
            <w:pPr>
              <w:spacing w:after="0"/>
              <w:jc w:val="right"/>
              <w:rPr>
                <w:lang w:eastAsia="en-AU"/>
              </w:rPr>
            </w:pPr>
            <w:r w:rsidRPr="00A91679">
              <w:rPr>
                <w:lang w:eastAsia="en-AU"/>
              </w:rPr>
              <w:t xml:space="preserve">545 </w:t>
            </w:r>
          </w:p>
        </w:tc>
      </w:tr>
      <w:tr w:rsidR="00A91679" w:rsidRPr="00A91679" w14:paraId="3C4A3819" w14:textId="77777777" w:rsidTr="004A4E44">
        <w:trPr>
          <w:trHeight w:val="30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626B8221" w14:textId="77777777" w:rsidR="00A91679" w:rsidRPr="00A91679" w:rsidRDefault="00A91679" w:rsidP="004A4E44">
            <w:pPr>
              <w:spacing w:after="0"/>
              <w:jc w:val="right"/>
              <w:rPr>
                <w:lang w:eastAsia="en-AU"/>
              </w:rPr>
            </w:pPr>
            <w:r w:rsidRPr="00A91679">
              <w:rPr>
                <w:lang w:eastAsia="en-AU"/>
              </w:rPr>
              <w:t>3031</w:t>
            </w:r>
          </w:p>
        </w:tc>
        <w:tc>
          <w:tcPr>
            <w:tcW w:w="3691" w:type="dxa"/>
            <w:tcBorders>
              <w:top w:val="nil"/>
              <w:left w:val="nil"/>
              <w:bottom w:val="single" w:sz="4" w:space="0" w:color="auto"/>
              <w:right w:val="single" w:sz="4" w:space="0" w:color="auto"/>
            </w:tcBorders>
            <w:shd w:val="clear" w:color="auto" w:fill="auto"/>
            <w:noWrap/>
            <w:vAlign w:val="bottom"/>
            <w:hideMark/>
          </w:tcPr>
          <w:p w14:paraId="516C2166" w14:textId="0E01A4E0" w:rsidR="00A91679" w:rsidRPr="00A91679" w:rsidRDefault="00A91679" w:rsidP="004A4E44">
            <w:pPr>
              <w:spacing w:after="0"/>
              <w:jc w:val="right"/>
              <w:rPr>
                <w:lang w:eastAsia="en-AU"/>
              </w:rPr>
            </w:pPr>
            <w:r w:rsidRPr="00A91679">
              <w:rPr>
                <w:lang w:eastAsia="en-AU"/>
              </w:rPr>
              <w:t xml:space="preserve">480 </w:t>
            </w:r>
          </w:p>
        </w:tc>
      </w:tr>
      <w:tr w:rsidR="00A91679" w:rsidRPr="00A91679" w14:paraId="1B92F492" w14:textId="77777777" w:rsidTr="004A4E44">
        <w:trPr>
          <w:trHeight w:val="30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0656DC18" w14:textId="77777777" w:rsidR="00A91679" w:rsidRPr="00A91679" w:rsidRDefault="00A91679" w:rsidP="004A4E44">
            <w:pPr>
              <w:spacing w:after="0"/>
              <w:jc w:val="right"/>
              <w:rPr>
                <w:lang w:eastAsia="en-AU"/>
              </w:rPr>
            </w:pPr>
            <w:r w:rsidRPr="00A91679">
              <w:rPr>
                <w:lang w:eastAsia="en-AU"/>
              </w:rPr>
              <w:t>3004</w:t>
            </w:r>
          </w:p>
        </w:tc>
        <w:tc>
          <w:tcPr>
            <w:tcW w:w="3691" w:type="dxa"/>
            <w:tcBorders>
              <w:top w:val="nil"/>
              <w:left w:val="nil"/>
              <w:bottom w:val="single" w:sz="4" w:space="0" w:color="auto"/>
              <w:right w:val="single" w:sz="4" w:space="0" w:color="auto"/>
            </w:tcBorders>
            <w:shd w:val="clear" w:color="auto" w:fill="auto"/>
            <w:noWrap/>
            <w:vAlign w:val="bottom"/>
            <w:hideMark/>
          </w:tcPr>
          <w:p w14:paraId="4D46435C" w14:textId="701EDE78" w:rsidR="00A91679" w:rsidRPr="00A91679" w:rsidRDefault="00A91679" w:rsidP="004A4E44">
            <w:pPr>
              <w:spacing w:after="0"/>
              <w:jc w:val="right"/>
              <w:rPr>
                <w:lang w:eastAsia="en-AU"/>
              </w:rPr>
            </w:pPr>
            <w:r w:rsidRPr="00A91679">
              <w:rPr>
                <w:lang w:eastAsia="en-AU"/>
              </w:rPr>
              <w:t xml:space="preserve">383 </w:t>
            </w:r>
          </w:p>
        </w:tc>
      </w:tr>
      <w:tr w:rsidR="00A91679" w:rsidRPr="00A91679" w14:paraId="2221A793" w14:textId="77777777" w:rsidTr="004A4E44">
        <w:trPr>
          <w:trHeight w:val="30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6FBD37D6" w14:textId="77777777" w:rsidR="00A91679" w:rsidRPr="00A91679" w:rsidRDefault="00A91679" w:rsidP="004A4E44">
            <w:pPr>
              <w:spacing w:after="0"/>
              <w:jc w:val="right"/>
              <w:rPr>
                <w:lang w:eastAsia="en-AU"/>
              </w:rPr>
            </w:pPr>
            <w:r w:rsidRPr="00A91679">
              <w:rPr>
                <w:lang w:eastAsia="en-AU"/>
              </w:rPr>
              <w:t>3181</w:t>
            </w:r>
          </w:p>
        </w:tc>
        <w:tc>
          <w:tcPr>
            <w:tcW w:w="3691" w:type="dxa"/>
            <w:tcBorders>
              <w:top w:val="nil"/>
              <w:left w:val="nil"/>
              <w:bottom w:val="single" w:sz="4" w:space="0" w:color="auto"/>
              <w:right w:val="single" w:sz="4" w:space="0" w:color="auto"/>
            </w:tcBorders>
            <w:shd w:val="clear" w:color="auto" w:fill="auto"/>
            <w:noWrap/>
            <w:vAlign w:val="bottom"/>
            <w:hideMark/>
          </w:tcPr>
          <w:p w14:paraId="491412CA" w14:textId="6B498B2A" w:rsidR="00A91679" w:rsidRPr="00A91679" w:rsidRDefault="00A91679" w:rsidP="004A4E44">
            <w:pPr>
              <w:spacing w:after="0"/>
              <w:jc w:val="right"/>
              <w:rPr>
                <w:lang w:eastAsia="en-AU"/>
              </w:rPr>
            </w:pPr>
            <w:r w:rsidRPr="00A91679">
              <w:rPr>
                <w:lang w:eastAsia="en-AU"/>
              </w:rPr>
              <w:t xml:space="preserve">331 </w:t>
            </w:r>
          </w:p>
        </w:tc>
      </w:tr>
      <w:tr w:rsidR="00A91679" w:rsidRPr="00A91679" w14:paraId="2A762D41" w14:textId="77777777" w:rsidTr="004A4E44">
        <w:trPr>
          <w:trHeight w:val="30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0026843A" w14:textId="77777777" w:rsidR="00A91679" w:rsidRPr="00A91679" w:rsidRDefault="00A91679" w:rsidP="004A4E44">
            <w:pPr>
              <w:spacing w:after="0"/>
              <w:jc w:val="right"/>
              <w:rPr>
                <w:lang w:eastAsia="en-AU"/>
              </w:rPr>
            </w:pPr>
            <w:r w:rsidRPr="00A91679">
              <w:rPr>
                <w:lang w:eastAsia="en-AU"/>
              </w:rPr>
              <w:t>3141</w:t>
            </w:r>
          </w:p>
        </w:tc>
        <w:tc>
          <w:tcPr>
            <w:tcW w:w="3691" w:type="dxa"/>
            <w:tcBorders>
              <w:top w:val="nil"/>
              <w:left w:val="nil"/>
              <w:bottom w:val="single" w:sz="4" w:space="0" w:color="auto"/>
              <w:right w:val="single" w:sz="4" w:space="0" w:color="auto"/>
            </w:tcBorders>
            <w:shd w:val="clear" w:color="auto" w:fill="auto"/>
            <w:noWrap/>
            <w:vAlign w:val="bottom"/>
            <w:hideMark/>
          </w:tcPr>
          <w:p w14:paraId="60AB6608" w14:textId="7F6CC7E9" w:rsidR="00A91679" w:rsidRPr="00A91679" w:rsidRDefault="00A91679" w:rsidP="004A4E44">
            <w:pPr>
              <w:spacing w:after="0"/>
              <w:jc w:val="right"/>
              <w:rPr>
                <w:lang w:eastAsia="en-AU"/>
              </w:rPr>
            </w:pPr>
            <w:r w:rsidRPr="00A91679">
              <w:rPr>
                <w:lang w:eastAsia="en-AU"/>
              </w:rPr>
              <w:t xml:space="preserve">192 </w:t>
            </w:r>
          </w:p>
        </w:tc>
      </w:tr>
      <w:tr w:rsidR="00A91679" w:rsidRPr="00A91679" w14:paraId="523EC66C" w14:textId="77777777" w:rsidTr="004A4E44">
        <w:trPr>
          <w:trHeight w:val="30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12B2F181" w14:textId="77777777" w:rsidR="00A91679" w:rsidRPr="00A91679" w:rsidRDefault="00A91679" w:rsidP="004A4E44">
            <w:pPr>
              <w:spacing w:after="0"/>
              <w:jc w:val="right"/>
              <w:rPr>
                <w:lang w:eastAsia="en-AU"/>
              </w:rPr>
            </w:pPr>
            <w:r w:rsidRPr="00A91679">
              <w:rPr>
                <w:lang w:eastAsia="en-AU"/>
              </w:rPr>
              <w:t>3010</w:t>
            </w:r>
          </w:p>
        </w:tc>
        <w:tc>
          <w:tcPr>
            <w:tcW w:w="3691" w:type="dxa"/>
            <w:tcBorders>
              <w:top w:val="nil"/>
              <w:left w:val="nil"/>
              <w:bottom w:val="single" w:sz="4" w:space="0" w:color="auto"/>
              <w:right w:val="single" w:sz="4" w:space="0" w:color="auto"/>
            </w:tcBorders>
            <w:shd w:val="clear" w:color="auto" w:fill="auto"/>
            <w:noWrap/>
            <w:vAlign w:val="bottom"/>
            <w:hideMark/>
          </w:tcPr>
          <w:p w14:paraId="75E7A200" w14:textId="0B3E2704" w:rsidR="00A91679" w:rsidRPr="00A91679" w:rsidRDefault="00A91679" w:rsidP="004A4E44">
            <w:pPr>
              <w:spacing w:after="0"/>
              <w:jc w:val="right"/>
              <w:rPr>
                <w:lang w:eastAsia="en-AU"/>
              </w:rPr>
            </w:pPr>
            <w:r w:rsidRPr="00A91679">
              <w:rPr>
                <w:lang w:eastAsia="en-AU"/>
              </w:rPr>
              <w:t xml:space="preserve">155 </w:t>
            </w:r>
          </w:p>
        </w:tc>
      </w:tr>
      <w:tr w:rsidR="00A91679" w:rsidRPr="00A91679" w14:paraId="5C4FD2FA" w14:textId="77777777" w:rsidTr="004A4E44">
        <w:trPr>
          <w:trHeight w:val="30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4D4EF0C7" w14:textId="77777777" w:rsidR="00A91679" w:rsidRPr="00A91679" w:rsidRDefault="00A91679" w:rsidP="004A4E44">
            <w:pPr>
              <w:spacing w:after="0"/>
              <w:jc w:val="right"/>
              <w:rPr>
                <w:lang w:eastAsia="en-AU"/>
              </w:rPr>
            </w:pPr>
            <w:r w:rsidRPr="00A91679">
              <w:rPr>
                <w:lang w:eastAsia="en-AU"/>
              </w:rPr>
              <w:t>3032</w:t>
            </w:r>
          </w:p>
        </w:tc>
        <w:tc>
          <w:tcPr>
            <w:tcW w:w="3691" w:type="dxa"/>
            <w:tcBorders>
              <w:top w:val="nil"/>
              <w:left w:val="nil"/>
              <w:bottom w:val="single" w:sz="4" w:space="0" w:color="auto"/>
              <w:right w:val="single" w:sz="4" w:space="0" w:color="auto"/>
            </w:tcBorders>
            <w:shd w:val="clear" w:color="auto" w:fill="auto"/>
            <w:noWrap/>
            <w:vAlign w:val="bottom"/>
            <w:hideMark/>
          </w:tcPr>
          <w:p w14:paraId="6877F06F" w14:textId="6A6B712F" w:rsidR="00A91679" w:rsidRPr="00A91679" w:rsidRDefault="00A91679" w:rsidP="004A4E44">
            <w:pPr>
              <w:spacing w:after="0"/>
              <w:jc w:val="right"/>
              <w:rPr>
                <w:lang w:eastAsia="en-AU"/>
              </w:rPr>
            </w:pPr>
            <w:r w:rsidRPr="00A91679">
              <w:rPr>
                <w:lang w:eastAsia="en-AU"/>
              </w:rPr>
              <w:t xml:space="preserve"> 57 </w:t>
            </w:r>
          </w:p>
        </w:tc>
      </w:tr>
      <w:tr w:rsidR="00A91679" w:rsidRPr="00A91679" w14:paraId="6D44B187" w14:textId="77777777" w:rsidTr="004A4E44">
        <w:trPr>
          <w:trHeight w:val="30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7D5D95EF" w14:textId="77777777" w:rsidR="00A91679" w:rsidRPr="00A91679" w:rsidRDefault="00A91679" w:rsidP="004A4E44">
            <w:pPr>
              <w:spacing w:after="0"/>
              <w:jc w:val="right"/>
              <w:rPr>
                <w:lang w:eastAsia="en-AU"/>
              </w:rPr>
            </w:pPr>
            <w:r w:rsidRPr="00A91679">
              <w:rPr>
                <w:lang w:eastAsia="en-AU"/>
              </w:rPr>
              <w:t>3054</w:t>
            </w:r>
          </w:p>
        </w:tc>
        <w:tc>
          <w:tcPr>
            <w:tcW w:w="3691" w:type="dxa"/>
            <w:tcBorders>
              <w:top w:val="nil"/>
              <w:left w:val="nil"/>
              <w:bottom w:val="single" w:sz="4" w:space="0" w:color="auto"/>
              <w:right w:val="single" w:sz="4" w:space="0" w:color="auto"/>
            </w:tcBorders>
            <w:shd w:val="clear" w:color="auto" w:fill="auto"/>
            <w:noWrap/>
            <w:vAlign w:val="bottom"/>
            <w:hideMark/>
          </w:tcPr>
          <w:p w14:paraId="0A4DFF38" w14:textId="36E202C6" w:rsidR="00A91679" w:rsidRPr="00A91679" w:rsidRDefault="00A91679" w:rsidP="004A4E44">
            <w:pPr>
              <w:spacing w:after="0"/>
              <w:jc w:val="right"/>
              <w:rPr>
                <w:lang w:eastAsia="en-AU"/>
              </w:rPr>
            </w:pPr>
            <w:r w:rsidRPr="00A91679">
              <w:rPr>
                <w:lang w:eastAsia="en-AU"/>
              </w:rPr>
              <w:t xml:space="preserve"> 2 </w:t>
            </w:r>
          </w:p>
        </w:tc>
      </w:tr>
    </w:tbl>
    <w:p w14:paraId="79986D4F" w14:textId="77777777" w:rsidR="00A91679" w:rsidRDefault="00A91679" w:rsidP="004A4E44">
      <w:pPr>
        <w:rPr>
          <w:rFonts w:ascii="Helvetica Light" w:hAnsi="Helvetica Light" w:cstheme="minorBidi"/>
          <w:szCs w:val="20"/>
        </w:rPr>
      </w:pPr>
    </w:p>
    <w:p w14:paraId="7BE7374C" w14:textId="77777777" w:rsidR="004A4E44" w:rsidRPr="007E394F" w:rsidRDefault="004A4E44" w:rsidP="004A4E44">
      <w:r w:rsidRPr="007E394F">
        <w:t xml:space="preserve">Return to </w:t>
      </w:r>
      <w:hyperlink w:anchor="_4.1_Overview_of" w:history="1">
        <w:r w:rsidRPr="007E394F">
          <w:rPr>
            <w:rStyle w:val="Hyperlink"/>
          </w:rPr>
          <w:t>Overview of Energy Consumption</w:t>
        </w:r>
      </w:hyperlink>
    </w:p>
    <w:p w14:paraId="4CBD3EC3" w14:textId="60F8C8D7" w:rsidR="004A4E44" w:rsidRPr="004A4E44" w:rsidRDefault="00944E9B" w:rsidP="00944E9B">
      <w:pPr>
        <w:pStyle w:val="Heading3"/>
        <w:ind w:left="1440" w:hanging="1440"/>
        <w:rPr>
          <w:rFonts w:hint="eastAsia"/>
        </w:rPr>
      </w:pPr>
      <w:bookmarkStart w:id="261" w:name="_Comparison_of_Floor"/>
      <w:bookmarkEnd w:id="261"/>
      <w:r>
        <w:t>Table A.3</w:t>
      </w:r>
      <w:r w:rsidR="00A13E20">
        <w:t>1</w:t>
      </w:r>
      <w:r>
        <w:tab/>
      </w:r>
      <w:r w:rsidR="004A4E44" w:rsidRPr="00A91679">
        <w:t>Comparison of Floor Area and Energy Consumption by Postcode, City of Melbourne, 2022</w:t>
      </w:r>
    </w:p>
    <w:tbl>
      <w:tblPr>
        <w:tblW w:w="7088" w:type="dxa"/>
        <w:tblInd w:w="-5" w:type="dxa"/>
        <w:tblLook w:val="04A0" w:firstRow="1" w:lastRow="0" w:firstColumn="1" w:lastColumn="0" w:noHBand="0" w:noVBand="1"/>
      </w:tblPr>
      <w:tblGrid>
        <w:gridCol w:w="1117"/>
        <w:gridCol w:w="2994"/>
        <w:gridCol w:w="2977"/>
      </w:tblGrid>
      <w:tr w:rsidR="00A91679" w:rsidRPr="00A91679" w14:paraId="0415BB8B" w14:textId="77777777" w:rsidTr="004A4E44">
        <w:trPr>
          <w:trHeight w:val="300"/>
        </w:trPr>
        <w:tc>
          <w:tcPr>
            <w:tcW w:w="11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3AC9DB" w14:textId="77777777" w:rsidR="00A91679" w:rsidRPr="004A4E44" w:rsidRDefault="00A91679" w:rsidP="004A4E44">
            <w:pPr>
              <w:spacing w:after="0"/>
              <w:rPr>
                <w:b/>
                <w:bCs/>
                <w:lang w:eastAsia="en-AU"/>
              </w:rPr>
            </w:pPr>
            <w:bookmarkStart w:id="262" w:name="_Figure_32:_Comparison"/>
            <w:bookmarkEnd w:id="262"/>
            <w:r w:rsidRPr="004A4E44">
              <w:rPr>
                <w:b/>
                <w:bCs/>
                <w:lang w:eastAsia="en-AU"/>
              </w:rPr>
              <w:t>Postcode</w:t>
            </w:r>
          </w:p>
        </w:tc>
        <w:tc>
          <w:tcPr>
            <w:tcW w:w="2994" w:type="dxa"/>
            <w:tcBorders>
              <w:top w:val="single" w:sz="4" w:space="0" w:color="auto"/>
              <w:left w:val="nil"/>
              <w:bottom w:val="single" w:sz="4" w:space="0" w:color="auto"/>
              <w:right w:val="single" w:sz="4" w:space="0" w:color="auto"/>
            </w:tcBorders>
            <w:shd w:val="clear" w:color="auto" w:fill="auto"/>
            <w:noWrap/>
            <w:vAlign w:val="bottom"/>
            <w:hideMark/>
          </w:tcPr>
          <w:p w14:paraId="085EB160" w14:textId="77777777" w:rsidR="00A91679" w:rsidRPr="004A4E44" w:rsidRDefault="00A91679" w:rsidP="004A4E44">
            <w:pPr>
              <w:spacing w:after="0"/>
              <w:rPr>
                <w:b/>
                <w:bCs/>
                <w:lang w:eastAsia="en-AU"/>
              </w:rPr>
            </w:pPr>
            <w:r w:rsidRPr="004A4E44">
              <w:rPr>
                <w:b/>
                <w:bCs/>
                <w:lang w:eastAsia="en-AU"/>
              </w:rPr>
              <w:t>Floor Area as a Percentage of the Total (%)</w:t>
            </w:r>
          </w:p>
        </w:tc>
        <w:tc>
          <w:tcPr>
            <w:tcW w:w="2977" w:type="dxa"/>
            <w:tcBorders>
              <w:top w:val="single" w:sz="4" w:space="0" w:color="auto"/>
              <w:left w:val="nil"/>
              <w:bottom w:val="single" w:sz="4" w:space="0" w:color="auto"/>
              <w:right w:val="single" w:sz="4" w:space="0" w:color="auto"/>
            </w:tcBorders>
            <w:shd w:val="clear" w:color="auto" w:fill="auto"/>
            <w:noWrap/>
            <w:vAlign w:val="bottom"/>
            <w:hideMark/>
          </w:tcPr>
          <w:p w14:paraId="33C7690C" w14:textId="77777777" w:rsidR="00A91679" w:rsidRPr="004A4E44" w:rsidRDefault="00A91679" w:rsidP="004A4E44">
            <w:pPr>
              <w:spacing w:after="0"/>
              <w:rPr>
                <w:b/>
                <w:bCs/>
                <w:lang w:eastAsia="en-AU"/>
              </w:rPr>
            </w:pPr>
            <w:r w:rsidRPr="004A4E44">
              <w:rPr>
                <w:b/>
                <w:bCs/>
                <w:lang w:eastAsia="en-AU"/>
              </w:rPr>
              <w:t>Energy Consumption as a Percentage of the Total (%)</w:t>
            </w:r>
          </w:p>
        </w:tc>
      </w:tr>
      <w:tr w:rsidR="008E1EF1" w:rsidRPr="00A91679" w14:paraId="1970E438" w14:textId="77777777" w:rsidTr="004A4E44">
        <w:trPr>
          <w:trHeight w:val="300"/>
        </w:trPr>
        <w:tc>
          <w:tcPr>
            <w:tcW w:w="1117" w:type="dxa"/>
            <w:tcBorders>
              <w:top w:val="nil"/>
              <w:left w:val="single" w:sz="4" w:space="0" w:color="auto"/>
              <w:bottom w:val="single" w:sz="4" w:space="0" w:color="auto"/>
              <w:right w:val="single" w:sz="4" w:space="0" w:color="auto"/>
            </w:tcBorders>
            <w:shd w:val="clear" w:color="auto" w:fill="auto"/>
            <w:vAlign w:val="center"/>
            <w:hideMark/>
          </w:tcPr>
          <w:p w14:paraId="50C8703A" w14:textId="77777777" w:rsidR="008E1EF1" w:rsidRPr="00A91679" w:rsidRDefault="008E1EF1" w:rsidP="008E1EF1">
            <w:pPr>
              <w:spacing w:after="0"/>
              <w:jc w:val="right"/>
              <w:rPr>
                <w:lang w:eastAsia="en-AU"/>
              </w:rPr>
            </w:pPr>
            <w:r w:rsidRPr="00A91679">
              <w:rPr>
                <w:lang w:eastAsia="en-AU"/>
              </w:rPr>
              <w:t>3000</w:t>
            </w:r>
          </w:p>
        </w:tc>
        <w:tc>
          <w:tcPr>
            <w:tcW w:w="2994" w:type="dxa"/>
            <w:tcBorders>
              <w:top w:val="nil"/>
              <w:left w:val="nil"/>
              <w:bottom w:val="single" w:sz="4" w:space="0" w:color="auto"/>
              <w:right w:val="single" w:sz="4" w:space="0" w:color="auto"/>
            </w:tcBorders>
            <w:shd w:val="clear" w:color="auto" w:fill="auto"/>
            <w:vAlign w:val="center"/>
            <w:hideMark/>
          </w:tcPr>
          <w:p w14:paraId="34864BC5" w14:textId="7D80B045" w:rsidR="008E1EF1" w:rsidRPr="00A91679" w:rsidRDefault="008E1EF1" w:rsidP="008E1EF1">
            <w:pPr>
              <w:spacing w:after="0"/>
              <w:jc w:val="right"/>
              <w:rPr>
                <w:lang w:eastAsia="en-AU"/>
              </w:rPr>
            </w:pPr>
            <w:r>
              <w:rPr>
                <w:rFonts w:ascii="Calibri" w:hAnsi="Calibri" w:cs="Calibri"/>
                <w:color w:val="000000"/>
                <w:sz w:val="22"/>
                <w:szCs w:val="22"/>
              </w:rPr>
              <w:t>34%</w:t>
            </w:r>
          </w:p>
        </w:tc>
        <w:tc>
          <w:tcPr>
            <w:tcW w:w="2977" w:type="dxa"/>
            <w:tcBorders>
              <w:top w:val="nil"/>
              <w:left w:val="nil"/>
              <w:bottom w:val="single" w:sz="4" w:space="0" w:color="auto"/>
              <w:right w:val="single" w:sz="4" w:space="0" w:color="auto"/>
            </w:tcBorders>
            <w:shd w:val="clear" w:color="auto" w:fill="auto"/>
            <w:vAlign w:val="center"/>
            <w:hideMark/>
          </w:tcPr>
          <w:p w14:paraId="1F159138" w14:textId="47393F6F" w:rsidR="008E1EF1" w:rsidRPr="00A91679" w:rsidRDefault="008E1EF1" w:rsidP="008E1EF1">
            <w:pPr>
              <w:spacing w:after="0"/>
              <w:jc w:val="right"/>
              <w:rPr>
                <w:lang w:eastAsia="en-AU"/>
              </w:rPr>
            </w:pPr>
            <w:r>
              <w:rPr>
                <w:rFonts w:ascii="Calibri" w:hAnsi="Calibri" w:cs="Calibri"/>
                <w:color w:val="000000"/>
                <w:sz w:val="22"/>
                <w:szCs w:val="22"/>
              </w:rPr>
              <w:t>38%</w:t>
            </w:r>
          </w:p>
        </w:tc>
      </w:tr>
      <w:tr w:rsidR="008E1EF1" w:rsidRPr="00A91679" w14:paraId="5115FBC1" w14:textId="77777777" w:rsidTr="004A4E44">
        <w:trPr>
          <w:trHeight w:val="300"/>
        </w:trPr>
        <w:tc>
          <w:tcPr>
            <w:tcW w:w="1117" w:type="dxa"/>
            <w:tcBorders>
              <w:top w:val="nil"/>
              <w:left w:val="single" w:sz="4" w:space="0" w:color="auto"/>
              <w:bottom w:val="single" w:sz="4" w:space="0" w:color="auto"/>
              <w:right w:val="single" w:sz="4" w:space="0" w:color="auto"/>
            </w:tcBorders>
            <w:shd w:val="clear" w:color="auto" w:fill="auto"/>
            <w:vAlign w:val="center"/>
            <w:hideMark/>
          </w:tcPr>
          <w:p w14:paraId="1AEFE7C7" w14:textId="77777777" w:rsidR="008E1EF1" w:rsidRPr="00A91679" w:rsidRDefault="008E1EF1" w:rsidP="008E1EF1">
            <w:pPr>
              <w:spacing w:after="0"/>
              <w:jc w:val="right"/>
              <w:rPr>
                <w:lang w:eastAsia="en-AU"/>
              </w:rPr>
            </w:pPr>
            <w:r w:rsidRPr="00A91679">
              <w:rPr>
                <w:lang w:eastAsia="en-AU"/>
              </w:rPr>
              <w:t>3006</w:t>
            </w:r>
          </w:p>
        </w:tc>
        <w:tc>
          <w:tcPr>
            <w:tcW w:w="2994" w:type="dxa"/>
            <w:tcBorders>
              <w:top w:val="nil"/>
              <w:left w:val="nil"/>
              <w:bottom w:val="single" w:sz="4" w:space="0" w:color="auto"/>
              <w:right w:val="single" w:sz="4" w:space="0" w:color="auto"/>
            </w:tcBorders>
            <w:shd w:val="clear" w:color="auto" w:fill="auto"/>
            <w:vAlign w:val="center"/>
            <w:hideMark/>
          </w:tcPr>
          <w:p w14:paraId="009B6FF3" w14:textId="065BB7C9" w:rsidR="008E1EF1" w:rsidRPr="00A91679" w:rsidRDefault="008E1EF1" w:rsidP="008E1EF1">
            <w:pPr>
              <w:spacing w:after="0"/>
              <w:jc w:val="right"/>
              <w:rPr>
                <w:lang w:eastAsia="en-AU"/>
              </w:rPr>
            </w:pPr>
            <w:r>
              <w:rPr>
                <w:rFonts w:ascii="Calibri" w:hAnsi="Calibri" w:cs="Calibri"/>
                <w:color w:val="000000"/>
                <w:sz w:val="22"/>
                <w:szCs w:val="22"/>
              </w:rPr>
              <w:t>11%</w:t>
            </w:r>
          </w:p>
        </w:tc>
        <w:tc>
          <w:tcPr>
            <w:tcW w:w="2977" w:type="dxa"/>
            <w:tcBorders>
              <w:top w:val="nil"/>
              <w:left w:val="nil"/>
              <w:bottom w:val="single" w:sz="4" w:space="0" w:color="auto"/>
              <w:right w:val="single" w:sz="4" w:space="0" w:color="auto"/>
            </w:tcBorders>
            <w:shd w:val="clear" w:color="auto" w:fill="auto"/>
            <w:vAlign w:val="center"/>
            <w:hideMark/>
          </w:tcPr>
          <w:p w14:paraId="662268A9" w14:textId="133F8412" w:rsidR="008E1EF1" w:rsidRPr="00A91679" w:rsidRDefault="008E1EF1" w:rsidP="008E1EF1">
            <w:pPr>
              <w:spacing w:after="0"/>
              <w:jc w:val="right"/>
              <w:rPr>
                <w:lang w:eastAsia="en-AU"/>
              </w:rPr>
            </w:pPr>
            <w:r>
              <w:rPr>
                <w:rFonts w:ascii="Calibri" w:hAnsi="Calibri" w:cs="Calibri"/>
                <w:color w:val="000000"/>
                <w:sz w:val="22"/>
                <w:szCs w:val="22"/>
              </w:rPr>
              <w:t>11%</w:t>
            </w:r>
          </w:p>
        </w:tc>
      </w:tr>
      <w:tr w:rsidR="008E1EF1" w:rsidRPr="00A91679" w14:paraId="47B1C8CF" w14:textId="77777777" w:rsidTr="004A4E44">
        <w:trPr>
          <w:trHeight w:val="300"/>
        </w:trPr>
        <w:tc>
          <w:tcPr>
            <w:tcW w:w="1117" w:type="dxa"/>
            <w:tcBorders>
              <w:top w:val="nil"/>
              <w:left w:val="single" w:sz="4" w:space="0" w:color="auto"/>
              <w:bottom w:val="single" w:sz="4" w:space="0" w:color="auto"/>
              <w:right w:val="single" w:sz="4" w:space="0" w:color="auto"/>
            </w:tcBorders>
            <w:shd w:val="clear" w:color="auto" w:fill="auto"/>
            <w:vAlign w:val="center"/>
            <w:hideMark/>
          </w:tcPr>
          <w:p w14:paraId="5367F0AE" w14:textId="77777777" w:rsidR="008E1EF1" w:rsidRPr="00A91679" w:rsidRDefault="008E1EF1" w:rsidP="008E1EF1">
            <w:pPr>
              <w:spacing w:after="0"/>
              <w:jc w:val="right"/>
              <w:rPr>
                <w:lang w:eastAsia="en-AU"/>
              </w:rPr>
            </w:pPr>
            <w:r w:rsidRPr="00A91679">
              <w:rPr>
                <w:lang w:eastAsia="en-AU"/>
              </w:rPr>
              <w:t>3008</w:t>
            </w:r>
          </w:p>
        </w:tc>
        <w:tc>
          <w:tcPr>
            <w:tcW w:w="2994" w:type="dxa"/>
            <w:tcBorders>
              <w:top w:val="nil"/>
              <w:left w:val="nil"/>
              <w:bottom w:val="single" w:sz="4" w:space="0" w:color="auto"/>
              <w:right w:val="single" w:sz="4" w:space="0" w:color="auto"/>
            </w:tcBorders>
            <w:shd w:val="clear" w:color="auto" w:fill="auto"/>
            <w:vAlign w:val="center"/>
            <w:hideMark/>
          </w:tcPr>
          <w:p w14:paraId="55892DAF" w14:textId="34A0AE32" w:rsidR="008E1EF1" w:rsidRPr="00A91679" w:rsidRDefault="008E1EF1" w:rsidP="008E1EF1">
            <w:pPr>
              <w:spacing w:after="0"/>
              <w:jc w:val="right"/>
              <w:rPr>
                <w:lang w:eastAsia="en-AU"/>
              </w:rPr>
            </w:pPr>
            <w:r>
              <w:rPr>
                <w:rFonts w:ascii="Calibri" w:hAnsi="Calibri" w:cs="Calibri"/>
                <w:color w:val="000000"/>
                <w:sz w:val="22"/>
                <w:szCs w:val="22"/>
              </w:rPr>
              <w:t>12%</w:t>
            </w:r>
          </w:p>
        </w:tc>
        <w:tc>
          <w:tcPr>
            <w:tcW w:w="2977" w:type="dxa"/>
            <w:tcBorders>
              <w:top w:val="nil"/>
              <w:left w:val="nil"/>
              <w:bottom w:val="single" w:sz="4" w:space="0" w:color="auto"/>
              <w:right w:val="single" w:sz="4" w:space="0" w:color="auto"/>
            </w:tcBorders>
            <w:shd w:val="clear" w:color="auto" w:fill="auto"/>
            <w:vAlign w:val="center"/>
            <w:hideMark/>
          </w:tcPr>
          <w:p w14:paraId="0AAA70B0" w14:textId="3C16C2EA" w:rsidR="008E1EF1" w:rsidRPr="00A91679" w:rsidRDefault="008E1EF1" w:rsidP="008E1EF1">
            <w:pPr>
              <w:spacing w:after="0"/>
              <w:jc w:val="right"/>
              <w:rPr>
                <w:lang w:eastAsia="en-AU"/>
              </w:rPr>
            </w:pPr>
            <w:r>
              <w:rPr>
                <w:rFonts w:ascii="Calibri" w:hAnsi="Calibri" w:cs="Calibri"/>
                <w:color w:val="000000"/>
                <w:sz w:val="22"/>
                <w:szCs w:val="22"/>
              </w:rPr>
              <w:t>11%</w:t>
            </w:r>
          </w:p>
        </w:tc>
      </w:tr>
      <w:tr w:rsidR="008E1EF1" w:rsidRPr="00A91679" w14:paraId="1D9110CF" w14:textId="77777777" w:rsidTr="004A4E44">
        <w:trPr>
          <w:trHeight w:val="300"/>
        </w:trPr>
        <w:tc>
          <w:tcPr>
            <w:tcW w:w="1117" w:type="dxa"/>
            <w:tcBorders>
              <w:top w:val="nil"/>
              <w:left w:val="single" w:sz="4" w:space="0" w:color="auto"/>
              <w:bottom w:val="single" w:sz="4" w:space="0" w:color="auto"/>
              <w:right w:val="single" w:sz="4" w:space="0" w:color="auto"/>
            </w:tcBorders>
            <w:shd w:val="clear" w:color="auto" w:fill="auto"/>
            <w:vAlign w:val="center"/>
            <w:hideMark/>
          </w:tcPr>
          <w:p w14:paraId="0A7181DF" w14:textId="77777777" w:rsidR="008E1EF1" w:rsidRPr="00A91679" w:rsidRDefault="008E1EF1" w:rsidP="008E1EF1">
            <w:pPr>
              <w:spacing w:after="0"/>
              <w:jc w:val="right"/>
              <w:rPr>
                <w:lang w:eastAsia="en-AU"/>
              </w:rPr>
            </w:pPr>
            <w:r w:rsidRPr="00A91679">
              <w:rPr>
                <w:lang w:eastAsia="en-AU"/>
              </w:rPr>
              <w:t>3053</w:t>
            </w:r>
          </w:p>
        </w:tc>
        <w:tc>
          <w:tcPr>
            <w:tcW w:w="2994" w:type="dxa"/>
            <w:tcBorders>
              <w:top w:val="nil"/>
              <w:left w:val="nil"/>
              <w:bottom w:val="single" w:sz="4" w:space="0" w:color="auto"/>
              <w:right w:val="single" w:sz="4" w:space="0" w:color="auto"/>
            </w:tcBorders>
            <w:shd w:val="clear" w:color="auto" w:fill="auto"/>
            <w:vAlign w:val="center"/>
            <w:hideMark/>
          </w:tcPr>
          <w:p w14:paraId="3F90053A" w14:textId="4FF9BB0F" w:rsidR="008E1EF1" w:rsidRPr="00A91679" w:rsidRDefault="008E1EF1" w:rsidP="008E1EF1">
            <w:pPr>
              <w:spacing w:after="0"/>
              <w:jc w:val="right"/>
              <w:rPr>
                <w:lang w:eastAsia="en-AU"/>
              </w:rPr>
            </w:pPr>
            <w:r>
              <w:rPr>
                <w:rFonts w:ascii="Calibri" w:hAnsi="Calibri" w:cs="Calibri"/>
                <w:color w:val="000000"/>
                <w:sz w:val="22"/>
                <w:szCs w:val="22"/>
              </w:rPr>
              <w:t>6%</w:t>
            </w:r>
          </w:p>
        </w:tc>
        <w:tc>
          <w:tcPr>
            <w:tcW w:w="2977" w:type="dxa"/>
            <w:tcBorders>
              <w:top w:val="nil"/>
              <w:left w:val="nil"/>
              <w:bottom w:val="single" w:sz="4" w:space="0" w:color="auto"/>
              <w:right w:val="single" w:sz="4" w:space="0" w:color="auto"/>
            </w:tcBorders>
            <w:shd w:val="clear" w:color="auto" w:fill="auto"/>
            <w:vAlign w:val="center"/>
            <w:hideMark/>
          </w:tcPr>
          <w:p w14:paraId="13256B46" w14:textId="5AEBA1E2" w:rsidR="008E1EF1" w:rsidRPr="00A91679" w:rsidRDefault="008E1EF1" w:rsidP="008E1EF1">
            <w:pPr>
              <w:spacing w:after="0"/>
              <w:jc w:val="right"/>
              <w:rPr>
                <w:lang w:eastAsia="en-AU"/>
              </w:rPr>
            </w:pPr>
            <w:r>
              <w:rPr>
                <w:rFonts w:ascii="Calibri" w:hAnsi="Calibri" w:cs="Calibri"/>
                <w:color w:val="000000"/>
                <w:sz w:val="22"/>
                <w:szCs w:val="22"/>
              </w:rPr>
              <w:t>6%</w:t>
            </w:r>
          </w:p>
        </w:tc>
      </w:tr>
      <w:tr w:rsidR="008E1EF1" w:rsidRPr="00A91679" w14:paraId="21B2BB89" w14:textId="77777777" w:rsidTr="004A4E44">
        <w:trPr>
          <w:trHeight w:val="300"/>
        </w:trPr>
        <w:tc>
          <w:tcPr>
            <w:tcW w:w="1117" w:type="dxa"/>
            <w:tcBorders>
              <w:top w:val="nil"/>
              <w:left w:val="single" w:sz="4" w:space="0" w:color="auto"/>
              <w:bottom w:val="single" w:sz="4" w:space="0" w:color="auto"/>
              <w:right w:val="single" w:sz="4" w:space="0" w:color="auto"/>
            </w:tcBorders>
            <w:shd w:val="clear" w:color="auto" w:fill="auto"/>
            <w:vAlign w:val="center"/>
            <w:hideMark/>
          </w:tcPr>
          <w:p w14:paraId="613E8766" w14:textId="77777777" w:rsidR="008E1EF1" w:rsidRPr="00A91679" w:rsidRDefault="008E1EF1" w:rsidP="008E1EF1">
            <w:pPr>
              <w:spacing w:after="0"/>
              <w:jc w:val="right"/>
              <w:rPr>
                <w:lang w:eastAsia="en-AU"/>
              </w:rPr>
            </w:pPr>
            <w:r w:rsidRPr="00A91679">
              <w:rPr>
                <w:lang w:eastAsia="en-AU"/>
              </w:rPr>
              <w:t>3002</w:t>
            </w:r>
          </w:p>
        </w:tc>
        <w:tc>
          <w:tcPr>
            <w:tcW w:w="2994" w:type="dxa"/>
            <w:tcBorders>
              <w:top w:val="nil"/>
              <w:left w:val="nil"/>
              <w:bottom w:val="single" w:sz="4" w:space="0" w:color="auto"/>
              <w:right w:val="single" w:sz="4" w:space="0" w:color="auto"/>
            </w:tcBorders>
            <w:shd w:val="clear" w:color="auto" w:fill="auto"/>
            <w:vAlign w:val="center"/>
            <w:hideMark/>
          </w:tcPr>
          <w:p w14:paraId="36DD48B8" w14:textId="646539DF" w:rsidR="008E1EF1" w:rsidRPr="00A91679" w:rsidRDefault="008E1EF1" w:rsidP="008E1EF1">
            <w:pPr>
              <w:spacing w:after="0"/>
              <w:jc w:val="right"/>
              <w:rPr>
                <w:lang w:eastAsia="en-AU"/>
              </w:rPr>
            </w:pPr>
            <w:r>
              <w:rPr>
                <w:rFonts w:ascii="Calibri" w:hAnsi="Calibri" w:cs="Calibri"/>
                <w:color w:val="000000"/>
                <w:sz w:val="22"/>
                <w:szCs w:val="22"/>
              </w:rPr>
              <w:t>4%</w:t>
            </w:r>
          </w:p>
        </w:tc>
        <w:tc>
          <w:tcPr>
            <w:tcW w:w="2977" w:type="dxa"/>
            <w:tcBorders>
              <w:top w:val="nil"/>
              <w:left w:val="nil"/>
              <w:bottom w:val="single" w:sz="4" w:space="0" w:color="auto"/>
              <w:right w:val="single" w:sz="4" w:space="0" w:color="auto"/>
            </w:tcBorders>
            <w:shd w:val="clear" w:color="auto" w:fill="auto"/>
            <w:vAlign w:val="center"/>
            <w:hideMark/>
          </w:tcPr>
          <w:p w14:paraId="623B8D90" w14:textId="7400F40C" w:rsidR="008E1EF1" w:rsidRPr="00A91679" w:rsidRDefault="008E1EF1" w:rsidP="008E1EF1">
            <w:pPr>
              <w:spacing w:after="0"/>
              <w:jc w:val="right"/>
              <w:rPr>
                <w:lang w:eastAsia="en-AU"/>
              </w:rPr>
            </w:pPr>
            <w:r>
              <w:rPr>
                <w:rFonts w:ascii="Calibri" w:hAnsi="Calibri" w:cs="Calibri"/>
                <w:color w:val="000000"/>
                <w:sz w:val="22"/>
                <w:szCs w:val="22"/>
              </w:rPr>
              <w:t>5%</w:t>
            </w:r>
          </w:p>
        </w:tc>
      </w:tr>
      <w:tr w:rsidR="008E1EF1" w:rsidRPr="00A91679" w14:paraId="2FB44AE8" w14:textId="77777777" w:rsidTr="004A4E44">
        <w:trPr>
          <w:trHeight w:val="300"/>
        </w:trPr>
        <w:tc>
          <w:tcPr>
            <w:tcW w:w="1117" w:type="dxa"/>
            <w:tcBorders>
              <w:top w:val="nil"/>
              <w:left w:val="single" w:sz="4" w:space="0" w:color="auto"/>
              <w:bottom w:val="single" w:sz="4" w:space="0" w:color="auto"/>
              <w:right w:val="single" w:sz="4" w:space="0" w:color="auto"/>
            </w:tcBorders>
            <w:shd w:val="clear" w:color="auto" w:fill="auto"/>
            <w:vAlign w:val="center"/>
            <w:hideMark/>
          </w:tcPr>
          <w:p w14:paraId="60D131A9" w14:textId="77777777" w:rsidR="008E1EF1" w:rsidRPr="00A91679" w:rsidRDefault="008E1EF1" w:rsidP="008E1EF1">
            <w:pPr>
              <w:spacing w:after="0"/>
              <w:jc w:val="right"/>
              <w:rPr>
                <w:lang w:eastAsia="en-AU"/>
              </w:rPr>
            </w:pPr>
            <w:r w:rsidRPr="00A91679">
              <w:rPr>
                <w:lang w:eastAsia="en-AU"/>
              </w:rPr>
              <w:t>3051</w:t>
            </w:r>
          </w:p>
        </w:tc>
        <w:tc>
          <w:tcPr>
            <w:tcW w:w="2994" w:type="dxa"/>
            <w:tcBorders>
              <w:top w:val="nil"/>
              <w:left w:val="nil"/>
              <w:bottom w:val="single" w:sz="4" w:space="0" w:color="auto"/>
              <w:right w:val="single" w:sz="4" w:space="0" w:color="auto"/>
            </w:tcBorders>
            <w:shd w:val="clear" w:color="auto" w:fill="auto"/>
            <w:vAlign w:val="center"/>
            <w:hideMark/>
          </w:tcPr>
          <w:p w14:paraId="546B17C1" w14:textId="749D2DDA" w:rsidR="008E1EF1" w:rsidRPr="00A91679" w:rsidRDefault="008E1EF1" w:rsidP="008E1EF1">
            <w:pPr>
              <w:spacing w:after="0"/>
              <w:jc w:val="right"/>
              <w:rPr>
                <w:lang w:eastAsia="en-AU"/>
              </w:rPr>
            </w:pPr>
            <w:r>
              <w:rPr>
                <w:rFonts w:ascii="Calibri" w:hAnsi="Calibri" w:cs="Calibri"/>
                <w:color w:val="000000"/>
                <w:sz w:val="22"/>
                <w:szCs w:val="22"/>
              </w:rPr>
              <w:t>5%</w:t>
            </w:r>
          </w:p>
        </w:tc>
        <w:tc>
          <w:tcPr>
            <w:tcW w:w="2977" w:type="dxa"/>
            <w:tcBorders>
              <w:top w:val="nil"/>
              <w:left w:val="nil"/>
              <w:bottom w:val="single" w:sz="4" w:space="0" w:color="auto"/>
              <w:right w:val="single" w:sz="4" w:space="0" w:color="auto"/>
            </w:tcBorders>
            <w:shd w:val="clear" w:color="auto" w:fill="auto"/>
            <w:vAlign w:val="center"/>
            <w:hideMark/>
          </w:tcPr>
          <w:p w14:paraId="2B7B2E84" w14:textId="6E57B324" w:rsidR="008E1EF1" w:rsidRPr="00A91679" w:rsidRDefault="008E1EF1" w:rsidP="008E1EF1">
            <w:pPr>
              <w:spacing w:after="0"/>
              <w:jc w:val="right"/>
              <w:rPr>
                <w:lang w:eastAsia="en-AU"/>
              </w:rPr>
            </w:pPr>
            <w:r>
              <w:rPr>
                <w:rFonts w:ascii="Calibri" w:hAnsi="Calibri" w:cs="Calibri"/>
                <w:color w:val="000000"/>
                <w:sz w:val="22"/>
                <w:szCs w:val="22"/>
              </w:rPr>
              <w:t>4%</w:t>
            </w:r>
          </w:p>
        </w:tc>
      </w:tr>
      <w:tr w:rsidR="008E1EF1" w:rsidRPr="00A91679" w14:paraId="14B1F4F7" w14:textId="77777777" w:rsidTr="004A4E44">
        <w:trPr>
          <w:trHeight w:val="300"/>
        </w:trPr>
        <w:tc>
          <w:tcPr>
            <w:tcW w:w="1117" w:type="dxa"/>
            <w:tcBorders>
              <w:top w:val="nil"/>
              <w:left w:val="single" w:sz="4" w:space="0" w:color="auto"/>
              <w:bottom w:val="single" w:sz="4" w:space="0" w:color="auto"/>
              <w:right w:val="single" w:sz="4" w:space="0" w:color="auto"/>
            </w:tcBorders>
            <w:shd w:val="clear" w:color="auto" w:fill="auto"/>
            <w:vAlign w:val="center"/>
            <w:hideMark/>
          </w:tcPr>
          <w:p w14:paraId="32AA6EAA" w14:textId="77777777" w:rsidR="008E1EF1" w:rsidRPr="00A91679" w:rsidRDefault="008E1EF1" w:rsidP="008E1EF1">
            <w:pPr>
              <w:spacing w:after="0"/>
              <w:jc w:val="right"/>
              <w:rPr>
                <w:lang w:eastAsia="en-AU"/>
              </w:rPr>
            </w:pPr>
            <w:r w:rsidRPr="00A91679">
              <w:rPr>
                <w:lang w:eastAsia="en-AU"/>
              </w:rPr>
              <w:t>3207</w:t>
            </w:r>
          </w:p>
        </w:tc>
        <w:tc>
          <w:tcPr>
            <w:tcW w:w="2994" w:type="dxa"/>
            <w:tcBorders>
              <w:top w:val="nil"/>
              <w:left w:val="nil"/>
              <w:bottom w:val="single" w:sz="4" w:space="0" w:color="auto"/>
              <w:right w:val="single" w:sz="4" w:space="0" w:color="auto"/>
            </w:tcBorders>
            <w:shd w:val="clear" w:color="auto" w:fill="auto"/>
            <w:vAlign w:val="center"/>
            <w:hideMark/>
          </w:tcPr>
          <w:p w14:paraId="4F643511" w14:textId="1A2E7ED6" w:rsidR="008E1EF1" w:rsidRPr="00A91679" w:rsidRDefault="008E1EF1" w:rsidP="008E1EF1">
            <w:pPr>
              <w:spacing w:after="0"/>
              <w:jc w:val="right"/>
              <w:rPr>
                <w:lang w:eastAsia="en-AU"/>
              </w:rPr>
            </w:pPr>
            <w:r>
              <w:rPr>
                <w:rFonts w:ascii="Calibri" w:hAnsi="Calibri" w:cs="Calibri"/>
                <w:color w:val="000000"/>
                <w:sz w:val="22"/>
                <w:szCs w:val="22"/>
              </w:rPr>
              <w:t>7%</w:t>
            </w:r>
          </w:p>
        </w:tc>
        <w:tc>
          <w:tcPr>
            <w:tcW w:w="2977" w:type="dxa"/>
            <w:tcBorders>
              <w:top w:val="nil"/>
              <w:left w:val="nil"/>
              <w:bottom w:val="single" w:sz="4" w:space="0" w:color="auto"/>
              <w:right w:val="single" w:sz="4" w:space="0" w:color="auto"/>
            </w:tcBorders>
            <w:shd w:val="clear" w:color="auto" w:fill="auto"/>
            <w:vAlign w:val="center"/>
            <w:hideMark/>
          </w:tcPr>
          <w:p w14:paraId="5254A7B0" w14:textId="035FD20C" w:rsidR="008E1EF1" w:rsidRPr="00A91679" w:rsidRDefault="008E1EF1" w:rsidP="008E1EF1">
            <w:pPr>
              <w:spacing w:after="0"/>
              <w:jc w:val="right"/>
              <w:rPr>
                <w:lang w:eastAsia="en-AU"/>
              </w:rPr>
            </w:pPr>
            <w:r>
              <w:rPr>
                <w:rFonts w:ascii="Calibri" w:hAnsi="Calibri" w:cs="Calibri"/>
                <w:color w:val="000000"/>
                <w:sz w:val="22"/>
                <w:szCs w:val="22"/>
              </w:rPr>
              <w:t>4%</w:t>
            </w:r>
          </w:p>
        </w:tc>
      </w:tr>
      <w:tr w:rsidR="008E1EF1" w:rsidRPr="00A91679" w14:paraId="54B1DDDD" w14:textId="77777777" w:rsidTr="004A4E44">
        <w:trPr>
          <w:trHeight w:val="300"/>
        </w:trPr>
        <w:tc>
          <w:tcPr>
            <w:tcW w:w="1117" w:type="dxa"/>
            <w:tcBorders>
              <w:top w:val="nil"/>
              <w:left w:val="single" w:sz="4" w:space="0" w:color="auto"/>
              <w:bottom w:val="single" w:sz="4" w:space="0" w:color="auto"/>
              <w:right w:val="single" w:sz="4" w:space="0" w:color="auto"/>
            </w:tcBorders>
            <w:shd w:val="clear" w:color="auto" w:fill="auto"/>
            <w:vAlign w:val="center"/>
            <w:hideMark/>
          </w:tcPr>
          <w:p w14:paraId="0A0F5C09" w14:textId="77777777" w:rsidR="008E1EF1" w:rsidRPr="00A91679" w:rsidRDefault="008E1EF1" w:rsidP="008E1EF1">
            <w:pPr>
              <w:spacing w:after="0"/>
              <w:jc w:val="right"/>
              <w:rPr>
                <w:lang w:eastAsia="en-AU"/>
              </w:rPr>
            </w:pPr>
            <w:r w:rsidRPr="00A91679">
              <w:rPr>
                <w:lang w:eastAsia="en-AU"/>
              </w:rPr>
              <w:t>3003</w:t>
            </w:r>
          </w:p>
        </w:tc>
        <w:tc>
          <w:tcPr>
            <w:tcW w:w="2994" w:type="dxa"/>
            <w:tcBorders>
              <w:top w:val="nil"/>
              <w:left w:val="nil"/>
              <w:bottom w:val="single" w:sz="4" w:space="0" w:color="auto"/>
              <w:right w:val="single" w:sz="4" w:space="0" w:color="auto"/>
            </w:tcBorders>
            <w:shd w:val="clear" w:color="auto" w:fill="auto"/>
            <w:vAlign w:val="center"/>
            <w:hideMark/>
          </w:tcPr>
          <w:p w14:paraId="0A4A7082" w14:textId="25CAE85C" w:rsidR="008E1EF1" w:rsidRPr="00A91679" w:rsidRDefault="008E1EF1" w:rsidP="008E1EF1">
            <w:pPr>
              <w:spacing w:after="0"/>
              <w:jc w:val="right"/>
              <w:rPr>
                <w:lang w:eastAsia="en-AU"/>
              </w:rPr>
            </w:pPr>
            <w:r>
              <w:rPr>
                <w:rFonts w:ascii="Calibri" w:hAnsi="Calibri" w:cs="Calibri"/>
                <w:color w:val="000000"/>
                <w:sz w:val="22"/>
                <w:szCs w:val="22"/>
              </w:rPr>
              <w:t>11%</w:t>
            </w:r>
          </w:p>
        </w:tc>
        <w:tc>
          <w:tcPr>
            <w:tcW w:w="2977" w:type="dxa"/>
            <w:tcBorders>
              <w:top w:val="nil"/>
              <w:left w:val="nil"/>
              <w:bottom w:val="single" w:sz="4" w:space="0" w:color="auto"/>
              <w:right w:val="single" w:sz="4" w:space="0" w:color="auto"/>
            </w:tcBorders>
            <w:shd w:val="clear" w:color="auto" w:fill="auto"/>
            <w:vAlign w:val="center"/>
            <w:hideMark/>
          </w:tcPr>
          <w:p w14:paraId="64CAD748" w14:textId="76CDFAB2" w:rsidR="008E1EF1" w:rsidRPr="00A91679" w:rsidRDefault="008E1EF1" w:rsidP="008E1EF1">
            <w:pPr>
              <w:spacing w:after="0"/>
              <w:jc w:val="right"/>
              <w:rPr>
                <w:lang w:eastAsia="en-AU"/>
              </w:rPr>
            </w:pPr>
            <w:r>
              <w:rPr>
                <w:rFonts w:ascii="Calibri" w:hAnsi="Calibri" w:cs="Calibri"/>
                <w:color w:val="000000"/>
                <w:sz w:val="22"/>
                <w:szCs w:val="22"/>
              </w:rPr>
              <w:t>4%</w:t>
            </w:r>
          </w:p>
        </w:tc>
      </w:tr>
      <w:tr w:rsidR="008E1EF1" w:rsidRPr="00A91679" w14:paraId="3B8471E9" w14:textId="77777777" w:rsidTr="004A4E44">
        <w:trPr>
          <w:trHeight w:val="300"/>
        </w:trPr>
        <w:tc>
          <w:tcPr>
            <w:tcW w:w="1117" w:type="dxa"/>
            <w:tcBorders>
              <w:top w:val="nil"/>
              <w:left w:val="single" w:sz="4" w:space="0" w:color="auto"/>
              <w:bottom w:val="single" w:sz="4" w:space="0" w:color="auto"/>
              <w:right w:val="single" w:sz="4" w:space="0" w:color="auto"/>
            </w:tcBorders>
            <w:shd w:val="clear" w:color="auto" w:fill="auto"/>
            <w:vAlign w:val="center"/>
            <w:hideMark/>
          </w:tcPr>
          <w:p w14:paraId="46995907" w14:textId="77777777" w:rsidR="008E1EF1" w:rsidRPr="00A91679" w:rsidRDefault="008E1EF1" w:rsidP="008E1EF1">
            <w:pPr>
              <w:spacing w:after="0"/>
              <w:jc w:val="right"/>
              <w:rPr>
                <w:lang w:eastAsia="en-AU"/>
              </w:rPr>
            </w:pPr>
            <w:r w:rsidRPr="00A91679">
              <w:rPr>
                <w:lang w:eastAsia="en-AU"/>
              </w:rPr>
              <w:t>3052</w:t>
            </w:r>
          </w:p>
        </w:tc>
        <w:tc>
          <w:tcPr>
            <w:tcW w:w="2994" w:type="dxa"/>
            <w:tcBorders>
              <w:top w:val="nil"/>
              <w:left w:val="nil"/>
              <w:bottom w:val="single" w:sz="4" w:space="0" w:color="auto"/>
              <w:right w:val="single" w:sz="4" w:space="0" w:color="auto"/>
            </w:tcBorders>
            <w:shd w:val="clear" w:color="auto" w:fill="auto"/>
            <w:vAlign w:val="center"/>
            <w:hideMark/>
          </w:tcPr>
          <w:p w14:paraId="03F9310C" w14:textId="37714A2D" w:rsidR="008E1EF1" w:rsidRPr="00A91679" w:rsidRDefault="008E1EF1" w:rsidP="008E1EF1">
            <w:pPr>
              <w:spacing w:after="0"/>
              <w:jc w:val="right"/>
              <w:rPr>
                <w:lang w:eastAsia="en-AU"/>
              </w:rPr>
            </w:pPr>
            <w:r>
              <w:rPr>
                <w:rFonts w:ascii="Calibri" w:hAnsi="Calibri" w:cs="Calibri"/>
                <w:color w:val="000000"/>
                <w:sz w:val="22"/>
                <w:szCs w:val="22"/>
              </w:rPr>
              <w:t>3%</w:t>
            </w:r>
          </w:p>
        </w:tc>
        <w:tc>
          <w:tcPr>
            <w:tcW w:w="2977" w:type="dxa"/>
            <w:tcBorders>
              <w:top w:val="nil"/>
              <w:left w:val="nil"/>
              <w:bottom w:val="single" w:sz="4" w:space="0" w:color="auto"/>
              <w:right w:val="single" w:sz="4" w:space="0" w:color="auto"/>
            </w:tcBorders>
            <w:shd w:val="clear" w:color="auto" w:fill="auto"/>
            <w:vAlign w:val="center"/>
            <w:hideMark/>
          </w:tcPr>
          <w:p w14:paraId="09DB4220" w14:textId="3C79A80C" w:rsidR="008E1EF1" w:rsidRPr="00A91679" w:rsidRDefault="008E1EF1" w:rsidP="008E1EF1">
            <w:pPr>
              <w:spacing w:after="0"/>
              <w:jc w:val="right"/>
              <w:rPr>
                <w:lang w:eastAsia="en-AU"/>
              </w:rPr>
            </w:pPr>
            <w:r>
              <w:rPr>
                <w:rFonts w:ascii="Calibri" w:hAnsi="Calibri" w:cs="Calibri"/>
                <w:color w:val="000000"/>
                <w:sz w:val="22"/>
                <w:szCs w:val="22"/>
              </w:rPr>
              <w:t>4%</w:t>
            </w:r>
          </w:p>
        </w:tc>
      </w:tr>
      <w:tr w:rsidR="008E1EF1" w:rsidRPr="00A91679" w14:paraId="2823DF81" w14:textId="77777777" w:rsidTr="004A4E44">
        <w:trPr>
          <w:trHeight w:val="300"/>
        </w:trPr>
        <w:tc>
          <w:tcPr>
            <w:tcW w:w="1117" w:type="dxa"/>
            <w:tcBorders>
              <w:top w:val="nil"/>
              <w:left w:val="single" w:sz="4" w:space="0" w:color="auto"/>
              <w:bottom w:val="single" w:sz="4" w:space="0" w:color="auto"/>
              <w:right w:val="single" w:sz="4" w:space="0" w:color="auto"/>
            </w:tcBorders>
            <w:shd w:val="clear" w:color="auto" w:fill="auto"/>
            <w:vAlign w:val="center"/>
            <w:hideMark/>
          </w:tcPr>
          <w:p w14:paraId="6312B888" w14:textId="77777777" w:rsidR="008E1EF1" w:rsidRPr="00A91679" w:rsidRDefault="008E1EF1" w:rsidP="008E1EF1">
            <w:pPr>
              <w:spacing w:after="0"/>
              <w:jc w:val="right"/>
              <w:rPr>
                <w:lang w:eastAsia="en-AU"/>
              </w:rPr>
            </w:pPr>
            <w:r w:rsidRPr="00A91679">
              <w:rPr>
                <w:lang w:eastAsia="en-AU"/>
              </w:rPr>
              <w:t>3050</w:t>
            </w:r>
          </w:p>
        </w:tc>
        <w:tc>
          <w:tcPr>
            <w:tcW w:w="2994" w:type="dxa"/>
            <w:tcBorders>
              <w:top w:val="nil"/>
              <w:left w:val="nil"/>
              <w:bottom w:val="single" w:sz="4" w:space="0" w:color="auto"/>
              <w:right w:val="single" w:sz="4" w:space="0" w:color="auto"/>
            </w:tcBorders>
            <w:shd w:val="clear" w:color="auto" w:fill="auto"/>
            <w:vAlign w:val="center"/>
            <w:hideMark/>
          </w:tcPr>
          <w:p w14:paraId="603E1EC8" w14:textId="4163C304" w:rsidR="008E1EF1" w:rsidRPr="00A91679" w:rsidRDefault="008E1EF1" w:rsidP="008E1EF1">
            <w:pPr>
              <w:spacing w:after="0"/>
              <w:jc w:val="right"/>
              <w:rPr>
                <w:lang w:eastAsia="en-AU"/>
              </w:rPr>
            </w:pPr>
            <w:r>
              <w:rPr>
                <w:rFonts w:ascii="Calibri" w:hAnsi="Calibri" w:cs="Calibri"/>
                <w:color w:val="000000"/>
                <w:sz w:val="22"/>
                <w:szCs w:val="22"/>
              </w:rPr>
              <w:t>1%</w:t>
            </w:r>
          </w:p>
        </w:tc>
        <w:tc>
          <w:tcPr>
            <w:tcW w:w="2977" w:type="dxa"/>
            <w:tcBorders>
              <w:top w:val="nil"/>
              <w:left w:val="nil"/>
              <w:bottom w:val="single" w:sz="4" w:space="0" w:color="auto"/>
              <w:right w:val="single" w:sz="4" w:space="0" w:color="auto"/>
            </w:tcBorders>
            <w:shd w:val="clear" w:color="auto" w:fill="auto"/>
            <w:vAlign w:val="center"/>
            <w:hideMark/>
          </w:tcPr>
          <w:p w14:paraId="4A2FD5A4" w14:textId="6B6BB8FE" w:rsidR="008E1EF1" w:rsidRPr="00A91679" w:rsidRDefault="008E1EF1" w:rsidP="008E1EF1">
            <w:pPr>
              <w:spacing w:after="0"/>
              <w:jc w:val="right"/>
              <w:rPr>
                <w:lang w:eastAsia="en-AU"/>
              </w:rPr>
            </w:pPr>
            <w:r>
              <w:rPr>
                <w:rFonts w:ascii="Calibri" w:hAnsi="Calibri" w:cs="Calibri"/>
                <w:color w:val="000000"/>
                <w:sz w:val="22"/>
                <w:szCs w:val="22"/>
              </w:rPr>
              <w:t>3%</w:t>
            </w:r>
          </w:p>
        </w:tc>
      </w:tr>
      <w:tr w:rsidR="008E1EF1" w:rsidRPr="00A91679" w14:paraId="3FBCC830" w14:textId="77777777" w:rsidTr="004A4E44">
        <w:trPr>
          <w:trHeight w:val="300"/>
        </w:trPr>
        <w:tc>
          <w:tcPr>
            <w:tcW w:w="1117" w:type="dxa"/>
            <w:tcBorders>
              <w:top w:val="nil"/>
              <w:left w:val="single" w:sz="4" w:space="0" w:color="auto"/>
              <w:bottom w:val="single" w:sz="4" w:space="0" w:color="auto"/>
              <w:right w:val="single" w:sz="4" w:space="0" w:color="auto"/>
            </w:tcBorders>
            <w:shd w:val="clear" w:color="auto" w:fill="auto"/>
            <w:vAlign w:val="center"/>
            <w:hideMark/>
          </w:tcPr>
          <w:p w14:paraId="03421310" w14:textId="77777777" w:rsidR="008E1EF1" w:rsidRPr="00A91679" w:rsidRDefault="008E1EF1" w:rsidP="008E1EF1">
            <w:pPr>
              <w:spacing w:after="0"/>
              <w:jc w:val="right"/>
              <w:rPr>
                <w:lang w:eastAsia="en-AU"/>
              </w:rPr>
            </w:pPr>
            <w:r w:rsidRPr="00A91679">
              <w:rPr>
                <w:lang w:eastAsia="en-AU"/>
              </w:rPr>
              <w:t>3031</w:t>
            </w:r>
          </w:p>
        </w:tc>
        <w:tc>
          <w:tcPr>
            <w:tcW w:w="2994" w:type="dxa"/>
            <w:tcBorders>
              <w:top w:val="nil"/>
              <w:left w:val="nil"/>
              <w:bottom w:val="single" w:sz="4" w:space="0" w:color="auto"/>
              <w:right w:val="single" w:sz="4" w:space="0" w:color="auto"/>
            </w:tcBorders>
            <w:shd w:val="clear" w:color="auto" w:fill="auto"/>
            <w:vAlign w:val="center"/>
            <w:hideMark/>
          </w:tcPr>
          <w:p w14:paraId="18E1ECF6" w14:textId="32613CBA" w:rsidR="008E1EF1" w:rsidRPr="00A91679" w:rsidRDefault="008E1EF1" w:rsidP="008E1EF1">
            <w:pPr>
              <w:spacing w:after="0"/>
              <w:jc w:val="right"/>
              <w:rPr>
                <w:lang w:eastAsia="en-AU"/>
              </w:rPr>
            </w:pPr>
            <w:r>
              <w:rPr>
                <w:rFonts w:ascii="Calibri" w:hAnsi="Calibri" w:cs="Calibri"/>
                <w:color w:val="000000"/>
                <w:sz w:val="22"/>
                <w:szCs w:val="22"/>
              </w:rPr>
              <w:t>3%</w:t>
            </w:r>
          </w:p>
        </w:tc>
        <w:tc>
          <w:tcPr>
            <w:tcW w:w="2977" w:type="dxa"/>
            <w:tcBorders>
              <w:top w:val="nil"/>
              <w:left w:val="nil"/>
              <w:bottom w:val="single" w:sz="4" w:space="0" w:color="auto"/>
              <w:right w:val="single" w:sz="4" w:space="0" w:color="auto"/>
            </w:tcBorders>
            <w:shd w:val="clear" w:color="auto" w:fill="auto"/>
            <w:vAlign w:val="center"/>
            <w:hideMark/>
          </w:tcPr>
          <w:p w14:paraId="2E4C49ED" w14:textId="2015FDEA" w:rsidR="008E1EF1" w:rsidRPr="00A91679" w:rsidRDefault="008E1EF1" w:rsidP="008E1EF1">
            <w:pPr>
              <w:spacing w:after="0"/>
              <w:jc w:val="right"/>
              <w:rPr>
                <w:lang w:eastAsia="en-AU"/>
              </w:rPr>
            </w:pPr>
            <w:r>
              <w:rPr>
                <w:rFonts w:ascii="Calibri" w:hAnsi="Calibri" w:cs="Calibri"/>
                <w:color w:val="000000"/>
                <w:sz w:val="22"/>
                <w:szCs w:val="22"/>
              </w:rPr>
              <w:t>3%</w:t>
            </w:r>
          </w:p>
        </w:tc>
      </w:tr>
      <w:tr w:rsidR="008E1EF1" w:rsidRPr="00A91679" w14:paraId="408BCDE7" w14:textId="77777777" w:rsidTr="004A4E44">
        <w:trPr>
          <w:trHeight w:val="300"/>
        </w:trPr>
        <w:tc>
          <w:tcPr>
            <w:tcW w:w="1117" w:type="dxa"/>
            <w:tcBorders>
              <w:top w:val="nil"/>
              <w:left w:val="single" w:sz="4" w:space="0" w:color="auto"/>
              <w:bottom w:val="single" w:sz="4" w:space="0" w:color="auto"/>
              <w:right w:val="single" w:sz="4" w:space="0" w:color="auto"/>
            </w:tcBorders>
            <w:shd w:val="clear" w:color="auto" w:fill="auto"/>
            <w:vAlign w:val="center"/>
            <w:hideMark/>
          </w:tcPr>
          <w:p w14:paraId="4858B107" w14:textId="77777777" w:rsidR="008E1EF1" w:rsidRPr="00A91679" w:rsidRDefault="008E1EF1" w:rsidP="008E1EF1">
            <w:pPr>
              <w:spacing w:after="0"/>
              <w:jc w:val="right"/>
              <w:rPr>
                <w:lang w:eastAsia="en-AU"/>
              </w:rPr>
            </w:pPr>
            <w:r w:rsidRPr="00A91679">
              <w:rPr>
                <w:lang w:eastAsia="en-AU"/>
              </w:rPr>
              <w:t>3004</w:t>
            </w:r>
          </w:p>
        </w:tc>
        <w:tc>
          <w:tcPr>
            <w:tcW w:w="2994" w:type="dxa"/>
            <w:tcBorders>
              <w:top w:val="nil"/>
              <w:left w:val="nil"/>
              <w:bottom w:val="single" w:sz="4" w:space="0" w:color="auto"/>
              <w:right w:val="single" w:sz="4" w:space="0" w:color="auto"/>
            </w:tcBorders>
            <w:shd w:val="clear" w:color="auto" w:fill="auto"/>
            <w:vAlign w:val="center"/>
            <w:hideMark/>
          </w:tcPr>
          <w:p w14:paraId="0D8C4059" w14:textId="43FA1012" w:rsidR="008E1EF1" w:rsidRPr="00A91679" w:rsidRDefault="008E1EF1" w:rsidP="008E1EF1">
            <w:pPr>
              <w:spacing w:after="0"/>
              <w:jc w:val="right"/>
              <w:rPr>
                <w:lang w:eastAsia="en-AU"/>
              </w:rPr>
            </w:pPr>
            <w:r>
              <w:rPr>
                <w:rFonts w:ascii="Calibri" w:hAnsi="Calibri" w:cs="Calibri"/>
                <w:color w:val="000000"/>
                <w:sz w:val="22"/>
                <w:szCs w:val="22"/>
              </w:rPr>
              <w:t>2%</w:t>
            </w:r>
          </w:p>
        </w:tc>
        <w:tc>
          <w:tcPr>
            <w:tcW w:w="2977" w:type="dxa"/>
            <w:tcBorders>
              <w:top w:val="nil"/>
              <w:left w:val="nil"/>
              <w:bottom w:val="single" w:sz="4" w:space="0" w:color="auto"/>
              <w:right w:val="single" w:sz="4" w:space="0" w:color="auto"/>
            </w:tcBorders>
            <w:shd w:val="clear" w:color="auto" w:fill="auto"/>
            <w:vAlign w:val="center"/>
            <w:hideMark/>
          </w:tcPr>
          <w:p w14:paraId="588D51E6" w14:textId="2BA1678F" w:rsidR="008E1EF1" w:rsidRPr="00A91679" w:rsidRDefault="008E1EF1" w:rsidP="008E1EF1">
            <w:pPr>
              <w:spacing w:after="0"/>
              <w:jc w:val="right"/>
              <w:rPr>
                <w:lang w:eastAsia="en-AU"/>
              </w:rPr>
            </w:pPr>
            <w:r>
              <w:rPr>
                <w:rFonts w:ascii="Calibri" w:hAnsi="Calibri" w:cs="Calibri"/>
                <w:color w:val="000000"/>
                <w:sz w:val="22"/>
                <w:szCs w:val="22"/>
              </w:rPr>
              <w:t>2%</w:t>
            </w:r>
          </w:p>
        </w:tc>
      </w:tr>
      <w:tr w:rsidR="008E1EF1" w:rsidRPr="00A91679" w14:paraId="5F338789" w14:textId="77777777" w:rsidTr="004A4E44">
        <w:trPr>
          <w:trHeight w:val="300"/>
        </w:trPr>
        <w:tc>
          <w:tcPr>
            <w:tcW w:w="1117" w:type="dxa"/>
            <w:tcBorders>
              <w:top w:val="nil"/>
              <w:left w:val="single" w:sz="4" w:space="0" w:color="auto"/>
              <w:bottom w:val="single" w:sz="4" w:space="0" w:color="auto"/>
              <w:right w:val="single" w:sz="4" w:space="0" w:color="auto"/>
            </w:tcBorders>
            <w:shd w:val="clear" w:color="auto" w:fill="auto"/>
            <w:vAlign w:val="center"/>
            <w:hideMark/>
          </w:tcPr>
          <w:p w14:paraId="4E66FF98" w14:textId="77777777" w:rsidR="008E1EF1" w:rsidRPr="00A91679" w:rsidRDefault="008E1EF1" w:rsidP="008E1EF1">
            <w:pPr>
              <w:spacing w:after="0"/>
              <w:jc w:val="right"/>
              <w:rPr>
                <w:lang w:eastAsia="en-AU"/>
              </w:rPr>
            </w:pPr>
            <w:r w:rsidRPr="00A91679">
              <w:rPr>
                <w:lang w:eastAsia="en-AU"/>
              </w:rPr>
              <w:lastRenderedPageBreak/>
              <w:t>3181</w:t>
            </w:r>
          </w:p>
        </w:tc>
        <w:tc>
          <w:tcPr>
            <w:tcW w:w="2994" w:type="dxa"/>
            <w:tcBorders>
              <w:top w:val="nil"/>
              <w:left w:val="nil"/>
              <w:bottom w:val="single" w:sz="4" w:space="0" w:color="auto"/>
              <w:right w:val="single" w:sz="4" w:space="0" w:color="auto"/>
            </w:tcBorders>
            <w:shd w:val="clear" w:color="auto" w:fill="auto"/>
            <w:vAlign w:val="center"/>
            <w:hideMark/>
          </w:tcPr>
          <w:p w14:paraId="60683A8A" w14:textId="4E36205A" w:rsidR="008E1EF1" w:rsidRPr="00A91679" w:rsidRDefault="008E1EF1" w:rsidP="008E1EF1">
            <w:pPr>
              <w:spacing w:after="0"/>
              <w:jc w:val="right"/>
              <w:rPr>
                <w:lang w:eastAsia="en-AU"/>
              </w:rPr>
            </w:pPr>
            <w:r>
              <w:rPr>
                <w:rFonts w:ascii="Calibri" w:hAnsi="Calibri" w:cs="Calibri"/>
                <w:color w:val="000000"/>
                <w:sz w:val="22"/>
                <w:szCs w:val="22"/>
              </w:rPr>
              <w:t>1%</w:t>
            </w:r>
          </w:p>
        </w:tc>
        <w:tc>
          <w:tcPr>
            <w:tcW w:w="2977" w:type="dxa"/>
            <w:tcBorders>
              <w:top w:val="nil"/>
              <w:left w:val="nil"/>
              <w:bottom w:val="single" w:sz="4" w:space="0" w:color="auto"/>
              <w:right w:val="single" w:sz="4" w:space="0" w:color="auto"/>
            </w:tcBorders>
            <w:shd w:val="clear" w:color="auto" w:fill="auto"/>
            <w:vAlign w:val="center"/>
            <w:hideMark/>
          </w:tcPr>
          <w:p w14:paraId="199AB58C" w14:textId="1A7EB87B" w:rsidR="008E1EF1" w:rsidRPr="00A91679" w:rsidRDefault="008E1EF1" w:rsidP="008E1EF1">
            <w:pPr>
              <w:spacing w:after="0"/>
              <w:jc w:val="right"/>
              <w:rPr>
                <w:lang w:eastAsia="en-AU"/>
              </w:rPr>
            </w:pPr>
            <w:r>
              <w:rPr>
                <w:rFonts w:ascii="Calibri" w:hAnsi="Calibri" w:cs="Calibri"/>
                <w:color w:val="000000"/>
                <w:sz w:val="22"/>
                <w:szCs w:val="22"/>
              </w:rPr>
              <w:t>2%</w:t>
            </w:r>
          </w:p>
        </w:tc>
      </w:tr>
      <w:tr w:rsidR="008E1EF1" w:rsidRPr="00A91679" w14:paraId="0DCD8A2C" w14:textId="77777777" w:rsidTr="004A4E44">
        <w:trPr>
          <w:trHeight w:val="300"/>
        </w:trPr>
        <w:tc>
          <w:tcPr>
            <w:tcW w:w="1117" w:type="dxa"/>
            <w:tcBorders>
              <w:top w:val="nil"/>
              <w:left w:val="single" w:sz="4" w:space="0" w:color="auto"/>
              <w:bottom w:val="single" w:sz="4" w:space="0" w:color="auto"/>
              <w:right w:val="single" w:sz="4" w:space="0" w:color="auto"/>
            </w:tcBorders>
            <w:shd w:val="clear" w:color="auto" w:fill="auto"/>
            <w:vAlign w:val="center"/>
            <w:hideMark/>
          </w:tcPr>
          <w:p w14:paraId="56E37E24" w14:textId="77777777" w:rsidR="008E1EF1" w:rsidRPr="00A91679" w:rsidRDefault="008E1EF1" w:rsidP="008E1EF1">
            <w:pPr>
              <w:spacing w:after="0"/>
              <w:jc w:val="right"/>
              <w:rPr>
                <w:lang w:eastAsia="en-AU"/>
              </w:rPr>
            </w:pPr>
            <w:r w:rsidRPr="00A91679">
              <w:rPr>
                <w:lang w:eastAsia="en-AU"/>
              </w:rPr>
              <w:t>3141</w:t>
            </w:r>
          </w:p>
        </w:tc>
        <w:tc>
          <w:tcPr>
            <w:tcW w:w="2994" w:type="dxa"/>
            <w:tcBorders>
              <w:top w:val="nil"/>
              <w:left w:val="nil"/>
              <w:bottom w:val="single" w:sz="4" w:space="0" w:color="auto"/>
              <w:right w:val="single" w:sz="4" w:space="0" w:color="auto"/>
            </w:tcBorders>
            <w:shd w:val="clear" w:color="auto" w:fill="auto"/>
            <w:vAlign w:val="center"/>
            <w:hideMark/>
          </w:tcPr>
          <w:p w14:paraId="706B1014" w14:textId="36E492A8" w:rsidR="008E1EF1" w:rsidRPr="00A91679" w:rsidRDefault="008E1EF1" w:rsidP="008E1EF1">
            <w:pPr>
              <w:spacing w:after="0"/>
              <w:jc w:val="right"/>
              <w:rPr>
                <w:lang w:eastAsia="en-AU"/>
              </w:rPr>
            </w:pPr>
            <w:r>
              <w:rPr>
                <w:rFonts w:ascii="Calibri" w:hAnsi="Calibri" w:cs="Calibri"/>
                <w:color w:val="000000"/>
                <w:sz w:val="22"/>
                <w:szCs w:val="22"/>
              </w:rPr>
              <w:t>1%</w:t>
            </w:r>
          </w:p>
        </w:tc>
        <w:tc>
          <w:tcPr>
            <w:tcW w:w="2977" w:type="dxa"/>
            <w:tcBorders>
              <w:top w:val="nil"/>
              <w:left w:val="nil"/>
              <w:bottom w:val="single" w:sz="4" w:space="0" w:color="auto"/>
              <w:right w:val="single" w:sz="4" w:space="0" w:color="auto"/>
            </w:tcBorders>
            <w:shd w:val="clear" w:color="auto" w:fill="auto"/>
            <w:vAlign w:val="center"/>
            <w:hideMark/>
          </w:tcPr>
          <w:p w14:paraId="5654C9C6" w14:textId="607FB695" w:rsidR="008E1EF1" w:rsidRPr="00A91679" w:rsidRDefault="008E1EF1" w:rsidP="008E1EF1">
            <w:pPr>
              <w:spacing w:after="0"/>
              <w:jc w:val="right"/>
              <w:rPr>
                <w:lang w:eastAsia="en-AU"/>
              </w:rPr>
            </w:pPr>
            <w:r>
              <w:rPr>
                <w:rFonts w:ascii="Calibri" w:hAnsi="Calibri" w:cs="Calibri"/>
                <w:color w:val="000000"/>
                <w:sz w:val="22"/>
                <w:szCs w:val="22"/>
              </w:rPr>
              <w:t>1%</w:t>
            </w:r>
          </w:p>
        </w:tc>
      </w:tr>
      <w:tr w:rsidR="008E1EF1" w:rsidRPr="00A91679" w14:paraId="16112195" w14:textId="77777777" w:rsidTr="004A4E44">
        <w:trPr>
          <w:trHeight w:val="300"/>
        </w:trPr>
        <w:tc>
          <w:tcPr>
            <w:tcW w:w="1117" w:type="dxa"/>
            <w:tcBorders>
              <w:top w:val="nil"/>
              <w:left w:val="single" w:sz="4" w:space="0" w:color="auto"/>
              <w:bottom w:val="single" w:sz="4" w:space="0" w:color="auto"/>
              <w:right w:val="single" w:sz="4" w:space="0" w:color="auto"/>
            </w:tcBorders>
            <w:shd w:val="clear" w:color="auto" w:fill="auto"/>
            <w:vAlign w:val="center"/>
            <w:hideMark/>
          </w:tcPr>
          <w:p w14:paraId="213A7A46" w14:textId="77777777" w:rsidR="008E1EF1" w:rsidRPr="00A91679" w:rsidRDefault="008E1EF1" w:rsidP="008E1EF1">
            <w:pPr>
              <w:spacing w:after="0"/>
              <w:jc w:val="right"/>
              <w:rPr>
                <w:lang w:eastAsia="en-AU"/>
              </w:rPr>
            </w:pPr>
            <w:r w:rsidRPr="00A91679">
              <w:rPr>
                <w:lang w:eastAsia="en-AU"/>
              </w:rPr>
              <w:t>3010</w:t>
            </w:r>
          </w:p>
        </w:tc>
        <w:tc>
          <w:tcPr>
            <w:tcW w:w="2994" w:type="dxa"/>
            <w:tcBorders>
              <w:top w:val="nil"/>
              <w:left w:val="nil"/>
              <w:bottom w:val="single" w:sz="4" w:space="0" w:color="auto"/>
              <w:right w:val="single" w:sz="4" w:space="0" w:color="auto"/>
            </w:tcBorders>
            <w:shd w:val="clear" w:color="auto" w:fill="auto"/>
            <w:vAlign w:val="center"/>
            <w:hideMark/>
          </w:tcPr>
          <w:p w14:paraId="5B71A36C" w14:textId="0BE00601" w:rsidR="008E1EF1" w:rsidRPr="00A91679" w:rsidRDefault="008E1EF1" w:rsidP="008E1EF1">
            <w:pPr>
              <w:spacing w:after="0"/>
              <w:jc w:val="right"/>
              <w:rPr>
                <w:lang w:eastAsia="en-AU"/>
              </w:rPr>
            </w:pPr>
            <w:r>
              <w:rPr>
                <w:rFonts w:ascii="Calibri" w:hAnsi="Calibri" w:cs="Calibri"/>
                <w:color w:val="000000"/>
                <w:sz w:val="22"/>
                <w:szCs w:val="22"/>
              </w:rPr>
              <w:t>1%</w:t>
            </w:r>
          </w:p>
        </w:tc>
        <w:tc>
          <w:tcPr>
            <w:tcW w:w="2977" w:type="dxa"/>
            <w:tcBorders>
              <w:top w:val="nil"/>
              <w:left w:val="nil"/>
              <w:bottom w:val="single" w:sz="4" w:space="0" w:color="auto"/>
              <w:right w:val="single" w:sz="4" w:space="0" w:color="auto"/>
            </w:tcBorders>
            <w:shd w:val="clear" w:color="auto" w:fill="auto"/>
            <w:vAlign w:val="center"/>
            <w:hideMark/>
          </w:tcPr>
          <w:p w14:paraId="319757D4" w14:textId="094C4A2D" w:rsidR="008E1EF1" w:rsidRPr="00A91679" w:rsidRDefault="008E1EF1" w:rsidP="008E1EF1">
            <w:pPr>
              <w:spacing w:after="0"/>
              <w:jc w:val="right"/>
              <w:rPr>
                <w:lang w:eastAsia="en-AU"/>
              </w:rPr>
            </w:pPr>
            <w:r>
              <w:rPr>
                <w:rFonts w:ascii="Calibri" w:hAnsi="Calibri" w:cs="Calibri"/>
                <w:color w:val="000000"/>
                <w:sz w:val="22"/>
                <w:szCs w:val="22"/>
              </w:rPr>
              <w:t>1%</w:t>
            </w:r>
          </w:p>
        </w:tc>
      </w:tr>
      <w:tr w:rsidR="008E1EF1" w:rsidRPr="00A91679" w14:paraId="5FFB13EF" w14:textId="77777777" w:rsidTr="004A4E44">
        <w:trPr>
          <w:trHeight w:val="300"/>
        </w:trPr>
        <w:tc>
          <w:tcPr>
            <w:tcW w:w="1117" w:type="dxa"/>
            <w:tcBorders>
              <w:top w:val="nil"/>
              <w:left w:val="single" w:sz="4" w:space="0" w:color="auto"/>
              <w:bottom w:val="single" w:sz="4" w:space="0" w:color="auto"/>
              <w:right w:val="single" w:sz="4" w:space="0" w:color="auto"/>
            </w:tcBorders>
            <w:shd w:val="clear" w:color="auto" w:fill="auto"/>
            <w:vAlign w:val="center"/>
            <w:hideMark/>
          </w:tcPr>
          <w:p w14:paraId="2A420222" w14:textId="77777777" w:rsidR="008E1EF1" w:rsidRPr="00A91679" w:rsidRDefault="008E1EF1" w:rsidP="008E1EF1">
            <w:pPr>
              <w:spacing w:after="0"/>
              <w:jc w:val="right"/>
              <w:rPr>
                <w:lang w:eastAsia="en-AU"/>
              </w:rPr>
            </w:pPr>
            <w:r w:rsidRPr="00A91679">
              <w:rPr>
                <w:lang w:eastAsia="en-AU"/>
              </w:rPr>
              <w:t>3032</w:t>
            </w:r>
          </w:p>
        </w:tc>
        <w:tc>
          <w:tcPr>
            <w:tcW w:w="2994" w:type="dxa"/>
            <w:tcBorders>
              <w:top w:val="nil"/>
              <w:left w:val="nil"/>
              <w:bottom w:val="single" w:sz="4" w:space="0" w:color="auto"/>
              <w:right w:val="single" w:sz="4" w:space="0" w:color="auto"/>
            </w:tcBorders>
            <w:shd w:val="clear" w:color="auto" w:fill="auto"/>
            <w:vAlign w:val="center"/>
            <w:hideMark/>
          </w:tcPr>
          <w:p w14:paraId="4158A440" w14:textId="2A930B6E" w:rsidR="008E1EF1" w:rsidRPr="00A91679" w:rsidRDefault="008E1EF1" w:rsidP="008E1EF1">
            <w:pPr>
              <w:spacing w:after="0"/>
              <w:jc w:val="right"/>
              <w:rPr>
                <w:lang w:eastAsia="en-AU"/>
              </w:rPr>
            </w:pPr>
            <w:r>
              <w:rPr>
                <w:rFonts w:ascii="Calibri" w:hAnsi="Calibri" w:cs="Calibri"/>
                <w:color w:val="000000"/>
                <w:sz w:val="22"/>
                <w:szCs w:val="22"/>
              </w:rPr>
              <w:t>0%</w:t>
            </w:r>
          </w:p>
        </w:tc>
        <w:tc>
          <w:tcPr>
            <w:tcW w:w="2977" w:type="dxa"/>
            <w:tcBorders>
              <w:top w:val="nil"/>
              <w:left w:val="nil"/>
              <w:bottom w:val="single" w:sz="4" w:space="0" w:color="auto"/>
              <w:right w:val="single" w:sz="4" w:space="0" w:color="auto"/>
            </w:tcBorders>
            <w:shd w:val="clear" w:color="auto" w:fill="auto"/>
            <w:vAlign w:val="center"/>
            <w:hideMark/>
          </w:tcPr>
          <w:p w14:paraId="00A1F32F" w14:textId="7BDF895F" w:rsidR="008E1EF1" w:rsidRPr="00A91679" w:rsidRDefault="008E1EF1" w:rsidP="008E1EF1">
            <w:pPr>
              <w:spacing w:after="0"/>
              <w:jc w:val="right"/>
              <w:rPr>
                <w:lang w:eastAsia="en-AU"/>
              </w:rPr>
            </w:pPr>
            <w:r>
              <w:rPr>
                <w:rFonts w:ascii="Calibri" w:hAnsi="Calibri" w:cs="Calibri"/>
                <w:color w:val="000000"/>
                <w:sz w:val="22"/>
                <w:szCs w:val="22"/>
              </w:rPr>
              <w:t>0%</w:t>
            </w:r>
          </w:p>
        </w:tc>
      </w:tr>
      <w:tr w:rsidR="008E1EF1" w:rsidRPr="00A91679" w14:paraId="0C5661EF" w14:textId="77777777" w:rsidTr="004A4E44">
        <w:trPr>
          <w:trHeight w:val="300"/>
        </w:trPr>
        <w:tc>
          <w:tcPr>
            <w:tcW w:w="1117" w:type="dxa"/>
            <w:tcBorders>
              <w:top w:val="nil"/>
              <w:left w:val="single" w:sz="4" w:space="0" w:color="auto"/>
              <w:bottom w:val="single" w:sz="4" w:space="0" w:color="auto"/>
              <w:right w:val="single" w:sz="4" w:space="0" w:color="auto"/>
            </w:tcBorders>
            <w:shd w:val="clear" w:color="auto" w:fill="auto"/>
            <w:vAlign w:val="center"/>
            <w:hideMark/>
          </w:tcPr>
          <w:p w14:paraId="3E38AB11" w14:textId="77777777" w:rsidR="008E1EF1" w:rsidRPr="00A91679" w:rsidRDefault="008E1EF1" w:rsidP="008E1EF1">
            <w:pPr>
              <w:spacing w:after="0"/>
              <w:jc w:val="right"/>
              <w:rPr>
                <w:lang w:eastAsia="en-AU"/>
              </w:rPr>
            </w:pPr>
            <w:r w:rsidRPr="00A91679">
              <w:rPr>
                <w:lang w:eastAsia="en-AU"/>
              </w:rPr>
              <w:t>3054</w:t>
            </w:r>
          </w:p>
        </w:tc>
        <w:tc>
          <w:tcPr>
            <w:tcW w:w="2994" w:type="dxa"/>
            <w:tcBorders>
              <w:top w:val="nil"/>
              <w:left w:val="nil"/>
              <w:bottom w:val="single" w:sz="4" w:space="0" w:color="auto"/>
              <w:right w:val="single" w:sz="4" w:space="0" w:color="auto"/>
            </w:tcBorders>
            <w:shd w:val="clear" w:color="auto" w:fill="auto"/>
            <w:vAlign w:val="center"/>
            <w:hideMark/>
          </w:tcPr>
          <w:p w14:paraId="1F07780E" w14:textId="01B08ED1" w:rsidR="008E1EF1" w:rsidRPr="00A91679" w:rsidRDefault="008E1EF1" w:rsidP="008E1EF1">
            <w:pPr>
              <w:spacing w:after="0"/>
              <w:jc w:val="right"/>
              <w:rPr>
                <w:lang w:eastAsia="en-AU"/>
              </w:rPr>
            </w:pPr>
            <w:r>
              <w:rPr>
                <w:rFonts w:ascii="Calibri" w:hAnsi="Calibri" w:cs="Calibri"/>
                <w:color w:val="000000"/>
                <w:sz w:val="22"/>
                <w:szCs w:val="22"/>
              </w:rPr>
              <w:t>0%</w:t>
            </w:r>
          </w:p>
        </w:tc>
        <w:tc>
          <w:tcPr>
            <w:tcW w:w="2977" w:type="dxa"/>
            <w:tcBorders>
              <w:top w:val="nil"/>
              <w:left w:val="nil"/>
              <w:bottom w:val="single" w:sz="4" w:space="0" w:color="auto"/>
              <w:right w:val="single" w:sz="4" w:space="0" w:color="auto"/>
            </w:tcBorders>
            <w:shd w:val="clear" w:color="auto" w:fill="auto"/>
            <w:vAlign w:val="center"/>
            <w:hideMark/>
          </w:tcPr>
          <w:p w14:paraId="7C95727F" w14:textId="207BB989" w:rsidR="008E1EF1" w:rsidRPr="00A91679" w:rsidRDefault="008E1EF1" w:rsidP="008E1EF1">
            <w:pPr>
              <w:spacing w:after="0"/>
              <w:jc w:val="right"/>
              <w:rPr>
                <w:lang w:eastAsia="en-AU"/>
              </w:rPr>
            </w:pPr>
            <w:r>
              <w:rPr>
                <w:rFonts w:ascii="Calibri" w:hAnsi="Calibri" w:cs="Calibri"/>
                <w:color w:val="000000"/>
                <w:sz w:val="22"/>
                <w:szCs w:val="22"/>
              </w:rPr>
              <w:t>0%</w:t>
            </w:r>
          </w:p>
        </w:tc>
      </w:tr>
    </w:tbl>
    <w:p w14:paraId="70DADC06" w14:textId="77777777" w:rsidR="00A91679" w:rsidRDefault="00A91679" w:rsidP="004A4E44">
      <w:pPr>
        <w:rPr>
          <w:rFonts w:ascii="Helvetica Light" w:hAnsi="Helvetica Light" w:cstheme="minorBidi"/>
          <w:szCs w:val="20"/>
        </w:rPr>
      </w:pPr>
    </w:p>
    <w:p w14:paraId="32588466" w14:textId="77777777" w:rsidR="004A4E44" w:rsidRPr="007E394F" w:rsidRDefault="004A4E44" w:rsidP="004A4E44">
      <w:pPr>
        <w:rPr>
          <w:rFonts w:cs="Arial"/>
          <w:szCs w:val="20"/>
        </w:rPr>
      </w:pPr>
      <w:r w:rsidRPr="007E394F">
        <w:rPr>
          <w:rFonts w:cs="Arial"/>
          <w:szCs w:val="20"/>
        </w:rPr>
        <w:t xml:space="preserve">Return to </w:t>
      </w:r>
      <w:hyperlink w:anchor="_4.1_Overview_of" w:history="1">
        <w:r w:rsidRPr="007E394F">
          <w:rPr>
            <w:rStyle w:val="Hyperlink"/>
            <w:rFonts w:cs="Arial"/>
            <w:szCs w:val="20"/>
          </w:rPr>
          <w:t>Overview of Energy Consumption</w:t>
        </w:r>
      </w:hyperlink>
    </w:p>
    <w:p w14:paraId="596DD907" w14:textId="33B9D793" w:rsidR="004A4E44" w:rsidRPr="004A4E44" w:rsidRDefault="00944E9B" w:rsidP="004A4E44">
      <w:pPr>
        <w:pStyle w:val="Heading3"/>
        <w:rPr>
          <w:rFonts w:hint="eastAsia"/>
        </w:rPr>
      </w:pPr>
      <w:bookmarkStart w:id="263" w:name="_Share_of_Energy"/>
      <w:bookmarkEnd w:id="263"/>
      <w:r>
        <w:t>Table A.3</w:t>
      </w:r>
      <w:r w:rsidR="00A13E20">
        <w:t>2</w:t>
      </w:r>
      <w:r>
        <w:tab/>
      </w:r>
      <w:r w:rsidR="004A4E44" w:rsidRPr="00A91679">
        <w:t>Share of Energy Consumption by Fuel by Postcode, City of Melbourne, 2022</w:t>
      </w:r>
    </w:p>
    <w:tbl>
      <w:tblPr>
        <w:tblW w:w="7513" w:type="dxa"/>
        <w:tblInd w:w="-5" w:type="dxa"/>
        <w:tblLook w:val="04A0" w:firstRow="1" w:lastRow="0" w:firstColumn="1" w:lastColumn="0" w:noHBand="0" w:noVBand="1"/>
      </w:tblPr>
      <w:tblGrid>
        <w:gridCol w:w="1117"/>
        <w:gridCol w:w="1644"/>
        <w:gridCol w:w="1559"/>
        <w:gridCol w:w="1417"/>
        <w:gridCol w:w="1843"/>
      </w:tblGrid>
      <w:tr w:rsidR="004A4E44" w:rsidRPr="00A91679" w14:paraId="7554A518" w14:textId="77777777" w:rsidTr="004A4E44">
        <w:trPr>
          <w:trHeight w:val="301"/>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127F93" w14:textId="77777777" w:rsidR="00A91679" w:rsidRPr="004A4E44" w:rsidRDefault="00A91679" w:rsidP="004A4E44">
            <w:pPr>
              <w:spacing w:after="0"/>
              <w:rPr>
                <w:b/>
                <w:bCs/>
                <w:lang w:eastAsia="en-AU"/>
              </w:rPr>
            </w:pPr>
            <w:bookmarkStart w:id="264" w:name="_Figure_33:_Share"/>
            <w:bookmarkEnd w:id="264"/>
            <w:r w:rsidRPr="004A4E44">
              <w:rPr>
                <w:b/>
                <w:bCs/>
                <w:lang w:eastAsia="en-AU"/>
              </w:rPr>
              <w:t>Postcode</w:t>
            </w:r>
          </w:p>
        </w:tc>
        <w:tc>
          <w:tcPr>
            <w:tcW w:w="1644" w:type="dxa"/>
            <w:tcBorders>
              <w:top w:val="single" w:sz="4" w:space="0" w:color="auto"/>
              <w:left w:val="nil"/>
              <w:bottom w:val="single" w:sz="4" w:space="0" w:color="auto"/>
              <w:right w:val="single" w:sz="4" w:space="0" w:color="auto"/>
            </w:tcBorders>
            <w:shd w:val="clear" w:color="auto" w:fill="auto"/>
            <w:noWrap/>
            <w:vAlign w:val="bottom"/>
            <w:hideMark/>
          </w:tcPr>
          <w:p w14:paraId="05B52C68" w14:textId="3E0161AC" w:rsidR="00A91679" w:rsidRPr="004A4E44" w:rsidRDefault="00A91679" w:rsidP="004A4E44">
            <w:pPr>
              <w:spacing w:after="0"/>
              <w:rPr>
                <w:b/>
                <w:bCs/>
                <w:lang w:eastAsia="en-AU"/>
              </w:rPr>
            </w:pPr>
            <w:r w:rsidRPr="004A4E44">
              <w:rPr>
                <w:b/>
                <w:bCs/>
                <w:lang w:eastAsia="en-AU"/>
              </w:rPr>
              <w:t>Electricity Consumption as a Percentage of the Total</w:t>
            </w:r>
            <w:r w:rsidR="004A4E44" w:rsidRPr="004A4E44">
              <w:rPr>
                <w:b/>
                <w:bCs/>
                <w:lang w:eastAsia="en-AU"/>
              </w:rPr>
              <w:t xml:space="preserve">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2754AE1" w14:textId="34BA8197" w:rsidR="00A91679" w:rsidRPr="004A4E44" w:rsidRDefault="00A91679" w:rsidP="004A4E44">
            <w:pPr>
              <w:spacing w:after="0"/>
              <w:rPr>
                <w:b/>
                <w:bCs/>
                <w:lang w:eastAsia="en-AU"/>
              </w:rPr>
            </w:pPr>
            <w:r w:rsidRPr="004A4E44">
              <w:rPr>
                <w:b/>
                <w:bCs/>
                <w:lang w:eastAsia="en-AU"/>
              </w:rPr>
              <w:t>Gas Consumption as a Percentage of the Total</w:t>
            </w:r>
            <w:r w:rsidR="004A4E44" w:rsidRPr="004A4E44">
              <w:rPr>
                <w:b/>
                <w:bCs/>
                <w:lang w:eastAsia="en-AU"/>
              </w:rPr>
              <w:t xml:space="preserve">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8C65CF3" w14:textId="4A329129" w:rsidR="00A91679" w:rsidRPr="004A4E44" w:rsidRDefault="00A91679" w:rsidP="004A4E44">
            <w:pPr>
              <w:spacing w:after="0"/>
              <w:rPr>
                <w:b/>
                <w:bCs/>
                <w:lang w:eastAsia="en-AU"/>
              </w:rPr>
            </w:pPr>
            <w:r w:rsidRPr="004A4E44">
              <w:rPr>
                <w:b/>
                <w:bCs/>
                <w:lang w:eastAsia="en-AU"/>
              </w:rPr>
              <w:t>LGA average electricity share (</w:t>
            </w:r>
            <w:r w:rsidR="004A4E44" w:rsidRPr="004A4E44">
              <w:rPr>
                <w:b/>
                <w:bCs/>
                <w:lang w:eastAsia="en-AU"/>
              </w:rPr>
              <w:t>%</w:t>
            </w:r>
            <w:r w:rsidRPr="004A4E44">
              <w:rPr>
                <w:b/>
                <w:bCs/>
                <w:lang w:eastAsia="en-AU"/>
              </w:rPr>
              <w:t>)</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14:paraId="2CE8AD7F" w14:textId="458556FB" w:rsidR="00A91679" w:rsidRPr="004A4E44" w:rsidRDefault="00A91679" w:rsidP="004A4E44">
            <w:pPr>
              <w:spacing w:after="0"/>
              <w:rPr>
                <w:b/>
                <w:bCs/>
                <w:lang w:eastAsia="en-AU"/>
              </w:rPr>
            </w:pPr>
            <w:r w:rsidRPr="004A4E44">
              <w:rPr>
                <w:b/>
                <w:bCs/>
                <w:lang w:eastAsia="en-AU"/>
              </w:rPr>
              <w:t>LGA average gas share (</w:t>
            </w:r>
            <w:r w:rsidR="004A4E44" w:rsidRPr="004A4E44">
              <w:rPr>
                <w:b/>
                <w:bCs/>
                <w:lang w:eastAsia="en-AU"/>
              </w:rPr>
              <w:t>%</w:t>
            </w:r>
            <w:r w:rsidRPr="004A4E44">
              <w:rPr>
                <w:b/>
                <w:bCs/>
                <w:lang w:eastAsia="en-AU"/>
              </w:rPr>
              <w:t>)</w:t>
            </w:r>
          </w:p>
        </w:tc>
      </w:tr>
      <w:tr w:rsidR="00A91679" w:rsidRPr="00A91679" w14:paraId="7E7CEC4B" w14:textId="77777777" w:rsidTr="004A4E44">
        <w:trPr>
          <w:trHeight w:val="301"/>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B4E8041" w14:textId="77777777" w:rsidR="00A91679" w:rsidRPr="00A91679" w:rsidRDefault="00A91679" w:rsidP="00A91679">
            <w:pPr>
              <w:spacing w:after="0" w:line="240" w:lineRule="auto"/>
              <w:jc w:val="right"/>
              <w:rPr>
                <w:rFonts w:ascii="Calibri" w:eastAsia="Times New Roman" w:hAnsi="Calibri" w:cs="Calibri"/>
                <w:color w:val="000000"/>
                <w:sz w:val="22"/>
                <w:szCs w:val="22"/>
                <w:lang w:eastAsia="en-AU"/>
              </w:rPr>
            </w:pPr>
            <w:r w:rsidRPr="00A91679">
              <w:rPr>
                <w:rFonts w:ascii="Calibri" w:eastAsia="Times New Roman" w:hAnsi="Calibri" w:cs="Calibri"/>
                <w:color w:val="000000"/>
                <w:sz w:val="22"/>
                <w:szCs w:val="22"/>
                <w:lang w:eastAsia="en-AU"/>
              </w:rPr>
              <w:t>3000</w:t>
            </w:r>
          </w:p>
        </w:tc>
        <w:tc>
          <w:tcPr>
            <w:tcW w:w="1644" w:type="dxa"/>
            <w:tcBorders>
              <w:top w:val="nil"/>
              <w:left w:val="nil"/>
              <w:bottom w:val="single" w:sz="4" w:space="0" w:color="auto"/>
              <w:right w:val="single" w:sz="4" w:space="0" w:color="auto"/>
            </w:tcBorders>
            <w:shd w:val="clear" w:color="auto" w:fill="auto"/>
            <w:noWrap/>
            <w:vAlign w:val="bottom"/>
            <w:hideMark/>
          </w:tcPr>
          <w:p w14:paraId="1D9B253E" w14:textId="77777777" w:rsidR="00A91679" w:rsidRPr="00A91679" w:rsidRDefault="00A91679" w:rsidP="00A91679">
            <w:pPr>
              <w:spacing w:after="0" w:line="240" w:lineRule="auto"/>
              <w:jc w:val="right"/>
              <w:rPr>
                <w:rFonts w:ascii="Calibri" w:eastAsia="Times New Roman" w:hAnsi="Calibri" w:cs="Calibri"/>
                <w:color w:val="000000"/>
                <w:sz w:val="22"/>
                <w:szCs w:val="22"/>
                <w:lang w:eastAsia="en-AU"/>
              </w:rPr>
            </w:pPr>
            <w:r w:rsidRPr="00A91679">
              <w:rPr>
                <w:rFonts w:ascii="Calibri" w:eastAsia="Times New Roman" w:hAnsi="Calibri" w:cs="Calibri"/>
                <w:color w:val="000000"/>
                <w:sz w:val="22"/>
                <w:szCs w:val="22"/>
                <w:lang w:eastAsia="en-AU"/>
              </w:rPr>
              <w:t>62%</w:t>
            </w:r>
          </w:p>
        </w:tc>
        <w:tc>
          <w:tcPr>
            <w:tcW w:w="1559" w:type="dxa"/>
            <w:tcBorders>
              <w:top w:val="nil"/>
              <w:left w:val="nil"/>
              <w:bottom w:val="single" w:sz="4" w:space="0" w:color="auto"/>
              <w:right w:val="single" w:sz="4" w:space="0" w:color="auto"/>
            </w:tcBorders>
            <w:shd w:val="clear" w:color="auto" w:fill="auto"/>
            <w:noWrap/>
            <w:vAlign w:val="bottom"/>
            <w:hideMark/>
          </w:tcPr>
          <w:p w14:paraId="63F07704" w14:textId="77777777" w:rsidR="00A91679" w:rsidRPr="00A91679" w:rsidRDefault="00A91679" w:rsidP="00A91679">
            <w:pPr>
              <w:spacing w:after="0" w:line="240" w:lineRule="auto"/>
              <w:jc w:val="right"/>
              <w:rPr>
                <w:rFonts w:ascii="Calibri" w:eastAsia="Times New Roman" w:hAnsi="Calibri" w:cs="Calibri"/>
                <w:color w:val="000000"/>
                <w:sz w:val="22"/>
                <w:szCs w:val="22"/>
                <w:lang w:eastAsia="en-AU"/>
              </w:rPr>
            </w:pPr>
            <w:r w:rsidRPr="00A91679">
              <w:rPr>
                <w:rFonts w:ascii="Calibri" w:eastAsia="Times New Roman" w:hAnsi="Calibri" w:cs="Calibri"/>
                <w:color w:val="000000"/>
                <w:sz w:val="22"/>
                <w:szCs w:val="22"/>
                <w:lang w:eastAsia="en-AU"/>
              </w:rPr>
              <w:t>38%</w:t>
            </w:r>
          </w:p>
        </w:tc>
        <w:tc>
          <w:tcPr>
            <w:tcW w:w="1417" w:type="dxa"/>
            <w:tcBorders>
              <w:top w:val="nil"/>
              <w:left w:val="nil"/>
              <w:bottom w:val="single" w:sz="4" w:space="0" w:color="auto"/>
              <w:right w:val="single" w:sz="4" w:space="0" w:color="auto"/>
            </w:tcBorders>
            <w:shd w:val="clear" w:color="auto" w:fill="auto"/>
            <w:noWrap/>
            <w:vAlign w:val="bottom"/>
            <w:hideMark/>
          </w:tcPr>
          <w:p w14:paraId="1B12B6D6" w14:textId="77777777" w:rsidR="00A91679" w:rsidRPr="00A91679" w:rsidRDefault="00A91679" w:rsidP="004A4E44">
            <w:pPr>
              <w:spacing w:after="0" w:line="240" w:lineRule="auto"/>
              <w:jc w:val="right"/>
              <w:rPr>
                <w:rFonts w:ascii="Calibri" w:eastAsia="Times New Roman" w:hAnsi="Calibri" w:cs="Calibri"/>
                <w:color w:val="000000"/>
                <w:sz w:val="22"/>
                <w:szCs w:val="22"/>
                <w:lang w:eastAsia="en-AU"/>
              </w:rPr>
            </w:pPr>
            <w:r w:rsidRPr="00A91679">
              <w:rPr>
                <w:rFonts w:ascii="Calibri" w:eastAsia="Times New Roman" w:hAnsi="Calibri" w:cs="Calibri"/>
                <w:color w:val="000000"/>
                <w:sz w:val="22"/>
                <w:szCs w:val="22"/>
                <w:lang w:eastAsia="en-AU"/>
              </w:rPr>
              <w:t>59%</w:t>
            </w:r>
          </w:p>
        </w:tc>
        <w:tc>
          <w:tcPr>
            <w:tcW w:w="1843" w:type="dxa"/>
            <w:tcBorders>
              <w:top w:val="nil"/>
              <w:left w:val="nil"/>
              <w:bottom w:val="single" w:sz="4" w:space="0" w:color="auto"/>
              <w:right w:val="single" w:sz="4" w:space="0" w:color="auto"/>
            </w:tcBorders>
            <w:shd w:val="clear" w:color="auto" w:fill="auto"/>
            <w:noWrap/>
            <w:vAlign w:val="bottom"/>
            <w:hideMark/>
          </w:tcPr>
          <w:p w14:paraId="37FCF62D" w14:textId="77777777" w:rsidR="00A91679" w:rsidRPr="00A91679" w:rsidRDefault="00A91679" w:rsidP="00A91679">
            <w:pPr>
              <w:spacing w:after="0" w:line="240" w:lineRule="auto"/>
              <w:jc w:val="right"/>
              <w:rPr>
                <w:rFonts w:ascii="Calibri" w:eastAsia="Times New Roman" w:hAnsi="Calibri" w:cs="Calibri"/>
                <w:color w:val="000000"/>
                <w:sz w:val="22"/>
                <w:szCs w:val="22"/>
                <w:lang w:eastAsia="en-AU"/>
              </w:rPr>
            </w:pPr>
            <w:r w:rsidRPr="00A91679">
              <w:rPr>
                <w:rFonts w:ascii="Calibri" w:eastAsia="Times New Roman" w:hAnsi="Calibri" w:cs="Calibri"/>
                <w:color w:val="000000"/>
                <w:sz w:val="22"/>
                <w:szCs w:val="22"/>
                <w:lang w:eastAsia="en-AU"/>
              </w:rPr>
              <w:t>41%</w:t>
            </w:r>
          </w:p>
        </w:tc>
      </w:tr>
      <w:tr w:rsidR="00A91679" w:rsidRPr="00A91679" w14:paraId="4B8CAD48" w14:textId="77777777" w:rsidTr="004A4E44">
        <w:trPr>
          <w:trHeight w:val="301"/>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981F22F" w14:textId="77777777" w:rsidR="00A91679" w:rsidRPr="00A91679" w:rsidRDefault="00A91679" w:rsidP="00A91679">
            <w:pPr>
              <w:spacing w:after="0" w:line="240" w:lineRule="auto"/>
              <w:jc w:val="right"/>
              <w:rPr>
                <w:rFonts w:ascii="Calibri" w:eastAsia="Times New Roman" w:hAnsi="Calibri" w:cs="Calibri"/>
                <w:color w:val="000000"/>
                <w:sz w:val="22"/>
                <w:szCs w:val="22"/>
                <w:lang w:eastAsia="en-AU"/>
              </w:rPr>
            </w:pPr>
            <w:r w:rsidRPr="00A91679">
              <w:rPr>
                <w:rFonts w:ascii="Calibri" w:eastAsia="Times New Roman" w:hAnsi="Calibri" w:cs="Calibri"/>
                <w:color w:val="000000"/>
                <w:sz w:val="22"/>
                <w:szCs w:val="22"/>
                <w:lang w:eastAsia="en-AU"/>
              </w:rPr>
              <w:t>3002</w:t>
            </w:r>
          </w:p>
        </w:tc>
        <w:tc>
          <w:tcPr>
            <w:tcW w:w="1644" w:type="dxa"/>
            <w:tcBorders>
              <w:top w:val="nil"/>
              <w:left w:val="nil"/>
              <w:bottom w:val="single" w:sz="4" w:space="0" w:color="auto"/>
              <w:right w:val="single" w:sz="4" w:space="0" w:color="auto"/>
            </w:tcBorders>
            <w:shd w:val="clear" w:color="auto" w:fill="auto"/>
            <w:noWrap/>
            <w:vAlign w:val="bottom"/>
            <w:hideMark/>
          </w:tcPr>
          <w:p w14:paraId="2934AF25" w14:textId="77777777" w:rsidR="00A91679" w:rsidRPr="00A91679" w:rsidRDefault="00A91679" w:rsidP="00A91679">
            <w:pPr>
              <w:spacing w:after="0" w:line="240" w:lineRule="auto"/>
              <w:jc w:val="right"/>
              <w:rPr>
                <w:rFonts w:ascii="Calibri" w:eastAsia="Times New Roman" w:hAnsi="Calibri" w:cs="Calibri"/>
                <w:color w:val="000000"/>
                <w:sz w:val="22"/>
                <w:szCs w:val="22"/>
                <w:lang w:eastAsia="en-AU"/>
              </w:rPr>
            </w:pPr>
            <w:r w:rsidRPr="00A91679">
              <w:rPr>
                <w:rFonts w:ascii="Calibri" w:eastAsia="Times New Roman" w:hAnsi="Calibri" w:cs="Calibri"/>
                <w:color w:val="000000"/>
                <w:sz w:val="22"/>
                <w:szCs w:val="22"/>
                <w:lang w:eastAsia="en-AU"/>
              </w:rPr>
              <w:t>61%</w:t>
            </w:r>
          </w:p>
        </w:tc>
        <w:tc>
          <w:tcPr>
            <w:tcW w:w="1559" w:type="dxa"/>
            <w:tcBorders>
              <w:top w:val="nil"/>
              <w:left w:val="nil"/>
              <w:bottom w:val="single" w:sz="4" w:space="0" w:color="auto"/>
              <w:right w:val="single" w:sz="4" w:space="0" w:color="auto"/>
            </w:tcBorders>
            <w:shd w:val="clear" w:color="auto" w:fill="auto"/>
            <w:noWrap/>
            <w:vAlign w:val="bottom"/>
            <w:hideMark/>
          </w:tcPr>
          <w:p w14:paraId="652FEF83" w14:textId="77777777" w:rsidR="00A91679" w:rsidRPr="00A91679" w:rsidRDefault="00A91679" w:rsidP="00A91679">
            <w:pPr>
              <w:spacing w:after="0" w:line="240" w:lineRule="auto"/>
              <w:jc w:val="right"/>
              <w:rPr>
                <w:rFonts w:ascii="Calibri" w:eastAsia="Times New Roman" w:hAnsi="Calibri" w:cs="Calibri"/>
                <w:color w:val="000000"/>
                <w:sz w:val="22"/>
                <w:szCs w:val="22"/>
                <w:lang w:eastAsia="en-AU"/>
              </w:rPr>
            </w:pPr>
            <w:r w:rsidRPr="00A91679">
              <w:rPr>
                <w:rFonts w:ascii="Calibri" w:eastAsia="Times New Roman" w:hAnsi="Calibri" w:cs="Calibri"/>
                <w:color w:val="000000"/>
                <w:sz w:val="22"/>
                <w:szCs w:val="22"/>
                <w:lang w:eastAsia="en-AU"/>
              </w:rPr>
              <w:t>39%</w:t>
            </w:r>
          </w:p>
        </w:tc>
        <w:tc>
          <w:tcPr>
            <w:tcW w:w="1417" w:type="dxa"/>
            <w:tcBorders>
              <w:top w:val="nil"/>
              <w:left w:val="nil"/>
              <w:bottom w:val="single" w:sz="4" w:space="0" w:color="auto"/>
              <w:right w:val="single" w:sz="4" w:space="0" w:color="auto"/>
            </w:tcBorders>
            <w:shd w:val="clear" w:color="auto" w:fill="auto"/>
            <w:noWrap/>
            <w:vAlign w:val="bottom"/>
            <w:hideMark/>
          </w:tcPr>
          <w:p w14:paraId="7B0462F5" w14:textId="77777777" w:rsidR="00A91679" w:rsidRPr="00A91679" w:rsidRDefault="00A91679" w:rsidP="004A4E44">
            <w:pPr>
              <w:spacing w:after="0" w:line="240" w:lineRule="auto"/>
              <w:jc w:val="right"/>
              <w:rPr>
                <w:rFonts w:ascii="Calibri" w:eastAsia="Times New Roman" w:hAnsi="Calibri" w:cs="Calibri"/>
                <w:color w:val="000000"/>
                <w:sz w:val="22"/>
                <w:szCs w:val="22"/>
                <w:lang w:eastAsia="en-AU"/>
              </w:rPr>
            </w:pPr>
            <w:r w:rsidRPr="00A91679">
              <w:rPr>
                <w:rFonts w:ascii="Calibri" w:eastAsia="Times New Roman" w:hAnsi="Calibri" w:cs="Calibri"/>
                <w:color w:val="000000"/>
                <w:sz w:val="22"/>
                <w:szCs w:val="22"/>
                <w:lang w:eastAsia="en-AU"/>
              </w:rPr>
              <w:t>59%</w:t>
            </w:r>
          </w:p>
        </w:tc>
        <w:tc>
          <w:tcPr>
            <w:tcW w:w="1843" w:type="dxa"/>
            <w:tcBorders>
              <w:top w:val="nil"/>
              <w:left w:val="nil"/>
              <w:bottom w:val="single" w:sz="4" w:space="0" w:color="auto"/>
              <w:right w:val="single" w:sz="4" w:space="0" w:color="auto"/>
            </w:tcBorders>
            <w:shd w:val="clear" w:color="auto" w:fill="auto"/>
            <w:noWrap/>
            <w:vAlign w:val="bottom"/>
            <w:hideMark/>
          </w:tcPr>
          <w:p w14:paraId="72554032" w14:textId="77777777" w:rsidR="00A91679" w:rsidRPr="00A91679" w:rsidRDefault="00A91679" w:rsidP="00A91679">
            <w:pPr>
              <w:spacing w:after="0" w:line="240" w:lineRule="auto"/>
              <w:jc w:val="right"/>
              <w:rPr>
                <w:rFonts w:ascii="Calibri" w:eastAsia="Times New Roman" w:hAnsi="Calibri" w:cs="Calibri"/>
                <w:color w:val="000000"/>
                <w:sz w:val="22"/>
                <w:szCs w:val="22"/>
                <w:lang w:eastAsia="en-AU"/>
              </w:rPr>
            </w:pPr>
            <w:r w:rsidRPr="00A91679">
              <w:rPr>
                <w:rFonts w:ascii="Calibri" w:eastAsia="Times New Roman" w:hAnsi="Calibri" w:cs="Calibri"/>
                <w:color w:val="000000"/>
                <w:sz w:val="22"/>
                <w:szCs w:val="22"/>
                <w:lang w:eastAsia="en-AU"/>
              </w:rPr>
              <w:t>41%</w:t>
            </w:r>
          </w:p>
        </w:tc>
      </w:tr>
      <w:tr w:rsidR="00A91679" w:rsidRPr="00A91679" w14:paraId="6697BF85" w14:textId="77777777" w:rsidTr="004A4E44">
        <w:trPr>
          <w:trHeight w:val="301"/>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EE08B61" w14:textId="77777777" w:rsidR="00A91679" w:rsidRPr="00A91679" w:rsidRDefault="00A91679" w:rsidP="00A91679">
            <w:pPr>
              <w:spacing w:after="0" w:line="240" w:lineRule="auto"/>
              <w:jc w:val="right"/>
              <w:rPr>
                <w:rFonts w:ascii="Calibri" w:eastAsia="Times New Roman" w:hAnsi="Calibri" w:cs="Calibri"/>
                <w:color w:val="000000"/>
                <w:sz w:val="22"/>
                <w:szCs w:val="22"/>
                <w:lang w:eastAsia="en-AU"/>
              </w:rPr>
            </w:pPr>
            <w:r w:rsidRPr="00A91679">
              <w:rPr>
                <w:rFonts w:ascii="Calibri" w:eastAsia="Times New Roman" w:hAnsi="Calibri" w:cs="Calibri"/>
                <w:color w:val="000000"/>
                <w:sz w:val="22"/>
                <w:szCs w:val="22"/>
                <w:lang w:eastAsia="en-AU"/>
              </w:rPr>
              <w:t>3003</w:t>
            </w:r>
          </w:p>
        </w:tc>
        <w:tc>
          <w:tcPr>
            <w:tcW w:w="1644" w:type="dxa"/>
            <w:tcBorders>
              <w:top w:val="nil"/>
              <w:left w:val="nil"/>
              <w:bottom w:val="single" w:sz="4" w:space="0" w:color="auto"/>
              <w:right w:val="single" w:sz="4" w:space="0" w:color="auto"/>
            </w:tcBorders>
            <w:shd w:val="clear" w:color="auto" w:fill="auto"/>
            <w:noWrap/>
            <w:vAlign w:val="bottom"/>
            <w:hideMark/>
          </w:tcPr>
          <w:p w14:paraId="374FFB7B" w14:textId="77777777" w:rsidR="00A91679" w:rsidRPr="00A91679" w:rsidRDefault="00A91679" w:rsidP="00A91679">
            <w:pPr>
              <w:spacing w:after="0" w:line="240" w:lineRule="auto"/>
              <w:jc w:val="right"/>
              <w:rPr>
                <w:rFonts w:ascii="Calibri" w:eastAsia="Times New Roman" w:hAnsi="Calibri" w:cs="Calibri"/>
                <w:color w:val="000000"/>
                <w:sz w:val="22"/>
                <w:szCs w:val="22"/>
                <w:lang w:eastAsia="en-AU"/>
              </w:rPr>
            </w:pPr>
            <w:r w:rsidRPr="00A91679">
              <w:rPr>
                <w:rFonts w:ascii="Calibri" w:eastAsia="Times New Roman" w:hAnsi="Calibri" w:cs="Calibri"/>
                <w:color w:val="000000"/>
                <w:sz w:val="22"/>
                <w:szCs w:val="22"/>
                <w:lang w:eastAsia="en-AU"/>
              </w:rPr>
              <w:t>67%</w:t>
            </w:r>
          </w:p>
        </w:tc>
        <w:tc>
          <w:tcPr>
            <w:tcW w:w="1559" w:type="dxa"/>
            <w:tcBorders>
              <w:top w:val="nil"/>
              <w:left w:val="nil"/>
              <w:bottom w:val="single" w:sz="4" w:space="0" w:color="auto"/>
              <w:right w:val="single" w:sz="4" w:space="0" w:color="auto"/>
            </w:tcBorders>
            <w:shd w:val="clear" w:color="auto" w:fill="auto"/>
            <w:noWrap/>
            <w:vAlign w:val="bottom"/>
            <w:hideMark/>
          </w:tcPr>
          <w:p w14:paraId="126F5F40" w14:textId="77777777" w:rsidR="00A91679" w:rsidRPr="00A91679" w:rsidRDefault="00A91679" w:rsidP="00A91679">
            <w:pPr>
              <w:spacing w:after="0" w:line="240" w:lineRule="auto"/>
              <w:jc w:val="right"/>
              <w:rPr>
                <w:rFonts w:ascii="Calibri" w:eastAsia="Times New Roman" w:hAnsi="Calibri" w:cs="Calibri"/>
                <w:color w:val="000000"/>
                <w:sz w:val="22"/>
                <w:szCs w:val="22"/>
                <w:lang w:eastAsia="en-AU"/>
              </w:rPr>
            </w:pPr>
            <w:r w:rsidRPr="00A91679">
              <w:rPr>
                <w:rFonts w:ascii="Calibri" w:eastAsia="Times New Roman" w:hAnsi="Calibri" w:cs="Calibri"/>
                <w:color w:val="000000"/>
                <w:sz w:val="22"/>
                <w:szCs w:val="22"/>
                <w:lang w:eastAsia="en-AU"/>
              </w:rPr>
              <w:t>33%</w:t>
            </w:r>
          </w:p>
        </w:tc>
        <w:tc>
          <w:tcPr>
            <w:tcW w:w="1417" w:type="dxa"/>
            <w:tcBorders>
              <w:top w:val="nil"/>
              <w:left w:val="nil"/>
              <w:bottom w:val="single" w:sz="4" w:space="0" w:color="auto"/>
              <w:right w:val="single" w:sz="4" w:space="0" w:color="auto"/>
            </w:tcBorders>
            <w:shd w:val="clear" w:color="auto" w:fill="auto"/>
            <w:noWrap/>
            <w:vAlign w:val="bottom"/>
            <w:hideMark/>
          </w:tcPr>
          <w:p w14:paraId="55A5CB41" w14:textId="77777777" w:rsidR="00A91679" w:rsidRPr="00A91679" w:rsidRDefault="00A91679" w:rsidP="004A4E44">
            <w:pPr>
              <w:spacing w:after="0" w:line="240" w:lineRule="auto"/>
              <w:jc w:val="right"/>
              <w:rPr>
                <w:rFonts w:ascii="Calibri" w:eastAsia="Times New Roman" w:hAnsi="Calibri" w:cs="Calibri"/>
                <w:color w:val="000000"/>
                <w:sz w:val="22"/>
                <w:szCs w:val="22"/>
                <w:lang w:eastAsia="en-AU"/>
              </w:rPr>
            </w:pPr>
            <w:r w:rsidRPr="00A91679">
              <w:rPr>
                <w:rFonts w:ascii="Calibri" w:eastAsia="Times New Roman" w:hAnsi="Calibri" w:cs="Calibri"/>
                <w:color w:val="000000"/>
                <w:sz w:val="22"/>
                <w:szCs w:val="22"/>
                <w:lang w:eastAsia="en-AU"/>
              </w:rPr>
              <w:t>59%</w:t>
            </w:r>
          </w:p>
        </w:tc>
        <w:tc>
          <w:tcPr>
            <w:tcW w:w="1843" w:type="dxa"/>
            <w:tcBorders>
              <w:top w:val="nil"/>
              <w:left w:val="nil"/>
              <w:bottom w:val="single" w:sz="4" w:space="0" w:color="auto"/>
              <w:right w:val="single" w:sz="4" w:space="0" w:color="auto"/>
            </w:tcBorders>
            <w:shd w:val="clear" w:color="auto" w:fill="auto"/>
            <w:noWrap/>
            <w:vAlign w:val="bottom"/>
            <w:hideMark/>
          </w:tcPr>
          <w:p w14:paraId="54734E82" w14:textId="77777777" w:rsidR="00A91679" w:rsidRPr="00A91679" w:rsidRDefault="00A91679" w:rsidP="00A91679">
            <w:pPr>
              <w:spacing w:after="0" w:line="240" w:lineRule="auto"/>
              <w:jc w:val="right"/>
              <w:rPr>
                <w:rFonts w:ascii="Calibri" w:eastAsia="Times New Roman" w:hAnsi="Calibri" w:cs="Calibri"/>
                <w:color w:val="000000"/>
                <w:sz w:val="22"/>
                <w:szCs w:val="22"/>
                <w:lang w:eastAsia="en-AU"/>
              </w:rPr>
            </w:pPr>
            <w:r w:rsidRPr="00A91679">
              <w:rPr>
                <w:rFonts w:ascii="Calibri" w:eastAsia="Times New Roman" w:hAnsi="Calibri" w:cs="Calibri"/>
                <w:color w:val="000000"/>
                <w:sz w:val="22"/>
                <w:szCs w:val="22"/>
                <w:lang w:eastAsia="en-AU"/>
              </w:rPr>
              <w:t>41%</w:t>
            </w:r>
          </w:p>
        </w:tc>
      </w:tr>
      <w:tr w:rsidR="00A91679" w:rsidRPr="00A91679" w14:paraId="06DCE0F8" w14:textId="77777777" w:rsidTr="004A4E44">
        <w:trPr>
          <w:trHeight w:val="301"/>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69B398A" w14:textId="77777777" w:rsidR="00A91679" w:rsidRPr="00A91679" w:rsidRDefault="00A91679" w:rsidP="00A91679">
            <w:pPr>
              <w:spacing w:after="0" w:line="240" w:lineRule="auto"/>
              <w:jc w:val="right"/>
              <w:rPr>
                <w:rFonts w:ascii="Calibri" w:eastAsia="Times New Roman" w:hAnsi="Calibri" w:cs="Calibri"/>
                <w:color w:val="000000"/>
                <w:sz w:val="22"/>
                <w:szCs w:val="22"/>
                <w:lang w:eastAsia="en-AU"/>
              </w:rPr>
            </w:pPr>
            <w:r w:rsidRPr="00A91679">
              <w:rPr>
                <w:rFonts w:ascii="Calibri" w:eastAsia="Times New Roman" w:hAnsi="Calibri" w:cs="Calibri"/>
                <w:color w:val="000000"/>
                <w:sz w:val="22"/>
                <w:szCs w:val="22"/>
                <w:lang w:eastAsia="en-AU"/>
              </w:rPr>
              <w:t>3004</w:t>
            </w:r>
          </w:p>
        </w:tc>
        <w:tc>
          <w:tcPr>
            <w:tcW w:w="1644" w:type="dxa"/>
            <w:tcBorders>
              <w:top w:val="nil"/>
              <w:left w:val="nil"/>
              <w:bottom w:val="single" w:sz="4" w:space="0" w:color="auto"/>
              <w:right w:val="single" w:sz="4" w:space="0" w:color="auto"/>
            </w:tcBorders>
            <w:shd w:val="clear" w:color="auto" w:fill="auto"/>
            <w:noWrap/>
            <w:vAlign w:val="bottom"/>
            <w:hideMark/>
          </w:tcPr>
          <w:p w14:paraId="6BFB565F" w14:textId="77777777" w:rsidR="00A91679" w:rsidRPr="00A91679" w:rsidRDefault="00A91679" w:rsidP="00A91679">
            <w:pPr>
              <w:spacing w:after="0" w:line="240" w:lineRule="auto"/>
              <w:jc w:val="right"/>
              <w:rPr>
                <w:rFonts w:ascii="Calibri" w:eastAsia="Times New Roman" w:hAnsi="Calibri" w:cs="Calibri"/>
                <w:color w:val="000000"/>
                <w:sz w:val="22"/>
                <w:szCs w:val="22"/>
                <w:lang w:eastAsia="en-AU"/>
              </w:rPr>
            </w:pPr>
            <w:r w:rsidRPr="00A91679">
              <w:rPr>
                <w:rFonts w:ascii="Calibri" w:eastAsia="Times New Roman" w:hAnsi="Calibri" w:cs="Calibri"/>
                <w:color w:val="000000"/>
                <w:sz w:val="22"/>
                <w:szCs w:val="22"/>
                <w:lang w:eastAsia="en-AU"/>
              </w:rPr>
              <w:t>63%</w:t>
            </w:r>
          </w:p>
        </w:tc>
        <w:tc>
          <w:tcPr>
            <w:tcW w:w="1559" w:type="dxa"/>
            <w:tcBorders>
              <w:top w:val="nil"/>
              <w:left w:val="nil"/>
              <w:bottom w:val="single" w:sz="4" w:space="0" w:color="auto"/>
              <w:right w:val="single" w:sz="4" w:space="0" w:color="auto"/>
            </w:tcBorders>
            <w:shd w:val="clear" w:color="auto" w:fill="auto"/>
            <w:noWrap/>
            <w:vAlign w:val="bottom"/>
            <w:hideMark/>
          </w:tcPr>
          <w:p w14:paraId="242D624A" w14:textId="77777777" w:rsidR="00A91679" w:rsidRPr="00A91679" w:rsidRDefault="00A91679" w:rsidP="00A91679">
            <w:pPr>
              <w:spacing w:after="0" w:line="240" w:lineRule="auto"/>
              <w:jc w:val="right"/>
              <w:rPr>
                <w:rFonts w:ascii="Calibri" w:eastAsia="Times New Roman" w:hAnsi="Calibri" w:cs="Calibri"/>
                <w:color w:val="000000"/>
                <w:sz w:val="22"/>
                <w:szCs w:val="22"/>
                <w:lang w:eastAsia="en-AU"/>
              </w:rPr>
            </w:pPr>
            <w:r w:rsidRPr="00A91679">
              <w:rPr>
                <w:rFonts w:ascii="Calibri" w:eastAsia="Times New Roman" w:hAnsi="Calibri" w:cs="Calibri"/>
                <w:color w:val="000000"/>
                <w:sz w:val="22"/>
                <w:szCs w:val="22"/>
                <w:lang w:eastAsia="en-AU"/>
              </w:rPr>
              <w:t>37%</w:t>
            </w:r>
          </w:p>
        </w:tc>
        <w:tc>
          <w:tcPr>
            <w:tcW w:w="1417" w:type="dxa"/>
            <w:tcBorders>
              <w:top w:val="nil"/>
              <w:left w:val="nil"/>
              <w:bottom w:val="single" w:sz="4" w:space="0" w:color="auto"/>
              <w:right w:val="single" w:sz="4" w:space="0" w:color="auto"/>
            </w:tcBorders>
            <w:shd w:val="clear" w:color="auto" w:fill="auto"/>
            <w:noWrap/>
            <w:vAlign w:val="bottom"/>
            <w:hideMark/>
          </w:tcPr>
          <w:p w14:paraId="7C207A62" w14:textId="77777777" w:rsidR="00A91679" w:rsidRPr="00A91679" w:rsidRDefault="00A91679" w:rsidP="004A4E44">
            <w:pPr>
              <w:spacing w:after="0" w:line="240" w:lineRule="auto"/>
              <w:jc w:val="right"/>
              <w:rPr>
                <w:rFonts w:ascii="Calibri" w:eastAsia="Times New Roman" w:hAnsi="Calibri" w:cs="Calibri"/>
                <w:color w:val="000000"/>
                <w:sz w:val="22"/>
                <w:szCs w:val="22"/>
                <w:lang w:eastAsia="en-AU"/>
              </w:rPr>
            </w:pPr>
            <w:r w:rsidRPr="00A91679">
              <w:rPr>
                <w:rFonts w:ascii="Calibri" w:eastAsia="Times New Roman" w:hAnsi="Calibri" w:cs="Calibri"/>
                <w:color w:val="000000"/>
                <w:sz w:val="22"/>
                <w:szCs w:val="22"/>
                <w:lang w:eastAsia="en-AU"/>
              </w:rPr>
              <w:t>59%</w:t>
            </w:r>
          </w:p>
        </w:tc>
        <w:tc>
          <w:tcPr>
            <w:tcW w:w="1843" w:type="dxa"/>
            <w:tcBorders>
              <w:top w:val="nil"/>
              <w:left w:val="nil"/>
              <w:bottom w:val="single" w:sz="4" w:space="0" w:color="auto"/>
              <w:right w:val="single" w:sz="4" w:space="0" w:color="auto"/>
            </w:tcBorders>
            <w:shd w:val="clear" w:color="auto" w:fill="auto"/>
            <w:noWrap/>
            <w:vAlign w:val="bottom"/>
            <w:hideMark/>
          </w:tcPr>
          <w:p w14:paraId="05040913" w14:textId="77777777" w:rsidR="00A91679" w:rsidRPr="00A91679" w:rsidRDefault="00A91679" w:rsidP="00A91679">
            <w:pPr>
              <w:spacing w:after="0" w:line="240" w:lineRule="auto"/>
              <w:jc w:val="right"/>
              <w:rPr>
                <w:rFonts w:ascii="Calibri" w:eastAsia="Times New Roman" w:hAnsi="Calibri" w:cs="Calibri"/>
                <w:color w:val="000000"/>
                <w:sz w:val="22"/>
                <w:szCs w:val="22"/>
                <w:lang w:eastAsia="en-AU"/>
              </w:rPr>
            </w:pPr>
            <w:r w:rsidRPr="00A91679">
              <w:rPr>
                <w:rFonts w:ascii="Calibri" w:eastAsia="Times New Roman" w:hAnsi="Calibri" w:cs="Calibri"/>
                <w:color w:val="000000"/>
                <w:sz w:val="22"/>
                <w:szCs w:val="22"/>
                <w:lang w:eastAsia="en-AU"/>
              </w:rPr>
              <w:t>41%</w:t>
            </w:r>
          </w:p>
        </w:tc>
      </w:tr>
      <w:tr w:rsidR="00A91679" w:rsidRPr="00A91679" w14:paraId="55C36AD8" w14:textId="77777777" w:rsidTr="004A4E44">
        <w:trPr>
          <w:trHeight w:val="301"/>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2AF2D02" w14:textId="77777777" w:rsidR="00A91679" w:rsidRPr="00A91679" w:rsidRDefault="00A91679" w:rsidP="00A91679">
            <w:pPr>
              <w:spacing w:after="0" w:line="240" w:lineRule="auto"/>
              <w:jc w:val="right"/>
              <w:rPr>
                <w:rFonts w:ascii="Calibri" w:eastAsia="Times New Roman" w:hAnsi="Calibri" w:cs="Calibri"/>
                <w:color w:val="000000"/>
                <w:sz w:val="22"/>
                <w:szCs w:val="22"/>
                <w:lang w:eastAsia="en-AU"/>
              </w:rPr>
            </w:pPr>
            <w:r w:rsidRPr="00A91679">
              <w:rPr>
                <w:rFonts w:ascii="Calibri" w:eastAsia="Times New Roman" w:hAnsi="Calibri" w:cs="Calibri"/>
                <w:color w:val="000000"/>
                <w:sz w:val="22"/>
                <w:szCs w:val="22"/>
                <w:lang w:eastAsia="en-AU"/>
              </w:rPr>
              <w:t>3006</w:t>
            </w:r>
          </w:p>
        </w:tc>
        <w:tc>
          <w:tcPr>
            <w:tcW w:w="1644" w:type="dxa"/>
            <w:tcBorders>
              <w:top w:val="nil"/>
              <w:left w:val="nil"/>
              <w:bottom w:val="single" w:sz="4" w:space="0" w:color="auto"/>
              <w:right w:val="single" w:sz="4" w:space="0" w:color="auto"/>
            </w:tcBorders>
            <w:shd w:val="clear" w:color="auto" w:fill="auto"/>
            <w:noWrap/>
            <w:vAlign w:val="bottom"/>
            <w:hideMark/>
          </w:tcPr>
          <w:p w14:paraId="755E984A" w14:textId="77777777" w:rsidR="00A91679" w:rsidRPr="00A91679" w:rsidRDefault="00A91679" w:rsidP="00A91679">
            <w:pPr>
              <w:spacing w:after="0" w:line="240" w:lineRule="auto"/>
              <w:jc w:val="right"/>
              <w:rPr>
                <w:rFonts w:ascii="Calibri" w:eastAsia="Times New Roman" w:hAnsi="Calibri" w:cs="Calibri"/>
                <w:color w:val="000000"/>
                <w:sz w:val="22"/>
                <w:szCs w:val="22"/>
                <w:lang w:eastAsia="en-AU"/>
              </w:rPr>
            </w:pPr>
            <w:r w:rsidRPr="00A91679">
              <w:rPr>
                <w:rFonts w:ascii="Calibri" w:eastAsia="Times New Roman" w:hAnsi="Calibri" w:cs="Calibri"/>
                <w:color w:val="000000"/>
                <w:sz w:val="22"/>
                <w:szCs w:val="22"/>
                <w:lang w:eastAsia="en-AU"/>
              </w:rPr>
              <w:t>62%</w:t>
            </w:r>
          </w:p>
        </w:tc>
        <w:tc>
          <w:tcPr>
            <w:tcW w:w="1559" w:type="dxa"/>
            <w:tcBorders>
              <w:top w:val="nil"/>
              <w:left w:val="nil"/>
              <w:bottom w:val="single" w:sz="4" w:space="0" w:color="auto"/>
              <w:right w:val="single" w:sz="4" w:space="0" w:color="auto"/>
            </w:tcBorders>
            <w:shd w:val="clear" w:color="auto" w:fill="auto"/>
            <w:noWrap/>
            <w:vAlign w:val="bottom"/>
            <w:hideMark/>
          </w:tcPr>
          <w:p w14:paraId="490544AB" w14:textId="77777777" w:rsidR="00A91679" w:rsidRPr="00A91679" w:rsidRDefault="00A91679" w:rsidP="00A91679">
            <w:pPr>
              <w:spacing w:after="0" w:line="240" w:lineRule="auto"/>
              <w:jc w:val="right"/>
              <w:rPr>
                <w:rFonts w:ascii="Calibri" w:eastAsia="Times New Roman" w:hAnsi="Calibri" w:cs="Calibri"/>
                <w:color w:val="000000"/>
                <w:sz w:val="22"/>
                <w:szCs w:val="22"/>
                <w:lang w:eastAsia="en-AU"/>
              </w:rPr>
            </w:pPr>
            <w:r w:rsidRPr="00A91679">
              <w:rPr>
                <w:rFonts w:ascii="Calibri" w:eastAsia="Times New Roman" w:hAnsi="Calibri" w:cs="Calibri"/>
                <w:color w:val="000000"/>
                <w:sz w:val="22"/>
                <w:szCs w:val="22"/>
                <w:lang w:eastAsia="en-AU"/>
              </w:rPr>
              <w:t>38%</w:t>
            </w:r>
          </w:p>
        </w:tc>
        <w:tc>
          <w:tcPr>
            <w:tcW w:w="1417" w:type="dxa"/>
            <w:tcBorders>
              <w:top w:val="nil"/>
              <w:left w:val="nil"/>
              <w:bottom w:val="single" w:sz="4" w:space="0" w:color="auto"/>
              <w:right w:val="single" w:sz="4" w:space="0" w:color="auto"/>
            </w:tcBorders>
            <w:shd w:val="clear" w:color="auto" w:fill="auto"/>
            <w:noWrap/>
            <w:vAlign w:val="bottom"/>
            <w:hideMark/>
          </w:tcPr>
          <w:p w14:paraId="6A2842A3" w14:textId="77777777" w:rsidR="00A91679" w:rsidRPr="00A91679" w:rsidRDefault="00A91679" w:rsidP="004A4E44">
            <w:pPr>
              <w:spacing w:after="0" w:line="240" w:lineRule="auto"/>
              <w:jc w:val="right"/>
              <w:rPr>
                <w:rFonts w:ascii="Calibri" w:eastAsia="Times New Roman" w:hAnsi="Calibri" w:cs="Calibri"/>
                <w:color w:val="000000"/>
                <w:sz w:val="22"/>
                <w:szCs w:val="22"/>
                <w:lang w:eastAsia="en-AU"/>
              </w:rPr>
            </w:pPr>
            <w:r w:rsidRPr="00A91679">
              <w:rPr>
                <w:rFonts w:ascii="Calibri" w:eastAsia="Times New Roman" w:hAnsi="Calibri" w:cs="Calibri"/>
                <w:color w:val="000000"/>
                <w:sz w:val="22"/>
                <w:szCs w:val="22"/>
                <w:lang w:eastAsia="en-AU"/>
              </w:rPr>
              <w:t>59%</w:t>
            </w:r>
          </w:p>
        </w:tc>
        <w:tc>
          <w:tcPr>
            <w:tcW w:w="1843" w:type="dxa"/>
            <w:tcBorders>
              <w:top w:val="nil"/>
              <w:left w:val="nil"/>
              <w:bottom w:val="single" w:sz="4" w:space="0" w:color="auto"/>
              <w:right w:val="single" w:sz="4" w:space="0" w:color="auto"/>
            </w:tcBorders>
            <w:shd w:val="clear" w:color="auto" w:fill="auto"/>
            <w:noWrap/>
            <w:vAlign w:val="bottom"/>
            <w:hideMark/>
          </w:tcPr>
          <w:p w14:paraId="25916459" w14:textId="77777777" w:rsidR="00A91679" w:rsidRPr="00A91679" w:rsidRDefault="00A91679" w:rsidP="00A91679">
            <w:pPr>
              <w:spacing w:after="0" w:line="240" w:lineRule="auto"/>
              <w:jc w:val="right"/>
              <w:rPr>
                <w:rFonts w:ascii="Calibri" w:eastAsia="Times New Roman" w:hAnsi="Calibri" w:cs="Calibri"/>
                <w:color w:val="000000"/>
                <w:sz w:val="22"/>
                <w:szCs w:val="22"/>
                <w:lang w:eastAsia="en-AU"/>
              </w:rPr>
            </w:pPr>
            <w:r w:rsidRPr="00A91679">
              <w:rPr>
                <w:rFonts w:ascii="Calibri" w:eastAsia="Times New Roman" w:hAnsi="Calibri" w:cs="Calibri"/>
                <w:color w:val="000000"/>
                <w:sz w:val="22"/>
                <w:szCs w:val="22"/>
                <w:lang w:eastAsia="en-AU"/>
              </w:rPr>
              <w:t>41%</w:t>
            </w:r>
          </w:p>
        </w:tc>
      </w:tr>
      <w:tr w:rsidR="00A91679" w:rsidRPr="00A91679" w14:paraId="20C4FC57" w14:textId="77777777" w:rsidTr="004A4E44">
        <w:trPr>
          <w:trHeight w:val="301"/>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4E6C95E" w14:textId="77777777" w:rsidR="00A91679" w:rsidRPr="00A91679" w:rsidRDefault="00A91679" w:rsidP="00A91679">
            <w:pPr>
              <w:spacing w:after="0" w:line="240" w:lineRule="auto"/>
              <w:jc w:val="right"/>
              <w:rPr>
                <w:rFonts w:ascii="Calibri" w:eastAsia="Times New Roman" w:hAnsi="Calibri" w:cs="Calibri"/>
                <w:color w:val="000000"/>
                <w:sz w:val="22"/>
                <w:szCs w:val="22"/>
                <w:lang w:eastAsia="en-AU"/>
              </w:rPr>
            </w:pPr>
            <w:r w:rsidRPr="00A91679">
              <w:rPr>
                <w:rFonts w:ascii="Calibri" w:eastAsia="Times New Roman" w:hAnsi="Calibri" w:cs="Calibri"/>
                <w:color w:val="000000"/>
                <w:sz w:val="22"/>
                <w:szCs w:val="22"/>
                <w:lang w:eastAsia="en-AU"/>
              </w:rPr>
              <w:t>3008</w:t>
            </w:r>
          </w:p>
        </w:tc>
        <w:tc>
          <w:tcPr>
            <w:tcW w:w="1644" w:type="dxa"/>
            <w:tcBorders>
              <w:top w:val="nil"/>
              <w:left w:val="nil"/>
              <w:bottom w:val="single" w:sz="4" w:space="0" w:color="auto"/>
              <w:right w:val="single" w:sz="4" w:space="0" w:color="auto"/>
            </w:tcBorders>
            <w:shd w:val="clear" w:color="auto" w:fill="auto"/>
            <w:noWrap/>
            <w:vAlign w:val="bottom"/>
            <w:hideMark/>
          </w:tcPr>
          <w:p w14:paraId="64C80060" w14:textId="77777777" w:rsidR="00A91679" w:rsidRPr="00A91679" w:rsidRDefault="00A91679" w:rsidP="00A91679">
            <w:pPr>
              <w:spacing w:after="0" w:line="240" w:lineRule="auto"/>
              <w:jc w:val="right"/>
              <w:rPr>
                <w:rFonts w:ascii="Calibri" w:eastAsia="Times New Roman" w:hAnsi="Calibri" w:cs="Calibri"/>
                <w:color w:val="000000"/>
                <w:sz w:val="22"/>
                <w:szCs w:val="22"/>
                <w:lang w:eastAsia="en-AU"/>
              </w:rPr>
            </w:pPr>
            <w:r w:rsidRPr="00A91679">
              <w:rPr>
                <w:rFonts w:ascii="Calibri" w:eastAsia="Times New Roman" w:hAnsi="Calibri" w:cs="Calibri"/>
                <w:color w:val="000000"/>
                <w:sz w:val="22"/>
                <w:szCs w:val="22"/>
                <w:lang w:eastAsia="en-AU"/>
              </w:rPr>
              <w:t>60%</w:t>
            </w:r>
          </w:p>
        </w:tc>
        <w:tc>
          <w:tcPr>
            <w:tcW w:w="1559" w:type="dxa"/>
            <w:tcBorders>
              <w:top w:val="nil"/>
              <w:left w:val="nil"/>
              <w:bottom w:val="single" w:sz="4" w:space="0" w:color="auto"/>
              <w:right w:val="single" w:sz="4" w:space="0" w:color="auto"/>
            </w:tcBorders>
            <w:shd w:val="clear" w:color="auto" w:fill="auto"/>
            <w:noWrap/>
            <w:vAlign w:val="bottom"/>
            <w:hideMark/>
          </w:tcPr>
          <w:p w14:paraId="67C34BEC" w14:textId="77777777" w:rsidR="00A91679" w:rsidRPr="00A91679" w:rsidRDefault="00A91679" w:rsidP="00A91679">
            <w:pPr>
              <w:spacing w:after="0" w:line="240" w:lineRule="auto"/>
              <w:jc w:val="right"/>
              <w:rPr>
                <w:rFonts w:ascii="Calibri" w:eastAsia="Times New Roman" w:hAnsi="Calibri" w:cs="Calibri"/>
                <w:color w:val="000000"/>
                <w:sz w:val="22"/>
                <w:szCs w:val="22"/>
                <w:lang w:eastAsia="en-AU"/>
              </w:rPr>
            </w:pPr>
            <w:r w:rsidRPr="00A91679">
              <w:rPr>
                <w:rFonts w:ascii="Calibri" w:eastAsia="Times New Roman" w:hAnsi="Calibri" w:cs="Calibri"/>
                <w:color w:val="000000"/>
                <w:sz w:val="22"/>
                <w:szCs w:val="22"/>
                <w:lang w:eastAsia="en-AU"/>
              </w:rPr>
              <w:t>40%</w:t>
            </w:r>
          </w:p>
        </w:tc>
        <w:tc>
          <w:tcPr>
            <w:tcW w:w="1417" w:type="dxa"/>
            <w:tcBorders>
              <w:top w:val="nil"/>
              <w:left w:val="nil"/>
              <w:bottom w:val="single" w:sz="4" w:space="0" w:color="auto"/>
              <w:right w:val="single" w:sz="4" w:space="0" w:color="auto"/>
            </w:tcBorders>
            <w:shd w:val="clear" w:color="auto" w:fill="auto"/>
            <w:noWrap/>
            <w:vAlign w:val="bottom"/>
            <w:hideMark/>
          </w:tcPr>
          <w:p w14:paraId="4A448FE6" w14:textId="77777777" w:rsidR="00A91679" w:rsidRPr="00A91679" w:rsidRDefault="00A91679" w:rsidP="004A4E44">
            <w:pPr>
              <w:spacing w:after="0" w:line="240" w:lineRule="auto"/>
              <w:jc w:val="right"/>
              <w:rPr>
                <w:rFonts w:ascii="Calibri" w:eastAsia="Times New Roman" w:hAnsi="Calibri" w:cs="Calibri"/>
                <w:color w:val="000000"/>
                <w:sz w:val="22"/>
                <w:szCs w:val="22"/>
                <w:lang w:eastAsia="en-AU"/>
              </w:rPr>
            </w:pPr>
            <w:r w:rsidRPr="00A91679">
              <w:rPr>
                <w:rFonts w:ascii="Calibri" w:eastAsia="Times New Roman" w:hAnsi="Calibri" w:cs="Calibri"/>
                <w:color w:val="000000"/>
                <w:sz w:val="22"/>
                <w:szCs w:val="22"/>
                <w:lang w:eastAsia="en-AU"/>
              </w:rPr>
              <w:t>59%</w:t>
            </w:r>
          </w:p>
        </w:tc>
        <w:tc>
          <w:tcPr>
            <w:tcW w:w="1843" w:type="dxa"/>
            <w:tcBorders>
              <w:top w:val="nil"/>
              <w:left w:val="nil"/>
              <w:bottom w:val="single" w:sz="4" w:space="0" w:color="auto"/>
              <w:right w:val="single" w:sz="4" w:space="0" w:color="auto"/>
            </w:tcBorders>
            <w:shd w:val="clear" w:color="auto" w:fill="auto"/>
            <w:noWrap/>
            <w:vAlign w:val="bottom"/>
            <w:hideMark/>
          </w:tcPr>
          <w:p w14:paraId="43514B5D" w14:textId="77777777" w:rsidR="00A91679" w:rsidRPr="00A91679" w:rsidRDefault="00A91679" w:rsidP="00A91679">
            <w:pPr>
              <w:spacing w:after="0" w:line="240" w:lineRule="auto"/>
              <w:jc w:val="right"/>
              <w:rPr>
                <w:rFonts w:ascii="Calibri" w:eastAsia="Times New Roman" w:hAnsi="Calibri" w:cs="Calibri"/>
                <w:color w:val="000000"/>
                <w:sz w:val="22"/>
                <w:szCs w:val="22"/>
                <w:lang w:eastAsia="en-AU"/>
              </w:rPr>
            </w:pPr>
            <w:r w:rsidRPr="00A91679">
              <w:rPr>
                <w:rFonts w:ascii="Calibri" w:eastAsia="Times New Roman" w:hAnsi="Calibri" w:cs="Calibri"/>
                <w:color w:val="000000"/>
                <w:sz w:val="22"/>
                <w:szCs w:val="22"/>
                <w:lang w:eastAsia="en-AU"/>
              </w:rPr>
              <w:t>41%</w:t>
            </w:r>
          </w:p>
        </w:tc>
      </w:tr>
      <w:tr w:rsidR="00A91679" w:rsidRPr="00A91679" w14:paraId="17E7C68B" w14:textId="77777777" w:rsidTr="004A4E44">
        <w:trPr>
          <w:trHeight w:val="301"/>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0114902" w14:textId="77777777" w:rsidR="00A91679" w:rsidRPr="00A91679" w:rsidRDefault="00A91679" w:rsidP="00A91679">
            <w:pPr>
              <w:spacing w:after="0" w:line="240" w:lineRule="auto"/>
              <w:jc w:val="right"/>
              <w:rPr>
                <w:rFonts w:ascii="Calibri" w:eastAsia="Times New Roman" w:hAnsi="Calibri" w:cs="Calibri"/>
                <w:color w:val="000000"/>
                <w:sz w:val="22"/>
                <w:szCs w:val="22"/>
                <w:lang w:eastAsia="en-AU"/>
              </w:rPr>
            </w:pPr>
            <w:r w:rsidRPr="00A91679">
              <w:rPr>
                <w:rFonts w:ascii="Calibri" w:eastAsia="Times New Roman" w:hAnsi="Calibri" w:cs="Calibri"/>
                <w:color w:val="000000"/>
                <w:sz w:val="22"/>
                <w:szCs w:val="22"/>
                <w:lang w:eastAsia="en-AU"/>
              </w:rPr>
              <w:t>3010</w:t>
            </w:r>
          </w:p>
        </w:tc>
        <w:tc>
          <w:tcPr>
            <w:tcW w:w="1644" w:type="dxa"/>
            <w:tcBorders>
              <w:top w:val="nil"/>
              <w:left w:val="nil"/>
              <w:bottom w:val="single" w:sz="4" w:space="0" w:color="auto"/>
              <w:right w:val="single" w:sz="4" w:space="0" w:color="auto"/>
            </w:tcBorders>
            <w:shd w:val="clear" w:color="auto" w:fill="auto"/>
            <w:noWrap/>
            <w:vAlign w:val="bottom"/>
            <w:hideMark/>
          </w:tcPr>
          <w:p w14:paraId="722A9C6D" w14:textId="77777777" w:rsidR="00A91679" w:rsidRPr="00A91679" w:rsidRDefault="00A91679" w:rsidP="00A91679">
            <w:pPr>
              <w:spacing w:after="0" w:line="240" w:lineRule="auto"/>
              <w:jc w:val="right"/>
              <w:rPr>
                <w:rFonts w:ascii="Calibri" w:eastAsia="Times New Roman" w:hAnsi="Calibri" w:cs="Calibri"/>
                <w:color w:val="000000"/>
                <w:sz w:val="22"/>
                <w:szCs w:val="22"/>
                <w:lang w:eastAsia="en-AU"/>
              </w:rPr>
            </w:pPr>
            <w:r w:rsidRPr="00A91679">
              <w:rPr>
                <w:rFonts w:ascii="Calibri" w:eastAsia="Times New Roman" w:hAnsi="Calibri" w:cs="Calibri"/>
                <w:color w:val="000000"/>
                <w:sz w:val="22"/>
                <w:szCs w:val="22"/>
                <w:lang w:eastAsia="en-AU"/>
              </w:rPr>
              <w:t>73%</w:t>
            </w:r>
          </w:p>
        </w:tc>
        <w:tc>
          <w:tcPr>
            <w:tcW w:w="1559" w:type="dxa"/>
            <w:tcBorders>
              <w:top w:val="nil"/>
              <w:left w:val="nil"/>
              <w:bottom w:val="single" w:sz="4" w:space="0" w:color="auto"/>
              <w:right w:val="single" w:sz="4" w:space="0" w:color="auto"/>
            </w:tcBorders>
            <w:shd w:val="clear" w:color="auto" w:fill="auto"/>
            <w:noWrap/>
            <w:vAlign w:val="bottom"/>
            <w:hideMark/>
          </w:tcPr>
          <w:p w14:paraId="67C00578" w14:textId="77777777" w:rsidR="00A91679" w:rsidRPr="00A91679" w:rsidRDefault="00A91679" w:rsidP="00A91679">
            <w:pPr>
              <w:spacing w:after="0" w:line="240" w:lineRule="auto"/>
              <w:jc w:val="right"/>
              <w:rPr>
                <w:rFonts w:ascii="Calibri" w:eastAsia="Times New Roman" w:hAnsi="Calibri" w:cs="Calibri"/>
                <w:color w:val="000000"/>
                <w:sz w:val="22"/>
                <w:szCs w:val="22"/>
                <w:lang w:eastAsia="en-AU"/>
              </w:rPr>
            </w:pPr>
            <w:r w:rsidRPr="00A91679">
              <w:rPr>
                <w:rFonts w:ascii="Calibri" w:eastAsia="Times New Roman" w:hAnsi="Calibri" w:cs="Calibri"/>
                <w:color w:val="000000"/>
                <w:sz w:val="22"/>
                <w:szCs w:val="22"/>
                <w:lang w:eastAsia="en-AU"/>
              </w:rPr>
              <w:t>27%</w:t>
            </w:r>
          </w:p>
        </w:tc>
        <w:tc>
          <w:tcPr>
            <w:tcW w:w="1417" w:type="dxa"/>
            <w:tcBorders>
              <w:top w:val="nil"/>
              <w:left w:val="nil"/>
              <w:bottom w:val="single" w:sz="4" w:space="0" w:color="auto"/>
              <w:right w:val="single" w:sz="4" w:space="0" w:color="auto"/>
            </w:tcBorders>
            <w:shd w:val="clear" w:color="auto" w:fill="auto"/>
            <w:noWrap/>
            <w:vAlign w:val="bottom"/>
            <w:hideMark/>
          </w:tcPr>
          <w:p w14:paraId="4C9EC0CF" w14:textId="77777777" w:rsidR="00A91679" w:rsidRPr="00A91679" w:rsidRDefault="00A91679" w:rsidP="004A4E44">
            <w:pPr>
              <w:spacing w:after="0" w:line="240" w:lineRule="auto"/>
              <w:jc w:val="right"/>
              <w:rPr>
                <w:rFonts w:ascii="Calibri" w:eastAsia="Times New Roman" w:hAnsi="Calibri" w:cs="Calibri"/>
                <w:color w:val="000000"/>
                <w:sz w:val="22"/>
                <w:szCs w:val="22"/>
                <w:lang w:eastAsia="en-AU"/>
              </w:rPr>
            </w:pPr>
            <w:r w:rsidRPr="00A91679">
              <w:rPr>
                <w:rFonts w:ascii="Calibri" w:eastAsia="Times New Roman" w:hAnsi="Calibri" w:cs="Calibri"/>
                <w:color w:val="000000"/>
                <w:sz w:val="22"/>
                <w:szCs w:val="22"/>
                <w:lang w:eastAsia="en-AU"/>
              </w:rPr>
              <w:t>59%</w:t>
            </w:r>
          </w:p>
        </w:tc>
        <w:tc>
          <w:tcPr>
            <w:tcW w:w="1843" w:type="dxa"/>
            <w:tcBorders>
              <w:top w:val="nil"/>
              <w:left w:val="nil"/>
              <w:bottom w:val="single" w:sz="4" w:space="0" w:color="auto"/>
              <w:right w:val="single" w:sz="4" w:space="0" w:color="auto"/>
            </w:tcBorders>
            <w:shd w:val="clear" w:color="auto" w:fill="auto"/>
            <w:noWrap/>
            <w:vAlign w:val="bottom"/>
            <w:hideMark/>
          </w:tcPr>
          <w:p w14:paraId="0157947A" w14:textId="77777777" w:rsidR="00A91679" w:rsidRPr="00A91679" w:rsidRDefault="00A91679" w:rsidP="00A91679">
            <w:pPr>
              <w:spacing w:after="0" w:line="240" w:lineRule="auto"/>
              <w:jc w:val="right"/>
              <w:rPr>
                <w:rFonts w:ascii="Calibri" w:eastAsia="Times New Roman" w:hAnsi="Calibri" w:cs="Calibri"/>
                <w:color w:val="000000"/>
                <w:sz w:val="22"/>
                <w:szCs w:val="22"/>
                <w:lang w:eastAsia="en-AU"/>
              </w:rPr>
            </w:pPr>
            <w:r w:rsidRPr="00A91679">
              <w:rPr>
                <w:rFonts w:ascii="Calibri" w:eastAsia="Times New Roman" w:hAnsi="Calibri" w:cs="Calibri"/>
                <w:color w:val="000000"/>
                <w:sz w:val="22"/>
                <w:szCs w:val="22"/>
                <w:lang w:eastAsia="en-AU"/>
              </w:rPr>
              <w:t>41%</w:t>
            </w:r>
          </w:p>
        </w:tc>
      </w:tr>
      <w:tr w:rsidR="00A91679" w:rsidRPr="00A91679" w14:paraId="4103342C" w14:textId="77777777" w:rsidTr="004A4E44">
        <w:trPr>
          <w:trHeight w:val="301"/>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1B87B25" w14:textId="77777777" w:rsidR="00A91679" w:rsidRPr="00A91679" w:rsidRDefault="00A91679" w:rsidP="00A91679">
            <w:pPr>
              <w:spacing w:after="0" w:line="240" w:lineRule="auto"/>
              <w:jc w:val="right"/>
              <w:rPr>
                <w:rFonts w:ascii="Calibri" w:eastAsia="Times New Roman" w:hAnsi="Calibri" w:cs="Calibri"/>
                <w:color w:val="000000"/>
                <w:sz w:val="22"/>
                <w:szCs w:val="22"/>
                <w:lang w:eastAsia="en-AU"/>
              </w:rPr>
            </w:pPr>
            <w:r w:rsidRPr="00A91679">
              <w:rPr>
                <w:rFonts w:ascii="Calibri" w:eastAsia="Times New Roman" w:hAnsi="Calibri" w:cs="Calibri"/>
                <w:color w:val="000000"/>
                <w:sz w:val="22"/>
                <w:szCs w:val="22"/>
                <w:lang w:eastAsia="en-AU"/>
              </w:rPr>
              <w:t>3031</w:t>
            </w:r>
          </w:p>
        </w:tc>
        <w:tc>
          <w:tcPr>
            <w:tcW w:w="1644" w:type="dxa"/>
            <w:tcBorders>
              <w:top w:val="nil"/>
              <w:left w:val="nil"/>
              <w:bottom w:val="single" w:sz="4" w:space="0" w:color="auto"/>
              <w:right w:val="single" w:sz="4" w:space="0" w:color="auto"/>
            </w:tcBorders>
            <w:shd w:val="clear" w:color="auto" w:fill="auto"/>
            <w:noWrap/>
            <w:vAlign w:val="bottom"/>
            <w:hideMark/>
          </w:tcPr>
          <w:p w14:paraId="0D5905B6" w14:textId="77777777" w:rsidR="00A91679" w:rsidRPr="00A91679" w:rsidRDefault="00A91679" w:rsidP="00A91679">
            <w:pPr>
              <w:spacing w:after="0" w:line="240" w:lineRule="auto"/>
              <w:jc w:val="right"/>
              <w:rPr>
                <w:rFonts w:ascii="Calibri" w:eastAsia="Times New Roman" w:hAnsi="Calibri" w:cs="Calibri"/>
                <w:color w:val="000000"/>
                <w:sz w:val="22"/>
                <w:szCs w:val="22"/>
                <w:lang w:eastAsia="en-AU"/>
              </w:rPr>
            </w:pPr>
            <w:r w:rsidRPr="00A91679">
              <w:rPr>
                <w:rFonts w:ascii="Calibri" w:eastAsia="Times New Roman" w:hAnsi="Calibri" w:cs="Calibri"/>
                <w:color w:val="000000"/>
                <w:sz w:val="22"/>
                <w:szCs w:val="22"/>
                <w:lang w:eastAsia="en-AU"/>
              </w:rPr>
              <w:t>48%</w:t>
            </w:r>
          </w:p>
        </w:tc>
        <w:tc>
          <w:tcPr>
            <w:tcW w:w="1559" w:type="dxa"/>
            <w:tcBorders>
              <w:top w:val="nil"/>
              <w:left w:val="nil"/>
              <w:bottom w:val="single" w:sz="4" w:space="0" w:color="auto"/>
              <w:right w:val="single" w:sz="4" w:space="0" w:color="auto"/>
            </w:tcBorders>
            <w:shd w:val="clear" w:color="auto" w:fill="auto"/>
            <w:noWrap/>
            <w:vAlign w:val="bottom"/>
            <w:hideMark/>
          </w:tcPr>
          <w:p w14:paraId="2B3CC8FC" w14:textId="77777777" w:rsidR="00A91679" w:rsidRPr="00A91679" w:rsidRDefault="00A91679" w:rsidP="00A91679">
            <w:pPr>
              <w:spacing w:after="0" w:line="240" w:lineRule="auto"/>
              <w:jc w:val="right"/>
              <w:rPr>
                <w:rFonts w:ascii="Calibri" w:eastAsia="Times New Roman" w:hAnsi="Calibri" w:cs="Calibri"/>
                <w:color w:val="000000"/>
                <w:sz w:val="22"/>
                <w:szCs w:val="22"/>
                <w:lang w:eastAsia="en-AU"/>
              </w:rPr>
            </w:pPr>
            <w:r w:rsidRPr="00A91679">
              <w:rPr>
                <w:rFonts w:ascii="Calibri" w:eastAsia="Times New Roman" w:hAnsi="Calibri" w:cs="Calibri"/>
                <w:color w:val="000000"/>
                <w:sz w:val="22"/>
                <w:szCs w:val="22"/>
                <w:lang w:eastAsia="en-AU"/>
              </w:rPr>
              <w:t>52%</w:t>
            </w:r>
          </w:p>
        </w:tc>
        <w:tc>
          <w:tcPr>
            <w:tcW w:w="1417" w:type="dxa"/>
            <w:tcBorders>
              <w:top w:val="nil"/>
              <w:left w:val="nil"/>
              <w:bottom w:val="single" w:sz="4" w:space="0" w:color="auto"/>
              <w:right w:val="single" w:sz="4" w:space="0" w:color="auto"/>
            </w:tcBorders>
            <w:shd w:val="clear" w:color="auto" w:fill="auto"/>
            <w:noWrap/>
            <w:vAlign w:val="bottom"/>
            <w:hideMark/>
          </w:tcPr>
          <w:p w14:paraId="55F72DAC" w14:textId="77777777" w:rsidR="00A91679" w:rsidRPr="00A91679" w:rsidRDefault="00A91679" w:rsidP="004A4E44">
            <w:pPr>
              <w:spacing w:after="0" w:line="240" w:lineRule="auto"/>
              <w:jc w:val="right"/>
              <w:rPr>
                <w:rFonts w:ascii="Calibri" w:eastAsia="Times New Roman" w:hAnsi="Calibri" w:cs="Calibri"/>
                <w:color w:val="000000"/>
                <w:sz w:val="22"/>
                <w:szCs w:val="22"/>
                <w:lang w:eastAsia="en-AU"/>
              </w:rPr>
            </w:pPr>
            <w:r w:rsidRPr="00A91679">
              <w:rPr>
                <w:rFonts w:ascii="Calibri" w:eastAsia="Times New Roman" w:hAnsi="Calibri" w:cs="Calibri"/>
                <w:color w:val="000000"/>
                <w:sz w:val="22"/>
                <w:szCs w:val="22"/>
                <w:lang w:eastAsia="en-AU"/>
              </w:rPr>
              <w:t>59%</w:t>
            </w:r>
          </w:p>
        </w:tc>
        <w:tc>
          <w:tcPr>
            <w:tcW w:w="1843" w:type="dxa"/>
            <w:tcBorders>
              <w:top w:val="nil"/>
              <w:left w:val="nil"/>
              <w:bottom w:val="single" w:sz="4" w:space="0" w:color="auto"/>
              <w:right w:val="single" w:sz="4" w:space="0" w:color="auto"/>
            </w:tcBorders>
            <w:shd w:val="clear" w:color="auto" w:fill="auto"/>
            <w:noWrap/>
            <w:vAlign w:val="bottom"/>
            <w:hideMark/>
          </w:tcPr>
          <w:p w14:paraId="069FF192" w14:textId="77777777" w:rsidR="00A91679" w:rsidRPr="00A91679" w:rsidRDefault="00A91679" w:rsidP="00A91679">
            <w:pPr>
              <w:spacing w:after="0" w:line="240" w:lineRule="auto"/>
              <w:jc w:val="right"/>
              <w:rPr>
                <w:rFonts w:ascii="Calibri" w:eastAsia="Times New Roman" w:hAnsi="Calibri" w:cs="Calibri"/>
                <w:color w:val="000000"/>
                <w:sz w:val="22"/>
                <w:szCs w:val="22"/>
                <w:lang w:eastAsia="en-AU"/>
              </w:rPr>
            </w:pPr>
            <w:r w:rsidRPr="00A91679">
              <w:rPr>
                <w:rFonts w:ascii="Calibri" w:eastAsia="Times New Roman" w:hAnsi="Calibri" w:cs="Calibri"/>
                <w:color w:val="000000"/>
                <w:sz w:val="22"/>
                <w:szCs w:val="22"/>
                <w:lang w:eastAsia="en-AU"/>
              </w:rPr>
              <w:t>41%</w:t>
            </w:r>
          </w:p>
        </w:tc>
      </w:tr>
      <w:tr w:rsidR="00A91679" w:rsidRPr="00A91679" w14:paraId="611F7498" w14:textId="77777777" w:rsidTr="004A4E44">
        <w:trPr>
          <w:trHeight w:val="301"/>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2F5566D" w14:textId="77777777" w:rsidR="00A91679" w:rsidRPr="00A91679" w:rsidRDefault="00A91679" w:rsidP="00A91679">
            <w:pPr>
              <w:spacing w:after="0" w:line="240" w:lineRule="auto"/>
              <w:jc w:val="right"/>
              <w:rPr>
                <w:rFonts w:ascii="Calibri" w:eastAsia="Times New Roman" w:hAnsi="Calibri" w:cs="Calibri"/>
                <w:color w:val="000000"/>
                <w:sz w:val="22"/>
                <w:szCs w:val="22"/>
                <w:lang w:eastAsia="en-AU"/>
              </w:rPr>
            </w:pPr>
            <w:r w:rsidRPr="00A91679">
              <w:rPr>
                <w:rFonts w:ascii="Calibri" w:eastAsia="Times New Roman" w:hAnsi="Calibri" w:cs="Calibri"/>
                <w:color w:val="000000"/>
                <w:sz w:val="22"/>
                <w:szCs w:val="22"/>
                <w:lang w:eastAsia="en-AU"/>
              </w:rPr>
              <w:t>3032</w:t>
            </w:r>
          </w:p>
        </w:tc>
        <w:tc>
          <w:tcPr>
            <w:tcW w:w="1644" w:type="dxa"/>
            <w:tcBorders>
              <w:top w:val="nil"/>
              <w:left w:val="nil"/>
              <w:bottom w:val="single" w:sz="4" w:space="0" w:color="auto"/>
              <w:right w:val="single" w:sz="4" w:space="0" w:color="auto"/>
            </w:tcBorders>
            <w:shd w:val="clear" w:color="auto" w:fill="auto"/>
            <w:noWrap/>
            <w:vAlign w:val="bottom"/>
            <w:hideMark/>
          </w:tcPr>
          <w:p w14:paraId="0901504B" w14:textId="77777777" w:rsidR="00A91679" w:rsidRPr="00A91679" w:rsidRDefault="00A91679" w:rsidP="00A91679">
            <w:pPr>
              <w:spacing w:after="0" w:line="240" w:lineRule="auto"/>
              <w:jc w:val="right"/>
              <w:rPr>
                <w:rFonts w:ascii="Calibri" w:eastAsia="Times New Roman" w:hAnsi="Calibri" w:cs="Calibri"/>
                <w:color w:val="000000"/>
                <w:sz w:val="22"/>
                <w:szCs w:val="22"/>
                <w:lang w:eastAsia="en-AU"/>
              </w:rPr>
            </w:pPr>
            <w:r w:rsidRPr="00A91679">
              <w:rPr>
                <w:rFonts w:ascii="Calibri" w:eastAsia="Times New Roman" w:hAnsi="Calibri" w:cs="Calibri"/>
                <w:color w:val="000000"/>
                <w:sz w:val="22"/>
                <w:szCs w:val="22"/>
                <w:lang w:eastAsia="en-AU"/>
              </w:rPr>
              <w:t>74%</w:t>
            </w:r>
          </w:p>
        </w:tc>
        <w:tc>
          <w:tcPr>
            <w:tcW w:w="1559" w:type="dxa"/>
            <w:tcBorders>
              <w:top w:val="nil"/>
              <w:left w:val="nil"/>
              <w:bottom w:val="single" w:sz="4" w:space="0" w:color="auto"/>
              <w:right w:val="single" w:sz="4" w:space="0" w:color="auto"/>
            </w:tcBorders>
            <w:shd w:val="clear" w:color="auto" w:fill="auto"/>
            <w:noWrap/>
            <w:vAlign w:val="bottom"/>
            <w:hideMark/>
          </w:tcPr>
          <w:p w14:paraId="127205AC" w14:textId="77777777" w:rsidR="00A91679" w:rsidRPr="00A91679" w:rsidRDefault="00A91679" w:rsidP="00A91679">
            <w:pPr>
              <w:spacing w:after="0" w:line="240" w:lineRule="auto"/>
              <w:jc w:val="right"/>
              <w:rPr>
                <w:rFonts w:ascii="Calibri" w:eastAsia="Times New Roman" w:hAnsi="Calibri" w:cs="Calibri"/>
                <w:color w:val="000000"/>
                <w:sz w:val="22"/>
                <w:szCs w:val="22"/>
                <w:lang w:eastAsia="en-AU"/>
              </w:rPr>
            </w:pPr>
            <w:r w:rsidRPr="00A91679">
              <w:rPr>
                <w:rFonts w:ascii="Calibri" w:eastAsia="Times New Roman" w:hAnsi="Calibri" w:cs="Calibri"/>
                <w:color w:val="000000"/>
                <w:sz w:val="22"/>
                <w:szCs w:val="22"/>
                <w:lang w:eastAsia="en-AU"/>
              </w:rPr>
              <w:t>26%</w:t>
            </w:r>
          </w:p>
        </w:tc>
        <w:tc>
          <w:tcPr>
            <w:tcW w:w="1417" w:type="dxa"/>
            <w:tcBorders>
              <w:top w:val="nil"/>
              <w:left w:val="nil"/>
              <w:bottom w:val="single" w:sz="4" w:space="0" w:color="auto"/>
              <w:right w:val="single" w:sz="4" w:space="0" w:color="auto"/>
            </w:tcBorders>
            <w:shd w:val="clear" w:color="auto" w:fill="auto"/>
            <w:noWrap/>
            <w:vAlign w:val="bottom"/>
            <w:hideMark/>
          </w:tcPr>
          <w:p w14:paraId="3B504258" w14:textId="77777777" w:rsidR="00A91679" w:rsidRPr="00A91679" w:rsidRDefault="00A91679" w:rsidP="004A4E44">
            <w:pPr>
              <w:spacing w:after="0" w:line="240" w:lineRule="auto"/>
              <w:jc w:val="right"/>
              <w:rPr>
                <w:rFonts w:ascii="Calibri" w:eastAsia="Times New Roman" w:hAnsi="Calibri" w:cs="Calibri"/>
                <w:color w:val="000000"/>
                <w:sz w:val="22"/>
                <w:szCs w:val="22"/>
                <w:lang w:eastAsia="en-AU"/>
              </w:rPr>
            </w:pPr>
            <w:r w:rsidRPr="00A91679">
              <w:rPr>
                <w:rFonts w:ascii="Calibri" w:eastAsia="Times New Roman" w:hAnsi="Calibri" w:cs="Calibri"/>
                <w:color w:val="000000"/>
                <w:sz w:val="22"/>
                <w:szCs w:val="22"/>
                <w:lang w:eastAsia="en-AU"/>
              </w:rPr>
              <w:t>59%</w:t>
            </w:r>
          </w:p>
        </w:tc>
        <w:tc>
          <w:tcPr>
            <w:tcW w:w="1843" w:type="dxa"/>
            <w:tcBorders>
              <w:top w:val="nil"/>
              <w:left w:val="nil"/>
              <w:bottom w:val="single" w:sz="4" w:space="0" w:color="auto"/>
              <w:right w:val="single" w:sz="4" w:space="0" w:color="auto"/>
            </w:tcBorders>
            <w:shd w:val="clear" w:color="auto" w:fill="auto"/>
            <w:noWrap/>
            <w:vAlign w:val="bottom"/>
            <w:hideMark/>
          </w:tcPr>
          <w:p w14:paraId="110DFFEA" w14:textId="77777777" w:rsidR="00A91679" w:rsidRPr="00A91679" w:rsidRDefault="00A91679" w:rsidP="00A91679">
            <w:pPr>
              <w:spacing w:after="0" w:line="240" w:lineRule="auto"/>
              <w:jc w:val="right"/>
              <w:rPr>
                <w:rFonts w:ascii="Calibri" w:eastAsia="Times New Roman" w:hAnsi="Calibri" w:cs="Calibri"/>
                <w:color w:val="000000"/>
                <w:sz w:val="22"/>
                <w:szCs w:val="22"/>
                <w:lang w:eastAsia="en-AU"/>
              </w:rPr>
            </w:pPr>
            <w:r w:rsidRPr="00A91679">
              <w:rPr>
                <w:rFonts w:ascii="Calibri" w:eastAsia="Times New Roman" w:hAnsi="Calibri" w:cs="Calibri"/>
                <w:color w:val="000000"/>
                <w:sz w:val="22"/>
                <w:szCs w:val="22"/>
                <w:lang w:eastAsia="en-AU"/>
              </w:rPr>
              <w:t>41%</w:t>
            </w:r>
          </w:p>
        </w:tc>
      </w:tr>
      <w:tr w:rsidR="00A91679" w:rsidRPr="00A91679" w14:paraId="62943E62" w14:textId="77777777" w:rsidTr="004A4E44">
        <w:trPr>
          <w:trHeight w:val="301"/>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EC8DB17" w14:textId="77777777" w:rsidR="00A91679" w:rsidRPr="00A91679" w:rsidRDefault="00A91679" w:rsidP="00A91679">
            <w:pPr>
              <w:spacing w:after="0" w:line="240" w:lineRule="auto"/>
              <w:jc w:val="right"/>
              <w:rPr>
                <w:rFonts w:ascii="Calibri" w:eastAsia="Times New Roman" w:hAnsi="Calibri" w:cs="Calibri"/>
                <w:color w:val="000000"/>
                <w:sz w:val="22"/>
                <w:szCs w:val="22"/>
                <w:lang w:eastAsia="en-AU"/>
              </w:rPr>
            </w:pPr>
            <w:r w:rsidRPr="00A91679">
              <w:rPr>
                <w:rFonts w:ascii="Calibri" w:eastAsia="Times New Roman" w:hAnsi="Calibri" w:cs="Calibri"/>
                <w:color w:val="000000"/>
                <w:sz w:val="22"/>
                <w:szCs w:val="22"/>
                <w:lang w:eastAsia="en-AU"/>
              </w:rPr>
              <w:t>3050</w:t>
            </w:r>
          </w:p>
        </w:tc>
        <w:tc>
          <w:tcPr>
            <w:tcW w:w="1644" w:type="dxa"/>
            <w:tcBorders>
              <w:top w:val="nil"/>
              <w:left w:val="nil"/>
              <w:bottom w:val="single" w:sz="4" w:space="0" w:color="auto"/>
              <w:right w:val="single" w:sz="4" w:space="0" w:color="auto"/>
            </w:tcBorders>
            <w:shd w:val="clear" w:color="auto" w:fill="auto"/>
            <w:noWrap/>
            <w:vAlign w:val="bottom"/>
            <w:hideMark/>
          </w:tcPr>
          <w:p w14:paraId="4A89BC19" w14:textId="77777777" w:rsidR="00A91679" w:rsidRPr="00A91679" w:rsidRDefault="00A91679" w:rsidP="00A91679">
            <w:pPr>
              <w:spacing w:after="0" w:line="240" w:lineRule="auto"/>
              <w:jc w:val="right"/>
              <w:rPr>
                <w:rFonts w:ascii="Calibri" w:eastAsia="Times New Roman" w:hAnsi="Calibri" w:cs="Calibri"/>
                <w:color w:val="000000"/>
                <w:sz w:val="22"/>
                <w:szCs w:val="22"/>
                <w:lang w:eastAsia="en-AU"/>
              </w:rPr>
            </w:pPr>
            <w:r w:rsidRPr="00A91679">
              <w:rPr>
                <w:rFonts w:ascii="Calibri" w:eastAsia="Times New Roman" w:hAnsi="Calibri" w:cs="Calibri"/>
                <w:color w:val="000000"/>
                <w:sz w:val="22"/>
                <w:szCs w:val="22"/>
                <w:lang w:eastAsia="en-AU"/>
              </w:rPr>
              <w:t>23%</w:t>
            </w:r>
          </w:p>
        </w:tc>
        <w:tc>
          <w:tcPr>
            <w:tcW w:w="1559" w:type="dxa"/>
            <w:tcBorders>
              <w:top w:val="nil"/>
              <w:left w:val="nil"/>
              <w:bottom w:val="single" w:sz="4" w:space="0" w:color="auto"/>
              <w:right w:val="single" w:sz="4" w:space="0" w:color="auto"/>
            </w:tcBorders>
            <w:shd w:val="clear" w:color="auto" w:fill="auto"/>
            <w:noWrap/>
            <w:vAlign w:val="bottom"/>
            <w:hideMark/>
          </w:tcPr>
          <w:p w14:paraId="2101F482" w14:textId="77777777" w:rsidR="00A91679" w:rsidRPr="00A91679" w:rsidRDefault="00A91679" w:rsidP="00A91679">
            <w:pPr>
              <w:spacing w:after="0" w:line="240" w:lineRule="auto"/>
              <w:jc w:val="right"/>
              <w:rPr>
                <w:rFonts w:ascii="Calibri" w:eastAsia="Times New Roman" w:hAnsi="Calibri" w:cs="Calibri"/>
                <w:color w:val="000000"/>
                <w:sz w:val="22"/>
                <w:szCs w:val="22"/>
                <w:lang w:eastAsia="en-AU"/>
              </w:rPr>
            </w:pPr>
            <w:r w:rsidRPr="00A91679">
              <w:rPr>
                <w:rFonts w:ascii="Calibri" w:eastAsia="Times New Roman" w:hAnsi="Calibri" w:cs="Calibri"/>
                <w:color w:val="000000"/>
                <w:sz w:val="22"/>
                <w:szCs w:val="22"/>
                <w:lang w:eastAsia="en-AU"/>
              </w:rPr>
              <w:t>77%</w:t>
            </w:r>
          </w:p>
        </w:tc>
        <w:tc>
          <w:tcPr>
            <w:tcW w:w="1417" w:type="dxa"/>
            <w:tcBorders>
              <w:top w:val="nil"/>
              <w:left w:val="nil"/>
              <w:bottom w:val="single" w:sz="4" w:space="0" w:color="auto"/>
              <w:right w:val="single" w:sz="4" w:space="0" w:color="auto"/>
            </w:tcBorders>
            <w:shd w:val="clear" w:color="auto" w:fill="auto"/>
            <w:noWrap/>
            <w:vAlign w:val="bottom"/>
            <w:hideMark/>
          </w:tcPr>
          <w:p w14:paraId="630DE881" w14:textId="77777777" w:rsidR="00A91679" w:rsidRPr="00A91679" w:rsidRDefault="00A91679" w:rsidP="004A4E44">
            <w:pPr>
              <w:spacing w:after="0" w:line="240" w:lineRule="auto"/>
              <w:jc w:val="right"/>
              <w:rPr>
                <w:rFonts w:ascii="Calibri" w:eastAsia="Times New Roman" w:hAnsi="Calibri" w:cs="Calibri"/>
                <w:color w:val="000000"/>
                <w:sz w:val="22"/>
                <w:szCs w:val="22"/>
                <w:lang w:eastAsia="en-AU"/>
              </w:rPr>
            </w:pPr>
            <w:r w:rsidRPr="00A91679">
              <w:rPr>
                <w:rFonts w:ascii="Calibri" w:eastAsia="Times New Roman" w:hAnsi="Calibri" w:cs="Calibri"/>
                <w:color w:val="000000"/>
                <w:sz w:val="22"/>
                <w:szCs w:val="22"/>
                <w:lang w:eastAsia="en-AU"/>
              </w:rPr>
              <w:t>59%</w:t>
            </w:r>
          </w:p>
        </w:tc>
        <w:tc>
          <w:tcPr>
            <w:tcW w:w="1843" w:type="dxa"/>
            <w:tcBorders>
              <w:top w:val="nil"/>
              <w:left w:val="nil"/>
              <w:bottom w:val="single" w:sz="4" w:space="0" w:color="auto"/>
              <w:right w:val="single" w:sz="4" w:space="0" w:color="auto"/>
            </w:tcBorders>
            <w:shd w:val="clear" w:color="auto" w:fill="auto"/>
            <w:noWrap/>
            <w:vAlign w:val="bottom"/>
            <w:hideMark/>
          </w:tcPr>
          <w:p w14:paraId="279D8F6E" w14:textId="77777777" w:rsidR="00A91679" w:rsidRPr="00A91679" w:rsidRDefault="00A91679" w:rsidP="00A91679">
            <w:pPr>
              <w:spacing w:after="0" w:line="240" w:lineRule="auto"/>
              <w:jc w:val="right"/>
              <w:rPr>
                <w:rFonts w:ascii="Calibri" w:eastAsia="Times New Roman" w:hAnsi="Calibri" w:cs="Calibri"/>
                <w:color w:val="000000"/>
                <w:sz w:val="22"/>
                <w:szCs w:val="22"/>
                <w:lang w:eastAsia="en-AU"/>
              </w:rPr>
            </w:pPr>
            <w:r w:rsidRPr="00A91679">
              <w:rPr>
                <w:rFonts w:ascii="Calibri" w:eastAsia="Times New Roman" w:hAnsi="Calibri" w:cs="Calibri"/>
                <w:color w:val="000000"/>
                <w:sz w:val="22"/>
                <w:szCs w:val="22"/>
                <w:lang w:eastAsia="en-AU"/>
              </w:rPr>
              <w:t>41%</w:t>
            </w:r>
          </w:p>
        </w:tc>
      </w:tr>
      <w:tr w:rsidR="00A91679" w:rsidRPr="00A91679" w14:paraId="284FBEF2" w14:textId="77777777" w:rsidTr="004A4E44">
        <w:trPr>
          <w:trHeight w:val="301"/>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C2A241E" w14:textId="77777777" w:rsidR="00A91679" w:rsidRPr="00A91679" w:rsidRDefault="00A91679" w:rsidP="00A91679">
            <w:pPr>
              <w:spacing w:after="0" w:line="240" w:lineRule="auto"/>
              <w:jc w:val="right"/>
              <w:rPr>
                <w:rFonts w:ascii="Calibri" w:eastAsia="Times New Roman" w:hAnsi="Calibri" w:cs="Calibri"/>
                <w:color w:val="000000"/>
                <w:sz w:val="22"/>
                <w:szCs w:val="22"/>
                <w:lang w:eastAsia="en-AU"/>
              </w:rPr>
            </w:pPr>
            <w:r w:rsidRPr="00A91679">
              <w:rPr>
                <w:rFonts w:ascii="Calibri" w:eastAsia="Times New Roman" w:hAnsi="Calibri" w:cs="Calibri"/>
                <w:color w:val="000000"/>
                <w:sz w:val="22"/>
                <w:szCs w:val="22"/>
                <w:lang w:eastAsia="en-AU"/>
              </w:rPr>
              <w:t>3051</w:t>
            </w:r>
          </w:p>
        </w:tc>
        <w:tc>
          <w:tcPr>
            <w:tcW w:w="1644" w:type="dxa"/>
            <w:tcBorders>
              <w:top w:val="nil"/>
              <w:left w:val="nil"/>
              <w:bottom w:val="single" w:sz="4" w:space="0" w:color="auto"/>
              <w:right w:val="single" w:sz="4" w:space="0" w:color="auto"/>
            </w:tcBorders>
            <w:shd w:val="clear" w:color="auto" w:fill="auto"/>
            <w:noWrap/>
            <w:vAlign w:val="bottom"/>
            <w:hideMark/>
          </w:tcPr>
          <w:p w14:paraId="27B89008" w14:textId="77777777" w:rsidR="00A91679" w:rsidRPr="00A91679" w:rsidRDefault="00A91679" w:rsidP="00A91679">
            <w:pPr>
              <w:spacing w:after="0" w:line="240" w:lineRule="auto"/>
              <w:jc w:val="right"/>
              <w:rPr>
                <w:rFonts w:ascii="Calibri" w:eastAsia="Times New Roman" w:hAnsi="Calibri" w:cs="Calibri"/>
                <w:color w:val="000000"/>
                <w:sz w:val="22"/>
                <w:szCs w:val="22"/>
                <w:lang w:eastAsia="en-AU"/>
              </w:rPr>
            </w:pPr>
            <w:r w:rsidRPr="00A91679">
              <w:rPr>
                <w:rFonts w:ascii="Calibri" w:eastAsia="Times New Roman" w:hAnsi="Calibri" w:cs="Calibri"/>
                <w:color w:val="000000"/>
                <w:sz w:val="22"/>
                <w:szCs w:val="22"/>
                <w:lang w:eastAsia="en-AU"/>
              </w:rPr>
              <w:t>54%</w:t>
            </w:r>
          </w:p>
        </w:tc>
        <w:tc>
          <w:tcPr>
            <w:tcW w:w="1559" w:type="dxa"/>
            <w:tcBorders>
              <w:top w:val="nil"/>
              <w:left w:val="nil"/>
              <w:bottom w:val="single" w:sz="4" w:space="0" w:color="auto"/>
              <w:right w:val="single" w:sz="4" w:space="0" w:color="auto"/>
            </w:tcBorders>
            <w:shd w:val="clear" w:color="auto" w:fill="auto"/>
            <w:noWrap/>
            <w:vAlign w:val="bottom"/>
            <w:hideMark/>
          </w:tcPr>
          <w:p w14:paraId="6E7A4391" w14:textId="77777777" w:rsidR="00A91679" w:rsidRPr="00A91679" w:rsidRDefault="00A91679" w:rsidP="00A91679">
            <w:pPr>
              <w:spacing w:after="0" w:line="240" w:lineRule="auto"/>
              <w:jc w:val="right"/>
              <w:rPr>
                <w:rFonts w:ascii="Calibri" w:eastAsia="Times New Roman" w:hAnsi="Calibri" w:cs="Calibri"/>
                <w:color w:val="000000"/>
                <w:sz w:val="22"/>
                <w:szCs w:val="22"/>
                <w:lang w:eastAsia="en-AU"/>
              </w:rPr>
            </w:pPr>
            <w:r w:rsidRPr="00A91679">
              <w:rPr>
                <w:rFonts w:ascii="Calibri" w:eastAsia="Times New Roman" w:hAnsi="Calibri" w:cs="Calibri"/>
                <w:color w:val="000000"/>
                <w:sz w:val="22"/>
                <w:szCs w:val="22"/>
                <w:lang w:eastAsia="en-AU"/>
              </w:rPr>
              <w:t>46%</w:t>
            </w:r>
          </w:p>
        </w:tc>
        <w:tc>
          <w:tcPr>
            <w:tcW w:w="1417" w:type="dxa"/>
            <w:tcBorders>
              <w:top w:val="nil"/>
              <w:left w:val="nil"/>
              <w:bottom w:val="single" w:sz="4" w:space="0" w:color="auto"/>
              <w:right w:val="single" w:sz="4" w:space="0" w:color="auto"/>
            </w:tcBorders>
            <w:shd w:val="clear" w:color="auto" w:fill="auto"/>
            <w:noWrap/>
            <w:vAlign w:val="bottom"/>
            <w:hideMark/>
          </w:tcPr>
          <w:p w14:paraId="637F0883" w14:textId="77777777" w:rsidR="00A91679" w:rsidRPr="00A91679" w:rsidRDefault="00A91679" w:rsidP="004A4E44">
            <w:pPr>
              <w:spacing w:after="0" w:line="240" w:lineRule="auto"/>
              <w:jc w:val="right"/>
              <w:rPr>
                <w:rFonts w:ascii="Calibri" w:eastAsia="Times New Roman" w:hAnsi="Calibri" w:cs="Calibri"/>
                <w:color w:val="000000"/>
                <w:sz w:val="22"/>
                <w:szCs w:val="22"/>
                <w:lang w:eastAsia="en-AU"/>
              </w:rPr>
            </w:pPr>
            <w:r w:rsidRPr="00A91679">
              <w:rPr>
                <w:rFonts w:ascii="Calibri" w:eastAsia="Times New Roman" w:hAnsi="Calibri" w:cs="Calibri"/>
                <w:color w:val="000000"/>
                <w:sz w:val="22"/>
                <w:szCs w:val="22"/>
                <w:lang w:eastAsia="en-AU"/>
              </w:rPr>
              <w:t>59%</w:t>
            </w:r>
          </w:p>
        </w:tc>
        <w:tc>
          <w:tcPr>
            <w:tcW w:w="1843" w:type="dxa"/>
            <w:tcBorders>
              <w:top w:val="nil"/>
              <w:left w:val="nil"/>
              <w:bottom w:val="single" w:sz="4" w:space="0" w:color="auto"/>
              <w:right w:val="single" w:sz="4" w:space="0" w:color="auto"/>
            </w:tcBorders>
            <w:shd w:val="clear" w:color="auto" w:fill="auto"/>
            <w:noWrap/>
            <w:vAlign w:val="bottom"/>
            <w:hideMark/>
          </w:tcPr>
          <w:p w14:paraId="1B7666BA" w14:textId="77777777" w:rsidR="00A91679" w:rsidRPr="00A91679" w:rsidRDefault="00A91679" w:rsidP="00A91679">
            <w:pPr>
              <w:spacing w:after="0" w:line="240" w:lineRule="auto"/>
              <w:jc w:val="right"/>
              <w:rPr>
                <w:rFonts w:ascii="Calibri" w:eastAsia="Times New Roman" w:hAnsi="Calibri" w:cs="Calibri"/>
                <w:color w:val="000000"/>
                <w:sz w:val="22"/>
                <w:szCs w:val="22"/>
                <w:lang w:eastAsia="en-AU"/>
              </w:rPr>
            </w:pPr>
            <w:r w:rsidRPr="00A91679">
              <w:rPr>
                <w:rFonts w:ascii="Calibri" w:eastAsia="Times New Roman" w:hAnsi="Calibri" w:cs="Calibri"/>
                <w:color w:val="000000"/>
                <w:sz w:val="22"/>
                <w:szCs w:val="22"/>
                <w:lang w:eastAsia="en-AU"/>
              </w:rPr>
              <w:t>41%</w:t>
            </w:r>
          </w:p>
        </w:tc>
      </w:tr>
      <w:tr w:rsidR="00A91679" w:rsidRPr="00A91679" w14:paraId="5F07000B" w14:textId="77777777" w:rsidTr="004A4E44">
        <w:trPr>
          <w:trHeight w:val="301"/>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65D076F" w14:textId="77777777" w:rsidR="00A91679" w:rsidRPr="00A91679" w:rsidRDefault="00A91679" w:rsidP="00A91679">
            <w:pPr>
              <w:spacing w:after="0" w:line="240" w:lineRule="auto"/>
              <w:jc w:val="right"/>
              <w:rPr>
                <w:rFonts w:ascii="Calibri" w:eastAsia="Times New Roman" w:hAnsi="Calibri" w:cs="Calibri"/>
                <w:color w:val="000000"/>
                <w:sz w:val="22"/>
                <w:szCs w:val="22"/>
                <w:lang w:eastAsia="en-AU"/>
              </w:rPr>
            </w:pPr>
            <w:r w:rsidRPr="00A91679">
              <w:rPr>
                <w:rFonts w:ascii="Calibri" w:eastAsia="Times New Roman" w:hAnsi="Calibri" w:cs="Calibri"/>
                <w:color w:val="000000"/>
                <w:sz w:val="22"/>
                <w:szCs w:val="22"/>
                <w:lang w:eastAsia="en-AU"/>
              </w:rPr>
              <w:t>3052</w:t>
            </w:r>
          </w:p>
        </w:tc>
        <w:tc>
          <w:tcPr>
            <w:tcW w:w="1644" w:type="dxa"/>
            <w:tcBorders>
              <w:top w:val="nil"/>
              <w:left w:val="nil"/>
              <w:bottom w:val="single" w:sz="4" w:space="0" w:color="auto"/>
              <w:right w:val="single" w:sz="4" w:space="0" w:color="auto"/>
            </w:tcBorders>
            <w:shd w:val="clear" w:color="auto" w:fill="auto"/>
            <w:noWrap/>
            <w:vAlign w:val="bottom"/>
            <w:hideMark/>
          </w:tcPr>
          <w:p w14:paraId="09F2E5AD" w14:textId="77777777" w:rsidR="00A91679" w:rsidRPr="00A91679" w:rsidRDefault="00A91679" w:rsidP="00A91679">
            <w:pPr>
              <w:spacing w:after="0" w:line="240" w:lineRule="auto"/>
              <w:jc w:val="right"/>
              <w:rPr>
                <w:rFonts w:ascii="Calibri" w:eastAsia="Times New Roman" w:hAnsi="Calibri" w:cs="Calibri"/>
                <w:color w:val="000000"/>
                <w:sz w:val="22"/>
                <w:szCs w:val="22"/>
                <w:lang w:eastAsia="en-AU"/>
              </w:rPr>
            </w:pPr>
            <w:r w:rsidRPr="00A91679">
              <w:rPr>
                <w:rFonts w:ascii="Calibri" w:eastAsia="Times New Roman" w:hAnsi="Calibri" w:cs="Calibri"/>
                <w:color w:val="000000"/>
                <w:sz w:val="22"/>
                <w:szCs w:val="22"/>
                <w:lang w:eastAsia="en-AU"/>
              </w:rPr>
              <w:t>50%</w:t>
            </w:r>
          </w:p>
        </w:tc>
        <w:tc>
          <w:tcPr>
            <w:tcW w:w="1559" w:type="dxa"/>
            <w:tcBorders>
              <w:top w:val="nil"/>
              <w:left w:val="nil"/>
              <w:bottom w:val="single" w:sz="4" w:space="0" w:color="auto"/>
              <w:right w:val="single" w:sz="4" w:space="0" w:color="auto"/>
            </w:tcBorders>
            <w:shd w:val="clear" w:color="auto" w:fill="auto"/>
            <w:noWrap/>
            <w:vAlign w:val="bottom"/>
            <w:hideMark/>
          </w:tcPr>
          <w:p w14:paraId="4661C1BD" w14:textId="77777777" w:rsidR="00A91679" w:rsidRPr="00A91679" w:rsidRDefault="00A91679" w:rsidP="00A91679">
            <w:pPr>
              <w:spacing w:after="0" w:line="240" w:lineRule="auto"/>
              <w:jc w:val="right"/>
              <w:rPr>
                <w:rFonts w:ascii="Calibri" w:eastAsia="Times New Roman" w:hAnsi="Calibri" w:cs="Calibri"/>
                <w:color w:val="000000"/>
                <w:sz w:val="22"/>
                <w:szCs w:val="22"/>
                <w:lang w:eastAsia="en-AU"/>
              </w:rPr>
            </w:pPr>
            <w:r w:rsidRPr="00A91679">
              <w:rPr>
                <w:rFonts w:ascii="Calibri" w:eastAsia="Times New Roman" w:hAnsi="Calibri" w:cs="Calibri"/>
                <w:color w:val="000000"/>
                <w:sz w:val="22"/>
                <w:szCs w:val="22"/>
                <w:lang w:eastAsia="en-AU"/>
              </w:rPr>
              <w:t>50%</w:t>
            </w:r>
          </w:p>
        </w:tc>
        <w:tc>
          <w:tcPr>
            <w:tcW w:w="1417" w:type="dxa"/>
            <w:tcBorders>
              <w:top w:val="nil"/>
              <w:left w:val="nil"/>
              <w:bottom w:val="single" w:sz="4" w:space="0" w:color="auto"/>
              <w:right w:val="single" w:sz="4" w:space="0" w:color="auto"/>
            </w:tcBorders>
            <w:shd w:val="clear" w:color="auto" w:fill="auto"/>
            <w:noWrap/>
            <w:vAlign w:val="bottom"/>
            <w:hideMark/>
          </w:tcPr>
          <w:p w14:paraId="2F5249BA" w14:textId="77777777" w:rsidR="00A91679" w:rsidRPr="00A91679" w:rsidRDefault="00A91679" w:rsidP="004A4E44">
            <w:pPr>
              <w:spacing w:after="0" w:line="240" w:lineRule="auto"/>
              <w:jc w:val="right"/>
              <w:rPr>
                <w:rFonts w:ascii="Calibri" w:eastAsia="Times New Roman" w:hAnsi="Calibri" w:cs="Calibri"/>
                <w:color w:val="000000"/>
                <w:sz w:val="22"/>
                <w:szCs w:val="22"/>
                <w:lang w:eastAsia="en-AU"/>
              </w:rPr>
            </w:pPr>
            <w:r w:rsidRPr="00A91679">
              <w:rPr>
                <w:rFonts w:ascii="Calibri" w:eastAsia="Times New Roman" w:hAnsi="Calibri" w:cs="Calibri"/>
                <w:color w:val="000000"/>
                <w:sz w:val="22"/>
                <w:szCs w:val="22"/>
                <w:lang w:eastAsia="en-AU"/>
              </w:rPr>
              <w:t>59%</w:t>
            </w:r>
          </w:p>
        </w:tc>
        <w:tc>
          <w:tcPr>
            <w:tcW w:w="1843" w:type="dxa"/>
            <w:tcBorders>
              <w:top w:val="nil"/>
              <w:left w:val="nil"/>
              <w:bottom w:val="single" w:sz="4" w:space="0" w:color="auto"/>
              <w:right w:val="single" w:sz="4" w:space="0" w:color="auto"/>
            </w:tcBorders>
            <w:shd w:val="clear" w:color="auto" w:fill="auto"/>
            <w:noWrap/>
            <w:vAlign w:val="bottom"/>
            <w:hideMark/>
          </w:tcPr>
          <w:p w14:paraId="02E324CA" w14:textId="77777777" w:rsidR="00A91679" w:rsidRPr="00A91679" w:rsidRDefault="00A91679" w:rsidP="00A91679">
            <w:pPr>
              <w:spacing w:after="0" w:line="240" w:lineRule="auto"/>
              <w:jc w:val="right"/>
              <w:rPr>
                <w:rFonts w:ascii="Calibri" w:eastAsia="Times New Roman" w:hAnsi="Calibri" w:cs="Calibri"/>
                <w:color w:val="000000"/>
                <w:sz w:val="22"/>
                <w:szCs w:val="22"/>
                <w:lang w:eastAsia="en-AU"/>
              </w:rPr>
            </w:pPr>
            <w:r w:rsidRPr="00A91679">
              <w:rPr>
                <w:rFonts w:ascii="Calibri" w:eastAsia="Times New Roman" w:hAnsi="Calibri" w:cs="Calibri"/>
                <w:color w:val="000000"/>
                <w:sz w:val="22"/>
                <w:szCs w:val="22"/>
                <w:lang w:eastAsia="en-AU"/>
              </w:rPr>
              <w:t>41%</w:t>
            </w:r>
          </w:p>
        </w:tc>
      </w:tr>
      <w:tr w:rsidR="00A91679" w:rsidRPr="00A91679" w14:paraId="684AD578" w14:textId="77777777" w:rsidTr="004A4E44">
        <w:trPr>
          <w:trHeight w:val="301"/>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A999BB6" w14:textId="77777777" w:rsidR="00A91679" w:rsidRPr="00A91679" w:rsidRDefault="00A91679" w:rsidP="00A91679">
            <w:pPr>
              <w:spacing w:after="0" w:line="240" w:lineRule="auto"/>
              <w:jc w:val="right"/>
              <w:rPr>
                <w:rFonts w:ascii="Calibri" w:eastAsia="Times New Roman" w:hAnsi="Calibri" w:cs="Calibri"/>
                <w:color w:val="000000"/>
                <w:sz w:val="22"/>
                <w:szCs w:val="22"/>
                <w:lang w:eastAsia="en-AU"/>
              </w:rPr>
            </w:pPr>
            <w:r w:rsidRPr="00A91679">
              <w:rPr>
                <w:rFonts w:ascii="Calibri" w:eastAsia="Times New Roman" w:hAnsi="Calibri" w:cs="Calibri"/>
                <w:color w:val="000000"/>
                <w:sz w:val="22"/>
                <w:szCs w:val="22"/>
                <w:lang w:eastAsia="en-AU"/>
              </w:rPr>
              <w:t>3053</w:t>
            </w:r>
          </w:p>
        </w:tc>
        <w:tc>
          <w:tcPr>
            <w:tcW w:w="1644" w:type="dxa"/>
            <w:tcBorders>
              <w:top w:val="nil"/>
              <w:left w:val="nil"/>
              <w:bottom w:val="single" w:sz="4" w:space="0" w:color="auto"/>
              <w:right w:val="single" w:sz="4" w:space="0" w:color="auto"/>
            </w:tcBorders>
            <w:shd w:val="clear" w:color="auto" w:fill="auto"/>
            <w:noWrap/>
            <w:vAlign w:val="bottom"/>
            <w:hideMark/>
          </w:tcPr>
          <w:p w14:paraId="61F76D4E" w14:textId="77777777" w:rsidR="00A91679" w:rsidRPr="00A91679" w:rsidRDefault="00A91679" w:rsidP="00A91679">
            <w:pPr>
              <w:spacing w:after="0" w:line="240" w:lineRule="auto"/>
              <w:jc w:val="right"/>
              <w:rPr>
                <w:rFonts w:ascii="Calibri" w:eastAsia="Times New Roman" w:hAnsi="Calibri" w:cs="Calibri"/>
                <w:color w:val="000000"/>
                <w:sz w:val="22"/>
                <w:szCs w:val="22"/>
                <w:lang w:eastAsia="en-AU"/>
              </w:rPr>
            </w:pPr>
            <w:r w:rsidRPr="00A91679">
              <w:rPr>
                <w:rFonts w:ascii="Calibri" w:eastAsia="Times New Roman" w:hAnsi="Calibri" w:cs="Calibri"/>
                <w:color w:val="000000"/>
                <w:sz w:val="22"/>
                <w:szCs w:val="22"/>
                <w:lang w:eastAsia="en-AU"/>
              </w:rPr>
              <w:t>55%</w:t>
            </w:r>
          </w:p>
        </w:tc>
        <w:tc>
          <w:tcPr>
            <w:tcW w:w="1559" w:type="dxa"/>
            <w:tcBorders>
              <w:top w:val="nil"/>
              <w:left w:val="nil"/>
              <w:bottom w:val="single" w:sz="4" w:space="0" w:color="auto"/>
              <w:right w:val="single" w:sz="4" w:space="0" w:color="auto"/>
            </w:tcBorders>
            <w:shd w:val="clear" w:color="auto" w:fill="auto"/>
            <w:noWrap/>
            <w:vAlign w:val="bottom"/>
            <w:hideMark/>
          </w:tcPr>
          <w:p w14:paraId="6C294185" w14:textId="77777777" w:rsidR="00A91679" w:rsidRPr="00A91679" w:rsidRDefault="00A91679" w:rsidP="00A91679">
            <w:pPr>
              <w:spacing w:after="0" w:line="240" w:lineRule="auto"/>
              <w:jc w:val="right"/>
              <w:rPr>
                <w:rFonts w:ascii="Calibri" w:eastAsia="Times New Roman" w:hAnsi="Calibri" w:cs="Calibri"/>
                <w:color w:val="000000"/>
                <w:sz w:val="22"/>
                <w:szCs w:val="22"/>
                <w:lang w:eastAsia="en-AU"/>
              </w:rPr>
            </w:pPr>
            <w:r w:rsidRPr="00A91679">
              <w:rPr>
                <w:rFonts w:ascii="Calibri" w:eastAsia="Times New Roman" w:hAnsi="Calibri" w:cs="Calibri"/>
                <w:color w:val="000000"/>
                <w:sz w:val="22"/>
                <w:szCs w:val="22"/>
                <w:lang w:eastAsia="en-AU"/>
              </w:rPr>
              <w:t>45%</w:t>
            </w:r>
          </w:p>
        </w:tc>
        <w:tc>
          <w:tcPr>
            <w:tcW w:w="1417" w:type="dxa"/>
            <w:tcBorders>
              <w:top w:val="nil"/>
              <w:left w:val="nil"/>
              <w:bottom w:val="single" w:sz="4" w:space="0" w:color="auto"/>
              <w:right w:val="single" w:sz="4" w:space="0" w:color="auto"/>
            </w:tcBorders>
            <w:shd w:val="clear" w:color="auto" w:fill="auto"/>
            <w:noWrap/>
            <w:vAlign w:val="bottom"/>
            <w:hideMark/>
          </w:tcPr>
          <w:p w14:paraId="05C372A5" w14:textId="77777777" w:rsidR="00A91679" w:rsidRPr="00A91679" w:rsidRDefault="00A91679" w:rsidP="004A4E44">
            <w:pPr>
              <w:spacing w:after="0" w:line="240" w:lineRule="auto"/>
              <w:jc w:val="right"/>
              <w:rPr>
                <w:rFonts w:ascii="Calibri" w:eastAsia="Times New Roman" w:hAnsi="Calibri" w:cs="Calibri"/>
                <w:color w:val="000000"/>
                <w:sz w:val="22"/>
                <w:szCs w:val="22"/>
                <w:lang w:eastAsia="en-AU"/>
              </w:rPr>
            </w:pPr>
            <w:r w:rsidRPr="00A91679">
              <w:rPr>
                <w:rFonts w:ascii="Calibri" w:eastAsia="Times New Roman" w:hAnsi="Calibri" w:cs="Calibri"/>
                <w:color w:val="000000"/>
                <w:sz w:val="22"/>
                <w:szCs w:val="22"/>
                <w:lang w:eastAsia="en-AU"/>
              </w:rPr>
              <w:t>59%</w:t>
            </w:r>
          </w:p>
        </w:tc>
        <w:tc>
          <w:tcPr>
            <w:tcW w:w="1843" w:type="dxa"/>
            <w:tcBorders>
              <w:top w:val="nil"/>
              <w:left w:val="nil"/>
              <w:bottom w:val="single" w:sz="4" w:space="0" w:color="auto"/>
              <w:right w:val="single" w:sz="4" w:space="0" w:color="auto"/>
            </w:tcBorders>
            <w:shd w:val="clear" w:color="auto" w:fill="auto"/>
            <w:noWrap/>
            <w:vAlign w:val="bottom"/>
            <w:hideMark/>
          </w:tcPr>
          <w:p w14:paraId="3611EA00" w14:textId="77777777" w:rsidR="00A91679" w:rsidRPr="00A91679" w:rsidRDefault="00A91679" w:rsidP="00A91679">
            <w:pPr>
              <w:spacing w:after="0" w:line="240" w:lineRule="auto"/>
              <w:jc w:val="right"/>
              <w:rPr>
                <w:rFonts w:ascii="Calibri" w:eastAsia="Times New Roman" w:hAnsi="Calibri" w:cs="Calibri"/>
                <w:color w:val="000000"/>
                <w:sz w:val="22"/>
                <w:szCs w:val="22"/>
                <w:lang w:eastAsia="en-AU"/>
              </w:rPr>
            </w:pPr>
            <w:r w:rsidRPr="00A91679">
              <w:rPr>
                <w:rFonts w:ascii="Calibri" w:eastAsia="Times New Roman" w:hAnsi="Calibri" w:cs="Calibri"/>
                <w:color w:val="000000"/>
                <w:sz w:val="22"/>
                <w:szCs w:val="22"/>
                <w:lang w:eastAsia="en-AU"/>
              </w:rPr>
              <w:t>41%</w:t>
            </w:r>
          </w:p>
        </w:tc>
      </w:tr>
      <w:tr w:rsidR="00A91679" w:rsidRPr="00A91679" w14:paraId="5A90631D" w14:textId="77777777" w:rsidTr="004A4E44">
        <w:trPr>
          <w:trHeight w:val="301"/>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9EC43C6" w14:textId="77777777" w:rsidR="00A91679" w:rsidRPr="00A91679" w:rsidRDefault="00A91679" w:rsidP="00A91679">
            <w:pPr>
              <w:spacing w:after="0" w:line="240" w:lineRule="auto"/>
              <w:jc w:val="right"/>
              <w:rPr>
                <w:rFonts w:ascii="Calibri" w:eastAsia="Times New Roman" w:hAnsi="Calibri" w:cs="Calibri"/>
                <w:color w:val="000000"/>
                <w:sz w:val="22"/>
                <w:szCs w:val="22"/>
                <w:lang w:eastAsia="en-AU"/>
              </w:rPr>
            </w:pPr>
            <w:r w:rsidRPr="00A91679">
              <w:rPr>
                <w:rFonts w:ascii="Calibri" w:eastAsia="Times New Roman" w:hAnsi="Calibri" w:cs="Calibri"/>
                <w:color w:val="000000"/>
                <w:sz w:val="22"/>
                <w:szCs w:val="22"/>
                <w:lang w:eastAsia="en-AU"/>
              </w:rPr>
              <w:t>3054</w:t>
            </w:r>
          </w:p>
        </w:tc>
        <w:tc>
          <w:tcPr>
            <w:tcW w:w="1644" w:type="dxa"/>
            <w:tcBorders>
              <w:top w:val="nil"/>
              <w:left w:val="nil"/>
              <w:bottom w:val="single" w:sz="4" w:space="0" w:color="auto"/>
              <w:right w:val="single" w:sz="4" w:space="0" w:color="auto"/>
            </w:tcBorders>
            <w:shd w:val="clear" w:color="auto" w:fill="auto"/>
            <w:noWrap/>
            <w:vAlign w:val="bottom"/>
            <w:hideMark/>
          </w:tcPr>
          <w:p w14:paraId="17F0BAFB" w14:textId="77777777" w:rsidR="00A91679" w:rsidRPr="00A91679" w:rsidRDefault="00A91679" w:rsidP="00A91679">
            <w:pPr>
              <w:spacing w:after="0" w:line="240" w:lineRule="auto"/>
              <w:jc w:val="right"/>
              <w:rPr>
                <w:rFonts w:ascii="Calibri" w:eastAsia="Times New Roman" w:hAnsi="Calibri" w:cs="Calibri"/>
                <w:color w:val="000000"/>
                <w:sz w:val="22"/>
                <w:szCs w:val="22"/>
                <w:lang w:eastAsia="en-AU"/>
              </w:rPr>
            </w:pPr>
            <w:r w:rsidRPr="00A91679">
              <w:rPr>
                <w:rFonts w:ascii="Calibri" w:eastAsia="Times New Roman" w:hAnsi="Calibri" w:cs="Calibri"/>
                <w:color w:val="000000"/>
                <w:sz w:val="22"/>
                <w:szCs w:val="22"/>
                <w:lang w:eastAsia="en-AU"/>
              </w:rPr>
              <w:t>70%</w:t>
            </w:r>
          </w:p>
        </w:tc>
        <w:tc>
          <w:tcPr>
            <w:tcW w:w="1559" w:type="dxa"/>
            <w:tcBorders>
              <w:top w:val="nil"/>
              <w:left w:val="nil"/>
              <w:bottom w:val="single" w:sz="4" w:space="0" w:color="auto"/>
              <w:right w:val="single" w:sz="4" w:space="0" w:color="auto"/>
            </w:tcBorders>
            <w:shd w:val="clear" w:color="auto" w:fill="auto"/>
            <w:noWrap/>
            <w:vAlign w:val="bottom"/>
            <w:hideMark/>
          </w:tcPr>
          <w:p w14:paraId="0941DD91" w14:textId="77777777" w:rsidR="00A91679" w:rsidRPr="00A91679" w:rsidRDefault="00A91679" w:rsidP="00A91679">
            <w:pPr>
              <w:spacing w:after="0" w:line="240" w:lineRule="auto"/>
              <w:jc w:val="right"/>
              <w:rPr>
                <w:rFonts w:ascii="Calibri" w:eastAsia="Times New Roman" w:hAnsi="Calibri" w:cs="Calibri"/>
                <w:color w:val="000000"/>
                <w:sz w:val="22"/>
                <w:szCs w:val="22"/>
                <w:lang w:eastAsia="en-AU"/>
              </w:rPr>
            </w:pPr>
            <w:r w:rsidRPr="00A91679">
              <w:rPr>
                <w:rFonts w:ascii="Calibri" w:eastAsia="Times New Roman" w:hAnsi="Calibri" w:cs="Calibri"/>
                <w:color w:val="000000"/>
                <w:sz w:val="22"/>
                <w:szCs w:val="22"/>
                <w:lang w:eastAsia="en-AU"/>
              </w:rPr>
              <w:t>30%</w:t>
            </w:r>
          </w:p>
        </w:tc>
        <w:tc>
          <w:tcPr>
            <w:tcW w:w="1417" w:type="dxa"/>
            <w:tcBorders>
              <w:top w:val="nil"/>
              <w:left w:val="nil"/>
              <w:bottom w:val="single" w:sz="4" w:space="0" w:color="auto"/>
              <w:right w:val="single" w:sz="4" w:space="0" w:color="auto"/>
            </w:tcBorders>
            <w:shd w:val="clear" w:color="auto" w:fill="auto"/>
            <w:noWrap/>
            <w:vAlign w:val="bottom"/>
            <w:hideMark/>
          </w:tcPr>
          <w:p w14:paraId="3EDDC7DC" w14:textId="77777777" w:rsidR="00A91679" w:rsidRPr="00A91679" w:rsidRDefault="00A91679" w:rsidP="004A4E44">
            <w:pPr>
              <w:spacing w:after="0" w:line="240" w:lineRule="auto"/>
              <w:jc w:val="right"/>
              <w:rPr>
                <w:rFonts w:ascii="Calibri" w:eastAsia="Times New Roman" w:hAnsi="Calibri" w:cs="Calibri"/>
                <w:color w:val="000000"/>
                <w:sz w:val="22"/>
                <w:szCs w:val="22"/>
                <w:lang w:eastAsia="en-AU"/>
              </w:rPr>
            </w:pPr>
            <w:r w:rsidRPr="00A91679">
              <w:rPr>
                <w:rFonts w:ascii="Calibri" w:eastAsia="Times New Roman" w:hAnsi="Calibri" w:cs="Calibri"/>
                <w:color w:val="000000"/>
                <w:sz w:val="22"/>
                <w:szCs w:val="22"/>
                <w:lang w:eastAsia="en-AU"/>
              </w:rPr>
              <w:t>59%</w:t>
            </w:r>
          </w:p>
        </w:tc>
        <w:tc>
          <w:tcPr>
            <w:tcW w:w="1843" w:type="dxa"/>
            <w:tcBorders>
              <w:top w:val="nil"/>
              <w:left w:val="nil"/>
              <w:bottom w:val="single" w:sz="4" w:space="0" w:color="auto"/>
              <w:right w:val="single" w:sz="4" w:space="0" w:color="auto"/>
            </w:tcBorders>
            <w:shd w:val="clear" w:color="auto" w:fill="auto"/>
            <w:noWrap/>
            <w:vAlign w:val="bottom"/>
            <w:hideMark/>
          </w:tcPr>
          <w:p w14:paraId="5D492800" w14:textId="77777777" w:rsidR="00A91679" w:rsidRPr="00A91679" w:rsidRDefault="00A91679" w:rsidP="00A91679">
            <w:pPr>
              <w:spacing w:after="0" w:line="240" w:lineRule="auto"/>
              <w:jc w:val="right"/>
              <w:rPr>
                <w:rFonts w:ascii="Calibri" w:eastAsia="Times New Roman" w:hAnsi="Calibri" w:cs="Calibri"/>
                <w:color w:val="000000"/>
                <w:sz w:val="22"/>
                <w:szCs w:val="22"/>
                <w:lang w:eastAsia="en-AU"/>
              </w:rPr>
            </w:pPr>
            <w:r w:rsidRPr="00A91679">
              <w:rPr>
                <w:rFonts w:ascii="Calibri" w:eastAsia="Times New Roman" w:hAnsi="Calibri" w:cs="Calibri"/>
                <w:color w:val="000000"/>
                <w:sz w:val="22"/>
                <w:szCs w:val="22"/>
                <w:lang w:eastAsia="en-AU"/>
              </w:rPr>
              <w:t>41%</w:t>
            </w:r>
          </w:p>
        </w:tc>
      </w:tr>
      <w:tr w:rsidR="00A91679" w:rsidRPr="00A91679" w14:paraId="2F17A946" w14:textId="77777777" w:rsidTr="004A4E44">
        <w:trPr>
          <w:trHeight w:val="301"/>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0372493" w14:textId="77777777" w:rsidR="00A91679" w:rsidRPr="00A91679" w:rsidRDefault="00A91679" w:rsidP="00A91679">
            <w:pPr>
              <w:spacing w:after="0" w:line="240" w:lineRule="auto"/>
              <w:jc w:val="right"/>
              <w:rPr>
                <w:rFonts w:ascii="Calibri" w:eastAsia="Times New Roman" w:hAnsi="Calibri" w:cs="Calibri"/>
                <w:color w:val="000000"/>
                <w:sz w:val="22"/>
                <w:szCs w:val="22"/>
                <w:lang w:eastAsia="en-AU"/>
              </w:rPr>
            </w:pPr>
            <w:r w:rsidRPr="00A91679">
              <w:rPr>
                <w:rFonts w:ascii="Calibri" w:eastAsia="Times New Roman" w:hAnsi="Calibri" w:cs="Calibri"/>
                <w:color w:val="000000"/>
                <w:sz w:val="22"/>
                <w:szCs w:val="22"/>
                <w:lang w:eastAsia="en-AU"/>
              </w:rPr>
              <w:t>3141</w:t>
            </w:r>
          </w:p>
        </w:tc>
        <w:tc>
          <w:tcPr>
            <w:tcW w:w="1644" w:type="dxa"/>
            <w:tcBorders>
              <w:top w:val="nil"/>
              <w:left w:val="nil"/>
              <w:bottom w:val="single" w:sz="4" w:space="0" w:color="auto"/>
              <w:right w:val="single" w:sz="4" w:space="0" w:color="auto"/>
            </w:tcBorders>
            <w:shd w:val="clear" w:color="auto" w:fill="auto"/>
            <w:noWrap/>
            <w:vAlign w:val="bottom"/>
            <w:hideMark/>
          </w:tcPr>
          <w:p w14:paraId="0E8321D4" w14:textId="77777777" w:rsidR="00A91679" w:rsidRPr="00A91679" w:rsidRDefault="00A91679" w:rsidP="00A91679">
            <w:pPr>
              <w:spacing w:after="0" w:line="240" w:lineRule="auto"/>
              <w:jc w:val="right"/>
              <w:rPr>
                <w:rFonts w:ascii="Calibri" w:eastAsia="Times New Roman" w:hAnsi="Calibri" w:cs="Calibri"/>
                <w:color w:val="000000"/>
                <w:sz w:val="22"/>
                <w:szCs w:val="22"/>
                <w:lang w:eastAsia="en-AU"/>
              </w:rPr>
            </w:pPr>
            <w:r w:rsidRPr="00A91679">
              <w:rPr>
                <w:rFonts w:ascii="Calibri" w:eastAsia="Times New Roman" w:hAnsi="Calibri" w:cs="Calibri"/>
                <w:color w:val="000000"/>
                <w:sz w:val="22"/>
                <w:szCs w:val="22"/>
                <w:lang w:eastAsia="en-AU"/>
              </w:rPr>
              <w:t>41%</w:t>
            </w:r>
          </w:p>
        </w:tc>
        <w:tc>
          <w:tcPr>
            <w:tcW w:w="1559" w:type="dxa"/>
            <w:tcBorders>
              <w:top w:val="nil"/>
              <w:left w:val="nil"/>
              <w:bottom w:val="single" w:sz="4" w:space="0" w:color="auto"/>
              <w:right w:val="single" w:sz="4" w:space="0" w:color="auto"/>
            </w:tcBorders>
            <w:shd w:val="clear" w:color="auto" w:fill="auto"/>
            <w:noWrap/>
            <w:vAlign w:val="bottom"/>
            <w:hideMark/>
          </w:tcPr>
          <w:p w14:paraId="57B57065" w14:textId="77777777" w:rsidR="00A91679" w:rsidRPr="00A91679" w:rsidRDefault="00A91679" w:rsidP="00A91679">
            <w:pPr>
              <w:spacing w:after="0" w:line="240" w:lineRule="auto"/>
              <w:jc w:val="right"/>
              <w:rPr>
                <w:rFonts w:ascii="Calibri" w:eastAsia="Times New Roman" w:hAnsi="Calibri" w:cs="Calibri"/>
                <w:color w:val="000000"/>
                <w:sz w:val="22"/>
                <w:szCs w:val="22"/>
                <w:lang w:eastAsia="en-AU"/>
              </w:rPr>
            </w:pPr>
            <w:r w:rsidRPr="00A91679">
              <w:rPr>
                <w:rFonts w:ascii="Calibri" w:eastAsia="Times New Roman" w:hAnsi="Calibri" w:cs="Calibri"/>
                <w:color w:val="000000"/>
                <w:sz w:val="22"/>
                <w:szCs w:val="22"/>
                <w:lang w:eastAsia="en-AU"/>
              </w:rPr>
              <w:t>59%</w:t>
            </w:r>
          </w:p>
        </w:tc>
        <w:tc>
          <w:tcPr>
            <w:tcW w:w="1417" w:type="dxa"/>
            <w:tcBorders>
              <w:top w:val="nil"/>
              <w:left w:val="nil"/>
              <w:bottom w:val="single" w:sz="4" w:space="0" w:color="auto"/>
              <w:right w:val="single" w:sz="4" w:space="0" w:color="auto"/>
            </w:tcBorders>
            <w:shd w:val="clear" w:color="auto" w:fill="auto"/>
            <w:noWrap/>
            <w:vAlign w:val="bottom"/>
            <w:hideMark/>
          </w:tcPr>
          <w:p w14:paraId="66A5BD3D" w14:textId="77777777" w:rsidR="00A91679" w:rsidRPr="00A91679" w:rsidRDefault="00A91679" w:rsidP="004A4E44">
            <w:pPr>
              <w:spacing w:after="0" w:line="240" w:lineRule="auto"/>
              <w:jc w:val="right"/>
              <w:rPr>
                <w:rFonts w:ascii="Calibri" w:eastAsia="Times New Roman" w:hAnsi="Calibri" w:cs="Calibri"/>
                <w:color w:val="000000"/>
                <w:sz w:val="22"/>
                <w:szCs w:val="22"/>
                <w:lang w:eastAsia="en-AU"/>
              </w:rPr>
            </w:pPr>
            <w:r w:rsidRPr="00A91679">
              <w:rPr>
                <w:rFonts w:ascii="Calibri" w:eastAsia="Times New Roman" w:hAnsi="Calibri" w:cs="Calibri"/>
                <w:color w:val="000000"/>
                <w:sz w:val="22"/>
                <w:szCs w:val="22"/>
                <w:lang w:eastAsia="en-AU"/>
              </w:rPr>
              <w:t>59%</w:t>
            </w:r>
          </w:p>
        </w:tc>
        <w:tc>
          <w:tcPr>
            <w:tcW w:w="1843" w:type="dxa"/>
            <w:tcBorders>
              <w:top w:val="nil"/>
              <w:left w:val="nil"/>
              <w:bottom w:val="single" w:sz="4" w:space="0" w:color="auto"/>
              <w:right w:val="single" w:sz="4" w:space="0" w:color="auto"/>
            </w:tcBorders>
            <w:shd w:val="clear" w:color="auto" w:fill="auto"/>
            <w:noWrap/>
            <w:vAlign w:val="bottom"/>
            <w:hideMark/>
          </w:tcPr>
          <w:p w14:paraId="7F59B23C" w14:textId="77777777" w:rsidR="00A91679" w:rsidRPr="00A91679" w:rsidRDefault="00A91679" w:rsidP="00A91679">
            <w:pPr>
              <w:spacing w:after="0" w:line="240" w:lineRule="auto"/>
              <w:jc w:val="right"/>
              <w:rPr>
                <w:rFonts w:ascii="Calibri" w:eastAsia="Times New Roman" w:hAnsi="Calibri" w:cs="Calibri"/>
                <w:color w:val="000000"/>
                <w:sz w:val="22"/>
                <w:szCs w:val="22"/>
                <w:lang w:eastAsia="en-AU"/>
              </w:rPr>
            </w:pPr>
            <w:r w:rsidRPr="00A91679">
              <w:rPr>
                <w:rFonts w:ascii="Calibri" w:eastAsia="Times New Roman" w:hAnsi="Calibri" w:cs="Calibri"/>
                <w:color w:val="000000"/>
                <w:sz w:val="22"/>
                <w:szCs w:val="22"/>
                <w:lang w:eastAsia="en-AU"/>
              </w:rPr>
              <w:t>41%</w:t>
            </w:r>
          </w:p>
        </w:tc>
      </w:tr>
      <w:tr w:rsidR="00A91679" w:rsidRPr="00A91679" w14:paraId="604C7CA2" w14:textId="77777777" w:rsidTr="004A4E44">
        <w:trPr>
          <w:trHeight w:val="301"/>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9C5B779" w14:textId="77777777" w:rsidR="00A91679" w:rsidRPr="00A91679" w:rsidRDefault="00A91679" w:rsidP="00A91679">
            <w:pPr>
              <w:spacing w:after="0" w:line="240" w:lineRule="auto"/>
              <w:jc w:val="right"/>
              <w:rPr>
                <w:rFonts w:ascii="Calibri" w:eastAsia="Times New Roman" w:hAnsi="Calibri" w:cs="Calibri"/>
                <w:color w:val="000000"/>
                <w:sz w:val="22"/>
                <w:szCs w:val="22"/>
                <w:lang w:eastAsia="en-AU"/>
              </w:rPr>
            </w:pPr>
            <w:r w:rsidRPr="00A91679">
              <w:rPr>
                <w:rFonts w:ascii="Calibri" w:eastAsia="Times New Roman" w:hAnsi="Calibri" w:cs="Calibri"/>
                <w:color w:val="000000"/>
                <w:sz w:val="22"/>
                <w:szCs w:val="22"/>
                <w:lang w:eastAsia="en-AU"/>
              </w:rPr>
              <w:t>3181</w:t>
            </w:r>
          </w:p>
        </w:tc>
        <w:tc>
          <w:tcPr>
            <w:tcW w:w="1644" w:type="dxa"/>
            <w:tcBorders>
              <w:top w:val="nil"/>
              <w:left w:val="nil"/>
              <w:bottom w:val="single" w:sz="4" w:space="0" w:color="auto"/>
              <w:right w:val="single" w:sz="4" w:space="0" w:color="auto"/>
            </w:tcBorders>
            <w:shd w:val="clear" w:color="auto" w:fill="auto"/>
            <w:noWrap/>
            <w:vAlign w:val="bottom"/>
            <w:hideMark/>
          </w:tcPr>
          <w:p w14:paraId="711C7D03" w14:textId="77777777" w:rsidR="00A91679" w:rsidRPr="00A91679" w:rsidRDefault="00A91679" w:rsidP="00A91679">
            <w:pPr>
              <w:spacing w:after="0" w:line="240" w:lineRule="auto"/>
              <w:jc w:val="right"/>
              <w:rPr>
                <w:rFonts w:ascii="Calibri" w:eastAsia="Times New Roman" w:hAnsi="Calibri" w:cs="Calibri"/>
                <w:color w:val="000000"/>
                <w:sz w:val="22"/>
                <w:szCs w:val="22"/>
                <w:lang w:eastAsia="en-AU"/>
              </w:rPr>
            </w:pPr>
            <w:r w:rsidRPr="00A91679">
              <w:rPr>
                <w:rFonts w:ascii="Calibri" w:eastAsia="Times New Roman" w:hAnsi="Calibri" w:cs="Calibri"/>
                <w:color w:val="000000"/>
                <w:sz w:val="22"/>
                <w:szCs w:val="22"/>
                <w:lang w:eastAsia="en-AU"/>
              </w:rPr>
              <w:t>37%</w:t>
            </w:r>
          </w:p>
        </w:tc>
        <w:tc>
          <w:tcPr>
            <w:tcW w:w="1559" w:type="dxa"/>
            <w:tcBorders>
              <w:top w:val="nil"/>
              <w:left w:val="nil"/>
              <w:bottom w:val="single" w:sz="4" w:space="0" w:color="auto"/>
              <w:right w:val="single" w:sz="4" w:space="0" w:color="auto"/>
            </w:tcBorders>
            <w:shd w:val="clear" w:color="auto" w:fill="auto"/>
            <w:noWrap/>
            <w:vAlign w:val="bottom"/>
            <w:hideMark/>
          </w:tcPr>
          <w:p w14:paraId="6CF4D70B" w14:textId="77777777" w:rsidR="00A91679" w:rsidRPr="00A91679" w:rsidRDefault="00A91679" w:rsidP="00A91679">
            <w:pPr>
              <w:spacing w:after="0" w:line="240" w:lineRule="auto"/>
              <w:jc w:val="right"/>
              <w:rPr>
                <w:rFonts w:ascii="Calibri" w:eastAsia="Times New Roman" w:hAnsi="Calibri" w:cs="Calibri"/>
                <w:color w:val="000000"/>
                <w:sz w:val="22"/>
                <w:szCs w:val="22"/>
                <w:lang w:eastAsia="en-AU"/>
              </w:rPr>
            </w:pPr>
            <w:r w:rsidRPr="00A91679">
              <w:rPr>
                <w:rFonts w:ascii="Calibri" w:eastAsia="Times New Roman" w:hAnsi="Calibri" w:cs="Calibri"/>
                <w:color w:val="000000"/>
                <w:sz w:val="22"/>
                <w:szCs w:val="22"/>
                <w:lang w:eastAsia="en-AU"/>
              </w:rPr>
              <w:t>63%</w:t>
            </w:r>
          </w:p>
        </w:tc>
        <w:tc>
          <w:tcPr>
            <w:tcW w:w="1417" w:type="dxa"/>
            <w:tcBorders>
              <w:top w:val="nil"/>
              <w:left w:val="nil"/>
              <w:bottom w:val="single" w:sz="4" w:space="0" w:color="auto"/>
              <w:right w:val="single" w:sz="4" w:space="0" w:color="auto"/>
            </w:tcBorders>
            <w:shd w:val="clear" w:color="auto" w:fill="auto"/>
            <w:noWrap/>
            <w:vAlign w:val="bottom"/>
            <w:hideMark/>
          </w:tcPr>
          <w:p w14:paraId="07EAC40D" w14:textId="77777777" w:rsidR="00A91679" w:rsidRPr="00A91679" w:rsidRDefault="00A91679" w:rsidP="004A4E44">
            <w:pPr>
              <w:spacing w:after="0" w:line="240" w:lineRule="auto"/>
              <w:jc w:val="right"/>
              <w:rPr>
                <w:rFonts w:ascii="Calibri" w:eastAsia="Times New Roman" w:hAnsi="Calibri" w:cs="Calibri"/>
                <w:color w:val="000000"/>
                <w:sz w:val="22"/>
                <w:szCs w:val="22"/>
                <w:lang w:eastAsia="en-AU"/>
              </w:rPr>
            </w:pPr>
            <w:r w:rsidRPr="00A91679">
              <w:rPr>
                <w:rFonts w:ascii="Calibri" w:eastAsia="Times New Roman" w:hAnsi="Calibri" w:cs="Calibri"/>
                <w:color w:val="000000"/>
                <w:sz w:val="22"/>
                <w:szCs w:val="22"/>
                <w:lang w:eastAsia="en-AU"/>
              </w:rPr>
              <w:t>59%</w:t>
            </w:r>
          </w:p>
        </w:tc>
        <w:tc>
          <w:tcPr>
            <w:tcW w:w="1843" w:type="dxa"/>
            <w:tcBorders>
              <w:top w:val="nil"/>
              <w:left w:val="nil"/>
              <w:bottom w:val="single" w:sz="4" w:space="0" w:color="auto"/>
              <w:right w:val="single" w:sz="4" w:space="0" w:color="auto"/>
            </w:tcBorders>
            <w:shd w:val="clear" w:color="auto" w:fill="auto"/>
            <w:noWrap/>
            <w:vAlign w:val="bottom"/>
            <w:hideMark/>
          </w:tcPr>
          <w:p w14:paraId="546FCE5C" w14:textId="77777777" w:rsidR="00A91679" w:rsidRPr="00A91679" w:rsidRDefault="00A91679" w:rsidP="00A91679">
            <w:pPr>
              <w:spacing w:after="0" w:line="240" w:lineRule="auto"/>
              <w:jc w:val="right"/>
              <w:rPr>
                <w:rFonts w:ascii="Calibri" w:eastAsia="Times New Roman" w:hAnsi="Calibri" w:cs="Calibri"/>
                <w:color w:val="000000"/>
                <w:sz w:val="22"/>
                <w:szCs w:val="22"/>
                <w:lang w:eastAsia="en-AU"/>
              </w:rPr>
            </w:pPr>
            <w:r w:rsidRPr="00A91679">
              <w:rPr>
                <w:rFonts w:ascii="Calibri" w:eastAsia="Times New Roman" w:hAnsi="Calibri" w:cs="Calibri"/>
                <w:color w:val="000000"/>
                <w:sz w:val="22"/>
                <w:szCs w:val="22"/>
                <w:lang w:eastAsia="en-AU"/>
              </w:rPr>
              <w:t>41%</w:t>
            </w:r>
          </w:p>
        </w:tc>
      </w:tr>
      <w:tr w:rsidR="00A91679" w:rsidRPr="00A91679" w14:paraId="42DEB725" w14:textId="77777777" w:rsidTr="004A4E44">
        <w:trPr>
          <w:trHeight w:val="301"/>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1562B30" w14:textId="77777777" w:rsidR="00A91679" w:rsidRPr="00A91679" w:rsidRDefault="00A91679" w:rsidP="00A91679">
            <w:pPr>
              <w:spacing w:after="0" w:line="240" w:lineRule="auto"/>
              <w:jc w:val="right"/>
              <w:rPr>
                <w:rFonts w:ascii="Calibri" w:eastAsia="Times New Roman" w:hAnsi="Calibri" w:cs="Calibri"/>
                <w:color w:val="000000"/>
                <w:sz w:val="22"/>
                <w:szCs w:val="22"/>
                <w:lang w:eastAsia="en-AU"/>
              </w:rPr>
            </w:pPr>
            <w:r w:rsidRPr="00A91679">
              <w:rPr>
                <w:rFonts w:ascii="Calibri" w:eastAsia="Times New Roman" w:hAnsi="Calibri" w:cs="Calibri"/>
                <w:color w:val="000000"/>
                <w:sz w:val="22"/>
                <w:szCs w:val="22"/>
                <w:lang w:eastAsia="en-AU"/>
              </w:rPr>
              <w:t>3207</w:t>
            </w:r>
          </w:p>
        </w:tc>
        <w:tc>
          <w:tcPr>
            <w:tcW w:w="1644" w:type="dxa"/>
            <w:tcBorders>
              <w:top w:val="nil"/>
              <w:left w:val="nil"/>
              <w:bottom w:val="single" w:sz="4" w:space="0" w:color="auto"/>
              <w:right w:val="single" w:sz="4" w:space="0" w:color="auto"/>
            </w:tcBorders>
            <w:shd w:val="clear" w:color="auto" w:fill="auto"/>
            <w:noWrap/>
            <w:vAlign w:val="bottom"/>
            <w:hideMark/>
          </w:tcPr>
          <w:p w14:paraId="11C3D690" w14:textId="77777777" w:rsidR="00A91679" w:rsidRPr="00A91679" w:rsidRDefault="00A91679" w:rsidP="00A91679">
            <w:pPr>
              <w:spacing w:after="0" w:line="240" w:lineRule="auto"/>
              <w:jc w:val="right"/>
              <w:rPr>
                <w:rFonts w:ascii="Calibri" w:eastAsia="Times New Roman" w:hAnsi="Calibri" w:cs="Calibri"/>
                <w:color w:val="000000"/>
                <w:sz w:val="22"/>
                <w:szCs w:val="22"/>
                <w:lang w:eastAsia="en-AU"/>
              </w:rPr>
            </w:pPr>
            <w:r w:rsidRPr="00A91679">
              <w:rPr>
                <w:rFonts w:ascii="Calibri" w:eastAsia="Times New Roman" w:hAnsi="Calibri" w:cs="Calibri"/>
                <w:color w:val="000000"/>
                <w:sz w:val="22"/>
                <w:szCs w:val="22"/>
                <w:lang w:eastAsia="en-AU"/>
              </w:rPr>
              <w:t>76%</w:t>
            </w:r>
          </w:p>
        </w:tc>
        <w:tc>
          <w:tcPr>
            <w:tcW w:w="1559" w:type="dxa"/>
            <w:tcBorders>
              <w:top w:val="nil"/>
              <w:left w:val="nil"/>
              <w:bottom w:val="single" w:sz="4" w:space="0" w:color="auto"/>
              <w:right w:val="single" w:sz="4" w:space="0" w:color="auto"/>
            </w:tcBorders>
            <w:shd w:val="clear" w:color="auto" w:fill="auto"/>
            <w:noWrap/>
            <w:vAlign w:val="bottom"/>
            <w:hideMark/>
          </w:tcPr>
          <w:p w14:paraId="210B0B2F" w14:textId="77777777" w:rsidR="00A91679" w:rsidRPr="00A91679" w:rsidRDefault="00A91679" w:rsidP="00A91679">
            <w:pPr>
              <w:spacing w:after="0" w:line="240" w:lineRule="auto"/>
              <w:jc w:val="right"/>
              <w:rPr>
                <w:rFonts w:ascii="Calibri" w:eastAsia="Times New Roman" w:hAnsi="Calibri" w:cs="Calibri"/>
                <w:color w:val="000000"/>
                <w:sz w:val="22"/>
                <w:szCs w:val="22"/>
                <w:lang w:eastAsia="en-AU"/>
              </w:rPr>
            </w:pPr>
            <w:r w:rsidRPr="00A91679">
              <w:rPr>
                <w:rFonts w:ascii="Calibri" w:eastAsia="Times New Roman" w:hAnsi="Calibri" w:cs="Calibri"/>
                <w:color w:val="000000"/>
                <w:sz w:val="22"/>
                <w:szCs w:val="22"/>
                <w:lang w:eastAsia="en-AU"/>
              </w:rPr>
              <w:t>24%</w:t>
            </w:r>
          </w:p>
        </w:tc>
        <w:tc>
          <w:tcPr>
            <w:tcW w:w="1417" w:type="dxa"/>
            <w:tcBorders>
              <w:top w:val="nil"/>
              <w:left w:val="nil"/>
              <w:bottom w:val="single" w:sz="4" w:space="0" w:color="auto"/>
              <w:right w:val="single" w:sz="4" w:space="0" w:color="auto"/>
            </w:tcBorders>
            <w:shd w:val="clear" w:color="auto" w:fill="auto"/>
            <w:noWrap/>
            <w:vAlign w:val="bottom"/>
            <w:hideMark/>
          </w:tcPr>
          <w:p w14:paraId="3FB8DEBE" w14:textId="77777777" w:rsidR="00A91679" w:rsidRPr="00A91679" w:rsidRDefault="00A91679" w:rsidP="004A4E44">
            <w:pPr>
              <w:spacing w:after="0" w:line="240" w:lineRule="auto"/>
              <w:jc w:val="right"/>
              <w:rPr>
                <w:rFonts w:ascii="Calibri" w:eastAsia="Times New Roman" w:hAnsi="Calibri" w:cs="Calibri"/>
                <w:color w:val="000000"/>
                <w:sz w:val="22"/>
                <w:szCs w:val="22"/>
                <w:lang w:eastAsia="en-AU"/>
              </w:rPr>
            </w:pPr>
            <w:r w:rsidRPr="00A91679">
              <w:rPr>
                <w:rFonts w:ascii="Calibri" w:eastAsia="Times New Roman" w:hAnsi="Calibri" w:cs="Calibri"/>
                <w:color w:val="000000"/>
                <w:sz w:val="22"/>
                <w:szCs w:val="22"/>
                <w:lang w:eastAsia="en-AU"/>
              </w:rPr>
              <w:t>59%</w:t>
            </w:r>
          </w:p>
        </w:tc>
        <w:tc>
          <w:tcPr>
            <w:tcW w:w="1843" w:type="dxa"/>
            <w:tcBorders>
              <w:top w:val="nil"/>
              <w:left w:val="nil"/>
              <w:bottom w:val="single" w:sz="4" w:space="0" w:color="auto"/>
              <w:right w:val="single" w:sz="4" w:space="0" w:color="auto"/>
            </w:tcBorders>
            <w:shd w:val="clear" w:color="auto" w:fill="auto"/>
            <w:noWrap/>
            <w:vAlign w:val="bottom"/>
            <w:hideMark/>
          </w:tcPr>
          <w:p w14:paraId="3246029B" w14:textId="77777777" w:rsidR="00A91679" w:rsidRPr="00A91679" w:rsidRDefault="00A91679" w:rsidP="00A91679">
            <w:pPr>
              <w:spacing w:after="0" w:line="240" w:lineRule="auto"/>
              <w:jc w:val="right"/>
              <w:rPr>
                <w:rFonts w:ascii="Calibri" w:eastAsia="Times New Roman" w:hAnsi="Calibri" w:cs="Calibri"/>
                <w:color w:val="000000"/>
                <w:sz w:val="22"/>
                <w:szCs w:val="22"/>
                <w:lang w:eastAsia="en-AU"/>
              </w:rPr>
            </w:pPr>
            <w:r w:rsidRPr="00A91679">
              <w:rPr>
                <w:rFonts w:ascii="Calibri" w:eastAsia="Times New Roman" w:hAnsi="Calibri" w:cs="Calibri"/>
                <w:color w:val="000000"/>
                <w:sz w:val="22"/>
                <w:szCs w:val="22"/>
                <w:lang w:eastAsia="en-AU"/>
              </w:rPr>
              <w:t>41%</w:t>
            </w:r>
          </w:p>
        </w:tc>
      </w:tr>
    </w:tbl>
    <w:p w14:paraId="0B3C8098" w14:textId="77777777" w:rsidR="00A91679" w:rsidRDefault="00A91679" w:rsidP="00F113F9">
      <w:pPr>
        <w:rPr>
          <w:rFonts w:ascii="Helvetica Light" w:hAnsi="Helvetica Light" w:cstheme="minorBidi"/>
          <w:szCs w:val="20"/>
        </w:rPr>
      </w:pPr>
    </w:p>
    <w:p w14:paraId="5D7FDA31" w14:textId="77777777" w:rsidR="00F113F9" w:rsidRPr="007E394F" w:rsidRDefault="00F113F9" w:rsidP="00F113F9">
      <w:pPr>
        <w:rPr>
          <w:rFonts w:cs="Arial"/>
          <w:szCs w:val="20"/>
        </w:rPr>
      </w:pPr>
      <w:r w:rsidRPr="007E394F">
        <w:rPr>
          <w:rFonts w:cs="Arial"/>
          <w:szCs w:val="20"/>
        </w:rPr>
        <w:t xml:space="preserve">Return to </w:t>
      </w:r>
      <w:hyperlink w:anchor="_4.1_Overview_of" w:history="1">
        <w:r w:rsidRPr="007E394F">
          <w:rPr>
            <w:rStyle w:val="Hyperlink"/>
            <w:rFonts w:cs="Arial"/>
            <w:szCs w:val="20"/>
          </w:rPr>
          <w:t>Overview of Energy Consumption</w:t>
        </w:r>
      </w:hyperlink>
    </w:p>
    <w:p w14:paraId="7BE1FEC2" w14:textId="5EEEFB22" w:rsidR="00F113F9" w:rsidRPr="00F113F9" w:rsidRDefault="00944E9B" w:rsidP="00F113F9">
      <w:pPr>
        <w:pStyle w:val="Heading3"/>
        <w:rPr>
          <w:rFonts w:hint="eastAsia"/>
        </w:rPr>
      </w:pPr>
      <w:bookmarkStart w:id="265" w:name="_Total_Energy_Use_1"/>
      <w:bookmarkEnd w:id="265"/>
      <w:r>
        <w:t>Table A.3</w:t>
      </w:r>
      <w:r w:rsidR="00A13E20">
        <w:t>3</w:t>
      </w:r>
      <w:r>
        <w:tab/>
      </w:r>
      <w:r w:rsidR="00F113F9" w:rsidRPr="00A91679">
        <w:t>Total Energy Use by Space-Use Type, City of Melbourne, 2022</w:t>
      </w:r>
    </w:p>
    <w:tbl>
      <w:tblPr>
        <w:tblW w:w="5812" w:type="dxa"/>
        <w:tblInd w:w="-5" w:type="dxa"/>
        <w:tblLook w:val="04A0" w:firstRow="1" w:lastRow="0" w:firstColumn="1" w:lastColumn="0" w:noHBand="0" w:noVBand="1"/>
      </w:tblPr>
      <w:tblGrid>
        <w:gridCol w:w="3380"/>
        <w:gridCol w:w="2432"/>
      </w:tblGrid>
      <w:tr w:rsidR="00A91679" w:rsidRPr="00A91679" w14:paraId="46AE46A0" w14:textId="77777777" w:rsidTr="00F113F9">
        <w:trPr>
          <w:trHeight w:val="300"/>
        </w:trPr>
        <w:tc>
          <w:tcPr>
            <w:tcW w:w="3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34CC43" w14:textId="77777777" w:rsidR="00A91679" w:rsidRPr="00F113F9" w:rsidRDefault="00A91679" w:rsidP="00F113F9">
            <w:pPr>
              <w:spacing w:after="0"/>
              <w:rPr>
                <w:b/>
                <w:bCs/>
                <w:lang w:eastAsia="en-AU"/>
              </w:rPr>
            </w:pPr>
            <w:bookmarkStart w:id="266" w:name="_Figure_34:_"/>
            <w:bookmarkEnd w:id="266"/>
            <w:r w:rsidRPr="00F113F9">
              <w:rPr>
                <w:b/>
                <w:bCs/>
                <w:lang w:eastAsia="en-AU"/>
              </w:rPr>
              <w:t>Space Use Type</w:t>
            </w:r>
          </w:p>
        </w:tc>
        <w:tc>
          <w:tcPr>
            <w:tcW w:w="2432" w:type="dxa"/>
            <w:tcBorders>
              <w:top w:val="single" w:sz="4" w:space="0" w:color="auto"/>
              <w:left w:val="nil"/>
              <w:bottom w:val="single" w:sz="4" w:space="0" w:color="auto"/>
              <w:right w:val="single" w:sz="4" w:space="0" w:color="auto"/>
            </w:tcBorders>
            <w:shd w:val="clear" w:color="auto" w:fill="auto"/>
            <w:noWrap/>
            <w:vAlign w:val="bottom"/>
            <w:hideMark/>
          </w:tcPr>
          <w:p w14:paraId="1D8D0966" w14:textId="77777777" w:rsidR="00A91679" w:rsidRPr="00F113F9" w:rsidRDefault="00A91679" w:rsidP="00F113F9">
            <w:pPr>
              <w:spacing w:after="0"/>
              <w:rPr>
                <w:b/>
                <w:bCs/>
                <w:lang w:eastAsia="en-AU"/>
              </w:rPr>
            </w:pPr>
            <w:r w:rsidRPr="00F113F9">
              <w:rPr>
                <w:b/>
                <w:bCs/>
                <w:lang w:eastAsia="en-AU"/>
              </w:rPr>
              <w:t xml:space="preserve">Energy Use (TJ) </w:t>
            </w:r>
          </w:p>
        </w:tc>
      </w:tr>
      <w:tr w:rsidR="00A91679" w:rsidRPr="00A91679" w14:paraId="1E24110C" w14:textId="77777777" w:rsidTr="00F113F9">
        <w:trPr>
          <w:trHeight w:val="30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14:paraId="26D84749" w14:textId="77777777" w:rsidR="00A91679" w:rsidRPr="00A91679" w:rsidRDefault="00A91679" w:rsidP="00F113F9">
            <w:pPr>
              <w:spacing w:after="0"/>
              <w:rPr>
                <w:lang w:eastAsia="en-AU"/>
              </w:rPr>
            </w:pPr>
            <w:r w:rsidRPr="00A91679">
              <w:rPr>
                <w:lang w:eastAsia="en-AU"/>
              </w:rPr>
              <w:t>Office</w:t>
            </w:r>
          </w:p>
        </w:tc>
        <w:tc>
          <w:tcPr>
            <w:tcW w:w="2432" w:type="dxa"/>
            <w:tcBorders>
              <w:top w:val="nil"/>
              <w:left w:val="nil"/>
              <w:bottom w:val="single" w:sz="4" w:space="0" w:color="auto"/>
              <w:right w:val="single" w:sz="4" w:space="0" w:color="auto"/>
            </w:tcBorders>
            <w:shd w:val="clear" w:color="auto" w:fill="auto"/>
            <w:noWrap/>
            <w:vAlign w:val="bottom"/>
            <w:hideMark/>
          </w:tcPr>
          <w:p w14:paraId="52338938" w14:textId="02769EE7" w:rsidR="00A91679" w:rsidRPr="00A91679" w:rsidRDefault="00A91679" w:rsidP="00F113F9">
            <w:pPr>
              <w:spacing w:after="0"/>
              <w:jc w:val="right"/>
              <w:rPr>
                <w:lang w:eastAsia="en-AU"/>
              </w:rPr>
            </w:pPr>
            <w:r w:rsidRPr="00A91679">
              <w:rPr>
                <w:lang w:eastAsia="en-AU"/>
              </w:rPr>
              <w:t xml:space="preserve">5,099 </w:t>
            </w:r>
          </w:p>
        </w:tc>
      </w:tr>
      <w:tr w:rsidR="00A91679" w:rsidRPr="00A91679" w14:paraId="4540F908" w14:textId="77777777" w:rsidTr="00F113F9">
        <w:trPr>
          <w:trHeight w:val="30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14:paraId="68AEBBD2" w14:textId="77777777" w:rsidR="00A91679" w:rsidRPr="00A91679" w:rsidRDefault="00A91679" w:rsidP="00F113F9">
            <w:pPr>
              <w:spacing w:after="0"/>
              <w:rPr>
                <w:lang w:eastAsia="en-AU"/>
              </w:rPr>
            </w:pPr>
            <w:r w:rsidRPr="00A91679">
              <w:rPr>
                <w:lang w:eastAsia="en-AU"/>
              </w:rPr>
              <w:t>Residential</w:t>
            </w:r>
          </w:p>
        </w:tc>
        <w:tc>
          <w:tcPr>
            <w:tcW w:w="2432" w:type="dxa"/>
            <w:tcBorders>
              <w:top w:val="nil"/>
              <w:left w:val="nil"/>
              <w:bottom w:val="single" w:sz="4" w:space="0" w:color="auto"/>
              <w:right w:val="single" w:sz="4" w:space="0" w:color="auto"/>
            </w:tcBorders>
            <w:shd w:val="clear" w:color="auto" w:fill="auto"/>
            <w:noWrap/>
            <w:vAlign w:val="bottom"/>
            <w:hideMark/>
          </w:tcPr>
          <w:p w14:paraId="1268458D" w14:textId="64F7F0EA" w:rsidR="00A91679" w:rsidRPr="00A91679" w:rsidRDefault="00A91679" w:rsidP="00F113F9">
            <w:pPr>
              <w:spacing w:after="0"/>
              <w:jc w:val="right"/>
              <w:rPr>
                <w:lang w:eastAsia="en-AU"/>
              </w:rPr>
            </w:pPr>
            <w:r w:rsidRPr="00A91679">
              <w:rPr>
                <w:lang w:eastAsia="en-AU"/>
              </w:rPr>
              <w:t xml:space="preserve">4,608 </w:t>
            </w:r>
          </w:p>
        </w:tc>
      </w:tr>
      <w:tr w:rsidR="00A91679" w:rsidRPr="00A91679" w14:paraId="6D576468" w14:textId="77777777" w:rsidTr="00F113F9">
        <w:trPr>
          <w:trHeight w:val="30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14:paraId="689E7455" w14:textId="77777777" w:rsidR="00A91679" w:rsidRPr="00A91679" w:rsidRDefault="00A91679" w:rsidP="00F113F9">
            <w:pPr>
              <w:spacing w:after="0"/>
              <w:rPr>
                <w:lang w:eastAsia="en-AU"/>
              </w:rPr>
            </w:pPr>
            <w:r w:rsidRPr="00A91679">
              <w:rPr>
                <w:lang w:eastAsia="en-AU"/>
              </w:rPr>
              <w:t>Hospitals/healthcare</w:t>
            </w:r>
          </w:p>
        </w:tc>
        <w:tc>
          <w:tcPr>
            <w:tcW w:w="2432" w:type="dxa"/>
            <w:tcBorders>
              <w:top w:val="nil"/>
              <w:left w:val="nil"/>
              <w:bottom w:val="single" w:sz="4" w:space="0" w:color="auto"/>
              <w:right w:val="single" w:sz="4" w:space="0" w:color="auto"/>
            </w:tcBorders>
            <w:shd w:val="clear" w:color="auto" w:fill="auto"/>
            <w:noWrap/>
            <w:vAlign w:val="bottom"/>
            <w:hideMark/>
          </w:tcPr>
          <w:p w14:paraId="21E1C536" w14:textId="69948F29" w:rsidR="00A91679" w:rsidRPr="00A91679" w:rsidRDefault="00A91679" w:rsidP="00F113F9">
            <w:pPr>
              <w:spacing w:after="0"/>
              <w:jc w:val="right"/>
              <w:rPr>
                <w:lang w:eastAsia="en-AU"/>
              </w:rPr>
            </w:pPr>
            <w:r w:rsidRPr="00A91679">
              <w:rPr>
                <w:lang w:eastAsia="en-AU"/>
              </w:rPr>
              <w:t xml:space="preserve">1,688 </w:t>
            </w:r>
          </w:p>
        </w:tc>
      </w:tr>
      <w:tr w:rsidR="00A91679" w:rsidRPr="00A91679" w14:paraId="2EB66E73" w14:textId="77777777" w:rsidTr="00F113F9">
        <w:trPr>
          <w:trHeight w:val="30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14:paraId="4CB3E809" w14:textId="48A55F0D" w:rsidR="00A91679" w:rsidRPr="00A91679" w:rsidRDefault="00A91679" w:rsidP="00F113F9">
            <w:pPr>
              <w:spacing w:after="0"/>
              <w:rPr>
                <w:lang w:eastAsia="en-AU"/>
              </w:rPr>
            </w:pPr>
            <w:r w:rsidRPr="00A91679">
              <w:rPr>
                <w:lang w:eastAsia="en-AU"/>
              </w:rPr>
              <w:t xml:space="preserve">Commercial </w:t>
            </w:r>
            <w:r w:rsidR="00F113F9" w:rsidRPr="00A91679">
              <w:rPr>
                <w:lang w:eastAsia="en-AU"/>
              </w:rPr>
              <w:t>accommodation</w:t>
            </w:r>
          </w:p>
        </w:tc>
        <w:tc>
          <w:tcPr>
            <w:tcW w:w="2432" w:type="dxa"/>
            <w:tcBorders>
              <w:top w:val="nil"/>
              <w:left w:val="nil"/>
              <w:bottom w:val="single" w:sz="4" w:space="0" w:color="auto"/>
              <w:right w:val="single" w:sz="4" w:space="0" w:color="auto"/>
            </w:tcBorders>
            <w:shd w:val="clear" w:color="auto" w:fill="auto"/>
            <w:noWrap/>
            <w:vAlign w:val="bottom"/>
            <w:hideMark/>
          </w:tcPr>
          <w:p w14:paraId="2CD97DA8" w14:textId="077353ED" w:rsidR="00A91679" w:rsidRPr="00A91679" w:rsidRDefault="00A91679" w:rsidP="00F113F9">
            <w:pPr>
              <w:spacing w:after="0"/>
              <w:jc w:val="right"/>
              <w:rPr>
                <w:lang w:eastAsia="en-AU"/>
              </w:rPr>
            </w:pPr>
            <w:r w:rsidRPr="00A91679">
              <w:rPr>
                <w:lang w:eastAsia="en-AU"/>
              </w:rPr>
              <w:t xml:space="preserve">1,366 </w:t>
            </w:r>
          </w:p>
        </w:tc>
      </w:tr>
      <w:tr w:rsidR="00A91679" w:rsidRPr="00A91679" w14:paraId="3146AF1B" w14:textId="77777777" w:rsidTr="00F113F9">
        <w:trPr>
          <w:trHeight w:val="30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14:paraId="27B7F224" w14:textId="77777777" w:rsidR="00A91679" w:rsidRPr="00A91679" w:rsidRDefault="00A91679" w:rsidP="00F113F9">
            <w:pPr>
              <w:spacing w:after="0"/>
              <w:rPr>
                <w:lang w:eastAsia="en-AU"/>
              </w:rPr>
            </w:pPr>
            <w:r w:rsidRPr="00A91679">
              <w:rPr>
                <w:lang w:eastAsia="en-AU"/>
              </w:rPr>
              <w:t>Retail</w:t>
            </w:r>
          </w:p>
        </w:tc>
        <w:tc>
          <w:tcPr>
            <w:tcW w:w="2432" w:type="dxa"/>
            <w:tcBorders>
              <w:top w:val="nil"/>
              <w:left w:val="nil"/>
              <w:bottom w:val="single" w:sz="4" w:space="0" w:color="auto"/>
              <w:right w:val="single" w:sz="4" w:space="0" w:color="auto"/>
            </w:tcBorders>
            <w:shd w:val="clear" w:color="auto" w:fill="auto"/>
            <w:noWrap/>
            <w:vAlign w:val="bottom"/>
            <w:hideMark/>
          </w:tcPr>
          <w:p w14:paraId="56D12A0A" w14:textId="10A97ECB" w:rsidR="00A91679" w:rsidRPr="00A91679" w:rsidRDefault="00A91679" w:rsidP="00F113F9">
            <w:pPr>
              <w:spacing w:after="0"/>
              <w:jc w:val="right"/>
              <w:rPr>
                <w:lang w:eastAsia="en-AU"/>
              </w:rPr>
            </w:pPr>
            <w:r w:rsidRPr="00A91679">
              <w:rPr>
                <w:lang w:eastAsia="en-AU"/>
              </w:rPr>
              <w:t xml:space="preserve">777 </w:t>
            </w:r>
          </w:p>
        </w:tc>
      </w:tr>
      <w:tr w:rsidR="00A91679" w:rsidRPr="00A91679" w14:paraId="26D9E22A" w14:textId="77777777" w:rsidTr="00F113F9">
        <w:trPr>
          <w:trHeight w:val="30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14:paraId="7FB860BE" w14:textId="77777777" w:rsidR="00A91679" w:rsidRPr="00A91679" w:rsidRDefault="00A91679" w:rsidP="00F113F9">
            <w:pPr>
              <w:spacing w:after="0"/>
              <w:rPr>
                <w:lang w:eastAsia="en-AU"/>
              </w:rPr>
            </w:pPr>
            <w:r w:rsidRPr="00A91679">
              <w:rPr>
                <w:lang w:eastAsia="en-AU"/>
              </w:rPr>
              <w:t>Education</w:t>
            </w:r>
          </w:p>
        </w:tc>
        <w:tc>
          <w:tcPr>
            <w:tcW w:w="2432" w:type="dxa"/>
            <w:tcBorders>
              <w:top w:val="nil"/>
              <w:left w:val="nil"/>
              <w:bottom w:val="single" w:sz="4" w:space="0" w:color="auto"/>
              <w:right w:val="single" w:sz="4" w:space="0" w:color="auto"/>
            </w:tcBorders>
            <w:shd w:val="clear" w:color="auto" w:fill="auto"/>
            <w:noWrap/>
            <w:vAlign w:val="bottom"/>
            <w:hideMark/>
          </w:tcPr>
          <w:p w14:paraId="5F64533B" w14:textId="23715FBE" w:rsidR="00A91679" w:rsidRPr="00A91679" w:rsidRDefault="00A91679" w:rsidP="00F113F9">
            <w:pPr>
              <w:spacing w:after="0"/>
              <w:jc w:val="right"/>
              <w:rPr>
                <w:lang w:eastAsia="en-AU"/>
              </w:rPr>
            </w:pPr>
            <w:r w:rsidRPr="00A91679">
              <w:rPr>
                <w:lang w:eastAsia="en-AU"/>
              </w:rPr>
              <w:t xml:space="preserve">768 </w:t>
            </w:r>
          </w:p>
        </w:tc>
      </w:tr>
      <w:tr w:rsidR="00A91679" w:rsidRPr="00A91679" w14:paraId="06707FBD" w14:textId="77777777" w:rsidTr="00F113F9">
        <w:trPr>
          <w:trHeight w:val="30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14:paraId="0FC63609" w14:textId="77777777" w:rsidR="00A91679" w:rsidRPr="00A91679" w:rsidRDefault="00A91679" w:rsidP="00F113F9">
            <w:pPr>
              <w:spacing w:after="0"/>
              <w:rPr>
                <w:lang w:eastAsia="en-AU"/>
              </w:rPr>
            </w:pPr>
            <w:r w:rsidRPr="00A91679">
              <w:rPr>
                <w:lang w:eastAsia="en-AU"/>
              </w:rPr>
              <w:t>Entertainment/recreation</w:t>
            </w:r>
          </w:p>
        </w:tc>
        <w:tc>
          <w:tcPr>
            <w:tcW w:w="2432" w:type="dxa"/>
            <w:tcBorders>
              <w:top w:val="nil"/>
              <w:left w:val="nil"/>
              <w:bottom w:val="single" w:sz="4" w:space="0" w:color="auto"/>
              <w:right w:val="single" w:sz="4" w:space="0" w:color="auto"/>
            </w:tcBorders>
            <w:shd w:val="clear" w:color="auto" w:fill="auto"/>
            <w:noWrap/>
            <w:vAlign w:val="bottom"/>
            <w:hideMark/>
          </w:tcPr>
          <w:p w14:paraId="4213A367" w14:textId="01DFA3D8" w:rsidR="00A91679" w:rsidRPr="00A91679" w:rsidRDefault="00A91679" w:rsidP="00F113F9">
            <w:pPr>
              <w:spacing w:after="0"/>
              <w:jc w:val="right"/>
              <w:rPr>
                <w:lang w:eastAsia="en-AU"/>
              </w:rPr>
            </w:pPr>
            <w:r w:rsidRPr="00A91679">
              <w:rPr>
                <w:lang w:eastAsia="en-AU"/>
              </w:rPr>
              <w:t xml:space="preserve">599 </w:t>
            </w:r>
          </w:p>
        </w:tc>
      </w:tr>
      <w:tr w:rsidR="00A91679" w:rsidRPr="00A91679" w14:paraId="11E31B79" w14:textId="77777777" w:rsidTr="00F113F9">
        <w:trPr>
          <w:trHeight w:val="30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14:paraId="24E1168E" w14:textId="77777777" w:rsidR="00A91679" w:rsidRPr="00A91679" w:rsidRDefault="00A91679" w:rsidP="00F113F9">
            <w:pPr>
              <w:spacing w:after="0"/>
              <w:rPr>
                <w:lang w:eastAsia="en-AU"/>
              </w:rPr>
            </w:pPr>
            <w:r w:rsidRPr="00A91679">
              <w:rPr>
                <w:lang w:eastAsia="en-AU"/>
              </w:rPr>
              <w:lastRenderedPageBreak/>
              <w:t>Manufacturing/light industrial</w:t>
            </w:r>
          </w:p>
        </w:tc>
        <w:tc>
          <w:tcPr>
            <w:tcW w:w="2432" w:type="dxa"/>
            <w:tcBorders>
              <w:top w:val="nil"/>
              <w:left w:val="nil"/>
              <w:bottom w:val="single" w:sz="4" w:space="0" w:color="auto"/>
              <w:right w:val="single" w:sz="4" w:space="0" w:color="auto"/>
            </w:tcBorders>
            <w:shd w:val="clear" w:color="auto" w:fill="auto"/>
            <w:noWrap/>
            <w:vAlign w:val="bottom"/>
            <w:hideMark/>
          </w:tcPr>
          <w:p w14:paraId="6A2B1575" w14:textId="4ABACB4A" w:rsidR="00A91679" w:rsidRPr="00A91679" w:rsidRDefault="00A91679" w:rsidP="00F113F9">
            <w:pPr>
              <w:spacing w:after="0"/>
              <w:jc w:val="right"/>
              <w:rPr>
                <w:lang w:eastAsia="en-AU"/>
              </w:rPr>
            </w:pPr>
            <w:r w:rsidRPr="00A91679">
              <w:rPr>
                <w:lang w:eastAsia="en-AU"/>
              </w:rPr>
              <w:t xml:space="preserve">497 </w:t>
            </w:r>
          </w:p>
        </w:tc>
      </w:tr>
      <w:tr w:rsidR="00A91679" w:rsidRPr="00A91679" w14:paraId="11BDED9D" w14:textId="77777777" w:rsidTr="00F113F9">
        <w:trPr>
          <w:trHeight w:val="30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14:paraId="50A1AEFF" w14:textId="77777777" w:rsidR="00A91679" w:rsidRPr="00A91679" w:rsidRDefault="00A91679" w:rsidP="00F113F9">
            <w:pPr>
              <w:spacing w:after="0"/>
              <w:rPr>
                <w:lang w:eastAsia="en-AU"/>
              </w:rPr>
            </w:pPr>
            <w:r w:rsidRPr="00A91679">
              <w:rPr>
                <w:lang w:eastAsia="en-AU"/>
              </w:rPr>
              <w:t>Community/public use</w:t>
            </w:r>
          </w:p>
        </w:tc>
        <w:tc>
          <w:tcPr>
            <w:tcW w:w="2432" w:type="dxa"/>
            <w:tcBorders>
              <w:top w:val="nil"/>
              <w:left w:val="nil"/>
              <w:bottom w:val="single" w:sz="4" w:space="0" w:color="auto"/>
              <w:right w:val="single" w:sz="4" w:space="0" w:color="auto"/>
            </w:tcBorders>
            <w:shd w:val="clear" w:color="auto" w:fill="auto"/>
            <w:noWrap/>
            <w:vAlign w:val="bottom"/>
            <w:hideMark/>
          </w:tcPr>
          <w:p w14:paraId="65C355C2" w14:textId="1536F067" w:rsidR="00A91679" w:rsidRPr="00A91679" w:rsidRDefault="00A91679" w:rsidP="00F113F9">
            <w:pPr>
              <w:spacing w:after="0"/>
              <w:jc w:val="right"/>
              <w:rPr>
                <w:lang w:eastAsia="en-AU"/>
              </w:rPr>
            </w:pPr>
            <w:r w:rsidRPr="00A91679">
              <w:rPr>
                <w:lang w:eastAsia="en-AU"/>
              </w:rPr>
              <w:t xml:space="preserve">391 </w:t>
            </w:r>
          </w:p>
        </w:tc>
      </w:tr>
      <w:tr w:rsidR="00A91679" w:rsidRPr="00A91679" w14:paraId="0A878D94" w14:textId="77777777" w:rsidTr="00F113F9">
        <w:trPr>
          <w:trHeight w:val="30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14:paraId="3E51565C" w14:textId="77777777" w:rsidR="00A91679" w:rsidRPr="00A91679" w:rsidRDefault="00A91679" w:rsidP="00F113F9">
            <w:pPr>
              <w:spacing w:after="0"/>
              <w:rPr>
                <w:lang w:eastAsia="en-AU"/>
              </w:rPr>
            </w:pPr>
            <w:r w:rsidRPr="00A91679">
              <w:rPr>
                <w:lang w:eastAsia="en-AU"/>
              </w:rPr>
              <w:t>Transport</w:t>
            </w:r>
          </w:p>
        </w:tc>
        <w:tc>
          <w:tcPr>
            <w:tcW w:w="2432" w:type="dxa"/>
            <w:tcBorders>
              <w:top w:val="nil"/>
              <w:left w:val="nil"/>
              <w:bottom w:val="single" w:sz="4" w:space="0" w:color="auto"/>
              <w:right w:val="single" w:sz="4" w:space="0" w:color="auto"/>
            </w:tcBorders>
            <w:shd w:val="clear" w:color="auto" w:fill="auto"/>
            <w:noWrap/>
            <w:vAlign w:val="bottom"/>
            <w:hideMark/>
          </w:tcPr>
          <w:p w14:paraId="516AD559" w14:textId="3519AA77" w:rsidR="00A91679" w:rsidRPr="00A91679" w:rsidRDefault="00A91679" w:rsidP="00F113F9">
            <w:pPr>
              <w:spacing w:after="0"/>
              <w:jc w:val="right"/>
              <w:rPr>
                <w:lang w:eastAsia="en-AU"/>
              </w:rPr>
            </w:pPr>
            <w:r w:rsidRPr="00A91679">
              <w:rPr>
                <w:lang w:eastAsia="en-AU"/>
              </w:rPr>
              <w:t xml:space="preserve">188 </w:t>
            </w:r>
          </w:p>
        </w:tc>
      </w:tr>
      <w:tr w:rsidR="00A91679" w:rsidRPr="00A91679" w14:paraId="0D3267BB" w14:textId="77777777" w:rsidTr="00F113F9">
        <w:trPr>
          <w:trHeight w:val="30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14:paraId="0D4F1CDE" w14:textId="77777777" w:rsidR="00A91679" w:rsidRPr="00A91679" w:rsidRDefault="00A91679" w:rsidP="00F113F9">
            <w:pPr>
              <w:spacing w:after="0"/>
              <w:rPr>
                <w:lang w:eastAsia="en-AU"/>
              </w:rPr>
            </w:pPr>
            <w:r w:rsidRPr="00A91679">
              <w:rPr>
                <w:lang w:eastAsia="en-AU"/>
              </w:rPr>
              <w:t>Parking</w:t>
            </w:r>
          </w:p>
        </w:tc>
        <w:tc>
          <w:tcPr>
            <w:tcW w:w="2432" w:type="dxa"/>
            <w:tcBorders>
              <w:top w:val="nil"/>
              <w:left w:val="nil"/>
              <w:bottom w:val="single" w:sz="4" w:space="0" w:color="auto"/>
              <w:right w:val="single" w:sz="4" w:space="0" w:color="auto"/>
            </w:tcBorders>
            <w:shd w:val="clear" w:color="auto" w:fill="auto"/>
            <w:noWrap/>
            <w:vAlign w:val="bottom"/>
            <w:hideMark/>
          </w:tcPr>
          <w:p w14:paraId="2F1329AC" w14:textId="56BA3441" w:rsidR="00A91679" w:rsidRPr="00A91679" w:rsidRDefault="00A91679" w:rsidP="00F113F9">
            <w:pPr>
              <w:spacing w:after="0"/>
              <w:jc w:val="right"/>
              <w:rPr>
                <w:lang w:eastAsia="en-AU"/>
              </w:rPr>
            </w:pPr>
            <w:r w:rsidRPr="00A91679">
              <w:rPr>
                <w:lang w:eastAsia="en-AU"/>
              </w:rPr>
              <w:t xml:space="preserve">145 </w:t>
            </w:r>
          </w:p>
        </w:tc>
      </w:tr>
      <w:tr w:rsidR="00A91679" w:rsidRPr="00A91679" w14:paraId="40FBEE21" w14:textId="77777777" w:rsidTr="00F113F9">
        <w:trPr>
          <w:trHeight w:val="30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14:paraId="61C225E8" w14:textId="77777777" w:rsidR="00A91679" w:rsidRPr="00A91679" w:rsidRDefault="00A91679" w:rsidP="00F113F9">
            <w:pPr>
              <w:spacing w:after="0"/>
              <w:rPr>
                <w:lang w:eastAsia="en-AU"/>
              </w:rPr>
            </w:pPr>
            <w:r w:rsidRPr="00A91679">
              <w:rPr>
                <w:lang w:eastAsia="en-AU"/>
              </w:rPr>
              <w:t>Other</w:t>
            </w:r>
          </w:p>
        </w:tc>
        <w:tc>
          <w:tcPr>
            <w:tcW w:w="2432" w:type="dxa"/>
            <w:tcBorders>
              <w:top w:val="nil"/>
              <w:left w:val="nil"/>
              <w:bottom w:val="single" w:sz="4" w:space="0" w:color="auto"/>
              <w:right w:val="single" w:sz="4" w:space="0" w:color="auto"/>
            </w:tcBorders>
            <w:shd w:val="clear" w:color="auto" w:fill="auto"/>
            <w:noWrap/>
            <w:vAlign w:val="bottom"/>
            <w:hideMark/>
          </w:tcPr>
          <w:p w14:paraId="70351F3A" w14:textId="2D44D56C" w:rsidR="00A91679" w:rsidRPr="00A91679" w:rsidRDefault="00A91679" w:rsidP="00F113F9">
            <w:pPr>
              <w:spacing w:after="0"/>
              <w:jc w:val="right"/>
              <w:rPr>
                <w:lang w:eastAsia="en-AU"/>
              </w:rPr>
            </w:pPr>
            <w:r w:rsidRPr="00A91679">
              <w:rPr>
                <w:lang w:eastAsia="en-AU"/>
              </w:rPr>
              <w:t xml:space="preserve">93 </w:t>
            </w:r>
          </w:p>
        </w:tc>
      </w:tr>
      <w:tr w:rsidR="00A91679" w:rsidRPr="00A91679" w14:paraId="6F766A3B" w14:textId="77777777" w:rsidTr="00F113F9">
        <w:trPr>
          <w:trHeight w:val="30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14:paraId="1BEB3DC9" w14:textId="77777777" w:rsidR="00A91679" w:rsidRPr="00A91679" w:rsidRDefault="00A91679" w:rsidP="00F113F9">
            <w:pPr>
              <w:spacing w:after="0"/>
              <w:rPr>
                <w:lang w:eastAsia="en-AU"/>
              </w:rPr>
            </w:pPr>
            <w:r w:rsidRPr="00A91679">
              <w:rPr>
                <w:lang w:eastAsia="en-AU"/>
              </w:rPr>
              <w:t>Unoccupied</w:t>
            </w:r>
          </w:p>
        </w:tc>
        <w:tc>
          <w:tcPr>
            <w:tcW w:w="2432" w:type="dxa"/>
            <w:tcBorders>
              <w:top w:val="nil"/>
              <w:left w:val="nil"/>
              <w:bottom w:val="single" w:sz="4" w:space="0" w:color="auto"/>
              <w:right w:val="single" w:sz="4" w:space="0" w:color="auto"/>
            </w:tcBorders>
            <w:shd w:val="clear" w:color="auto" w:fill="auto"/>
            <w:noWrap/>
            <w:vAlign w:val="bottom"/>
            <w:hideMark/>
          </w:tcPr>
          <w:p w14:paraId="2AADFAAC" w14:textId="544F0EEB" w:rsidR="00A91679" w:rsidRPr="00A91679" w:rsidRDefault="00A91679" w:rsidP="00F113F9">
            <w:pPr>
              <w:spacing w:after="0"/>
              <w:jc w:val="right"/>
              <w:rPr>
                <w:lang w:eastAsia="en-AU"/>
              </w:rPr>
            </w:pPr>
            <w:r w:rsidRPr="00A91679">
              <w:rPr>
                <w:lang w:eastAsia="en-AU"/>
              </w:rPr>
              <w:t xml:space="preserve">51 </w:t>
            </w:r>
          </w:p>
        </w:tc>
      </w:tr>
    </w:tbl>
    <w:p w14:paraId="7C2D5275" w14:textId="77777777" w:rsidR="00A91679" w:rsidRDefault="00A91679" w:rsidP="00F113F9">
      <w:pPr>
        <w:rPr>
          <w:rFonts w:ascii="Helvetica Light" w:hAnsi="Helvetica Light" w:cstheme="minorBidi"/>
          <w:szCs w:val="20"/>
        </w:rPr>
      </w:pPr>
    </w:p>
    <w:p w14:paraId="48614B2B" w14:textId="18C69F00" w:rsidR="00F113F9" w:rsidRPr="007E394F" w:rsidRDefault="00F113F9" w:rsidP="00F113F9">
      <w:pPr>
        <w:rPr>
          <w:rFonts w:cs="Arial"/>
          <w:szCs w:val="20"/>
        </w:rPr>
      </w:pPr>
      <w:r w:rsidRPr="007E394F">
        <w:rPr>
          <w:rFonts w:cs="Arial"/>
          <w:szCs w:val="20"/>
        </w:rPr>
        <w:t xml:space="preserve">Return to </w:t>
      </w:r>
      <w:hyperlink w:anchor="_4.2.1_Overview" w:history="1">
        <w:r w:rsidRPr="007E394F">
          <w:rPr>
            <w:rStyle w:val="Hyperlink"/>
            <w:rFonts w:cs="Arial"/>
            <w:szCs w:val="20"/>
          </w:rPr>
          <w:t xml:space="preserve">Overview of </w:t>
        </w:r>
        <w:r w:rsidR="00426F15" w:rsidRPr="007E394F">
          <w:rPr>
            <w:rStyle w:val="Hyperlink"/>
            <w:rFonts w:cs="Arial"/>
            <w:szCs w:val="20"/>
          </w:rPr>
          <w:t>Energy Use by Space-Use Type</w:t>
        </w:r>
      </w:hyperlink>
    </w:p>
    <w:p w14:paraId="59A48F09" w14:textId="59461D29" w:rsidR="00F113F9" w:rsidRPr="00BE12EF" w:rsidRDefault="00944E9B" w:rsidP="00944E9B">
      <w:pPr>
        <w:pStyle w:val="Heading3"/>
        <w:ind w:left="1440" w:hanging="1440"/>
        <w:rPr>
          <w:rFonts w:hint="eastAsia"/>
        </w:rPr>
      </w:pPr>
      <w:bookmarkStart w:id="267" w:name="_Shares_of_Total"/>
      <w:bookmarkEnd w:id="267"/>
      <w:r>
        <w:t>Table A.3</w:t>
      </w:r>
      <w:r w:rsidR="00A13E20">
        <w:t>4</w:t>
      </w:r>
      <w:r>
        <w:tab/>
      </w:r>
      <w:r w:rsidR="00BE12EF" w:rsidRPr="00A91679">
        <w:t>Shares of Total Energy Consumption by Space-Use Type and Postcode, City of Melbourne, 2022</w:t>
      </w:r>
    </w:p>
    <w:tbl>
      <w:tblPr>
        <w:tblW w:w="9774" w:type="dxa"/>
        <w:tblInd w:w="-5" w:type="dxa"/>
        <w:tblLook w:val="04A0" w:firstRow="1" w:lastRow="0" w:firstColumn="1" w:lastColumn="0" w:noHBand="0" w:noVBand="1"/>
      </w:tblPr>
      <w:tblGrid>
        <w:gridCol w:w="648"/>
        <w:gridCol w:w="547"/>
        <w:gridCol w:w="481"/>
        <w:gridCol w:w="900"/>
        <w:gridCol w:w="475"/>
        <w:gridCol w:w="659"/>
        <w:gridCol w:w="676"/>
        <w:gridCol w:w="716"/>
        <w:gridCol w:w="889"/>
        <w:gridCol w:w="768"/>
        <w:gridCol w:w="728"/>
        <w:gridCol w:w="958"/>
        <w:gridCol w:w="567"/>
        <w:gridCol w:w="762"/>
      </w:tblGrid>
      <w:tr w:rsidR="0038472A" w:rsidRPr="0038472A" w14:paraId="744544A1" w14:textId="77777777" w:rsidTr="0038472A">
        <w:trPr>
          <w:trHeight w:val="298"/>
        </w:trPr>
        <w:tc>
          <w:tcPr>
            <w:tcW w:w="6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5CD59F" w14:textId="77777777" w:rsidR="00A91679" w:rsidRPr="0038472A" w:rsidRDefault="00A91679" w:rsidP="0038472A">
            <w:pPr>
              <w:spacing w:after="0"/>
              <w:rPr>
                <w:rFonts w:cs="Arial"/>
                <w:sz w:val="16"/>
                <w:szCs w:val="16"/>
                <w:lang w:eastAsia="en-AU"/>
              </w:rPr>
            </w:pPr>
            <w:bookmarkStart w:id="268" w:name="_Figure_35:_"/>
            <w:bookmarkEnd w:id="268"/>
            <w:r w:rsidRPr="0038472A">
              <w:rPr>
                <w:rFonts w:cs="Arial"/>
                <w:sz w:val="16"/>
                <w:szCs w:val="16"/>
                <w:lang w:eastAsia="en-AU"/>
              </w:rPr>
              <w:t>Postcode</w:t>
            </w:r>
          </w:p>
        </w:tc>
        <w:tc>
          <w:tcPr>
            <w:tcW w:w="728" w:type="dxa"/>
            <w:tcBorders>
              <w:top w:val="single" w:sz="4" w:space="0" w:color="auto"/>
              <w:left w:val="nil"/>
              <w:bottom w:val="single" w:sz="4" w:space="0" w:color="auto"/>
              <w:right w:val="single" w:sz="4" w:space="0" w:color="auto"/>
            </w:tcBorders>
            <w:shd w:val="clear" w:color="auto" w:fill="auto"/>
            <w:noWrap/>
            <w:vAlign w:val="bottom"/>
            <w:hideMark/>
          </w:tcPr>
          <w:p w14:paraId="1D7C192B" w14:textId="23ACDFB2" w:rsidR="00A91679" w:rsidRPr="0038472A" w:rsidRDefault="00A91679" w:rsidP="0038472A">
            <w:pPr>
              <w:spacing w:after="0"/>
              <w:rPr>
                <w:rFonts w:cs="Arial"/>
                <w:sz w:val="16"/>
                <w:szCs w:val="16"/>
                <w:lang w:eastAsia="en-AU"/>
              </w:rPr>
            </w:pPr>
            <w:r w:rsidRPr="0038472A">
              <w:rPr>
                <w:rFonts w:cs="Arial"/>
                <w:sz w:val="16"/>
                <w:szCs w:val="16"/>
                <w:lang w:eastAsia="en-AU"/>
              </w:rPr>
              <w:t>Office</w:t>
            </w:r>
            <w:r w:rsidR="00BE12EF" w:rsidRPr="0038472A">
              <w:rPr>
                <w:rFonts w:cs="Arial"/>
                <w:sz w:val="16"/>
                <w:szCs w:val="16"/>
                <w:lang w:eastAsia="en-AU"/>
              </w:rPr>
              <w:t xml:space="preserve"> </w:t>
            </w:r>
            <w:r w:rsidRPr="0038472A">
              <w:rPr>
                <w:rFonts w:cs="Arial"/>
                <w:sz w:val="16"/>
                <w:szCs w:val="16"/>
                <w:lang w:eastAsia="en-AU"/>
              </w:rPr>
              <w:t>(%)</w:t>
            </w:r>
          </w:p>
        </w:tc>
        <w:tc>
          <w:tcPr>
            <w:tcW w:w="243" w:type="dxa"/>
            <w:tcBorders>
              <w:top w:val="single" w:sz="4" w:space="0" w:color="auto"/>
              <w:left w:val="nil"/>
              <w:bottom w:val="single" w:sz="4" w:space="0" w:color="auto"/>
              <w:right w:val="single" w:sz="4" w:space="0" w:color="auto"/>
            </w:tcBorders>
            <w:shd w:val="clear" w:color="auto" w:fill="auto"/>
            <w:noWrap/>
            <w:vAlign w:val="bottom"/>
            <w:hideMark/>
          </w:tcPr>
          <w:p w14:paraId="3CDE4962" w14:textId="3A0E80AA" w:rsidR="00A91679" w:rsidRPr="0038472A" w:rsidRDefault="00A91679" w:rsidP="0038472A">
            <w:pPr>
              <w:spacing w:after="0"/>
              <w:rPr>
                <w:rFonts w:cs="Arial"/>
                <w:sz w:val="16"/>
                <w:szCs w:val="16"/>
                <w:lang w:eastAsia="en-AU"/>
              </w:rPr>
            </w:pPr>
            <w:r w:rsidRPr="0038472A">
              <w:rPr>
                <w:rFonts w:cs="Arial"/>
                <w:sz w:val="16"/>
                <w:szCs w:val="16"/>
                <w:lang w:eastAsia="en-AU"/>
              </w:rPr>
              <w:t>Retail (%)</w:t>
            </w:r>
          </w:p>
        </w:tc>
        <w:tc>
          <w:tcPr>
            <w:tcW w:w="907" w:type="dxa"/>
            <w:tcBorders>
              <w:top w:val="single" w:sz="4" w:space="0" w:color="auto"/>
              <w:left w:val="nil"/>
              <w:bottom w:val="single" w:sz="4" w:space="0" w:color="auto"/>
              <w:right w:val="single" w:sz="4" w:space="0" w:color="auto"/>
            </w:tcBorders>
            <w:shd w:val="clear" w:color="auto" w:fill="auto"/>
            <w:noWrap/>
            <w:vAlign w:val="bottom"/>
            <w:hideMark/>
          </w:tcPr>
          <w:p w14:paraId="36B2085F" w14:textId="65823EE4" w:rsidR="00A91679" w:rsidRPr="0038472A" w:rsidRDefault="00A91679" w:rsidP="0038472A">
            <w:pPr>
              <w:spacing w:after="0"/>
              <w:rPr>
                <w:rFonts w:cs="Arial"/>
                <w:sz w:val="16"/>
                <w:szCs w:val="16"/>
                <w:lang w:eastAsia="en-AU"/>
              </w:rPr>
            </w:pPr>
            <w:r w:rsidRPr="0038472A">
              <w:rPr>
                <w:rFonts w:cs="Arial"/>
                <w:sz w:val="16"/>
                <w:szCs w:val="16"/>
                <w:lang w:eastAsia="en-AU"/>
              </w:rPr>
              <w:t>Manufacturing/</w:t>
            </w:r>
            <w:r w:rsidR="0038472A" w:rsidRPr="0038472A">
              <w:rPr>
                <w:rFonts w:cs="Arial"/>
                <w:sz w:val="16"/>
                <w:szCs w:val="16"/>
                <w:lang w:eastAsia="en-AU"/>
              </w:rPr>
              <w:t xml:space="preserve"> </w:t>
            </w:r>
            <w:r w:rsidRPr="0038472A">
              <w:rPr>
                <w:rFonts w:cs="Arial"/>
                <w:sz w:val="16"/>
                <w:szCs w:val="16"/>
                <w:lang w:eastAsia="en-AU"/>
              </w:rPr>
              <w:t>Light Industrial (%)</w:t>
            </w:r>
          </w:p>
        </w:tc>
        <w:tc>
          <w:tcPr>
            <w:tcW w:w="478" w:type="dxa"/>
            <w:tcBorders>
              <w:top w:val="single" w:sz="4" w:space="0" w:color="auto"/>
              <w:left w:val="nil"/>
              <w:bottom w:val="single" w:sz="4" w:space="0" w:color="auto"/>
              <w:right w:val="single" w:sz="4" w:space="0" w:color="auto"/>
            </w:tcBorders>
            <w:shd w:val="clear" w:color="auto" w:fill="auto"/>
            <w:noWrap/>
            <w:vAlign w:val="bottom"/>
            <w:hideMark/>
          </w:tcPr>
          <w:p w14:paraId="66F80132" w14:textId="6E8CF10F" w:rsidR="00A91679" w:rsidRPr="0038472A" w:rsidRDefault="00A91679" w:rsidP="0038472A">
            <w:pPr>
              <w:spacing w:after="0"/>
              <w:rPr>
                <w:rFonts w:cs="Arial"/>
                <w:sz w:val="16"/>
                <w:szCs w:val="16"/>
                <w:lang w:eastAsia="en-AU"/>
              </w:rPr>
            </w:pPr>
            <w:r w:rsidRPr="0038472A">
              <w:rPr>
                <w:rFonts w:cs="Arial"/>
                <w:sz w:val="16"/>
                <w:szCs w:val="16"/>
                <w:lang w:eastAsia="en-AU"/>
              </w:rPr>
              <w:t>Other (%)</w:t>
            </w:r>
          </w:p>
        </w:tc>
        <w:tc>
          <w:tcPr>
            <w:tcW w:w="663" w:type="dxa"/>
            <w:tcBorders>
              <w:top w:val="single" w:sz="4" w:space="0" w:color="auto"/>
              <w:left w:val="nil"/>
              <w:bottom w:val="single" w:sz="4" w:space="0" w:color="auto"/>
              <w:right w:val="single" w:sz="4" w:space="0" w:color="auto"/>
            </w:tcBorders>
            <w:shd w:val="clear" w:color="auto" w:fill="auto"/>
            <w:noWrap/>
            <w:vAlign w:val="bottom"/>
            <w:hideMark/>
          </w:tcPr>
          <w:p w14:paraId="5352CF74" w14:textId="3008BB32" w:rsidR="00A91679" w:rsidRPr="0038472A" w:rsidRDefault="00A91679" w:rsidP="0038472A">
            <w:pPr>
              <w:spacing w:after="0"/>
              <w:rPr>
                <w:rFonts w:cs="Arial"/>
                <w:sz w:val="16"/>
                <w:szCs w:val="16"/>
                <w:lang w:eastAsia="en-AU"/>
              </w:rPr>
            </w:pPr>
            <w:r w:rsidRPr="0038472A">
              <w:rPr>
                <w:rFonts w:cs="Arial"/>
                <w:sz w:val="16"/>
                <w:szCs w:val="16"/>
                <w:lang w:eastAsia="en-AU"/>
              </w:rPr>
              <w:t>Transport (%)</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14:paraId="2AED6B62" w14:textId="5A02329F" w:rsidR="00A91679" w:rsidRPr="0038472A" w:rsidRDefault="00A91679" w:rsidP="0038472A">
            <w:pPr>
              <w:spacing w:after="0"/>
              <w:rPr>
                <w:rFonts w:cs="Arial"/>
                <w:sz w:val="16"/>
                <w:szCs w:val="16"/>
                <w:lang w:eastAsia="en-AU"/>
              </w:rPr>
            </w:pPr>
            <w:r w:rsidRPr="0038472A">
              <w:rPr>
                <w:rFonts w:cs="Arial"/>
                <w:sz w:val="16"/>
                <w:szCs w:val="16"/>
                <w:lang w:eastAsia="en-AU"/>
              </w:rPr>
              <w:t>Education (%)</w:t>
            </w:r>
          </w:p>
        </w:tc>
        <w:tc>
          <w:tcPr>
            <w:tcW w:w="721" w:type="dxa"/>
            <w:tcBorders>
              <w:top w:val="single" w:sz="4" w:space="0" w:color="auto"/>
              <w:left w:val="nil"/>
              <w:bottom w:val="single" w:sz="4" w:space="0" w:color="auto"/>
              <w:right w:val="single" w:sz="4" w:space="0" w:color="auto"/>
            </w:tcBorders>
            <w:shd w:val="clear" w:color="auto" w:fill="auto"/>
            <w:noWrap/>
            <w:vAlign w:val="bottom"/>
            <w:hideMark/>
          </w:tcPr>
          <w:p w14:paraId="713D6B0F" w14:textId="50B3A830" w:rsidR="00A91679" w:rsidRPr="0038472A" w:rsidRDefault="00A91679" w:rsidP="0038472A">
            <w:pPr>
              <w:spacing w:after="0"/>
              <w:rPr>
                <w:rFonts w:cs="Arial"/>
                <w:sz w:val="16"/>
                <w:szCs w:val="16"/>
                <w:lang w:eastAsia="en-AU"/>
              </w:rPr>
            </w:pPr>
            <w:r w:rsidRPr="0038472A">
              <w:rPr>
                <w:rFonts w:cs="Arial"/>
                <w:sz w:val="16"/>
                <w:szCs w:val="16"/>
                <w:lang w:eastAsia="en-AU"/>
              </w:rPr>
              <w:t>Hospitals/</w:t>
            </w:r>
            <w:r w:rsidR="0038472A" w:rsidRPr="0038472A">
              <w:rPr>
                <w:rFonts w:cs="Arial"/>
                <w:sz w:val="16"/>
                <w:szCs w:val="16"/>
                <w:lang w:eastAsia="en-AU"/>
              </w:rPr>
              <w:t xml:space="preserve"> </w:t>
            </w:r>
            <w:r w:rsidRPr="0038472A">
              <w:rPr>
                <w:rFonts w:cs="Arial"/>
                <w:sz w:val="16"/>
                <w:szCs w:val="16"/>
                <w:lang w:eastAsia="en-AU"/>
              </w:rPr>
              <w:t>Healthcare (%)</w:t>
            </w:r>
          </w:p>
        </w:tc>
        <w:tc>
          <w:tcPr>
            <w:tcW w:w="895" w:type="dxa"/>
            <w:tcBorders>
              <w:top w:val="single" w:sz="4" w:space="0" w:color="auto"/>
              <w:left w:val="nil"/>
              <w:bottom w:val="single" w:sz="4" w:space="0" w:color="auto"/>
              <w:right w:val="single" w:sz="4" w:space="0" w:color="auto"/>
            </w:tcBorders>
            <w:shd w:val="clear" w:color="auto" w:fill="auto"/>
            <w:noWrap/>
            <w:vAlign w:val="bottom"/>
            <w:hideMark/>
          </w:tcPr>
          <w:p w14:paraId="5C412432" w14:textId="16D109F3" w:rsidR="00A91679" w:rsidRPr="0038472A" w:rsidRDefault="00A91679" w:rsidP="0038472A">
            <w:pPr>
              <w:spacing w:after="0"/>
              <w:rPr>
                <w:rFonts w:cs="Arial"/>
                <w:sz w:val="16"/>
                <w:szCs w:val="16"/>
                <w:lang w:eastAsia="en-AU"/>
              </w:rPr>
            </w:pPr>
            <w:r w:rsidRPr="0038472A">
              <w:rPr>
                <w:rFonts w:cs="Arial"/>
                <w:sz w:val="16"/>
                <w:szCs w:val="16"/>
                <w:lang w:eastAsia="en-AU"/>
              </w:rPr>
              <w:t>Entertainment/</w:t>
            </w:r>
            <w:r w:rsidR="0038472A" w:rsidRPr="0038472A">
              <w:rPr>
                <w:rFonts w:cs="Arial"/>
                <w:sz w:val="16"/>
                <w:szCs w:val="16"/>
                <w:lang w:eastAsia="en-AU"/>
              </w:rPr>
              <w:t xml:space="preserve"> </w:t>
            </w:r>
            <w:r w:rsidRPr="0038472A">
              <w:rPr>
                <w:rFonts w:cs="Arial"/>
                <w:sz w:val="16"/>
                <w:szCs w:val="16"/>
                <w:lang w:eastAsia="en-AU"/>
              </w:rPr>
              <w:t>Recreation (%)</w:t>
            </w:r>
          </w:p>
        </w:tc>
        <w:tc>
          <w:tcPr>
            <w:tcW w:w="773" w:type="dxa"/>
            <w:tcBorders>
              <w:top w:val="single" w:sz="4" w:space="0" w:color="auto"/>
              <w:left w:val="nil"/>
              <w:bottom w:val="single" w:sz="4" w:space="0" w:color="auto"/>
              <w:right w:val="single" w:sz="4" w:space="0" w:color="auto"/>
            </w:tcBorders>
            <w:shd w:val="clear" w:color="auto" w:fill="auto"/>
            <w:noWrap/>
            <w:vAlign w:val="bottom"/>
            <w:hideMark/>
          </w:tcPr>
          <w:p w14:paraId="4A1674D8" w14:textId="396B53FF" w:rsidR="00A91679" w:rsidRPr="0038472A" w:rsidRDefault="00A91679" w:rsidP="0038472A">
            <w:pPr>
              <w:spacing w:after="0"/>
              <w:rPr>
                <w:rFonts w:cs="Arial"/>
                <w:sz w:val="16"/>
                <w:szCs w:val="16"/>
                <w:lang w:eastAsia="en-AU"/>
              </w:rPr>
            </w:pPr>
            <w:r w:rsidRPr="0038472A">
              <w:rPr>
                <w:rFonts w:cs="Arial"/>
                <w:sz w:val="16"/>
                <w:szCs w:val="16"/>
                <w:lang w:eastAsia="en-AU"/>
              </w:rPr>
              <w:t>Community/</w:t>
            </w:r>
            <w:r w:rsidR="0038472A" w:rsidRPr="0038472A">
              <w:rPr>
                <w:rFonts w:cs="Arial"/>
                <w:sz w:val="16"/>
                <w:szCs w:val="16"/>
                <w:lang w:eastAsia="en-AU"/>
              </w:rPr>
              <w:t xml:space="preserve"> </w:t>
            </w:r>
            <w:r w:rsidRPr="0038472A">
              <w:rPr>
                <w:rFonts w:cs="Arial"/>
                <w:sz w:val="16"/>
                <w:szCs w:val="16"/>
                <w:lang w:eastAsia="en-AU"/>
              </w:rPr>
              <w:t>Public Use (%)</w:t>
            </w:r>
          </w:p>
        </w:tc>
        <w:tc>
          <w:tcPr>
            <w:tcW w:w="733" w:type="dxa"/>
            <w:tcBorders>
              <w:top w:val="single" w:sz="4" w:space="0" w:color="auto"/>
              <w:left w:val="nil"/>
              <w:bottom w:val="single" w:sz="4" w:space="0" w:color="auto"/>
              <w:right w:val="single" w:sz="4" w:space="0" w:color="auto"/>
            </w:tcBorders>
            <w:shd w:val="clear" w:color="auto" w:fill="auto"/>
            <w:noWrap/>
            <w:vAlign w:val="bottom"/>
            <w:hideMark/>
          </w:tcPr>
          <w:p w14:paraId="5A8D64C6" w14:textId="4BE2B04B" w:rsidR="00A91679" w:rsidRPr="0038472A" w:rsidRDefault="00A91679" w:rsidP="0038472A">
            <w:pPr>
              <w:spacing w:after="0"/>
              <w:rPr>
                <w:rFonts w:cs="Arial"/>
                <w:sz w:val="16"/>
                <w:szCs w:val="16"/>
                <w:lang w:eastAsia="en-AU"/>
              </w:rPr>
            </w:pPr>
            <w:r w:rsidRPr="0038472A">
              <w:rPr>
                <w:rFonts w:cs="Arial"/>
                <w:sz w:val="16"/>
                <w:szCs w:val="16"/>
                <w:lang w:eastAsia="en-AU"/>
              </w:rPr>
              <w:t>Residential (%)</w:t>
            </w:r>
          </w:p>
        </w:tc>
        <w:tc>
          <w:tcPr>
            <w:tcW w:w="965" w:type="dxa"/>
            <w:tcBorders>
              <w:top w:val="single" w:sz="4" w:space="0" w:color="auto"/>
              <w:left w:val="nil"/>
              <w:bottom w:val="single" w:sz="4" w:space="0" w:color="auto"/>
              <w:right w:val="single" w:sz="4" w:space="0" w:color="auto"/>
            </w:tcBorders>
            <w:shd w:val="clear" w:color="auto" w:fill="auto"/>
            <w:noWrap/>
            <w:vAlign w:val="bottom"/>
            <w:hideMark/>
          </w:tcPr>
          <w:p w14:paraId="7D5FE5C1" w14:textId="6044D66B" w:rsidR="00A91679" w:rsidRPr="0038472A" w:rsidRDefault="00A91679" w:rsidP="0038472A">
            <w:pPr>
              <w:spacing w:after="0"/>
              <w:rPr>
                <w:rFonts w:cs="Arial"/>
                <w:sz w:val="16"/>
                <w:szCs w:val="16"/>
                <w:lang w:eastAsia="en-AU"/>
              </w:rPr>
            </w:pPr>
            <w:r w:rsidRPr="0038472A">
              <w:rPr>
                <w:rFonts w:cs="Arial"/>
                <w:sz w:val="16"/>
                <w:szCs w:val="16"/>
                <w:lang w:eastAsia="en-AU"/>
              </w:rPr>
              <w:t>Commercial Accommodation (%)</w:t>
            </w:r>
          </w:p>
        </w:tc>
        <w:tc>
          <w:tcPr>
            <w:tcW w:w="570" w:type="dxa"/>
            <w:tcBorders>
              <w:top w:val="single" w:sz="4" w:space="0" w:color="auto"/>
              <w:left w:val="nil"/>
              <w:bottom w:val="single" w:sz="4" w:space="0" w:color="auto"/>
              <w:right w:val="single" w:sz="4" w:space="0" w:color="auto"/>
            </w:tcBorders>
            <w:shd w:val="clear" w:color="auto" w:fill="auto"/>
            <w:noWrap/>
            <w:vAlign w:val="bottom"/>
            <w:hideMark/>
          </w:tcPr>
          <w:p w14:paraId="62FE178B" w14:textId="18A3D591" w:rsidR="00A91679" w:rsidRPr="0038472A" w:rsidRDefault="00A91679" w:rsidP="0038472A">
            <w:pPr>
              <w:spacing w:after="0"/>
              <w:rPr>
                <w:rFonts w:cs="Arial"/>
                <w:sz w:val="16"/>
                <w:szCs w:val="16"/>
                <w:lang w:eastAsia="en-AU"/>
              </w:rPr>
            </w:pPr>
            <w:r w:rsidRPr="0038472A">
              <w:rPr>
                <w:rFonts w:cs="Arial"/>
                <w:sz w:val="16"/>
                <w:szCs w:val="16"/>
                <w:lang w:eastAsia="en-AU"/>
              </w:rPr>
              <w:t>Parking (%)</w:t>
            </w:r>
          </w:p>
        </w:tc>
        <w:tc>
          <w:tcPr>
            <w:tcW w:w="767" w:type="dxa"/>
            <w:tcBorders>
              <w:top w:val="single" w:sz="4" w:space="0" w:color="auto"/>
              <w:left w:val="nil"/>
              <w:bottom w:val="single" w:sz="4" w:space="0" w:color="auto"/>
              <w:right w:val="single" w:sz="4" w:space="0" w:color="auto"/>
            </w:tcBorders>
            <w:shd w:val="clear" w:color="auto" w:fill="auto"/>
            <w:noWrap/>
            <w:vAlign w:val="bottom"/>
            <w:hideMark/>
          </w:tcPr>
          <w:p w14:paraId="48DA2835" w14:textId="0D267D5B" w:rsidR="00A91679" w:rsidRPr="0038472A" w:rsidRDefault="00A91679" w:rsidP="0038472A">
            <w:pPr>
              <w:spacing w:after="0"/>
              <w:rPr>
                <w:rFonts w:cs="Arial"/>
                <w:sz w:val="16"/>
                <w:szCs w:val="16"/>
                <w:lang w:eastAsia="en-AU"/>
              </w:rPr>
            </w:pPr>
            <w:r w:rsidRPr="0038472A">
              <w:rPr>
                <w:rFonts w:cs="Arial"/>
                <w:sz w:val="16"/>
                <w:szCs w:val="16"/>
                <w:lang w:eastAsia="en-AU"/>
              </w:rPr>
              <w:t>Unoccupied (%)</w:t>
            </w:r>
          </w:p>
        </w:tc>
      </w:tr>
      <w:tr w:rsidR="0038472A" w:rsidRPr="0038472A" w14:paraId="08226A67" w14:textId="77777777" w:rsidTr="0038472A">
        <w:trPr>
          <w:trHeight w:val="298"/>
        </w:trPr>
        <w:tc>
          <w:tcPr>
            <w:tcW w:w="651" w:type="dxa"/>
            <w:tcBorders>
              <w:top w:val="nil"/>
              <w:left w:val="single" w:sz="4" w:space="0" w:color="auto"/>
              <w:bottom w:val="single" w:sz="4" w:space="0" w:color="auto"/>
              <w:right w:val="single" w:sz="4" w:space="0" w:color="auto"/>
            </w:tcBorders>
            <w:shd w:val="clear" w:color="auto" w:fill="auto"/>
            <w:noWrap/>
            <w:vAlign w:val="bottom"/>
            <w:hideMark/>
          </w:tcPr>
          <w:p w14:paraId="2066CA5A" w14:textId="77777777" w:rsidR="00A91679" w:rsidRPr="0038472A" w:rsidRDefault="00A91679" w:rsidP="006D687C">
            <w:pPr>
              <w:spacing w:after="0"/>
              <w:jc w:val="right"/>
              <w:rPr>
                <w:rFonts w:cs="Arial"/>
                <w:sz w:val="16"/>
                <w:szCs w:val="16"/>
                <w:lang w:eastAsia="en-AU"/>
              </w:rPr>
            </w:pPr>
            <w:r w:rsidRPr="0038472A">
              <w:rPr>
                <w:rFonts w:cs="Arial"/>
                <w:sz w:val="16"/>
                <w:szCs w:val="16"/>
                <w:lang w:eastAsia="en-AU"/>
              </w:rPr>
              <w:t>3000</w:t>
            </w:r>
          </w:p>
        </w:tc>
        <w:tc>
          <w:tcPr>
            <w:tcW w:w="728" w:type="dxa"/>
            <w:tcBorders>
              <w:top w:val="nil"/>
              <w:left w:val="nil"/>
              <w:bottom w:val="single" w:sz="4" w:space="0" w:color="auto"/>
              <w:right w:val="single" w:sz="4" w:space="0" w:color="auto"/>
            </w:tcBorders>
            <w:shd w:val="clear" w:color="auto" w:fill="auto"/>
            <w:noWrap/>
            <w:vAlign w:val="bottom"/>
            <w:hideMark/>
          </w:tcPr>
          <w:p w14:paraId="226DADE6" w14:textId="77777777" w:rsidR="00A91679" w:rsidRPr="0038472A" w:rsidRDefault="00A91679" w:rsidP="006D687C">
            <w:pPr>
              <w:spacing w:after="0"/>
              <w:jc w:val="right"/>
              <w:rPr>
                <w:rFonts w:cs="Arial"/>
                <w:sz w:val="16"/>
                <w:szCs w:val="16"/>
                <w:lang w:eastAsia="en-AU"/>
              </w:rPr>
            </w:pPr>
            <w:r w:rsidRPr="0038472A">
              <w:rPr>
                <w:rFonts w:cs="Arial"/>
                <w:sz w:val="16"/>
                <w:szCs w:val="16"/>
                <w:lang w:eastAsia="en-AU"/>
              </w:rPr>
              <w:t>45%</w:t>
            </w:r>
          </w:p>
        </w:tc>
        <w:tc>
          <w:tcPr>
            <w:tcW w:w="243" w:type="dxa"/>
            <w:tcBorders>
              <w:top w:val="nil"/>
              <w:left w:val="nil"/>
              <w:bottom w:val="single" w:sz="4" w:space="0" w:color="auto"/>
              <w:right w:val="single" w:sz="4" w:space="0" w:color="auto"/>
            </w:tcBorders>
            <w:shd w:val="clear" w:color="auto" w:fill="auto"/>
            <w:noWrap/>
            <w:vAlign w:val="bottom"/>
            <w:hideMark/>
          </w:tcPr>
          <w:p w14:paraId="64B503CE" w14:textId="77777777" w:rsidR="00A91679" w:rsidRPr="0038472A" w:rsidRDefault="00A91679" w:rsidP="006D687C">
            <w:pPr>
              <w:spacing w:after="0"/>
              <w:jc w:val="right"/>
              <w:rPr>
                <w:rFonts w:cs="Arial"/>
                <w:sz w:val="16"/>
                <w:szCs w:val="16"/>
                <w:lang w:eastAsia="en-AU"/>
              </w:rPr>
            </w:pPr>
            <w:r w:rsidRPr="0038472A">
              <w:rPr>
                <w:rFonts w:cs="Arial"/>
                <w:sz w:val="16"/>
                <w:szCs w:val="16"/>
                <w:lang w:eastAsia="en-AU"/>
              </w:rPr>
              <w:t>7%</w:t>
            </w:r>
          </w:p>
        </w:tc>
        <w:tc>
          <w:tcPr>
            <w:tcW w:w="907" w:type="dxa"/>
            <w:tcBorders>
              <w:top w:val="nil"/>
              <w:left w:val="nil"/>
              <w:bottom w:val="single" w:sz="4" w:space="0" w:color="auto"/>
              <w:right w:val="single" w:sz="4" w:space="0" w:color="auto"/>
            </w:tcBorders>
            <w:shd w:val="clear" w:color="auto" w:fill="auto"/>
            <w:noWrap/>
            <w:vAlign w:val="bottom"/>
            <w:hideMark/>
          </w:tcPr>
          <w:p w14:paraId="0F5FD8F8" w14:textId="77777777" w:rsidR="00A91679" w:rsidRPr="0038472A" w:rsidRDefault="00A91679" w:rsidP="006D687C">
            <w:pPr>
              <w:spacing w:after="0"/>
              <w:jc w:val="right"/>
              <w:rPr>
                <w:rFonts w:cs="Arial"/>
                <w:sz w:val="16"/>
                <w:szCs w:val="16"/>
                <w:lang w:eastAsia="en-AU"/>
              </w:rPr>
            </w:pPr>
            <w:r w:rsidRPr="0038472A">
              <w:rPr>
                <w:rFonts w:cs="Arial"/>
                <w:sz w:val="16"/>
                <w:szCs w:val="16"/>
                <w:lang w:eastAsia="en-AU"/>
              </w:rPr>
              <w:t>1%</w:t>
            </w:r>
          </w:p>
        </w:tc>
        <w:tc>
          <w:tcPr>
            <w:tcW w:w="478" w:type="dxa"/>
            <w:tcBorders>
              <w:top w:val="nil"/>
              <w:left w:val="nil"/>
              <w:bottom w:val="single" w:sz="4" w:space="0" w:color="auto"/>
              <w:right w:val="single" w:sz="4" w:space="0" w:color="auto"/>
            </w:tcBorders>
            <w:shd w:val="clear" w:color="auto" w:fill="auto"/>
            <w:noWrap/>
            <w:vAlign w:val="bottom"/>
            <w:hideMark/>
          </w:tcPr>
          <w:p w14:paraId="6B13617B" w14:textId="77777777" w:rsidR="00A91679" w:rsidRPr="0038472A" w:rsidRDefault="00A91679" w:rsidP="006D687C">
            <w:pPr>
              <w:spacing w:after="0"/>
              <w:jc w:val="right"/>
              <w:rPr>
                <w:rFonts w:cs="Arial"/>
                <w:sz w:val="16"/>
                <w:szCs w:val="16"/>
                <w:lang w:eastAsia="en-AU"/>
              </w:rPr>
            </w:pPr>
            <w:r w:rsidRPr="0038472A">
              <w:rPr>
                <w:rFonts w:cs="Arial"/>
                <w:sz w:val="16"/>
                <w:szCs w:val="16"/>
                <w:lang w:eastAsia="en-AU"/>
              </w:rPr>
              <w:t>0%</w:t>
            </w:r>
          </w:p>
        </w:tc>
        <w:tc>
          <w:tcPr>
            <w:tcW w:w="663" w:type="dxa"/>
            <w:tcBorders>
              <w:top w:val="nil"/>
              <w:left w:val="nil"/>
              <w:bottom w:val="single" w:sz="4" w:space="0" w:color="auto"/>
              <w:right w:val="single" w:sz="4" w:space="0" w:color="auto"/>
            </w:tcBorders>
            <w:shd w:val="clear" w:color="auto" w:fill="auto"/>
            <w:noWrap/>
            <w:vAlign w:val="bottom"/>
            <w:hideMark/>
          </w:tcPr>
          <w:p w14:paraId="618F9F25" w14:textId="77777777" w:rsidR="00A91679" w:rsidRPr="0038472A" w:rsidRDefault="00A91679" w:rsidP="006D687C">
            <w:pPr>
              <w:spacing w:after="0"/>
              <w:jc w:val="right"/>
              <w:rPr>
                <w:rFonts w:cs="Arial"/>
                <w:sz w:val="16"/>
                <w:szCs w:val="16"/>
                <w:lang w:eastAsia="en-AU"/>
              </w:rPr>
            </w:pPr>
            <w:r w:rsidRPr="0038472A">
              <w:rPr>
                <w:rFonts w:cs="Arial"/>
                <w:sz w:val="16"/>
                <w:szCs w:val="16"/>
                <w:lang w:eastAsia="en-AU"/>
              </w:rPr>
              <w:t>0%</w:t>
            </w:r>
          </w:p>
        </w:tc>
        <w:tc>
          <w:tcPr>
            <w:tcW w:w="680" w:type="dxa"/>
            <w:tcBorders>
              <w:top w:val="nil"/>
              <w:left w:val="nil"/>
              <w:bottom w:val="single" w:sz="4" w:space="0" w:color="auto"/>
              <w:right w:val="single" w:sz="4" w:space="0" w:color="auto"/>
            </w:tcBorders>
            <w:shd w:val="clear" w:color="auto" w:fill="auto"/>
            <w:noWrap/>
            <w:vAlign w:val="bottom"/>
            <w:hideMark/>
          </w:tcPr>
          <w:p w14:paraId="5DD94B32" w14:textId="77777777" w:rsidR="00A91679" w:rsidRPr="0038472A" w:rsidRDefault="00A91679" w:rsidP="006D687C">
            <w:pPr>
              <w:spacing w:after="0"/>
              <w:jc w:val="right"/>
              <w:rPr>
                <w:rFonts w:cs="Arial"/>
                <w:sz w:val="16"/>
                <w:szCs w:val="16"/>
                <w:lang w:eastAsia="en-AU"/>
              </w:rPr>
            </w:pPr>
            <w:r w:rsidRPr="0038472A">
              <w:rPr>
                <w:rFonts w:cs="Arial"/>
                <w:sz w:val="16"/>
                <w:szCs w:val="16"/>
                <w:lang w:eastAsia="en-AU"/>
              </w:rPr>
              <w:t>4%</w:t>
            </w:r>
          </w:p>
        </w:tc>
        <w:tc>
          <w:tcPr>
            <w:tcW w:w="721" w:type="dxa"/>
            <w:tcBorders>
              <w:top w:val="nil"/>
              <w:left w:val="nil"/>
              <w:bottom w:val="single" w:sz="4" w:space="0" w:color="auto"/>
              <w:right w:val="single" w:sz="4" w:space="0" w:color="auto"/>
            </w:tcBorders>
            <w:shd w:val="clear" w:color="auto" w:fill="auto"/>
            <w:noWrap/>
            <w:vAlign w:val="bottom"/>
            <w:hideMark/>
          </w:tcPr>
          <w:p w14:paraId="7426A78F" w14:textId="77777777" w:rsidR="00A91679" w:rsidRPr="0038472A" w:rsidRDefault="00A91679" w:rsidP="006D687C">
            <w:pPr>
              <w:spacing w:after="0"/>
              <w:jc w:val="right"/>
              <w:rPr>
                <w:rFonts w:cs="Arial"/>
                <w:sz w:val="16"/>
                <w:szCs w:val="16"/>
                <w:lang w:eastAsia="en-AU"/>
              </w:rPr>
            </w:pPr>
            <w:r w:rsidRPr="0038472A">
              <w:rPr>
                <w:rFonts w:cs="Arial"/>
                <w:sz w:val="16"/>
                <w:szCs w:val="16"/>
                <w:lang w:eastAsia="en-AU"/>
              </w:rPr>
              <w:t>4%</w:t>
            </w:r>
          </w:p>
        </w:tc>
        <w:tc>
          <w:tcPr>
            <w:tcW w:w="895" w:type="dxa"/>
            <w:tcBorders>
              <w:top w:val="nil"/>
              <w:left w:val="nil"/>
              <w:bottom w:val="single" w:sz="4" w:space="0" w:color="auto"/>
              <w:right w:val="single" w:sz="4" w:space="0" w:color="auto"/>
            </w:tcBorders>
            <w:shd w:val="clear" w:color="auto" w:fill="auto"/>
            <w:noWrap/>
            <w:vAlign w:val="bottom"/>
            <w:hideMark/>
          </w:tcPr>
          <w:p w14:paraId="09F71675" w14:textId="77777777" w:rsidR="00A91679" w:rsidRPr="0038472A" w:rsidRDefault="00A91679" w:rsidP="006D687C">
            <w:pPr>
              <w:spacing w:after="0"/>
              <w:jc w:val="right"/>
              <w:rPr>
                <w:rFonts w:cs="Arial"/>
                <w:sz w:val="16"/>
                <w:szCs w:val="16"/>
                <w:lang w:eastAsia="en-AU"/>
              </w:rPr>
            </w:pPr>
            <w:r w:rsidRPr="0038472A">
              <w:rPr>
                <w:rFonts w:cs="Arial"/>
                <w:sz w:val="16"/>
                <w:szCs w:val="16"/>
                <w:lang w:eastAsia="en-AU"/>
              </w:rPr>
              <w:t>4%</w:t>
            </w:r>
          </w:p>
        </w:tc>
        <w:tc>
          <w:tcPr>
            <w:tcW w:w="773" w:type="dxa"/>
            <w:tcBorders>
              <w:top w:val="nil"/>
              <w:left w:val="nil"/>
              <w:bottom w:val="single" w:sz="4" w:space="0" w:color="auto"/>
              <w:right w:val="single" w:sz="4" w:space="0" w:color="auto"/>
            </w:tcBorders>
            <w:shd w:val="clear" w:color="auto" w:fill="auto"/>
            <w:noWrap/>
            <w:vAlign w:val="bottom"/>
            <w:hideMark/>
          </w:tcPr>
          <w:p w14:paraId="67254392" w14:textId="77777777" w:rsidR="00A91679" w:rsidRPr="0038472A" w:rsidRDefault="00A91679" w:rsidP="006D687C">
            <w:pPr>
              <w:spacing w:after="0"/>
              <w:jc w:val="right"/>
              <w:rPr>
                <w:rFonts w:cs="Arial"/>
                <w:sz w:val="16"/>
                <w:szCs w:val="16"/>
                <w:lang w:eastAsia="en-AU"/>
              </w:rPr>
            </w:pPr>
            <w:r w:rsidRPr="0038472A">
              <w:rPr>
                <w:rFonts w:cs="Arial"/>
                <w:sz w:val="16"/>
                <w:szCs w:val="16"/>
                <w:lang w:eastAsia="en-AU"/>
              </w:rPr>
              <w:t>2%</w:t>
            </w:r>
          </w:p>
        </w:tc>
        <w:tc>
          <w:tcPr>
            <w:tcW w:w="733" w:type="dxa"/>
            <w:tcBorders>
              <w:top w:val="nil"/>
              <w:left w:val="nil"/>
              <w:bottom w:val="single" w:sz="4" w:space="0" w:color="auto"/>
              <w:right w:val="single" w:sz="4" w:space="0" w:color="auto"/>
            </w:tcBorders>
            <w:shd w:val="clear" w:color="auto" w:fill="auto"/>
            <w:noWrap/>
            <w:vAlign w:val="bottom"/>
            <w:hideMark/>
          </w:tcPr>
          <w:p w14:paraId="1B9E134E" w14:textId="77777777" w:rsidR="00A91679" w:rsidRPr="0038472A" w:rsidRDefault="00A91679" w:rsidP="006D687C">
            <w:pPr>
              <w:spacing w:after="0"/>
              <w:jc w:val="right"/>
              <w:rPr>
                <w:rFonts w:cs="Arial"/>
                <w:sz w:val="16"/>
                <w:szCs w:val="16"/>
                <w:lang w:eastAsia="en-AU"/>
              </w:rPr>
            </w:pPr>
            <w:r w:rsidRPr="0038472A">
              <w:rPr>
                <w:rFonts w:cs="Arial"/>
                <w:sz w:val="16"/>
                <w:szCs w:val="16"/>
                <w:lang w:eastAsia="en-AU"/>
              </w:rPr>
              <w:t>20%</w:t>
            </w:r>
          </w:p>
        </w:tc>
        <w:tc>
          <w:tcPr>
            <w:tcW w:w="965" w:type="dxa"/>
            <w:tcBorders>
              <w:top w:val="nil"/>
              <w:left w:val="nil"/>
              <w:bottom w:val="single" w:sz="4" w:space="0" w:color="auto"/>
              <w:right w:val="single" w:sz="4" w:space="0" w:color="auto"/>
            </w:tcBorders>
            <w:shd w:val="clear" w:color="auto" w:fill="auto"/>
            <w:noWrap/>
            <w:vAlign w:val="bottom"/>
            <w:hideMark/>
          </w:tcPr>
          <w:p w14:paraId="1A5753F5" w14:textId="77777777" w:rsidR="00A91679" w:rsidRPr="0038472A" w:rsidRDefault="00A91679" w:rsidP="006D687C">
            <w:pPr>
              <w:spacing w:after="0"/>
              <w:jc w:val="right"/>
              <w:rPr>
                <w:rFonts w:cs="Arial"/>
                <w:sz w:val="16"/>
                <w:szCs w:val="16"/>
                <w:lang w:eastAsia="en-AU"/>
              </w:rPr>
            </w:pPr>
            <w:r w:rsidRPr="0038472A">
              <w:rPr>
                <w:rFonts w:cs="Arial"/>
                <w:sz w:val="16"/>
                <w:szCs w:val="16"/>
                <w:lang w:eastAsia="en-AU"/>
              </w:rPr>
              <w:t>12%</w:t>
            </w:r>
          </w:p>
        </w:tc>
        <w:tc>
          <w:tcPr>
            <w:tcW w:w="570" w:type="dxa"/>
            <w:tcBorders>
              <w:top w:val="nil"/>
              <w:left w:val="nil"/>
              <w:bottom w:val="single" w:sz="4" w:space="0" w:color="auto"/>
              <w:right w:val="single" w:sz="4" w:space="0" w:color="auto"/>
            </w:tcBorders>
            <w:shd w:val="clear" w:color="auto" w:fill="auto"/>
            <w:noWrap/>
            <w:vAlign w:val="bottom"/>
            <w:hideMark/>
          </w:tcPr>
          <w:p w14:paraId="233C8F75" w14:textId="77777777" w:rsidR="00A91679" w:rsidRPr="0038472A" w:rsidRDefault="00A91679" w:rsidP="006D687C">
            <w:pPr>
              <w:spacing w:after="0"/>
              <w:jc w:val="right"/>
              <w:rPr>
                <w:rFonts w:cs="Arial"/>
                <w:sz w:val="16"/>
                <w:szCs w:val="16"/>
                <w:lang w:eastAsia="en-AU"/>
              </w:rPr>
            </w:pPr>
            <w:r w:rsidRPr="0038472A">
              <w:rPr>
                <w:rFonts w:cs="Arial"/>
                <w:sz w:val="16"/>
                <w:szCs w:val="16"/>
                <w:lang w:eastAsia="en-AU"/>
              </w:rPr>
              <w:t>1%</w:t>
            </w:r>
          </w:p>
        </w:tc>
        <w:tc>
          <w:tcPr>
            <w:tcW w:w="767" w:type="dxa"/>
            <w:tcBorders>
              <w:top w:val="nil"/>
              <w:left w:val="nil"/>
              <w:bottom w:val="single" w:sz="4" w:space="0" w:color="auto"/>
              <w:right w:val="single" w:sz="4" w:space="0" w:color="auto"/>
            </w:tcBorders>
            <w:shd w:val="clear" w:color="auto" w:fill="auto"/>
            <w:noWrap/>
            <w:vAlign w:val="bottom"/>
            <w:hideMark/>
          </w:tcPr>
          <w:p w14:paraId="655850D8" w14:textId="77777777" w:rsidR="00A91679" w:rsidRPr="0038472A" w:rsidRDefault="00A91679" w:rsidP="006D687C">
            <w:pPr>
              <w:spacing w:after="0"/>
              <w:jc w:val="right"/>
              <w:rPr>
                <w:rFonts w:cs="Arial"/>
                <w:sz w:val="16"/>
                <w:szCs w:val="16"/>
                <w:lang w:eastAsia="en-AU"/>
              </w:rPr>
            </w:pPr>
            <w:r w:rsidRPr="0038472A">
              <w:rPr>
                <w:rFonts w:cs="Arial"/>
                <w:sz w:val="16"/>
                <w:szCs w:val="16"/>
                <w:lang w:eastAsia="en-AU"/>
              </w:rPr>
              <w:t>0%</w:t>
            </w:r>
          </w:p>
        </w:tc>
      </w:tr>
      <w:tr w:rsidR="0038472A" w:rsidRPr="0038472A" w14:paraId="00BC9C33" w14:textId="77777777" w:rsidTr="0038472A">
        <w:trPr>
          <w:trHeight w:val="298"/>
        </w:trPr>
        <w:tc>
          <w:tcPr>
            <w:tcW w:w="651" w:type="dxa"/>
            <w:tcBorders>
              <w:top w:val="nil"/>
              <w:left w:val="single" w:sz="4" w:space="0" w:color="auto"/>
              <w:bottom w:val="single" w:sz="4" w:space="0" w:color="auto"/>
              <w:right w:val="single" w:sz="4" w:space="0" w:color="auto"/>
            </w:tcBorders>
            <w:shd w:val="clear" w:color="auto" w:fill="auto"/>
            <w:noWrap/>
            <w:vAlign w:val="bottom"/>
            <w:hideMark/>
          </w:tcPr>
          <w:p w14:paraId="2B58B588" w14:textId="77777777" w:rsidR="00A91679" w:rsidRPr="0038472A" w:rsidRDefault="00A91679" w:rsidP="006D687C">
            <w:pPr>
              <w:spacing w:after="0"/>
              <w:jc w:val="right"/>
              <w:rPr>
                <w:rFonts w:cs="Arial"/>
                <w:sz w:val="16"/>
                <w:szCs w:val="16"/>
                <w:lang w:eastAsia="en-AU"/>
              </w:rPr>
            </w:pPr>
            <w:r w:rsidRPr="0038472A">
              <w:rPr>
                <w:rFonts w:cs="Arial"/>
                <w:sz w:val="16"/>
                <w:szCs w:val="16"/>
                <w:lang w:eastAsia="en-AU"/>
              </w:rPr>
              <w:t>3002</w:t>
            </w:r>
          </w:p>
        </w:tc>
        <w:tc>
          <w:tcPr>
            <w:tcW w:w="728" w:type="dxa"/>
            <w:tcBorders>
              <w:top w:val="nil"/>
              <w:left w:val="nil"/>
              <w:bottom w:val="single" w:sz="4" w:space="0" w:color="auto"/>
              <w:right w:val="single" w:sz="4" w:space="0" w:color="auto"/>
            </w:tcBorders>
            <w:shd w:val="clear" w:color="auto" w:fill="auto"/>
            <w:noWrap/>
            <w:vAlign w:val="bottom"/>
            <w:hideMark/>
          </w:tcPr>
          <w:p w14:paraId="0538DA28" w14:textId="77777777" w:rsidR="00A91679" w:rsidRPr="0038472A" w:rsidRDefault="00A91679" w:rsidP="006D687C">
            <w:pPr>
              <w:spacing w:after="0"/>
              <w:jc w:val="right"/>
              <w:rPr>
                <w:rFonts w:cs="Arial"/>
                <w:sz w:val="16"/>
                <w:szCs w:val="16"/>
                <w:lang w:eastAsia="en-AU"/>
              </w:rPr>
            </w:pPr>
            <w:r w:rsidRPr="0038472A">
              <w:rPr>
                <w:rFonts w:cs="Arial"/>
                <w:sz w:val="16"/>
                <w:szCs w:val="16"/>
                <w:lang w:eastAsia="en-AU"/>
              </w:rPr>
              <w:t>27%</w:t>
            </w:r>
          </w:p>
        </w:tc>
        <w:tc>
          <w:tcPr>
            <w:tcW w:w="243" w:type="dxa"/>
            <w:tcBorders>
              <w:top w:val="nil"/>
              <w:left w:val="nil"/>
              <w:bottom w:val="single" w:sz="4" w:space="0" w:color="auto"/>
              <w:right w:val="single" w:sz="4" w:space="0" w:color="auto"/>
            </w:tcBorders>
            <w:shd w:val="clear" w:color="auto" w:fill="auto"/>
            <w:noWrap/>
            <w:vAlign w:val="bottom"/>
            <w:hideMark/>
          </w:tcPr>
          <w:p w14:paraId="7115E966" w14:textId="77777777" w:rsidR="00A91679" w:rsidRPr="0038472A" w:rsidRDefault="00A91679" w:rsidP="006D687C">
            <w:pPr>
              <w:spacing w:after="0"/>
              <w:jc w:val="right"/>
              <w:rPr>
                <w:rFonts w:cs="Arial"/>
                <w:sz w:val="16"/>
                <w:szCs w:val="16"/>
                <w:lang w:eastAsia="en-AU"/>
              </w:rPr>
            </w:pPr>
            <w:r w:rsidRPr="0038472A">
              <w:rPr>
                <w:rFonts w:cs="Arial"/>
                <w:sz w:val="16"/>
                <w:szCs w:val="16"/>
                <w:lang w:eastAsia="en-AU"/>
              </w:rPr>
              <w:t>1%</w:t>
            </w:r>
          </w:p>
        </w:tc>
        <w:tc>
          <w:tcPr>
            <w:tcW w:w="907" w:type="dxa"/>
            <w:tcBorders>
              <w:top w:val="nil"/>
              <w:left w:val="nil"/>
              <w:bottom w:val="single" w:sz="4" w:space="0" w:color="auto"/>
              <w:right w:val="single" w:sz="4" w:space="0" w:color="auto"/>
            </w:tcBorders>
            <w:shd w:val="clear" w:color="auto" w:fill="auto"/>
            <w:noWrap/>
            <w:vAlign w:val="bottom"/>
            <w:hideMark/>
          </w:tcPr>
          <w:p w14:paraId="70A7E916" w14:textId="77777777" w:rsidR="00A91679" w:rsidRPr="0038472A" w:rsidRDefault="00A91679" w:rsidP="006D687C">
            <w:pPr>
              <w:spacing w:after="0"/>
              <w:jc w:val="right"/>
              <w:rPr>
                <w:rFonts w:cs="Arial"/>
                <w:sz w:val="16"/>
                <w:szCs w:val="16"/>
                <w:lang w:eastAsia="en-AU"/>
              </w:rPr>
            </w:pPr>
            <w:r w:rsidRPr="0038472A">
              <w:rPr>
                <w:rFonts w:cs="Arial"/>
                <w:sz w:val="16"/>
                <w:szCs w:val="16"/>
                <w:lang w:eastAsia="en-AU"/>
              </w:rPr>
              <w:t>0%</w:t>
            </w:r>
          </w:p>
        </w:tc>
        <w:tc>
          <w:tcPr>
            <w:tcW w:w="478" w:type="dxa"/>
            <w:tcBorders>
              <w:top w:val="nil"/>
              <w:left w:val="nil"/>
              <w:bottom w:val="single" w:sz="4" w:space="0" w:color="auto"/>
              <w:right w:val="single" w:sz="4" w:space="0" w:color="auto"/>
            </w:tcBorders>
            <w:shd w:val="clear" w:color="auto" w:fill="auto"/>
            <w:noWrap/>
            <w:vAlign w:val="bottom"/>
            <w:hideMark/>
          </w:tcPr>
          <w:p w14:paraId="74A5D4B8" w14:textId="77777777" w:rsidR="00A91679" w:rsidRPr="0038472A" w:rsidRDefault="00A91679" w:rsidP="006D687C">
            <w:pPr>
              <w:spacing w:after="0"/>
              <w:jc w:val="right"/>
              <w:rPr>
                <w:rFonts w:cs="Arial"/>
                <w:sz w:val="16"/>
                <w:szCs w:val="16"/>
                <w:lang w:eastAsia="en-AU"/>
              </w:rPr>
            </w:pPr>
            <w:r w:rsidRPr="0038472A">
              <w:rPr>
                <w:rFonts w:cs="Arial"/>
                <w:sz w:val="16"/>
                <w:szCs w:val="16"/>
                <w:lang w:eastAsia="en-AU"/>
              </w:rPr>
              <w:t>0%</w:t>
            </w:r>
          </w:p>
        </w:tc>
        <w:tc>
          <w:tcPr>
            <w:tcW w:w="663" w:type="dxa"/>
            <w:tcBorders>
              <w:top w:val="nil"/>
              <w:left w:val="nil"/>
              <w:bottom w:val="single" w:sz="4" w:space="0" w:color="auto"/>
              <w:right w:val="single" w:sz="4" w:space="0" w:color="auto"/>
            </w:tcBorders>
            <w:shd w:val="clear" w:color="auto" w:fill="auto"/>
            <w:noWrap/>
            <w:vAlign w:val="bottom"/>
            <w:hideMark/>
          </w:tcPr>
          <w:p w14:paraId="18DE8E0F" w14:textId="77777777" w:rsidR="00A91679" w:rsidRPr="0038472A" w:rsidRDefault="00A91679" w:rsidP="006D687C">
            <w:pPr>
              <w:spacing w:after="0"/>
              <w:jc w:val="right"/>
              <w:rPr>
                <w:rFonts w:cs="Arial"/>
                <w:sz w:val="16"/>
                <w:szCs w:val="16"/>
                <w:lang w:eastAsia="en-AU"/>
              </w:rPr>
            </w:pPr>
            <w:r w:rsidRPr="0038472A">
              <w:rPr>
                <w:rFonts w:cs="Arial"/>
                <w:sz w:val="16"/>
                <w:szCs w:val="16"/>
                <w:lang w:eastAsia="en-AU"/>
              </w:rPr>
              <w:t>0%</w:t>
            </w:r>
          </w:p>
        </w:tc>
        <w:tc>
          <w:tcPr>
            <w:tcW w:w="680" w:type="dxa"/>
            <w:tcBorders>
              <w:top w:val="nil"/>
              <w:left w:val="nil"/>
              <w:bottom w:val="single" w:sz="4" w:space="0" w:color="auto"/>
              <w:right w:val="single" w:sz="4" w:space="0" w:color="auto"/>
            </w:tcBorders>
            <w:shd w:val="clear" w:color="auto" w:fill="auto"/>
            <w:noWrap/>
            <w:vAlign w:val="bottom"/>
            <w:hideMark/>
          </w:tcPr>
          <w:p w14:paraId="2CFC88A0" w14:textId="77777777" w:rsidR="00A91679" w:rsidRPr="0038472A" w:rsidRDefault="00A91679" w:rsidP="006D687C">
            <w:pPr>
              <w:spacing w:after="0"/>
              <w:jc w:val="right"/>
              <w:rPr>
                <w:rFonts w:cs="Arial"/>
                <w:sz w:val="16"/>
                <w:szCs w:val="16"/>
                <w:lang w:eastAsia="en-AU"/>
              </w:rPr>
            </w:pPr>
            <w:r w:rsidRPr="0038472A">
              <w:rPr>
                <w:rFonts w:cs="Arial"/>
                <w:sz w:val="16"/>
                <w:szCs w:val="16"/>
                <w:lang w:eastAsia="en-AU"/>
              </w:rPr>
              <w:t>1%</w:t>
            </w:r>
          </w:p>
        </w:tc>
        <w:tc>
          <w:tcPr>
            <w:tcW w:w="721" w:type="dxa"/>
            <w:tcBorders>
              <w:top w:val="nil"/>
              <w:left w:val="nil"/>
              <w:bottom w:val="single" w:sz="4" w:space="0" w:color="auto"/>
              <w:right w:val="single" w:sz="4" w:space="0" w:color="auto"/>
            </w:tcBorders>
            <w:shd w:val="clear" w:color="auto" w:fill="auto"/>
            <w:noWrap/>
            <w:vAlign w:val="bottom"/>
            <w:hideMark/>
          </w:tcPr>
          <w:p w14:paraId="6F123E49" w14:textId="77777777" w:rsidR="00A91679" w:rsidRPr="0038472A" w:rsidRDefault="00A91679" w:rsidP="006D687C">
            <w:pPr>
              <w:spacing w:after="0"/>
              <w:jc w:val="right"/>
              <w:rPr>
                <w:rFonts w:cs="Arial"/>
                <w:sz w:val="16"/>
                <w:szCs w:val="16"/>
                <w:lang w:eastAsia="en-AU"/>
              </w:rPr>
            </w:pPr>
            <w:r w:rsidRPr="0038472A">
              <w:rPr>
                <w:rFonts w:cs="Arial"/>
                <w:sz w:val="16"/>
                <w:szCs w:val="16"/>
                <w:lang w:eastAsia="en-AU"/>
              </w:rPr>
              <w:t>30%</w:t>
            </w:r>
          </w:p>
        </w:tc>
        <w:tc>
          <w:tcPr>
            <w:tcW w:w="895" w:type="dxa"/>
            <w:tcBorders>
              <w:top w:val="nil"/>
              <w:left w:val="nil"/>
              <w:bottom w:val="single" w:sz="4" w:space="0" w:color="auto"/>
              <w:right w:val="single" w:sz="4" w:space="0" w:color="auto"/>
            </w:tcBorders>
            <w:shd w:val="clear" w:color="auto" w:fill="auto"/>
            <w:noWrap/>
            <w:vAlign w:val="bottom"/>
            <w:hideMark/>
          </w:tcPr>
          <w:p w14:paraId="29EC6065" w14:textId="77777777" w:rsidR="00A91679" w:rsidRPr="0038472A" w:rsidRDefault="00A91679" w:rsidP="006D687C">
            <w:pPr>
              <w:spacing w:after="0"/>
              <w:jc w:val="right"/>
              <w:rPr>
                <w:rFonts w:cs="Arial"/>
                <w:sz w:val="16"/>
                <w:szCs w:val="16"/>
                <w:lang w:eastAsia="en-AU"/>
              </w:rPr>
            </w:pPr>
            <w:r w:rsidRPr="0038472A">
              <w:rPr>
                <w:rFonts w:cs="Arial"/>
                <w:sz w:val="16"/>
                <w:szCs w:val="16"/>
                <w:lang w:eastAsia="en-AU"/>
              </w:rPr>
              <w:t>6%</w:t>
            </w:r>
          </w:p>
        </w:tc>
        <w:tc>
          <w:tcPr>
            <w:tcW w:w="773" w:type="dxa"/>
            <w:tcBorders>
              <w:top w:val="nil"/>
              <w:left w:val="nil"/>
              <w:bottom w:val="single" w:sz="4" w:space="0" w:color="auto"/>
              <w:right w:val="single" w:sz="4" w:space="0" w:color="auto"/>
            </w:tcBorders>
            <w:shd w:val="clear" w:color="auto" w:fill="auto"/>
            <w:noWrap/>
            <w:vAlign w:val="bottom"/>
            <w:hideMark/>
          </w:tcPr>
          <w:p w14:paraId="6C3ACF7E" w14:textId="77777777" w:rsidR="00A91679" w:rsidRPr="0038472A" w:rsidRDefault="00A91679" w:rsidP="006D687C">
            <w:pPr>
              <w:spacing w:after="0"/>
              <w:jc w:val="right"/>
              <w:rPr>
                <w:rFonts w:cs="Arial"/>
                <w:sz w:val="16"/>
                <w:szCs w:val="16"/>
                <w:lang w:eastAsia="en-AU"/>
              </w:rPr>
            </w:pPr>
            <w:r w:rsidRPr="0038472A">
              <w:rPr>
                <w:rFonts w:cs="Arial"/>
                <w:sz w:val="16"/>
                <w:szCs w:val="16"/>
                <w:lang w:eastAsia="en-AU"/>
              </w:rPr>
              <w:t>2%</w:t>
            </w:r>
          </w:p>
        </w:tc>
        <w:tc>
          <w:tcPr>
            <w:tcW w:w="733" w:type="dxa"/>
            <w:tcBorders>
              <w:top w:val="nil"/>
              <w:left w:val="nil"/>
              <w:bottom w:val="single" w:sz="4" w:space="0" w:color="auto"/>
              <w:right w:val="single" w:sz="4" w:space="0" w:color="auto"/>
            </w:tcBorders>
            <w:shd w:val="clear" w:color="auto" w:fill="auto"/>
            <w:noWrap/>
            <w:vAlign w:val="bottom"/>
            <w:hideMark/>
          </w:tcPr>
          <w:p w14:paraId="2736F595" w14:textId="77777777" w:rsidR="00A91679" w:rsidRPr="0038472A" w:rsidRDefault="00A91679" w:rsidP="006D687C">
            <w:pPr>
              <w:spacing w:after="0"/>
              <w:jc w:val="right"/>
              <w:rPr>
                <w:rFonts w:cs="Arial"/>
                <w:sz w:val="16"/>
                <w:szCs w:val="16"/>
                <w:lang w:eastAsia="en-AU"/>
              </w:rPr>
            </w:pPr>
            <w:r w:rsidRPr="0038472A">
              <w:rPr>
                <w:rFonts w:cs="Arial"/>
                <w:sz w:val="16"/>
                <w:szCs w:val="16"/>
                <w:lang w:eastAsia="en-AU"/>
              </w:rPr>
              <w:t>24%</w:t>
            </w:r>
          </w:p>
        </w:tc>
        <w:tc>
          <w:tcPr>
            <w:tcW w:w="965" w:type="dxa"/>
            <w:tcBorders>
              <w:top w:val="nil"/>
              <w:left w:val="nil"/>
              <w:bottom w:val="single" w:sz="4" w:space="0" w:color="auto"/>
              <w:right w:val="single" w:sz="4" w:space="0" w:color="auto"/>
            </w:tcBorders>
            <w:shd w:val="clear" w:color="auto" w:fill="auto"/>
            <w:noWrap/>
            <w:vAlign w:val="bottom"/>
            <w:hideMark/>
          </w:tcPr>
          <w:p w14:paraId="027822AF" w14:textId="77777777" w:rsidR="00A91679" w:rsidRPr="0038472A" w:rsidRDefault="00A91679" w:rsidP="006D687C">
            <w:pPr>
              <w:spacing w:after="0"/>
              <w:jc w:val="right"/>
              <w:rPr>
                <w:rFonts w:cs="Arial"/>
                <w:sz w:val="16"/>
                <w:szCs w:val="16"/>
                <w:lang w:eastAsia="en-AU"/>
              </w:rPr>
            </w:pPr>
            <w:r w:rsidRPr="0038472A">
              <w:rPr>
                <w:rFonts w:cs="Arial"/>
                <w:sz w:val="16"/>
                <w:szCs w:val="16"/>
                <w:lang w:eastAsia="en-AU"/>
              </w:rPr>
              <w:t>9%</w:t>
            </w:r>
          </w:p>
        </w:tc>
        <w:tc>
          <w:tcPr>
            <w:tcW w:w="570" w:type="dxa"/>
            <w:tcBorders>
              <w:top w:val="nil"/>
              <w:left w:val="nil"/>
              <w:bottom w:val="single" w:sz="4" w:space="0" w:color="auto"/>
              <w:right w:val="single" w:sz="4" w:space="0" w:color="auto"/>
            </w:tcBorders>
            <w:shd w:val="clear" w:color="auto" w:fill="auto"/>
            <w:noWrap/>
            <w:vAlign w:val="bottom"/>
            <w:hideMark/>
          </w:tcPr>
          <w:p w14:paraId="55D746F9" w14:textId="77777777" w:rsidR="00A91679" w:rsidRPr="0038472A" w:rsidRDefault="00A91679" w:rsidP="006D687C">
            <w:pPr>
              <w:spacing w:after="0"/>
              <w:jc w:val="right"/>
              <w:rPr>
                <w:rFonts w:cs="Arial"/>
                <w:sz w:val="16"/>
                <w:szCs w:val="16"/>
                <w:lang w:eastAsia="en-AU"/>
              </w:rPr>
            </w:pPr>
            <w:r w:rsidRPr="0038472A">
              <w:rPr>
                <w:rFonts w:cs="Arial"/>
                <w:sz w:val="16"/>
                <w:szCs w:val="16"/>
                <w:lang w:eastAsia="en-AU"/>
              </w:rPr>
              <w:t>0%</w:t>
            </w:r>
          </w:p>
        </w:tc>
        <w:tc>
          <w:tcPr>
            <w:tcW w:w="767" w:type="dxa"/>
            <w:tcBorders>
              <w:top w:val="nil"/>
              <w:left w:val="nil"/>
              <w:bottom w:val="single" w:sz="4" w:space="0" w:color="auto"/>
              <w:right w:val="single" w:sz="4" w:space="0" w:color="auto"/>
            </w:tcBorders>
            <w:shd w:val="clear" w:color="auto" w:fill="auto"/>
            <w:noWrap/>
            <w:vAlign w:val="bottom"/>
            <w:hideMark/>
          </w:tcPr>
          <w:p w14:paraId="3ECAAF87" w14:textId="77777777" w:rsidR="00A91679" w:rsidRPr="0038472A" w:rsidRDefault="00A91679" w:rsidP="006D687C">
            <w:pPr>
              <w:spacing w:after="0"/>
              <w:jc w:val="right"/>
              <w:rPr>
                <w:rFonts w:cs="Arial"/>
                <w:sz w:val="16"/>
                <w:szCs w:val="16"/>
                <w:lang w:eastAsia="en-AU"/>
              </w:rPr>
            </w:pPr>
            <w:r w:rsidRPr="0038472A">
              <w:rPr>
                <w:rFonts w:cs="Arial"/>
                <w:sz w:val="16"/>
                <w:szCs w:val="16"/>
                <w:lang w:eastAsia="en-AU"/>
              </w:rPr>
              <w:t>0%</w:t>
            </w:r>
          </w:p>
        </w:tc>
      </w:tr>
      <w:tr w:rsidR="0038472A" w:rsidRPr="0038472A" w14:paraId="0029D7DB" w14:textId="77777777" w:rsidTr="0038472A">
        <w:trPr>
          <w:trHeight w:val="298"/>
        </w:trPr>
        <w:tc>
          <w:tcPr>
            <w:tcW w:w="651" w:type="dxa"/>
            <w:tcBorders>
              <w:top w:val="nil"/>
              <w:left w:val="single" w:sz="4" w:space="0" w:color="auto"/>
              <w:bottom w:val="single" w:sz="4" w:space="0" w:color="auto"/>
              <w:right w:val="single" w:sz="4" w:space="0" w:color="auto"/>
            </w:tcBorders>
            <w:shd w:val="clear" w:color="auto" w:fill="auto"/>
            <w:noWrap/>
            <w:vAlign w:val="bottom"/>
            <w:hideMark/>
          </w:tcPr>
          <w:p w14:paraId="5EC0EEF2" w14:textId="77777777" w:rsidR="00A91679" w:rsidRPr="0038472A" w:rsidRDefault="00A91679" w:rsidP="006D687C">
            <w:pPr>
              <w:spacing w:after="0"/>
              <w:jc w:val="right"/>
              <w:rPr>
                <w:rFonts w:cs="Arial"/>
                <w:sz w:val="16"/>
                <w:szCs w:val="16"/>
                <w:lang w:eastAsia="en-AU"/>
              </w:rPr>
            </w:pPr>
            <w:r w:rsidRPr="0038472A">
              <w:rPr>
                <w:rFonts w:cs="Arial"/>
                <w:sz w:val="16"/>
                <w:szCs w:val="16"/>
                <w:lang w:eastAsia="en-AU"/>
              </w:rPr>
              <w:t>3003</w:t>
            </w:r>
          </w:p>
        </w:tc>
        <w:tc>
          <w:tcPr>
            <w:tcW w:w="728" w:type="dxa"/>
            <w:tcBorders>
              <w:top w:val="nil"/>
              <w:left w:val="nil"/>
              <w:bottom w:val="single" w:sz="4" w:space="0" w:color="auto"/>
              <w:right w:val="single" w:sz="4" w:space="0" w:color="auto"/>
            </w:tcBorders>
            <w:shd w:val="clear" w:color="auto" w:fill="auto"/>
            <w:noWrap/>
            <w:vAlign w:val="bottom"/>
            <w:hideMark/>
          </w:tcPr>
          <w:p w14:paraId="2A9BB061" w14:textId="77777777" w:rsidR="00A91679" w:rsidRPr="0038472A" w:rsidRDefault="00A91679" w:rsidP="006D687C">
            <w:pPr>
              <w:spacing w:after="0"/>
              <w:jc w:val="right"/>
              <w:rPr>
                <w:rFonts w:cs="Arial"/>
                <w:sz w:val="16"/>
                <w:szCs w:val="16"/>
                <w:lang w:eastAsia="en-AU"/>
              </w:rPr>
            </w:pPr>
            <w:r w:rsidRPr="0038472A">
              <w:rPr>
                <w:rFonts w:cs="Arial"/>
                <w:sz w:val="16"/>
                <w:szCs w:val="16"/>
                <w:lang w:eastAsia="en-AU"/>
              </w:rPr>
              <w:t>18%</w:t>
            </w:r>
          </w:p>
        </w:tc>
        <w:tc>
          <w:tcPr>
            <w:tcW w:w="243" w:type="dxa"/>
            <w:tcBorders>
              <w:top w:val="nil"/>
              <w:left w:val="nil"/>
              <w:bottom w:val="single" w:sz="4" w:space="0" w:color="auto"/>
              <w:right w:val="single" w:sz="4" w:space="0" w:color="auto"/>
            </w:tcBorders>
            <w:shd w:val="clear" w:color="auto" w:fill="auto"/>
            <w:noWrap/>
            <w:vAlign w:val="bottom"/>
            <w:hideMark/>
          </w:tcPr>
          <w:p w14:paraId="31CA3ED9" w14:textId="77777777" w:rsidR="00A91679" w:rsidRPr="0038472A" w:rsidRDefault="00A91679" w:rsidP="006D687C">
            <w:pPr>
              <w:spacing w:after="0"/>
              <w:jc w:val="right"/>
              <w:rPr>
                <w:rFonts w:cs="Arial"/>
                <w:sz w:val="16"/>
                <w:szCs w:val="16"/>
                <w:lang w:eastAsia="en-AU"/>
              </w:rPr>
            </w:pPr>
            <w:r w:rsidRPr="0038472A">
              <w:rPr>
                <w:rFonts w:cs="Arial"/>
                <w:sz w:val="16"/>
                <w:szCs w:val="16"/>
                <w:lang w:eastAsia="en-AU"/>
              </w:rPr>
              <w:t>6%</w:t>
            </w:r>
          </w:p>
        </w:tc>
        <w:tc>
          <w:tcPr>
            <w:tcW w:w="907" w:type="dxa"/>
            <w:tcBorders>
              <w:top w:val="nil"/>
              <w:left w:val="nil"/>
              <w:bottom w:val="single" w:sz="4" w:space="0" w:color="auto"/>
              <w:right w:val="single" w:sz="4" w:space="0" w:color="auto"/>
            </w:tcBorders>
            <w:shd w:val="clear" w:color="auto" w:fill="auto"/>
            <w:noWrap/>
            <w:vAlign w:val="bottom"/>
            <w:hideMark/>
          </w:tcPr>
          <w:p w14:paraId="36D9DADB" w14:textId="77777777" w:rsidR="00A91679" w:rsidRPr="0038472A" w:rsidRDefault="00A91679" w:rsidP="006D687C">
            <w:pPr>
              <w:spacing w:after="0"/>
              <w:jc w:val="right"/>
              <w:rPr>
                <w:rFonts w:cs="Arial"/>
                <w:sz w:val="16"/>
                <w:szCs w:val="16"/>
                <w:lang w:eastAsia="en-AU"/>
              </w:rPr>
            </w:pPr>
            <w:r w:rsidRPr="0038472A">
              <w:rPr>
                <w:rFonts w:cs="Arial"/>
                <w:sz w:val="16"/>
                <w:szCs w:val="16"/>
                <w:lang w:eastAsia="en-AU"/>
              </w:rPr>
              <w:t>12%</w:t>
            </w:r>
          </w:p>
        </w:tc>
        <w:tc>
          <w:tcPr>
            <w:tcW w:w="478" w:type="dxa"/>
            <w:tcBorders>
              <w:top w:val="nil"/>
              <w:left w:val="nil"/>
              <w:bottom w:val="single" w:sz="4" w:space="0" w:color="auto"/>
              <w:right w:val="single" w:sz="4" w:space="0" w:color="auto"/>
            </w:tcBorders>
            <w:shd w:val="clear" w:color="auto" w:fill="auto"/>
            <w:noWrap/>
            <w:vAlign w:val="bottom"/>
            <w:hideMark/>
          </w:tcPr>
          <w:p w14:paraId="5EADDD19" w14:textId="77777777" w:rsidR="00A91679" w:rsidRPr="0038472A" w:rsidRDefault="00A91679" w:rsidP="006D687C">
            <w:pPr>
              <w:spacing w:after="0"/>
              <w:jc w:val="right"/>
              <w:rPr>
                <w:rFonts w:cs="Arial"/>
                <w:sz w:val="16"/>
                <w:szCs w:val="16"/>
                <w:lang w:eastAsia="en-AU"/>
              </w:rPr>
            </w:pPr>
            <w:r w:rsidRPr="0038472A">
              <w:rPr>
                <w:rFonts w:cs="Arial"/>
                <w:sz w:val="16"/>
                <w:szCs w:val="16"/>
                <w:lang w:eastAsia="en-AU"/>
              </w:rPr>
              <w:t>0%</w:t>
            </w:r>
          </w:p>
        </w:tc>
        <w:tc>
          <w:tcPr>
            <w:tcW w:w="663" w:type="dxa"/>
            <w:tcBorders>
              <w:top w:val="nil"/>
              <w:left w:val="nil"/>
              <w:bottom w:val="single" w:sz="4" w:space="0" w:color="auto"/>
              <w:right w:val="single" w:sz="4" w:space="0" w:color="auto"/>
            </w:tcBorders>
            <w:shd w:val="clear" w:color="auto" w:fill="auto"/>
            <w:noWrap/>
            <w:vAlign w:val="bottom"/>
            <w:hideMark/>
          </w:tcPr>
          <w:p w14:paraId="4F07E43E" w14:textId="77777777" w:rsidR="00A91679" w:rsidRPr="0038472A" w:rsidRDefault="00A91679" w:rsidP="006D687C">
            <w:pPr>
              <w:spacing w:after="0"/>
              <w:jc w:val="right"/>
              <w:rPr>
                <w:rFonts w:cs="Arial"/>
                <w:sz w:val="16"/>
                <w:szCs w:val="16"/>
                <w:lang w:eastAsia="en-AU"/>
              </w:rPr>
            </w:pPr>
            <w:r w:rsidRPr="0038472A">
              <w:rPr>
                <w:rFonts w:cs="Arial"/>
                <w:sz w:val="16"/>
                <w:szCs w:val="16"/>
                <w:lang w:eastAsia="en-AU"/>
              </w:rPr>
              <w:t>19%</w:t>
            </w:r>
          </w:p>
        </w:tc>
        <w:tc>
          <w:tcPr>
            <w:tcW w:w="680" w:type="dxa"/>
            <w:tcBorders>
              <w:top w:val="nil"/>
              <w:left w:val="nil"/>
              <w:bottom w:val="single" w:sz="4" w:space="0" w:color="auto"/>
              <w:right w:val="single" w:sz="4" w:space="0" w:color="auto"/>
            </w:tcBorders>
            <w:shd w:val="clear" w:color="auto" w:fill="auto"/>
            <w:noWrap/>
            <w:vAlign w:val="bottom"/>
            <w:hideMark/>
          </w:tcPr>
          <w:p w14:paraId="7CCC0865" w14:textId="77777777" w:rsidR="00A91679" w:rsidRPr="0038472A" w:rsidRDefault="00A91679" w:rsidP="006D687C">
            <w:pPr>
              <w:spacing w:after="0"/>
              <w:jc w:val="right"/>
              <w:rPr>
                <w:rFonts w:cs="Arial"/>
                <w:sz w:val="16"/>
                <w:szCs w:val="16"/>
                <w:lang w:eastAsia="en-AU"/>
              </w:rPr>
            </w:pPr>
            <w:r w:rsidRPr="0038472A">
              <w:rPr>
                <w:rFonts w:cs="Arial"/>
                <w:sz w:val="16"/>
                <w:szCs w:val="16"/>
                <w:lang w:eastAsia="en-AU"/>
              </w:rPr>
              <w:t>2%</w:t>
            </w:r>
          </w:p>
        </w:tc>
        <w:tc>
          <w:tcPr>
            <w:tcW w:w="721" w:type="dxa"/>
            <w:tcBorders>
              <w:top w:val="nil"/>
              <w:left w:val="nil"/>
              <w:bottom w:val="single" w:sz="4" w:space="0" w:color="auto"/>
              <w:right w:val="single" w:sz="4" w:space="0" w:color="auto"/>
            </w:tcBorders>
            <w:shd w:val="clear" w:color="auto" w:fill="auto"/>
            <w:noWrap/>
            <w:vAlign w:val="bottom"/>
            <w:hideMark/>
          </w:tcPr>
          <w:p w14:paraId="3A6AFDC8" w14:textId="77777777" w:rsidR="00A91679" w:rsidRPr="0038472A" w:rsidRDefault="00A91679" w:rsidP="006D687C">
            <w:pPr>
              <w:spacing w:after="0"/>
              <w:jc w:val="right"/>
              <w:rPr>
                <w:rFonts w:cs="Arial"/>
                <w:sz w:val="16"/>
                <w:szCs w:val="16"/>
                <w:lang w:eastAsia="en-AU"/>
              </w:rPr>
            </w:pPr>
            <w:r w:rsidRPr="0038472A">
              <w:rPr>
                <w:rFonts w:cs="Arial"/>
                <w:sz w:val="16"/>
                <w:szCs w:val="16"/>
                <w:lang w:eastAsia="en-AU"/>
              </w:rPr>
              <w:t>0%</w:t>
            </w:r>
          </w:p>
        </w:tc>
        <w:tc>
          <w:tcPr>
            <w:tcW w:w="895" w:type="dxa"/>
            <w:tcBorders>
              <w:top w:val="nil"/>
              <w:left w:val="nil"/>
              <w:bottom w:val="single" w:sz="4" w:space="0" w:color="auto"/>
              <w:right w:val="single" w:sz="4" w:space="0" w:color="auto"/>
            </w:tcBorders>
            <w:shd w:val="clear" w:color="auto" w:fill="auto"/>
            <w:noWrap/>
            <w:vAlign w:val="bottom"/>
            <w:hideMark/>
          </w:tcPr>
          <w:p w14:paraId="3596BB7F" w14:textId="77777777" w:rsidR="00A91679" w:rsidRPr="0038472A" w:rsidRDefault="00A91679" w:rsidP="006D687C">
            <w:pPr>
              <w:spacing w:after="0"/>
              <w:jc w:val="right"/>
              <w:rPr>
                <w:rFonts w:cs="Arial"/>
                <w:sz w:val="16"/>
                <w:szCs w:val="16"/>
                <w:lang w:eastAsia="en-AU"/>
              </w:rPr>
            </w:pPr>
            <w:r w:rsidRPr="0038472A">
              <w:rPr>
                <w:rFonts w:cs="Arial"/>
                <w:sz w:val="16"/>
                <w:szCs w:val="16"/>
                <w:lang w:eastAsia="en-AU"/>
              </w:rPr>
              <w:t>1%</w:t>
            </w:r>
          </w:p>
        </w:tc>
        <w:tc>
          <w:tcPr>
            <w:tcW w:w="773" w:type="dxa"/>
            <w:tcBorders>
              <w:top w:val="nil"/>
              <w:left w:val="nil"/>
              <w:bottom w:val="single" w:sz="4" w:space="0" w:color="auto"/>
              <w:right w:val="single" w:sz="4" w:space="0" w:color="auto"/>
            </w:tcBorders>
            <w:shd w:val="clear" w:color="auto" w:fill="auto"/>
            <w:noWrap/>
            <w:vAlign w:val="bottom"/>
            <w:hideMark/>
          </w:tcPr>
          <w:p w14:paraId="72A3C8CE" w14:textId="77777777" w:rsidR="00A91679" w:rsidRPr="0038472A" w:rsidRDefault="00A91679" w:rsidP="006D687C">
            <w:pPr>
              <w:spacing w:after="0"/>
              <w:jc w:val="right"/>
              <w:rPr>
                <w:rFonts w:cs="Arial"/>
                <w:sz w:val="16"/>
                <w:szCs w:val="16"/>
                <w:lang w:eastAsia="en-AU"/>
              </w:rPr>
            </w:pPr>
            <w:r w:rsidRPr="0038472A">
              <w:rPr>
                <w:rFonts w:cs="Arial"/>
                <w:sz w:val="16"/>
                <w:szCs w:val="16"/>
                <w:lang w:eastAsia="en-AU"/>
              </w:rPr>
              <w:t>2%</w:t>
            </w:r>
          </w:p>
        </w:tc>
        <w:tc>
          <w:tcPr>
            <w:tcW w:w="733" w:type="dxa"/>
            <w:tcBorders>
              <w:top w:val="nil"/>
              <w:left w:val="nil"/>
              <w:bottom w:val="single" w:sz="4" w:space="0" w:color="auto"/>
              <w:right w:val="single" w:sz="4" w:space="0" w:color="auto"/>
            </w:tcBorders>
            <w:shd w:val="clear" w:color="auto" w:fill="auto"/>
            <w:noWrap/>
            <w:vAlign w:val="bottom"/>
            <w:hideMark/>
          </w:tcPr>
          <w:p w14:paraId="105B8698" w14:textId="77777777" w:rsidR="00A91679" w:rsidRPr="0038472A" w:rsidRDefault="00A91679" w:rsidP="006D687C">
            <w:pPr>
              <w:spacing w:after="0"/>
              <w:jc w:val="right"/>
              <w:rPr>
                <w:rFonts w:cs="Arial"/>
                <w:sz w:val="16"/>
                <w:szCs w:val="16"/>
                <w:lang w:eastAsia="en-AU"/>
              </w:rPr>
            </w:pPr>
            <w:r w:rsidRPr="0038472A">
              <w:rPr>
                <w:rFonts w:cs="Arial"/>
                <w:sz w:val="16"/>
                <w:szCs w:val="16"/>
                <w:lang w:eastAsia="en-AU"/>
              </w:rPr>
              <w:t>36%</w:t>
            </w:r>
          </w:p>
        </w:tc>
        <w:tc>
          <w:tcPr>
            <w:tcW w:w="965" w:type="dxa"/>
            <w:tcBorders>
              <w:top w:val="nil"/>
              <w:left w:val="nil"/>
              <w:bottom w:val="single" w:sz="4" w:space="0" w:color="auto"/>
              <w:right w:val="single" w:sz="4" w:space="0" w:color="auto"/>
            </w:tcBorders>
            <w:shd w:val="clear" w:color="auto" w:fill="auto"/>
            <w:noWrap/>
            <w:vAlign w:val="bottom"/>
            <w:hideMark/>
          </w:tcPr>
          <w:p w14:paraId="22471D28" w14:textId="77777777" w:rsidR="00A91679" w:rsidRPr="0038472A" w:rsidRDefault="00A91679" w:rsidP="006D687C">
            <w:pPr>
              <w:spacing w:after="0"/>
              <w:jc w:val="right"/>
              <w:rPr>
                <w:rFonts w:cs="Arial"/>
                <w:sz w:val="16"/>
                <w:szCs w:val="16"/>
                <w:lang w:eastAsia="en-AU"/>
              </w:rPr>
            </w:pPr>
            <w:r w:rsidRPr="0038472A">
              <w:rPr>
                <w:rFonts w:cs="Arial"/>
                <w:sz w:val="16"/>
                <w:szCs w:val="16"/>
                <w:lang w:eastAsia="en-AU"/>
              </w:rPr>
              <w:t>2%</w:t>
            </w:r>
          </w:p>
        </w:tc>
        <w:tc>
          <w:tcPr>
            <w:tcW w:w="570" w:type="dxa"/>
            <w:tcBorders>
              <w:top w:val="nil"/>
              <w:left w:val="nil"/>
              <w:bottom w:val="single" w:sz="4" w:space="0" w:color="auto"/>
              <w:right w:val="single" w:sz="4" w:space="0" w:color="auto"/>
            </w:tcBorders>
            <w:shd w:val="clear" w:color="auto" w:fill="auto"/>
            <w:noWrap/>
            <w:vAlign w:val="bottom"/>
            <w:hideMark/>
          </w:tcPr>
          <w:p w14:paraId="1D365A41" w14:textId="77777777" w:rsidR="00A91679" w:rsidRPr="0038472A" w:rsidRDefault="00A91679" w:rsidP="006D687C">
            <w:pPr>
              <w:spacing w:after="0"/>
              <w:jc w:val="right"/>
              <w:rPr>
                <w:rFonts w:cs="Arial"/>
                <w:sz w:val="16"/>
                <w:szCs w:val="16"/>
                <w:lang w:eastAsia="en-AU"/>
              </w:rPr>
            </w:pPr>
            <w:r w:rsidRPr="0038472A">
              <w:rPr>
                <w:rFonts w:cs="Arial"/>
                <w:sz w:val="16"/>
                <w:szCs w:val="16"/>
                <w:lang w:eastAsia="en-AU"/>
              </w:rPr>
              <w:t>0%</w:t>
            </w:r>
          </w:p>
        </w:tc>
        <w:tc>
          <w:tcPr>
            <w:tcW w:w="767" w:type="dxa"/>
            <w:tcBorders>
              <w:top w:val="nil"/>
              <w:left w:val="nil"/>
              <w:bottom w:val="single" w:sz="4" w:space="0" w:color="auto"/>
              <w:right w:val="single" w:sz="4" w:space="0" w:color="auto"/>
            </w:tcBorders>
            <w:shd w:val="clear" w:color="auto" w:fill="auto"/>
            <w:noWrap/>
            <w:vAlign w:val="bottom"/>
            <w:hideMark/>
          </w:tcPr>
          <w:p w14:paraId="49313778" w14:textId="77777777" w:rsidR="00A91679" w:rsidRPr="0038472A" w:rsidRDefault="00A91679" w:rsidP="006D687C">
            <w:pPr>
              <w:spacing w:after="0"/>
              <w:jc w:val="right"/>
              <w:rPr>
                <w:rFonts w:cs="Arial"/>
                <w:sz w:val="16"/>
                <w:szCs w:val="16"/>
                <w:lang w:eastAsia="en-AU"/>
              </w:rPr>
            </w:pPr>
            <w:r w:rsidRPr="0038472A">
              <w:rPr>
                <w:rFonts w:cs="Arial"/>
                <w:sz w:val="16"/>
                <w:szCs w:val="16"/>
                <w:lang w:eastAsia="en-AU"/>
              </w:rPr>
              <w:t>2%</w:t>
            </w:r>
          </w:p>
        </w:tc>
      </w:tr>
      <w:tr w:rsidR="0038472A" w:rsidRPr="0038472A" w14:paraId="2E6B77FA" w14:textId="77777777" w:rsidTr="0038472A">
        <w:trPr>
          <w:trHeight w:val="298"/>
        </w:trPr>
        <w:tc>
          <w:tcPr>
            <w:tcW w:w="651" w:type="dxa"/>
            <w:tcBorders>
              <w:top w:val="nil"/>
              <w:left w:val="single" w:sz="4" w:space="0" w:color="auto"/>
              <w:bottom w:val="single" w:sz="4" w:space="0" w:color="auto"/>
              <w:right w:val="single" w:sz="4" w:space="0" w:color="auto"/>
            </w:tcBorders>
            <w:shd w:val="clear" w:color="auto" w:fill="auto"/>
            <w:noWrap/>
            <w:vAlign w:val="bottom"/>
            <w:hideMark/>
          </w:tcPr>
          <w:p w14:paraId="604A9731" w14:textId="77777777" w:rsidR="00A91679" w:rsidRPr="0038472A" w:rsidRDefault="00A91679" w:rsidP="006D687C">
            <w:pPr>
              <w:spacing w:after="0"/>
              <w:jc w:val="right"/>
              <w:rPr>
                <w:rFonts w:cs="Arial"/>
                <w:sz w:val="16"/>
                <w:szCs w:val="16"/>
                <w:lang w:eastAsia="en-AU"/>
              </w:rPr>
            </w:pPr>
            <w:r w:rsidRPr="0038472A">
              <w:rPr>
                <w:rFonts w:cs="Arial"/>
                <w:sz w:val="16"/>
                <w:szCs w:val="16"/>
                <w:lang w:eastAsia="en-AU"/>
              </w:rPr>
              <w:t>3004</w:t>
            </w:r>
          </w:p>
        </w:tc>
        <w:tc>
          <w:tcPr>
            <w:tcW w:w="728" w:type="dxa"/>
            <w:tcBorders>
              <w:top w:val="nil"/>
              <w:left w:val="nil"/>
              <w:bottom w:val="single" w:sz="4" w:space="0" w:color="auto"/>
              <w:right w:val="single" w:sz="4" w:space="0" w:color="auto"/>
            </w:tcBorders>
            <w:shd w:val="clear" w:color="auto" w:fill="auto"/>
            <w:noWrap/>
            <w:vAlign w:val="bottom"/>
            <w:hideMark/>
          </w:tcPr>
          <w:p w14:paraId="28971A34" w14:textId="77777777" w:rsidR="00A91679" w:rsidRPr="0038472A" w:rsidRDefault="00A91679" w:rsidP="006D687C">
            <w:pPr>
              <w:spacing w:after="0"/>
              <w:jc w:val="right"/>
              <w:rPr>
                <w:rFonts w:cs="Arial"/>
                <w:sz w:val="16"/>
                <w:szCs w:val="16"/>
                <w:lang w:eastAsia="en-AU"/>
              </w:rPr>
            </w:pPr>
            <w:r w:rsidRPr="0038472A">
              <w:rPr>
                <w:rFonts w:cs="Arial"/>
                <w:sz w:val="16"/>
                <w:szCs w:val="16"/>
                <w:lang w:eastAsia="en-AU"/>
              </w:rPr>
              <w:t>37%</w:t>
            </w:r>
          </w:p>
        </w:tc>
        <w:tc>
          <w:tcPr>
            <w:tcW w:w="243" w:type="dxa"/>
            <w:tcBorders>
              <w:top w:val="nil"/>
              <w:left w:val="nil"/>
              <w:bottom w:val="single" w:sz="4" w:space="0" w:color="auto"/>
              <w:right w:val="single" w:sz="4" w:space="0" w:color="auto"/>
            </w:tcBorders>
            <w:shd w:val="clear" w:color="auto" w:fill="auto"/>
            <w:noWrap/>
            <w:vAlign w:val="bottom"/>
            <w:hideMark/>
          </w:tcPr>
          <w:p w14:paraId="47D5183A" w14:textId="77777777" w:rsidR="00A91679" w:rsidRPr="0038472A" w:rsidRDefault="00A91679" w:rsidP="006D687C">
            <w:pPr>
              <w:spacing w:after="0"/>
              <w:jc w:val="right"/>
              <w:rPr>
                <w:rFonts w:cs="Arial"/>
                <w:sz w:val="16"/>
                <w:szCs w:val="16"/>
                <w:lang w:eastAsia="en-AU"/>
              </w:rPr>
            </w:pPr>
            <w:r w:rsidRPr="0038472A">
              <w:rPr>
                <w:rFonts w:cs="Arial"/>
                <w:sz w:val="16"/>
                <w:szCs w:val="16"/>
                <w:lang w:eastAsia="en-AU"/>
              </w:rPr>
              <w:t>2%</w:t>
            </w:r>
          </w:p>
        </w:tc>
        <w:tc>
          <w:tcPr>
            <w:tcW w:w="907" w:type="dxa"/>
            <w:tcBorders>
              <w:top w:val="nil"/>
              <w:left w:val="nil"/>
              <w:bottom w:val="single" w:sz="4" w:space="0" w:color="auto"/>
              <w:right w:val="single" w:sz="4" w:space="0" w:color="auto"/>
            </w:tcBorders>
            <w:shd w:val="clear" w:color="auto" w:fill="auto"/>
            <w:noWrap/>
            <w:vAlign w:val="bottom"/>
            <w:hideMark/>
          </w:tcPr>
          <w:p w14:paraId="550F5305" w14:textId="77777777" w:rsidR="00A91679" w:rsidRPr="0038472A" w:rsidRDefault="00A91679" w:rsidP="006D687C">
            <w:pPr>
              <w:spacing w:after="0"/>
              <w:jc w:val="right"/>
              <w:rPr>
                <w:rFonts w:cs="Arial"/>
                <w:sz w:val="16"/>
                <w:szCs w:val="16"/>
                <w:lang w:eastAsia="en-AU"/>
              </w:rPr>
            </w:pPr>
            <w:r w:rsidRPr="0038472A">
              <w:rPr>
                <w:rFonts w:cs="Arial"/>
                <w:sz w:val="16"/>
                <w:szCs w:val="16"/>
                <w:lang w:eastAsia="en-AU"/>
              </w:rPr>
              <w:t>0%</w:t>
            </w:r>
          </w:p>
        </w:tc>
        <w:tc>
          <w:tcPr>
            <w:tcW w:w="478" w:type="dxa"/>
            <w:tcBorders>
              <w:top w:val="nil"/>
              <w:left w:val="nil"/>
              <w:bottom w:val="single" w:sz="4" w:space="0" w:color="auto"/>
              <w:right w:val="single" w:sz="4" w:space="0" w:color="auto"/>
            </w:tcBorders>
            <w:shd w:val="clear" w:color="auto" w:fill="auto"/>
            <w:noWrap/>
            <w:vAlign w:val="bottom"/>
            <w:hideMark/>
          </w:tcPr>
          <w:p w14:paraId="47F0BA83" w14:textId="77777777" w:rsidR="00A91679" w:rsidRPr="0038472A" w:rsidRDefault="00A91679" w:rsidP="006D687C">
            <w:pPr>
              <w:spacing w:after="0"/>
              <w:jc w:val="right"/>
              <w:rPr>
                <w:rFonts w:cs="Arial"/>
                <w:sz w:val="16"/>
                <w:szCs w:val="16"/>
                <w:lang w:eastAsia="en-AU"/>
              </w:rPr>
            </w:pPr>
            <w:r w:rsidRPr="0038472A">
              <w:rPr>
                <w:rFonts w:cs="Arial"/>
                <w:sz w:val="16"/>
                <w:szCs w:val="16"/>
                <w:lang w:eastAsia="en-AU"/>
              </w:rPr>
              <w:t>0%</w:t>
            </w:r>
          </w:p>
        </w:tc>
        <w:tc>
          <w:tcPr>
            <w:tcW w:w="663" w:type="dxa"/>
            <w:tcBorders>
              <w:top w:val="nil"/>
              <w:left w:val="nil"/>
              <w:bottom w:val="single" w:sz="4" w:space="0" w:color="auto"/>
              <w:right w:val="single" w:sz="4" w:space="0" w:color="auto"/>
            </w:tcBorders>
            <w:shd w:val="clear" w:color="auto" w:fill="auto"/>
            <w:noWrap/>
            <w:vAlign w:val="bottom"/>
            <w:hideMark/>
          </w:tcPr>
          <w:p w14:paraId="7930094E" w14:textId="77777777" w:rsidR="00A91679" w:rsidRPr="0038472A" w:rsidRDefault="00A91679" w:rsidP="006D687C">
            <w:pPr>
              <w:spacing w:after="0"/>
              <w:jc w:val="right"/>
              <w:rPr>
                <w:rFonts w:cs="Arial"/>
                <w:sz w:val="16"/>
                <w:szCs w:val="16"/>
                <w:lang w:eastAsia="en-AU"/>
              </w:rPr>
            </w:pPr>
            <w:r w:rsidRPr="0038472A">
              <w:rPr>
                <w:rFonts w:cs="Arial"/>
                <w:sz w:val="16"/>
                <w:szCs w:val="16"/>
                <w:lang w:eastAsia="en-AU"/>
              </w:rPr>
              <w:t>0%</w:t>
            </w:r>
          </w:p>
        </w:tc>
        <w:tc>
          <w:tcPr>
            <w:tcW w:w="680" w:type="dxa"/>
            <w:tcBorders>
              <w:top w:val="nil"/>
              <w:left w:val="nil"/>
              <w:bottom w:val="single" w:sz="4" w:space="0" w:color="auto"/>
              <w:right w:val="single" w:sz="4" w:space="0" w:color="auto"/>
            </w:tcBorders>
            <w:shd w:val="clear" w:color="auto" w:fill="auto"/>
            <w:noWrap/>
            <w:vAlign w:val="bottom"/>
            <w:hideMark/>
          </w:tcPr>
          <w:p w14:paraId="42E1EDBF" w14:textId="77777777" w:rsidR="00A91679" w:rsidRPr="0038472A" w:rsidRDefault="00A91679" w:rsidP="006D687C">
            <w:pPr>
              <w:spacing w:after="0"/>
              <w:jc w:val="right"/>
              <w:rPr>
                <w:rFonts w:cs="Arial"/>
                <w:sz w:val="16"/>
                <w:szCs w:val="16"/>
                <w:lang w:eastAsia="en-AU"/>
              </w:rPr>
            </w:pPr>
            <w:r w:rsidRPr="0038472A">
              <w:rPr>
                <w:rFonts w:cs="Arial"/>
                <w:sz w:val="16"/>
                <w:szCs w:val="16"/>
                <w:lang w:eastAsia="en-AU"/>
              </w:rPr>
              <w:t>7%</w:t>
            </w:r>
          </w:p>
        </w:tc>
        <w:tc>
          <w:tcPr>
            <w:tcW w:w="721" w:type="dxa"/>
            <w:tcBorders>
              <w:top w:val="nil"/>
              <w:left w:val="nil"/>
              <w:bottom w:val="single" w:sz="4" w:space="0" w:color="auto"/>
              <w:right w:val="single" w:sz="4" w:space="0" w:color="auto"/>
            </w:tcBorders>
            <w:shd w:val="clear" w:color="auto" w:fill="auto"/>
            <w:noWrap/>
            <w:vAlign w:val="bottom"/>
            <w:hideMark/>
          </w:tcPr>
          <w:p w14:paraId="706A8E54" w14:textId="77777777" w:rsidR="00A91679" w:rsidRPr="0038472A" w:rsidRDefault="00A91679" w:rsidP="006D687C">
            <w:pPr>
              <w:spacing w:after="0"/>
              <w:jc w:val="right"/>
              <w:rPr>
                <w:rFonts w:cs="Arial"/>
                <w:sz w:val="16"/>
                <w:szCs w:val="16"/>
                <w:lang w:eastAsia="en-AU"/>
              </w:rPr>
            </w:pPr>
            <w:r w:rsidRPr="0038472A">
              <w:rPr>
                <w:rFonts w:cs="Arial"/>
                <w:sz w:val="16"/>
                <w:szCs w:val="16"/>
                <w:lang w:eastAsia="en-AU"/>
              </w:rPr>
              <w:t>18%</w:t>
            </w:r>
          </w:p>
        </w:tc>
        <w:tc>
          <w:tcPr>
            <w:tcW w:w="895" w:type="dxa"/>
            <w:tcBorders>
              <w:top w:val="nil"/>
              <w:left w:val="nil"/>
              <w:bottom w:val="single" w:sz="4" w:space="0" w:color="auto"/>
              <w:right w:val="single" w:sz="4" w:space="0" w:color="auto"/>
            </w:tcBorders>
            <w:shd w:val="clear" w:color="auto" w:fill="auto"/>
            <w:noWrap/>
            <w:vAlign w:val="bottom"/>
            <w:hideMark/>
          </w:tcPr>
          <w:p w14:paraId="42E31378" w14:textId="77777777" w:rsidR="00A91679" w:rsidRPr="0038472A" w:rsidRDefault="00A91679" w:rsidP="006D687C">
            <w:pPr>
              <w:spacing w:after="0"/>
              <w:jc w:val="right"/>
              <w:rPr>
                <w:rFonts w:cs="Arial"/>
                <w:sz w:val="16"/>
                <w:szCs w:val="16"/>
                <w:lang w:eastAsia="en-AU"/>
              </w:rPr>
            </w:pPr>
            <w:r w:rsidRPr="0038472A">
              <w:rPr>
                <w:rFonts w:cs="Arial"/>
                <w:sz w:val="16"/>
                <w:szCs w:val="16"/>
                <w:lang w:eastAsia="en-AU"/>
              </w:rPr>
              <w:t>3%</w:t>
            </w:r>
          </w:p>
        </w:tc>
        <w:tc>
          <w:tcPr>
            <w:tcW w:w="773" w:type="dxa"/>
            <w:tcBorders>
              <w:top w:val="nil"/>
              <w:left w:val="nil"/>
              <w:bottom w:val="single" w:sz="4" w:space="0" w:color="auto"/>
              <w:right w:val="single" w:sz="4" w:space="0" w:color="auto"/>
            </w:tcBorders>
            <w:shd w:val="clear" w:color="auto" w:fill="auto"/>
            <w:noWrap/>
            <w:vAlign w:val="bottom"/>
            <w:hideMark/>
          </w:tcPr>
          <w:p w14:paraId="1C6EAC40" w14:textId="77777777" w:rsidR="00A91679" w:rsidRPr="0038472A" w:rsidRDefault="00A91679" w:rsidP="006D687C">
            <w:pPr>
              <w:spacing w:after="0"/>
              <w:jc w:val="right"/>
              <w:rPr>
                <w:rFonts w:cs="Arial"/>
                <w:sz w:val="16"/>
                <w:szCs w:val="16"/>
                <w:lang w:eastAsia="en-AU"/>
              </w:rPr>
            </w:pPr>
            <w:r w:rsidRPr="0038472A">
              <w:rPr>
                <w:rFonts w:cs="Arial"/>
                <w:sz w:val="16"/>
                <w:szCs w:val="16"/>
                <w:lang w:eastAsia="en-AU"/>
              </w:rPr>
              <w:t>3%</w:t>
            </w:r>
          </w:p>
        </w:tc>
        <w:tc>
          <w:tcPr>
            <w:tcW w:w="733" w:type="dxa"/>
            <w:tcBorders>
              <w:top w:val="nil"/>
              <w:left w:val="nil"/>
              <w:bottom w:val="single" w:sz="4" w:space="0" w:color="auto"/>
              <w:right w:val="single" w:sz="4" w:space="0" w:color="auto"/>
            </w:tcBorders>
            <w:shd w:val="clear" w:color="auto" w:fill="auto"/>
            <w:noWrap/>
            <w:vAlign w:val="bottom"/>
            <w:hideMark/>
          </w:tcPr>
          <w:p w14:paraId="5CD2DBEE" w14:textId="77777777" w:rsidR="00A91679" w:rsidRPr="0038472A" w:rsidRDefault="00A91679" w:rsidP="006D687C">
            <w:pPr>
              <w:spacing w:after="0"/>
              <w:jc w:val="right"/>
              <w:rPr>
                <w:rFonts w:cs="Arial"/>
                <w:sz w:val="16"/>
                <w:szCs w:val="16"/>
                <w:lang w:eastAsia="en-AU"/>
              </w:rPr>
            </w:pPr>
            <w:r w:rsidRPr="0038472A">
              <w:rPr>
                <w:rFonts w:cs="Arial"/>
                <w:sz w:val="16"/>
                <w:szCs w:val="16"/>
                <w:lang w:eastAsia="en-AU"/>
              </w:rPr>
              <w:t>27%</w:t>
            </w:r>
          </w:p>
        </w:tc>
        <w:tc>
          <w:tcPr>
            <w:tcW w:w="965" w:type="dxa"/>
            <w:tcBorders>
              <w:top w:val="nil"/>
              <w:left w:val="nil"/>
              <w:bottom w:val="single" w:sz="4" w:space="0" w:color="auto"/>
              <w:right w:val="single" w:sz="4" w:space="0" w:color="auto"/>
            </w:tcBorders>
            <w:shd w:val="clear" w:color="auto" w:fill="auto"/>
            <w:noWrap/>
            <w:vAlign w:val="bottom"/>
            <w:hideMark/>
          </w:tcPr>
          <w:p w14:paraId="204C1AA5" w14:textId="77777777" w:rsidR="00A91679" w:rsidRPr="0038472A" w:rsidRDefault="00A91679" w:rsidP="006D687C">
            <w:pPr>
              <w:spacing w:after="0"/>
              <w:jc w:val="right"/>
              <w:rPr>
                <w:rFonts w:cs="Arial"/>
                <w:sz w:val="16"/>
                <w:szCs w:val="16"/>
                <w:lang w:eastAsia="en-AU"/>
              </w:rPr>
            </w:pPr>
            <w:r w:rsidRPr="0038472A">
              <w:rPr>
                <w:rFonts w:cs="Arial"/>
                <w:sz w:val="16"/>
                <w:szCs w:val="16"/>
                <w:lang w:eastAsia="en-AU"/>
              </w:rPr>
              <w:t>2%</w:t>
            </w:r>
          </w:p>
        </w:tc>
        <w:tc>
          <w:tcPr>
            <w:tcW w:w="570" w:type="dxa"/>
            <w:tcBorders>
              <w:top w:val="nil"/>
              <w:left w:val="nil"/>
              <w:bottom w:val="single" w:sz="4" w:space="0" w:color="auto"/>
              <w:right w:val="single" w:sz="4" w:space="0" w:color="auto"/>
            </w:tcBorders>
            <w:shd w:val="clear" w:color="auto" w:fill="auto"/>
            <w:noWrap/>
            <w:vAlign w:val="bottom"/>
            <w:hideMark/>
          </w:tcPr>
          <w:p w14:paraId="22A6F5F9" w14:textId="77777777" w:rsidR="00A91679" w:rsidRPr="0038472A" w:rsidRDefault="00A91679" w:rsidP="006D687C">
            <w:pPr>
              <w:spacing w:after="0"/>
              <w:jc w:val="right"/>
              <w:rPr>
                <w:rFonts w:cs="Arial"/>
                <w:sz w:val="16"/>
                <w:szCs w:val="16"/>
                <w:lang w:eastAsia="en-AU"/>
              </w:rPr>
            </w:pPr>
            <w:r w:rsidRPr="0038472A">
              <w:rPr>
                <w:rFonts w:cs="Arial"/>
                <w:sz w:val="16"/>
                <w:szCs w:val="16"/>
                <w:lang w:eastAsia="en-AU"/>
              </w:rPr>
              <w:t>1%</w:t>
            </w:r>
          </w:p>
        </w:tc>
        <w:tc>
          <w:tcPr>
            <w:tcW w:w="767" w:type="dxa"/>
            <w:tcBorders>
              <w:top w:val="nil"/>
              <w:left w:val="nil"/>
              <w:bottom w:val="single" w:sz="4" w:space="0" w:color="auto"/>
              <w:right w:val="single" w:sz="4" w:space="0" w:color="auto"/>
            </w:tcBorders>
            <w:shd w:val="clear" w:color="auto" w:fill="auto"/>
            <w:noWrap/>
            <w:vAlign w:val="bottom"/>
            <w:hideMark/>
          </w:tcPr>
          <w:p w14:paraId="7A37169D" w14:textId="77777777" w:rsidR="00A91679" w:rsidRPr="0038472A" w:rsidRDefault="00A91679" w:rsidP="006D687C">
            <w:pPr>
              <w:spacing w:after="0"/>
              <w:jc w:val="right"/>
              <w:rPr>
                <w:rFonts w:cs="Arial"/>
                <w:sz w:val="16"/>
                <w:szCs w:val="16"/>
                <w:lang w:eastAsia="en-AU"/>
              </w:rPr>
            </w:pPr>
            <w:r w:rsidRPr="0038472A">
              <w:rPr>
                <w:rFonts w:cs="Arial"/>
                <w:sz w:val="16"/>
                <w:szCs w:val="16"/>
                <w:lang w:eastAsia="en-AU"/>
              </w:rPr>
              <w:t>0%</w:t>
            </w:r>
          </w:p>
        </w:tc>
      </w:tr>
      <w:tr w:rsidR="0038472A" w:rsidRPr="0038472A" w14:paraId="6C77C9E7" w14:textId="77777777" w:rsidTr="0038472A">
        <w:trPr>
          <w:trHeight w:val="298"/>
        </w:trPr>
        <w:tc>
          <w:tcPr>
            <w:tcW w:w="651" w:type="dxa"/>
            <w:tcBorders>
              <w:top w:val="nil"/>
              <w:left w:val="single" w:sz="4" w:space="0" w:color="auto"/>
              <w:bottom w:val="single" w:sz="4" w:space="0" w:color="auto"/>
              <w:right w:val="single" w:sz="4" w:space="0" w:color="auto"/>
            </w:tcBorders>
            <w:shd w:val="clear" w:color="auto" w:fill="auto"/>
            <w:noWrap/>
            <w:vAlign w:val="bottom"/>
            <w:hideMark/>
          </w:tcPr>
          <w:p w14:paraId="6BE67DDF" w14:textId="77777777" w:rsidR="00A91679" w:rsidRPr="0038472A" w:rsidRDefault="00A91679" w:rsidP="006D687C">
            <w:pPr>
              <w:spacing w:after="0"/>
              <w:jc w:val="right"/>
              <w:rPr>
                <w:rFonts w:cs="Arial"/>
                <w:sz w:val="16"/>
                <w:szCs w:val="16"/>
                <w:lang w:eastAsia="en-AU"/>
              </w:rPr>
            </w:pPr>
            <w:r w:rsidRPr="0038472A">
              <w:rPr>
                <w:rFonts w:cs="Arial"/>
                <w:sz w:val="16"/>
                <w:szCs w:val="16"/>
                <w:lang w:eastAsia="en-AU"/>
              </w:rPr>
              <w:t>3006</w:t>
            </w:r>
          </w:p>
        </w:tc>
        <w:tc>
          <w:tcPr>
            <w:tcW w:w="728" w:type="dxa"/>
            <w:tcBorders>
              <w:top w:val="nil"/>
              <w:left w:val="nil"/>
              <w:bottom w:val="single" w:sz="4" w:space="0" w:color="auto"/>
              <w:right w:val="single" w:sz="4" w:space="0" w:color="auto"/>
            </w:tcBorders>
            <w:shd w:val="clear" w:color="auto" w:fill="auto"/>
            <w:noWrap/>
            <w:vAlign w:val="bottom"/>
            <w:hideMark/>
          </w:tcPr>
          <w:p w14:paraId="0477BBDE" w14:textId="77777777" w:rsidR="00A91679" w:rsidRPr="0038472A" w:rsidRDefault="00A91679" w:rsidP="006D687C">
            <w:pPr>
              <w:spacing w:after="0"/>
              <w:jc w:val="right"/>
              <w:rPr>
                <w:rFonts w:cs="Arial"/>
                <w:sz w:val="16"/>
                <w:szCs w:val="16"/>
                <w:lang w:eastAsia="en-AU"/>
              </w:rPr>
            </w:pPr>
            <w:r w:rsidRPr="0038472A">
              <w:rPr>
                <w:rFonts w:cs="Arial"/>
                <w:sz w:val="16"/>
                <w:szCs w:val="16"/>
                <w:lang w:eastAsia="en-AU"/>
              </w:rPr>
              <w:t>21%</w:t>
            </w:r>
          </w:p>
        </w:tc>
        <w:tc>
          <w:tcPr>
            <w:tcW w:w="243" w:type="dxa"/>
            <w:tcBorders>
              <w:top w:val="nil"/>
              <w:left w:val="nil"/>
              <w:bottom w:val="single" w:sz="4" w:space="0" w:color="auto"/>
              <w:right w:val="single" w:sz="4" w:space="0" w:color="auto"/>
            </w:tcBorders>
            <w:shd w:val="clear" w:color="auto" w:fill="auto"/>
            <w:noWrap/>
            <w:vAlign w:val="bottom"/>
            <w:hideMark/>
          </w:tcPr>
          <w:p w14:paraId="006EDDD6" w14:textId="77777777" w:rsidR="00A91679" w:rsidRPr="0038472A" w:rsidRDefault="00A91679" w:rsidP="006D687C">
            <w:pPr>
              <w:spacing w:after="0"/>
              <w:jc w:val="right"/>
              <w:rPr>
                <w:rFonts w:cs="Arial"/>
                <w:sz w:val="16"/>
                <w:szCs w:val="16"/>
                <w:lang w:eastAsia="en-AU"/>
              </w:rPr>
            </w:pPr>
            <w:r w:rsidRPr="0038472A">
              <w:rPr>
                <w:rFonts w:cs="Arial"/>
                <w:sz w:val="16"/>
                <w:szCs w:val="16"/>
                <w:lang w:eastAsia="en-AU"/>
              </w:rPr>
              <w:t>4%</w:t>
            </w:r>
          </w:p>
        </w:tc>
        <w:tc>
          <w:tcPr>
            <w:tcW w:w="907" w:type="dxa"/>
            <w:tcBorders>
              <w:top w:val="nil"/>
              <w:left w:val="nil"/>
              <w:bottom w:val="single" w:sz="4" w:space="0" w:color="auto"/>
              <w:right w:val="single" w:sz="4" w:space="0" w:color="auto"/>
            </w:tcBorders>
            <w:shd w:val="clear" w:color="auto" w:fill="auto"/>
            <w:noWrap/>
            <w:vAlign w:val="bottom"/>
            <w:hideMark/>
          </w:tcPr>
          <w:p w14:paraId="38411856" w14:textId="77777777" w:rsidR="00A91679" w:rsidRPr="0038472A" w:rsidRDefault="00A91679" w:rsidP="006D687C">
            <w:pPr>
              <w:spacing w:after="0"/>
              <w:jc w:val="right"/>
              <w:rPr>
                <w:rFonts w:cs="Arial"/>
                <w:sz w:val="16"/>
                <w:szCs w:val="16"/>
                <w:lang w:eastAsia="en-AU"/>
              </w:rPr>
            </w:pPr>
            <w:r w:rsidRPr="0038472A">
              <w:rPr>
                <w:rFonts w:cs="Arial"/>
                <w:sz w:val="16"/>
                <w:szCs w:val="16"/>
                <w:lang w:eastAsia="en-AU"/>
              </w:rPr>
              <w:t>1%</w:t>
            </w:r>
          </w:p>
        </w:tc>
        <w:tc>
          <w:tcPr>
            <w:tcW w:w="478" w:type="dxa"/>
            <w:tcBorders>
              <w:top w:val="nil"/>
              <w:left w:val="nil"/>
              <w:bottom w:val="single" w:sz="4" w:space="0" w:color="auto"/>
              <w:right w:val="single" w:sz="4" w:space="0" w:color="auto"/>
            </w:tcBorders>
            <w:shd w:val="clear" w:color="auto" w:fill="auto"/>
            <w:noWrap/>
            <w:vAlign w:val="bottom"/>
            <w:hideMark/>
          </w:tcPr>
          <w:p w14:paraId="344F5A8F" w14:textId="77777777" w:rsidR="00A91679" w:rsidRPr="0038472A" w:rsidRDefault="00A91679" w:rsidP="006D687C">
            <w:pPr>
              <w:spacing w:after="0"/>
              <w:jc w:val="right"/>
              <w:rPr>
                <w:rFonts w:cs="Arial"/>
                <w:sz w:val="16"/>
                <w:szCs w:val="16"/>
                <w:lang w:eastAsia="en-AU"/>
              </w:rPr>
            </w:pPr>
            <w:r w:rsidRPr="0038472A">
              <w:rPr>
                <w:rFonts w:cs="Arial"/>
                <w:sz w:val="16"/>
                <w:szCs w:val="16"/>
                <w:lang w:eastAsia="en-AU"/>
              </w:rPr>
              <w:t>0%</w:t>
            </w:r>
          </w:p>
        </w:tc>
        <w:tc>
          <w:tcPr>
            <w:tcW w:w="663" w:type="dxa"/>
            <w:tcBorders>
              <w:top w:val="nil"/>
              <w:left w:val="nil"/>
              <w:bottom w:val="single" w:sz="4" w:space="0" w:color="auto"/>
              <w:right w:val="single" w:sz="4" w:space="0" w:color="auto"/>
            </w:tcBorders>
            <w:shd w:val="clear" w:color="auto" w:fill="auto"/>
            <w:noWrap/>
            <w:vAlign w:val="bottom"/>
            <w:hideMark/>
          </w:tcPr>
          <w:p w14:paraId="6351F18B" w14:textId="77777777" w:rsidR="00A91679" w:rsidRPr="0038472A" w:rsidRDefault="00A91679" w:rsidP="006D687C">
            <w:pPr>
              <w:spacing w:after="0"/>
              <w:jc w:val="right"/>
              <w:rPr>
                <w:rFonts w:cs="Arial"/>
                <w:sz w:val="16"/>
                <w:szCs w:val="16"/>
                <w:lang w:eastAsia="en-AU"/>
              </w:rPr>
            </w:pPr>
            <w:r w:rsidRPr="0038472A">
              <w:rPr>
                <w:rFonts w:cs="Arial"/>
                <w:sz w:val="16"/>
                <w:szCs w:val="16"/>
                <w:lang w:eastAsia="en-AU"/>
              </w:rPr>
              <w:t>0%</w:t>
            </w:r>
          </w:p>
        </w:tc>
        <w:tc>
          <w:tcPr>
            <w:tcW w:w="680" w:type="dxa"/>
            <w:tcBorders>
              <w:top w:val="nil"/>
              <w:left w:val="nil"/>
              <w:bottom w:val="single" w:sz="4" w:space="0" w:color="auto"/>
              <w:right w:val="single" w:sz="4" w:space="0" w:color="auto"/>
            </w:tcBorders>
            <w:shd w:val="clear" w:color="auto" w:fill="auto"/>
            <w:noWrap/>
            <w:vAlign w:val="bottom"/>
            <w:hideMark/>
          </w:tcPr>
          <w:p w14:paraId="59AC5A47" w14:textId="77777777" w:rsidR="00A91679" w:rsidRPr="0038472A" w:rsidRDefault="00A91679" w:rsidP="006D687C">
            <w:pPr>
              <w:spacing w:after="0"/>
              <w:jc w:val="right"/>
              <w:rPr>
                <w:rFonts w:cs="Arial"/>
                <w:sz w:val="16"/>
                <w:szCs w:val="16"/>
                <w:lang w:eastAsia="en-AU"/>
              </w:rPr>
            </w:pPr>
            <w:r w:rsidRPr="0038472A">
              <w:rPr>
                <w:rFonts w:cs="Arial"/>
                <w:sz w:val="16"/>
                <w:szCs w:val="16"/>
                <w:lang w:eastAsia="en-AU"/>
              </w:rPr>
              <w:t>2%</w:t>
            </w:r>
          </w:p>
        </w:tc>
        <w:tc>
          <w:tcPr>
            <w:tcW w:w="721" w:type="dxa"/>
            <w:tcBorders>
              <w:top w:val="nil"/>
              <w:left w:val="nil"/>
              <w:bottom w:val="single" w:sz="4" w:space="0" w:color="auto"/>
              <w:right w:val="single" w:sz="4" w:space="0" w:color="auto"/>
            </w:tcBorders>
            <w:shd w:val="clear" w:color="auto" w:fill="auto"/>
            <w:noWrap/>
            <w:vAlign w:val="bottom"/>
            <w:hideMark/>
          </w:tcPr>
          <w:p w14:paraId="44104E81" w14:textId="77777777" w:rsidR="00A91679" w:rsidRPr="0038472A" w:rsidRDefault="00A91679" w:rsidP="006D687C">
            <w:pPr>
              <w:spacing w:after="0"/>
              <w:jc w:val="right"/>
              <w:rPr>
                <w:rFonts w:cs="Arial"/>
                <w:sz w:val="16"/>
                <w:szCs w:val="16"/>
                <w:lang w:eastAsia="en-AU"/>
              </w:rPr>
            </w:pPr>
            <w:r w:rsidRPr="0038472A">
              <w:rPr>
                <w:rFonts w:cs="Arial"/>
                <w:sz w:val="16"/>
                <w:szCs w:val="16"/>
                <w:lang w:eastAsia="en-AU"/>
              </w:rPr>
              <w:t>0%</w:t>
            </w:r>
          </w:p>
        </w:tc>
        <w:tc>
          <w:tcPr>
            <w:tcW w:w="895" w:type="dxa"/>
            <w:tcBorders>
              <w:top w:val="nil"/>
              <w:left w:val="nil"/>
              <w:bottom w:val="single" w:sz="4" w:space="0" w:color="auto"/>
              <w:right w:val="single" w:sz="4" w:space="0" w:color="auto"/>
            </w:tcBorders>
            <w:shd w:val="clear" w:color="auto" w:fill="auto"/>
            <w:noWrap/>
            <w:vAlign w:val="bottom"/>
            <w:hideMark/>
          </w:tcPr>
          <w:p w14:paraId="40A0763E" w14:textId="77777777" w:rsidR="00A91679" w:rsidRPr="0038472A" w:rsidRDefault="00A91679" w:rsidP="006D687C">
            <w:pPr>
              <w:spacing w:after="0"/>
              <w:jc w:val="right"/>
              <w:rPr>
                <w:rFonts w:cs="Arial"/>
                <w:sz w:val="16"/>
                <w:szCs w:val="16"/>
                <w:lang w:eastAsia="en-AU"/>
              </w:rPr>
            </w:pPr>
            <w:r w:rsidRPr="0038472A">
              <w:rPr>
                <w:rFonts w:cs="Arial"/>
                <w:sz w:val="16"/>
                <w:szCs w:val="16"/>
                <w:lang w:eastAsia="en-AU"/>
              </w:rPr>
              <w:t>5%</w:t>
            </w:r>
          </w:p>
        </w:tc>
        <w:tc>
          <w:tcPr>
            <w:tcW w:w="773" w:type="dxa"/>
            <w:tcBorders>
              <w:top w:val="nil"/>
              <w:left w:val="nil"/>
              <w:bottom w:val="single" w:sz="4" w:space="0" w:color="auto"/>
              <w:right w:val="single" w:sz="4" w:space="0" w:color="auto"/>
            </w:tcBorders>
            <w:shd w:val="clear" w:color="auto" w:fill="auto"/>
            <w:noWrap/>
            <w:vAlign w:val="bottom"/>
            <w:hideMark/>
          </w:tcPr>
          <w:p w14:paraId="66E4F805" w14:textId="77777777" w:rsidR="00A91679" w:rsidRPr="0038472A" w:rsidRDefault="00A91679" w:rsidP="006D687C">
            <w:pPr>
              <w:spacing w:after="0"/>
              <w:jc w:val="right"/>
              <w:rPr>
                <w:rFonts w:cs="Arial"/>
                <w:sz w:val="16"/>
                <w:szCs w:val="16"/>
                <w:lang w:eastAsia="en-AU"/>
              </w:rPr>
            </w:pPr>
            <w:r w:rsidRPr="0038472A">
              <w:rPr>
                <w:rFonts w:cs="Arial"/>
                <w:sz w:val="16"/>
                <w:szCs w:val="16"/>
                <w:lang w:eastAsia="en-AU"/>
              </w:rPr>
              <w:t>6%</w:t>
            </w:r>
          </w:p>
        </w:tc>
        <w:tc>
          <w:tcPr>
            <w:tcW w:w="733" w:type="dxa"/>
            <w:tcBorders>
              <w:top w:val="nil"/>
              <w:left w:val="nil"/>
              <w:bottom w:val="single" w:sz="4" w:space="0" w:color="auto"/>
              <w:right w:val="single" w:sz="4" w:space="0" w:color="auto"/>
            </w:tcBorders>
            <w:shd w:val="clear" w:color="auto" w:fill="auto"/>
            <w:noWrap/>
            <w:vAlign w:val="bottom"/>
            <w:hideMark/>
          </w:tcPr>
          <w:p w14:paraId="790BCD4D" w14:textId="77777777" w:rsidR="00A91679" w:rsidRPr="0038472A" w:rsidRDefault="00A91679" w:rsidP="006D687C">
            <w:pPr>
              <w:spacing w:after="0"/>
              <w:jc w:val="right"/>
              <w:rPr>
                <w:rFonts w:cs="Arial"/>
                <w:sz w:val="16"/>
                <w:szCs w:val="16"/>
                <w:lang w:eastAsia="en-AU"/>
              </w:rPr>
            </w:pPr>
            <w:r w:rsidRPr="0038472A">
              <w:rPr>
                <w:rFonts w:cs="Arial"/>
                <w:sz w:val="16"/>
                <w:szCs w:val="16"/>
                <w:lang w:eastAsia="en-AU"/>
              </w:rPr>
              <w:t>40%</w:t>
            </w:r>
          </w:p>
        </w:tc>
        <w:tc>
          <w:tcPr>
            <w:tcW w:w="965" w:type="dxa"/>
            <w:tcBorders>
              <w:top w:val="nil"/>
              <w:left w:val="nil"/>
              <w:bottom w:val="single" w:sz="4" w:space="0" w:color="auto"/>
              <w:right w:val="single" w:sz="4" w:space="0" w:color="auto"/>
            </w:tcBorders>
            <w:shd w:val="clear" w:color="auto" w:fill="auto"/>
            <w:noWrap/>
            <w:vAlign w:val="bottom"/>
            <w:hideMark/>
          </w:tcPr>
          <w:p w14:paraId="54CFFBFB" w14:textId="77777777" w:rsidR="00A91679" w:rsidRPr="0038472A" w:rsidRDefault="00A91679" w:rsidP="006D687C">
            <w:pPr>
              <w:spacing w:after="0"/>
              <w:jc w:val="right"/>
              <w:rPr>
                <w:rFonts w:cs="Arial"/>
                <w:sz w:val="16"/>
                <w:szCs w:val="16"/>
                <w:lang w:eastAsia="en-AU"/>
              </w:rPr>
            </w:pPr>
            <w:r w:rsidRPr="0038472A">
              <w:rPr>
                <w:rFonts w:cs="Arial"/>
                <w:sz w:val="16"/>
                <w:szCs w:val="16"/>
                <w:lang w:eastAsia="en-AU"/>
              </w:rPr>
              <w:t>18%</w:t>
            </w:r>
          </w:p>
        </w:tc>
        <w:tc>
          <w:tcPr>
            <w:tcW w:w="570" w:type="dxa"/>
            <w:tcBorders>
              <w:top w:val="nil"/>
              <w:left w:val="nil"/>
              <w:bottom w:val="single" w:sz="4" w:space="0" w:color="auto"/>
              <w:right w:val="single" w:sz="4" w:space="0" w:color="auto"/>
            </w:tcBorders>
            <w:shd w:val="clear" w:color="auto" w:fill="auto"/>
            <w:noWrap/>
            <w:vAlign w:val="bottom"/>
            <w:hideMark/>
          </w:tcPr>
          <w:p w14:paraId="4A02B382" w14:textId="77777777" w:rsidR="00A91679" w:rsidRPr="0038472A" w:rsidRDefault="00A91679" w:rsidP="006D687C">
            <w:pPr>
              <w:spacing w:after="0"/>
              <w:jc w:val="right"/>
              <w:rPr>
                <w:rFonts w:cs="Arial"/>
                <w:sz w:val="16"/>
                <w:szCs w:val="16"/>
                <w:lang w:eastAsia="en-AU"/>
              </w:rPr>
            </w:pPr>
            <w:r w:rsidRPr="0038472A">
              <w:rPr>
                <w:rFonts w:cs="Arial"/>
                <w:sz w:val="16"/>
                <w:szCs w:val="16"/>
                <w:lang w:eastAsia="en-AU"/>
              </w:rPr>
              <w:t>2%</w:t>
            </w:r>
          </w:p>
        </w:tc>
        <w:tc>
          <w:tcPr>
            <w:tcW w:w="767" w:type="dxa"/>
            <w:tcBorders>
              <w:top w:val="nil"/>
              <w:left w:val="nil"/>
              <w:bottom w:val="single" w:sz="4" w:space="0" w:color="auto"/>
              <w:right w:val="single" w:sz="4" w:space="0" w:color="auto"/>
            </w:tcBorders>
            <w:shd w:val="clear" w:color="auto" w:fill="auto"/>
            <w:noWrap/>
            <w:vAlign w:val="bottom"/>
            <w:hideMark/>
          </w:tcPr>
          <w:p w14:paraId="64AD6E92" w14:textId="77777777" w:rsidR="00A91679" w:rsidRPr="0038472A" w:rsidRDefault="00A91679" w:rsidP="006D687C">
            <w:pPr>
              <w:spacing w:after="0"/>
              <w:jc w:val="right"/>
              <w:rPr>
                <w:rFonts w:cs="Arial"/>
                <w:sz w:val="16"/>
                <w:szCs w:val="16"/>
                <w:lang w:eastAsia="en-AU"/>
              </w:rPr>
            </w:pPr>
            <w:r w:rsidRPr="0038472A">
              <w:rPr>
                <w:rFonts w:cs="Arial"/>
                <w:sz w:val="16"/>
                <w:szCs w:val="16"/>
                <w:lang w:eastAsia="en-AU"/>
              </w:rPr>
              <w:t>0%</w:t>
            </w:r>
          </w:p>
        </w:tc>
      </w:tr>
      <w:tr w:rsidR="0038472A" w:rsidRPr="0038472A" w14:paraId="07BAC448" w14:textId="77777777" w:rsidTr="0038472A">
        <w:trPr>
          <w:trHeight w:val="298"/>
        </w:trPr>
        <w:tc>
          <w:tcPr>
            <w:tcW w:w="651" w:type="dxa"/>
            <w:tcBorders>
              <w:top w:val="nil"/>
              <w:left w:val="single" w:sz="4" w:space="0" w:color="auto"/>
              <w:bottom w:val="single" w:sz="4" w:space="0" w:color="auto"/>
              <w:right w:val="single" w:sz="4" w:space="0" w:color="auto"/>
            </w:tcBorders>
            <w:shd w:val="clear" w:color="auto" w:fill="auto"/>
            <w:noWrap/>
            <w:vAlign w:val="bottom"/>
            <w:hideMark/>
          </w:tcPr>
          <w:p w14:paraId="4A898E37" w14:textId="77777777" w:rsidR="00A91679" w:rsidRPr="0038472A" w:rsidRDefault="00A91679" w:rsidP="006D687C">
            <w:pPr>
              <w:spacing w:after="0"/>
              <w:jc w:val="right"/>
              <w:rPr>
                <w:rFonts w:cs="Arial"/>
                <w:sz w:val="16"/>
                <w:szCs w:val="16"/>
                <w:lang w:eastAsia="en-AU"/>
              </w:rPr>
            </w:pPr>
            <w:r w:rsidRPr="0038472A">
              <w:rPr>
                <w:rFonts w:cs="Arial"/>
                <w:sz w:val="16"/>
                <w:szCs w:val="16"/>
                <w:lang w:eastAsia="en-AU"/>
              </w:rPr>
              <w:t>3008</w:t>
            </w:r>
          </w:p>
        </w:tc>
        <w:tc>
          <w:tcPr>
            <w:tcW w:w="728" w:type="dxa"/>
            <w:tcBorders>
              <w:top w:val="nil"/>
              <w:left w:val="nil"/>
              <w:bottom w:val="single" w:sz="4" w:space="0" w:color="auto"/>
              <w:right w:val="single" w:sz="4" w:space="0" w:color="auto"/>
            </w:tcBorders>
            <w:shd w:val="clear" w:color="auto" w:fill="auto"/>
            <w:noWrap/>
            <w:vAlign w:val="bottom"/>
            <w:hideMark/>
          </w:tcPr>
          <w:p w14:paraId="1A21B205" w14:textId="77777777" w:rsidR="00A91679" w:rsidRPr="0038472A" w:rsidRDefault="00A91679" w:rsidP="006D687C">
            <w:pPr>
              <w:spacing w:after="0"/>
              <w:jc w:val="right"/>
              <w:rPr>
                <w:rFonts w:cs="Arial"/>
                <w:sz w:val="16"/>
                <w:szCs w:val="16"/>
                <w:lang w:eastAsia="en-AU"/>
              </w:rPr>
            </w:pPr>
            <w:r w:rsidRPr="0038472A">
              <w:rPr>
                <w:rFonts w:cs="Arial"/>
                <w:sz w:val="16"/>
                <w:szCs w:val="16"/>
                <w:lang w:eastAsia="en-AU"/>
              </w:rPr>
              <w:t>47%</w:t>
            </w:r>
          </w:p>
        </w:tc>
        <w:tc>
          <w:tcPr>
            <w:tcW w:w="243" w:type="dxa"/>
            <w:tcBorders>
              <w:top w:val="nil"/>
              <w:left w:val="nil"/>
              <w:bottom w:val="single" w:sz="4" w:space="0" w:color="auto"/>
              <w:right w:val="single" w:sz="4" w:space="0" w:color="auto"/>
            </w:tcBorders>
            <w:shd w:val="clear" w:color="auto" w:fill="auto"/>
            <w:noWrap/>
            <w:vAlign w:val="bottom"/>
            <w:hideMark/>
          </w:tcPr>
          <w:p w14:paraId="19B71BB9" w14:textId="77777777" w:rsidR="00A91679" w:rsidRPr="0038472A" w:rsidRDefault="00A91679" w:rsidP="006D687C">
            <w:pPr>
              <w:spacing w:after="0"/>
              <w:jc w:val="right"/>
              <w:rPr>
                <w:rFonts w:cs="Arial"/>
                <w:sz w:val="16"/>
                <w:szCs w:val="16"/>
                <w:lang w:eastAsia="en-AU"/>
              </w:rPr>
            </w:pPr>
            <w:r w:rsidRPr="0038472A">
              <w:rPr>
                <w:rFonts w:cs="Arial"/>
                <w:sz w:val="16"/>
                <w:szCs w:val="16"/>
                <w:lang w:eastAsia="en-AU"/>
              </w:rPr>
              <w:t>5%</w:t>
            </w:r>
          </w:p>
        </w:tc>
        <w:tc>
          <w:tcPr>
            <w:tcW w:w="907" w:type="dxa"/>
            <w:tcBorders>
              <w:top w:val="nil"/>
              <w:left w:val="nil"/>
              <w:bottom w:val="single" w:sz="4" w:space="0" w:color="auto"/>
              <w:right w:val="single" w:sz="4" w:space="0" w:color="auto"/>
            </w:tcBorders>
            <w:shd w:val="clear" w:color="auto" w:fill="auto"/>
            <w:noWrap/>
            <w:vAlign w:val="bottom"/>
            <w:hideMark/>
          </w:tcPr>
          <w:p w14:paraId="20AF3AA3" w14:textId="77777777" w:rsidR="00A91679" w:rsidRPr="0038472A" w:rsidRDefault="00A91679" w:rsidP="006D687C">
            <w:pPr>
              <w:spacing w:after="0"/>
              <w:jc w:val="right"/>
              <w:rPr>
                <w:rFonts w:cs="Arial"/>
                <w:sz w:val="16"/>
                <w:szCs w:val="16"/>
                <w:lang w:eastAsia="en-AU"/>
              </w:rPr>
            </w:pPr>
            <w:r w:rsidRPr="0038472A">
              <w:rPr>
                <w:rFonts w:cs="Arial"/>
                <w:sz w:val="16"/>
                <w:szCs w:val="16"/>
                <w:lang w:eastAsia="en-AU"/>
              </w:rPr>
              <w:t>2%</w:t>
            </w:r>
          </w:p>
        </w:tc>
        <w:tc>
          <w:tcPr>
            <w:tcW w:w="478" w:type="dxa"/>
            <w:tcBorders>
              <w:top w:val="nil"/>
              <w:left w:val="nil"/>
              <w:bottom w:val="single" w:sz="4" w:space="0" w:color="auto"/>
              <w:right w:val="single" w:sz="4" w:space="0" w:color="auto"/>
            </w:tcBorders>
            <w:shd w:val="clear" w:color="auto" w:fill="auto"/>
            <w:noWrap/>
            <w:vAlign w:val="bottom"/>
            <w:hideMark/>
          </w:tcPr>
          <w:p w14:paraId="7D693C0E" w14:textId="77777777" w:rsidR="00A91679" w:rsidRPr="0038472A" w:rsidRDefault="00A91679" w:rsidP="006D687C">
            <w:pPr>
              <w:spacing w:after="0"/>
              <w:jc w:val="right"/>
              <w:rPr>
                <w:rFonts w:cs="Arial"/>
                <w:sz w:val="16"/>
                <w:szCs w:val="16"/>
                <w:lang w:eastAsia="en-AU"/>
              </w:rPr>
            </w:pPr>
            <w:r w:rsidRPr="0038472A">
              <w:rPr>
                <w:rFonts w:cs="Arial"/>
                <w:sz w:val="16"/>
                <w:szCs w:val="16"/>
                <w:lang w:eastAsia="en-AU"/>
              </w:rPr>
              <w:t>0%</w:t>
            </w:r>
          </w:p>
        </w:tc>
        <w:tc>
          <w:tcPr>
            <w:tcW w:w="663" w:type="dxa"/>
            <w:tcBorders>
              <w:top w:val="nil"/>
              <w:left w:val="nil"/>
              <w:bottom w:val="single" w:sz="4" w:space="0" w:color="auto"/>
              <w:right w:val="single" w:sz="4" w:space="0" w:color="auto"/>
            </w:tcBorders>
            <w:shd w:val="clear" w:color="auto" w:fill="auto"/>
            <w:noWrap/>
            <w:vAlign w:val="bottom"/>
            <w:hideMark/>
          </w:tcPr>
          <w:p w14:paraId="4931D1CF" w14:textId="77777777" w:rsidR="00A91679" w:rsidRPr="0038472A" w:rsidRDefault="00A91679" w:rsidP="006D687C">
            <w:pPr>
              <w:spacing w:after="0"/>
              <w:jc w:val="right"/>
              <w:rPr>
                <w:rFonts w:cs="Arial"/>
                <w:sz w:val="16"/>
                <w:szCs w:val="16"/>
                <w:lang w:eastAsia="en-AU"/>
              </w:rPr>
            </w:pPr>
            <w:r w:rsidRPr="0038472A">
              <w:rPr>
                <w:rFonts w:cs="Arial"/>
                <w:sz w:val="16"/>
                <w:szCs w:val="16"/>
                <w:lang w:eastAsia="en-AU"/>
              </w:rPr>
              <w:t>0%</w:t>
            </w:r>
          </w:p>
        </w:tc>
        <w:tc>
          <w:tcPr>
            <w:tcW w:w="680" w:type="dxa"/>
            <w:tcBorders>
              <w:top w:val="nil"/>
              <w:left w:val="nil"/>
              <w:bottom w:val="single" w:sz="4" w:space="0" w:color="auto"/>
              <w:right w:val="single" w:sz="4" w:space="0" w:color="auto"/>
            </w:tcBorders>
            <w:shd w:val="clear" w:color="auto" w:fill="auto"/>
            <w:noWrap/>
            <w:vAlign w:val="bottom"/>
            <w:hideMark/>
          </w:tcPr>
          <w:p w14:paraId="174ABB42" w14:textId="77777777" w:rsidR="00A91679" w:rsidRPr="0038472A" w:rsidRDefault="00A91679" w:rsidP="006D687C">
            <w:pPr>
              <w:spacing w:after="0"/>
              <w:jc w:val="right"/>
              <w:rPr>
                <w:rFonts w:cs="Arial"/>
                <w:sz w:val="16"/>
                <w:szCs w:val="16"/>
                <w:lang w:eastAsia="en-AU"/>
              </w:rPr>
            </w:pPr>
            <w:r w:rsidRPr="0038472A">
              <w:rPr>
                <w:rFonts w:cs="Arial"/>
                <w:sz w:val="16"/>
                <w:szCs w:val="16"/>
                <w:lang w:eastAsia="en-AU"/>
              </w:rPr>
              <w:t>1%</w:t>
            </w:r>
          </w:p>
        </w:tc>
        <w:tc>
          <w:tcPr>
            <w:tcW w:w="721" w:type="dxa"/>
            <w:tcBorders>
              <w:top w:val="nil"/>
              <w:left w:val="nil"/>
              <w:bottom w:val="single" w:sz="4" w:space="0" w:color="auto"/>
              <w:right w:val="single" w:sz="4" w:space="0" w:color="auto"/>
            </w:tcBorders>
            <w:shd w:val="clear" w:color="auto" w:fill="auto"/>
            <w:noWrap/>
            <w:vAlign w:val="bottom"/>
            <w:hideMark/>
          </w:tcPr>
          <w:p w14:paraId="28FE8A46" w14:textId="77777777" w:rsidR="00A91679" w:rsidRPr="0038472A" w:rsidRDefault="00A91679" w:rsidP="006D687C">
            <w:pPr>
              <w:spacing w:after="0"/>
              <w:jc w:val="right"/>
              <w:rPr>
                <w:rFonts w:cs="Arial"/>
                <w:sz w:val="16"/>
                <w:szCs w:val="16"/>
                <w:lang w:eastAsia="en-AU"/>
              </w:rPr>
            </w:pPr>
            <w:r w:rsidRPr="0038472A">
              <w:rPr>
                <w:rFonts w:cs="Arial"/>
                <w:sz w:val="16"/>
                <w:szCs w:val="16"/>
                <w:lang w:eastAsia="en-AU"/>
              </w:rPr>
              <w:t>0%</w:t>
            </w:r>
          </w:p>
        </w:tc>
        <w:tc>
          <w:tcPr>
            <w:tcW w:w="895" w:type="dxa"/>
            <w:tcBorders>
              <w:top w:val="nil"/>
              <w:left w:val="nil"/>
              <w:bottom w:val="single" w:sz="4" w:space="0" w:color="auto"/>
              <w:right w:val="single" w:sz="4" w:space="0" w:color="auto"/>
            </w:tcBorders>
            <w:shd w:val="clear" w:color="auto" w:fill="auto"/>
            <w:noWrap/>
            <w:vAlign w:val="bottom"/>
            <w:hideMark/>
          </w:tcPr>
          <w:p w14:paraId="480B7B37" w14:textId="77777777" w:rsidR="00A91679" w:rsidRPr="0038472A" w:rsidRDefault="00A91679" w:rsidP="006D687C">
            <w:pPr>
              <w:spacing w:after="0"/>
              <w:jc w:val="right"/>
              <w:rPr>
                <w:rFonts w:cs="Arial"/>
                <w:sz w:val="16"/>
                <w:szCs w:val="16"/>
                <w:lang w:eastAsia="en-AU"/>
              </w:rPr>
            </w:pPr>
            <w:r w:rsidRPr="0038472A">
              <w:rPr>
                <w:rFonts w:cs="Arial"/>
                <w:sz w:val="16"/>
                <w:szCs w:val="16"/>
                <w:lang w:eastAsia="en-AU"/>
              </w:rPr>
              <w:t>3%</w:t>
            </w:r>
          </w:p>
        </w:tc>
        <w:tc>
          <w:tcPr>
            <w:tcW w:w="773" w:type="dxa"/>
            <w:tcBorders>
              <w:top w:val="nil"/>
              <w:left w:val="nil"/>
              <w:bottom w:val="single" w:sz="4" w:space="0" w:color="auto"/>
              <w:right w:val="single" w:sz="4" w:space="0" w:color="auto"/>
            </w:tcBorders>
            <w:shd w:val="clear" w:color="auto" w:fill="auto"/>
            <w:noWrap/>
            <w:vAlign w:val="bottom"/>
            <w:hideMark/>
          </w:tcPr>
          <w:p w14:paraId="7B82DA5F" w14:textId="77777777" w:rsidR="00A91679" w:rsidRPr="0038472A" w:rsidRDefault="00A91679" w:rsidP="006D687C">
            <w:pPr>
              <w:spacing w:after="0"/>
              <w:jc w:val="right"/>
              <w:rPr>
                <w:rFonts w:cs="Arial"/>
                <w:sz w:val="16"/>
                <w:szCs w:val="16"/>
                <w:lang w:eastAsia="en-AU"/>
              </w:rPr>
            </w:pPr>
            <w:r w:rsidRPr="0038472A">
              <w:rPr>
                <w:rFonts w:cs="Arial"/>
                <w:sz w:val="16"/>
                <w:szCs w:val="16"/>
                <w:lang w:eastAsia="en-AU"/>
              </w:rPr>
              <w:t>0%</w:t>
            </w:r>
          </w:p>
        </w:tc>
        <w:tc>
          <w:tcPr>
            <w:tcW w:w="733" w:type="dxa"/>
            <w:tcBorders>
              <w:top w:val="nil"/>
              <w:left w:val="nil"/>
              <w:bottom w:val="single" w:sz="4" w:space="0" w:color="auto"/>
              <w:right w:val="single" w:sz="4" w:space="0" w:color="auto"/>
            </w:tcBorders>
            <w:shd w:val="clear" w:color="auto" w:fill="auto"/>
            <w:noWrap/>
            <w:vAlign w:val="bottom"/>
            <w:hideMark/>
          </w:tcPr>
          <w:p w14:paraId="66007634" w14:textId="77777777" w:rsidR="00A91679" w:rsidRPr="0038472A" w:rsidRDefault="00A91679" w:rsidP="006D687C">
            <w:pPr>
              <w:spacing w:after="0"/>
              <w:jc w:val="right"/>
              <w:rPr>
                <w:rFonts w:cs="Arial"/>
                <w:sz w:val="16"/>
                <w:szCs w:val="16"/>
                <w:lang w:eastAsia="en-AU"/>
              </w:rPr>
            </w:pPr>
            <w:r w:rsidRPr="0038472A">
              <w:rPr>
                <w:rFonts w:cs="Arial"/>
                <w:sz w:val="16"/>
                <w:szCs w:val="16"/>
                <w:lang w:eastAsia="en-AU"/>
              </w:rPr>
              <w:t>32%</w:t>
            </w:r>
          </w:p>
        </w:tc>
        <w:tc>
          <w:tcPr>
            <w:tcW w:w="965" w:type="dxa"/>
            <w:tcBorders>
              <w:top w:val="nil"/>
              <w:left w:val="nil"/>
              <w:bottom w:val="single" w:sz="4" w:space="0" w:color="auto"/>
              <w:right w:val="single" w:sz="4" w:space="0" w:color="auto"/>
            </w:tcBorders>
            <w:shd w:val="clear" w:color="auto" w:fill="auto"/>
            <w:noWrap/>
            <w:vAlign w:val="bottom"/>
            <w:hideMark/>
          </w:tcPr>
          <w:p w14:paraId="3AC3A74C" w14:textId="77777777" w:rsidR="00A91679" w:rsidRPr="0038472A" w:rsidRDefault="00A91679" w:rsidP="006D687C">
            <w:pPr>
              <w:spacing w:after="0"/>
              <w:jc w:val="right"/>
              <w:rPr>
                <w:rFonts w:cs="Arial"/>
                <w:sz w:val="16"/>
                <w:szCs w:val="16"/>
                <w:lang w:eastAsia="en-AU"/>
              </w:rPr>
            </w:pPr>
            <w:r w:rsidRPr="0038472A">
              <w:rPr>
                <w:rFonts w:cs="Arial"/>
                <w:sz w:val="16"/>
                <w:szCs w:val="16"/>
                <w:lang w:eastAsia="en-AU"/>
              </w:rPr>
              <w:t>6%</w:t>
            </w:r>
          </w:p>
        </w:tc>
        <w:tc>
          <w:tcPr>
            <w:tcW w:w="570" w:type="dxa"/>
            <w:tcBorders>
              <w:top w:val="nil"/>
              <w:left w:val="nil"/>
              <w:bottom w:val="single" w:sz="4" w:space="0" w:color="auto"/>
              <w:right w:val="single" w:sz="4" w:space="0" w:color="auto"/>
            </w:tcBorders>
            <w:shd w:val="clear" w:color="auto" w:fill="auto"/>
            <w:noWrap/>
            <w:vAlign w:val="bottom"/>
            <w:hideMark/>
          </w:tcPr>
          <w:p w14:paraId="7EF5D27E" w14:textId="77777777" w:rsidR="00A91679" w:rsidRPr="0038472A" w:rsidRDefault="00A91679" w:rsidP="006D687C">
            <w:pPr>
              <w:spacing w:after="0"/>
              <w:jc w:val="right"/>
              <w:rPr>
                <w:rFonts w:cs="Arial"/>
                <w:sz w:val="16"/>
                <w:szCs w:val="16"/>
                <w:lang w:eastAsia="en-AU"/>
              </w:rPr>
            </w:pPr>
            <w:r w:rsidRPr="0038472A">
              <w:rPr>
                <w:rFonts w:cs="Arial"/>
                <w:sz w:val="16"/>
                <w:szCs w:val="16"/>
                <w:lang w:eastAsia="en-AU"/>
              </w:rPr>
              <w:t>2%</w:t>
            </w:r>
          </w:p>
        </w:tc>
        <w:tc>
          <w:tcPr>
            <w:tcW w:w="767" w:type="dxa"/>
            <w:tcBorders>
              <w:top w:val="nil"/>
              <w:left w:val="nil"/>
              <w:bottom w:val="single" w:sz="4" w:space="0" w:color="auto"/>
              <w:right w:val="single" w:sz="4" w:space="0" w:color="auto"/>
            </w:tcBorders>
            <w:shd w:val="clear" w:color="auto" w:fill="auto"/>
            <w:noWrap/>
            <w:vAlign w:val="bottom"/>
            <w:hideMark/>
          </w:tcPr>
          <w:p w14:paraId="37991B58" w14:textId="77777777" w:rsidR="00A91679" w:rsidRPr="0038472A" w:rsidRDefault="00A91679" w:rsidP="006D687C">
            <w:pPr>
              <w:spacing w:after="0"/>
              <w:jc w:val="right"/>
              <w:rPr>
                <w:rFonts w:cs="Arial"/>
                <w:sz w:val="16"/>
                <w:szCs w:val="16"/>
                <w:lang w:eastAsia="en-AU"/>
              </w:rPr>
            </w:pPr>
            <w:r w:rsidRPr="0038472A">
              <w:rPr>
                <w:rFonts w:cs="Arial"/>
                <w:sz w:val="16"/>
                <w:szCs w:val="16"/>
                <w:lang w:eastAsia="en-AU"/>
              </w:rPr>
              <w:t>0%</w:t>
            </w:r>
          </w:p>
        </w:tc>
      </w:tr>
      <w:tr w:rsidR="0038472A" w:rsidRPr="0038472A" w14:paraId="22E2313D" w14:textId="77777777" w:rsidTr="0038472A">
        <w:trPr>
          <w:trHeight w:val="298"/>
        </w:trPr>
        <w:tc>
          <w:tcPr>
            <w:tcW w:w="651" w:type="dxa"/>
            <w:tcBorders>
              <w:top w:val="nil"/>
              <w:left w:val="single" w:sz="4" w:space="0" w:color="auto"/>
              <w:bottom w:val="single" w:sz="4" w:space="0" w:color="auto"/>
              <w:right w:val="single" w:sz="4" w:space="0" w:color="auto"/>
            </w:tcBorders>
            <w:shd w:val="clear" w:color="auto" w:fill="auto"/>
            <w:noWrap/>
            <w:vAlign w:val="bottom"/>
            <w:hideMark/>
          </w:tcPr>
          <w:p w14:paraId="2308B24F" w14:textId="77777777" w:rsidR="00A91679" w:rsidRPr="0038472A" w:rsidRDefault="00A91679" w:rsidP="006D687C">
            <w:pPr>
              <w:spacing w:after="0"/>
              <w:jc w:val="right"/>
              <w:rPr>
                <w:rFonts w:cs="Arial"/>
                <w:sz w:val="16"/>
                <w:szCs w:val="16"/>
                <w:lang w:eastAsia="en-AU"/>
              </w:rPr>
            </w:pPr>
            <w:r w:rsidRPr="0038472A">
              <w:rPr>
                <w:rFonts w:cs="Arial"/>
                <w:sz w:val="16"/>
                <w:szCs w:val="16"/>
                <w:lang w:eastAsia="en-AU"/>
              </w:rPr>
              <w:t>3010</w:t>
            </w:r>
          </w:p>
        </w:tc>
        <w:tc>
          <w:tcPr>
            <w:tcW w:w="728" w:type="dxa"/>
            <w:tcBorders>
              <w:top w:val="nil"/>
              <w:left w:val="nil"/>
              <w:bottom w:val="single" w:sz="4" w:space="0" w:color="auto"/>
              <w:right w:val="single" w:sz="4" w:space="0" w:color="auto"/>
            </w:tcBorders>
            <w:shd w:val="clear" w:color="auto" w:fill="auto"/>
            <w:noWrap/>
            <w:vAlign w:val="bottom"/>
            <w:hideMark/>
          </w:tcPr>
          <w:p w14:paraId="1FAD445D" w14:textId="77777777" w:rsidR="00A91679" w:rsidRPr="0038472A" w:rsidRDefault="00A91679" w:rsidP="006D687C">
            <w:pPr>
              <w:spacing w:after="0"/>
              <w:jc w:val="right"/>
              <w:rPr>
                <w:rFonts w:cs="Arial"/>
                <w:sz w:val="16"/>
                <w:szCs w:val="16"/>
                <w:lang w:eastAsia="en-AU"/>
              </w:rPr>
            </w:pPr>
            <w:r w:rsidRPr="0038472A">
              <w:rPr>
                <w:rFonts w:cs="Arial"/>
                <w:sz w:val="16"/>
                <w:szCs w:val="16"/>
                <w:lang w:eastAsia="en-AU"/>
              </w:rPr>
              <w:t>13%</w:t>
            </w:r>
          </w:p>
        </w:tc>
        <w:tc>
          <w:tcPr>
            <w:tcW w:w="243" w:type="dxa"/>
            <w:tcBorders>
              <w:top w:val="nil"/>
              <w:left w:val="nil"/>
              <w:bottom w:val="single" w:sz="4" w:space="0" w:color="auto"/>
              <w:right w:val="single" w:sz="4" w:space="0" w:color="auto"/>
            </w:tcBorders>
            <w:shd w:val="clear" w:color="auto" w:fill="auto"/>
            <w:noWrap/>
            <w:vAlign w:val="bottom"/>
            <w:hideMark/>
          </w:tcPr>
          <w:p w14:paraId="55245816" w14:textId="77777777" w:rsidR="00A91679" w:rsidRPr="0038472A" w:rsidRDefault="00A91679" w:rsidP="006D687C">
            <w:pPr>
              <w:spacing w:after="0"/>
              <w:jc w:val="right"/>
              <w:rPr>
                <w:rFonts w:cs="Arial"/>
                <w:sz w:val="16"/>
                <w:szCs w:val="16"/>
                <w:lang w:eastAsia="en-AU"/>
              </w:rPr>
            </w:pPr>
            <w:r w:rsidRPr="0038472A">
              <w:rPr>
                <w:rFonts w:cs="Arial"/>
                <w:sz w:val="16"/>
                <w:szCs w:val="16"/>
                <w:lang w:eastAsia="en-AU"/>
              </w:rPr>
              <w:t>0%</w:t>
            </w:r>
          </w:p>
        </w:tc>
        <w:tc>
          <w:tcPr>
            <w:tcW w:w="907" w:type="dxa"/>
            <w:tcBorders>
              <w:top w:val="nil"/>
              <w:left w:val="nil"/>
              <w:bottom w:val="single" w:sz="4" w:space="0" w:color="auto"/>
              <w:right w:val="single" w:sz="4" w:space="0" w:color="auto"/>
            </w:tcBorders>
            <w:shd w:val="clear" w:color="auto" w:fill="auto"/>
            <w:noWrap/>
            <w:vAlign w:val="bottom"/>
            <w:hideMark/>
          </w:tcPr>
          <w:p w14:paraId="6E541596" w14:textId="77777777" w:rsidR="00A91679" w:rsidRPr="0038472A" w:rsidRDefault="00A91679" w:rsidP="006D687C">
            <w:pPr>
              <w:spacing w:after="0"/>
              <w:jc w:val="right"/>
              <w:rPr>
                <w:rFonts w:cs="Arial"/>
                <w:sz w:val="16"/>
                <w:szCs w:val="16"/>
                <w:lang w:eastAsia="en-AU"/>
              </w:rPr>
            </w:pPr>
            <w:r w:rsidRPr="0038472A">
              <w:rPr>
                <w:rFonts w:cs="Arial"/>
                <w:sz w:val="16"/>
                <w:szCs w:val="16"/>
                <w:lang w:eastAsia="en-AU"/>
              </w:rPr>
              <w:t>0%</w:t>
            </w:r>
          </w:p>
        </w:tc>
        <w:tc>
          <w:tcPr>
            <w:tcW w:w="478" w:type="dxa"/>
            <w:tcBorders>
              <w:top w:val="nil"/>
              <w:left w:val="nil"/>
              <w:bottom w:val="single" w:sz="4" w:space="0" w:color="auto"/>
              <w:right w:val="single" w:sz="4" w:space="0" w:color="auto"/>
            </w:tcBorders>
            <w:shd w:val="clear" w:color="auto" w:fill="auto"/>
            <w:noWrap/>
            <w:vAlign w:val="bottom"/>
            <w:hideMark/>
          </w:tcPr>
          <w:p w14:paraId="2ACD1447" w14:textId="77777777" w:rsidR="00A91679" w:rsidRPr="0038472A" w:rsidRDefault="00A91679" w:rsidP="006D687C">
            <w:pPr>
              <w:spacing w:after="0"/>
              <w:jc w:val="right"/>
              <w:rPr>
                <w:rFonts w:cs="Arial"/>
                <w:sz w:val="16"/>
                <w:szCs w:val="16"/>
                <w:lang w:eastAsia="en-AU"/>
              </w:rPr>
            </w:pPr>
            <w:r w:rsidRPr="0038472A">
              <w:rPr>
                <w:rFonts w:cs="Arial"/>
                <w:sz w:val="16"/>
                <w:szCs w:val="16"/>
                <w:lang w:eastAsia="en-AU"/>
              </w:rPr>
              <w:t>1%</w:t>
            </w:r>
          </w:p>
        </w:tc>
        <w:tc>
          <w:tcPr>
            <w:tcW w:w="663" w:type="dxa"/>
            <w:tcBorders>
              <w:top w:val="nil"/>
              <w:left w:val="nil"/>
              <w:bottom w:val="single" w:sz="4" w:space="0" w:color="auto"/>
              <w:right w:val="single" w:sz="4" w:space="0" w:color="auto"/>
            </w:tcBorders>
            <w:shd w:val="clear" w:color="auto" w:fill="auto"/>
            <w:noWrap/>
            <w:vAlign w:val="bottom"/>
            <w:hideMark/>
          </w:tcPr>
          <w:p w14:paraId="188FBA24" w14:textId="77777777" w:rsidR="00A91679" w:rsidRPr="0038472A" w:rsidRDefault="00A91679" w:rsidP="006D687C">
            <w:pPr>
              <w:spacing w:after="0"/>
              <w:jc w:val="right"/>
              <w:rPr>
                <w:rFonts w:cs="Arial"/>
                <w:sz w:val="16"/>
                <w:szCs w:val="16"/>
                <w:lang w:eastAsia="en-AU"/>
              </w:rPr>
            </w:pPr>
            <w:r w:rsidRPr="0038472A">
              <w:rPr>
                <w:rFonts w:cs="Arial"/>
                <w:sz w:val="16"/>
                <w:szCs w:val="16"/>
                <w:lang w:eastAsia="en-AU"/>
              </w:rPr>
              <w:t>0%</w:t>
            </w:r>
          </w:p>
        </w:tc>
        <w:tc>
          <w:tcPr>
            <w:tcW w:w="680" w:type="dxa"/>
            <w:tcBorders>
              <w:top w:val="nil"/>
              <w:left w:val="nil"/>
              <w:bottom w:val="single" w:sz="4" w:space="0" w:color="auto"/>
              <w:right w:val="single" w:sz="4" w:space="0" w:color="auto"/>
            </w:tcBorders>
            <w:shd w:val="clear" w:color="auto" w:fill="auto"/>
            <w:noWrap/>
            <w:vAlign w:val="bottom"/>
            <w:hideMark/>
          </w:tcPr>
          <w:p w14:paraId="5CE4C274" w14:textId="77777777" w:rsidR="00A91679" w:rsidRPr="0038472A" w:rsidRDefault="00A91679" w:rsidP="006D687C">
            <w:pPr>
              <w:spacing w:after="0"/>
              <w:jc w:val="right"/>
              <w:rPr>
                <w:rFonts w:cs="Arial"/>
                <w:sz w:val="16"/>
                <w:szCs w:val="16"/>
                <w:lang w:eastAsia="en-AU"/>
              </w:rPr>
            </w:pPr>
            <w:r w:rsidRPr="0038472A">
              <w:rPr>
                <w:rFonts w:cs="Arial"/>
                <w:sz w:val="16"/>
                <w:szCs w:val="16"/>
                <w:lang w:eastAsia="en-AU"/>
              </w:rPr>
              <w:t>77%</w:t>
            </w:r>
          </w:p>
        </w:tc>
        <w:tc>
          <w:tcPr>
            <w:tcW w:w="721" w:type="dxa"/>
            <w:tcBorders>
              <w:top w:val="nil"/>
              <w:left w:val="nil"/>
              <w:bottom w:val="single" w:sz="4" w:space="0" w:color="auto"/>
              <w:right w:val="single" w:sz="4" w:space="0" w:color="auto"/>
            </w:tcBorders>
            <w:shd w:val="clear" w:color="auto" w:fill="auto"/>
            <w:noWrap/>
            <w:vAlign w:val="bottom"/>
            <w:hideMark/>
          </w:tcPr>
          <w:p w14:paraId="4F04D201" w14:textId="77777777" w:rsidR="00A91679" w:rsidRPr="0038472A" w:rsidRDefault="00A91679" w:rsidP="006D687C">
            <w:pPr>
              <w:spacing w:after="0"/>
              <w:jc w:val="right"/>
              <w:rPr>
                <w:rFonts w:cs="Arial"/>
                <w:sz w:val="16"/>
                <w:szCs w:val="16"/>
                <w:lang w:eastAsia="en-AU"/>
              </w:rPr>
            </w:pPr>
            <w:r w:rsidRPr="0038472A">
              <w:rPr>
                <w:rFonts w:cs="Arial"/>
                <w:sz w:val="16"/>
                <w:szCs w:val="16"/>
                <w:lang w:eastAsia="en-AU"/>
              </w:rPr>
              <w:t>0%</w:t>
            </w:r>
          </w:p>
        </w:tc>
        <w:tc>
          <w:tcPr>
            <w:tcW w:w="895" w:type="dxa"/>
            <w:tcBorders>
              <w:top w:val="nil"/>
              <w:left w:val="nil"/>
              <w:bottom w:val="single" w:sz="4" w:space="0" w:color="auto"/>
              <w:right w:val="single" w:sz="4" w:space="0" w:color="auto"/>
            </w:tcBorders>
            <w:shd w:val="clear" w:color="auto" w:fill="auto"/>
            <w:noWrap/>
            <w:vAlign w:val="bottom"/>
            <w:hideMark/>
          </w:tcPr>
          <w:p w14:paraId="06F93F7E" w14:textId="77777777" w:rsidR="00A91679" w:rsidRPr="0038472A" w:rsidRDefault="00A91679" w:rsidP="006D687C">
            <w:pPr>
              <w:spacing w:after="0"/>
              <w:jc w:val="right"/>
              <w:rPr>
                <w:rFonts w:cs="Arial"/>
                <w:sz w:val="16"/>
                <w:szCs w:val="16"/>
                <w:lang w:eastAsia="en-AU"/>
              </w:rPr>
            </w:pPr>
            <w:r w:rsidRPr="0038472A">
              <w:rPr>
                <w:rFonts w:cs="Arial"/>
                <w:sz w:val="16"/>
                <w:szCs w:val="16"/>
                <w:lang w:eastAsia="en-AU"/>
              </w:rPr>
              <w:t>4%</w:t>
            </w:r>
          </w:p>
        </w:tc>
        <w:tc>
          <w:tcPr>
            <w:tcW w:w="773" w:type="dxa"/>
            <w:tcBorders>
              <w:top w:val="nil"/>
              <w:left w:val="nil"/>
              <w:bottom w:val="single" w:sz="4" w:space="0" w:color="auto"/>
              <w:right w:val="single" w:sz="4" w:space="0" w:color="auto"/>
            </w:tcBorders>
            <w:shd w:val="clear" w:color="auto" w:fill="auto"/>
            <w:noWrap/>
            <w:vAlign w:val="bottom"/>
            <w:hideMark/>
          </w:tcPr>
          <w:p w14:paraId="2305710F" w14:textId="77777777" w:rsidR="00A91679" w:rsidRPr="0038472A" w:rsidRDefault="00A91679" w:rsidP="006D687C">
            <w:pPr>
              <w:spacing w:after="0"/>
              <w:jc w:val="right"/>
              <w:rPr>
                <w:rFonts w:cs="Arial"/>
                <w:sz w:val="16"/>
                <w:szCs w:val="16"/>
                <w:lang w:eastAsia="en-AU"/>
              </w:rPr>
            </w:pPr>
            <w:r w:rsidRPr="0038472A">
              <w:rPr>
                <w:rFonts w:cs="Arial"/>
                <w:sz w:val="16"/>
                <w:szCs w:val="16"/>
                <w:lang w:eastAsia="en-AU"/>
              </w:rPr>
              <w:t>3%</w:t>
            </w:r>
          </w:p>
        </w:tc>
        <w:tc>
          <w:tcPr>
            <w:tcW w:w="733" w:type="dxa"/>
            <w:tcBorders>
              <w:top w:val="nil"/>
              <w:left w:val="nil"/>
              <w:bottom w:val="single" w:sz="4" w:space="0" w:color="auto"/>
              <w:right w:val="single" w:sz="4" w:space="0" w:color="auto"/>
            </w:tcBorders>
            <w:shd w:val="clear" w:color="auto" w:fill="auto"/>
            <w:noWrap/>
            <w:vAlign w:val="bottom"/>
            <w:hideMark/>
          </w:tcPr>
          <w:p w14:paraId="22CF0D57" w14:textId="77777777" w:rsidR="00A91679" w:rsidRPr="0038472A" w:rsidRDefault="00A91679" w:rsidP="006D687C">
            <w:pPr>
              <w:spacing w:after="0"/>
              <w:jc w:val="right"/>
              <w:rPr>
                <w:rFonts w:cs="Arial"/>
                <w:sz w:val="16"/>
                <w:szCs w:val="16"/>
                <w:lang w:eastAsia="en-AU"/>
              </w:rPr>
            </w:pPr>
            <w:r w:rsidRPr="0038472A">
              <w:rPr>
                <w:rFonts w:cs="Arial"/>
                <w:sz w:val="16"/>
                <w:szCs w:val="16"/>
                <w:lang w:eastAsia="en-AU"/>
              </w:rPr>
              <w:t>0%</w:t>
            </w:r>
          </w:p>
        </w:tc>
        <w:tc>
          <w:tcPr>
            <w:tcW w:w="965" w:type="dxa"/>
            <w:tcBorders>
              <w:top w:val="nil"/>
              <w:left w:val="nil"/>
              <w:bottom w:val="single" w:sz="4" w:space="0" w:color="auto"/>
              <w:right w:val="single" w:sz="4" w:space="0" w:color="auto"/>
            </w:tcBorders>
            <w:shd w:val="clear" w:color="auto" w:fill="auto"/>
            <w:noWrap/>
            <w:vAlign w:val="bottom"/>
            <w:hideMark/>
          </w:tcPr>
          <w:p w14:paraId="7C3F819E" w14:textId="77777777" w:rsidR="00A91679" w:rsidRPr="0038472A" w:rsidRDefault="00A91679" w:rsidP="006D687C">
            <w:pPr>
              <w:spacing w:after="0"/>
              <w:jc w:val="right"/>
              <w:rPr>
                <w:rFonts w:cs="Arial"/>
                <w:sz w:val="16"/>
                <w:szCs w:val="16"/>
                <w:lang w:eastAsia="en-AU"/>
              </w:rPr>
            </w:pPr>
            <w:r w:rsidRPr="0038472A">
              <w:rPr>
                <w:rFonts w:cs="Arial"/>
                <w:sz w:val="16"/>
                <w:szCs w:val="16"/>
                <w:lang w:eastAsia="en-AU"/>
              </w:rPr>
              <w:t>0%</w:t>
            </w:r>
          </w:p>
        </w:tc>
        <w:tc>
          <w:tcPr>
            <w:tcW w:w="570" w:type="dxa"/>
            <w:tcBorders>
              <w:top w:val="nil"/>
              <w:left w:val="nil"/>
              <w:bottom w:val="single" w:sz="4" w:space="0" w:color="auto"/>
              <w:right w:val="single" w:sz="4" w:space="0" w:color="auto"/>
            </w:tcBorders>
            <w:shd w:val="clear" w:color="auto" w:fill="auto"/>
            <w:noWrap/>
            <w:vAlign w:val="bottom"/>
            <w:hideMark/>
          </w:tcPr>
          <w:p w14:paraId="2B5C8163" w14:textId="77777777" w:rsidR="00A91679" w:rsidRPr="0038472A" w:rsidRDefault="00A91679" w:rsidP="006D687C">
            <w:pPr>
              <w:spacing w:after="0"/>
              <w:jc w:val="right"/>
              <w:rPr>
                <w:rFonts w:cs="Arial"/>
                <w:sz w:val="16"/>
                <w:szCs w:val="16"/>
                <w:lang w:eastAsia="en-AU"/>
              </w:rPr>
            </w:pPr>
            <w:r w:rsidRPr="0038472A">
              <w:rPr>
                <w:rFonts w:cs="Arial"/>
                <w:sz w:val="16"/>
                <w:szCs w:val="16"/>
                <w:lang w:eastAsia="en-AU"/>
              </w:rPr>
              <w:t>1%</w:t>
            </w:r>
          </w:p>
        </w:tc>
        <w:tc>
          <w:tcPr>
            <w:tcW w:w="767" w:type="dxa"/>
            <w:tcBorders>
              <w:top w:val="nil"/>
              <w:left w:val="nil"/>
              <w:bottom w:val="single" w:sz="4" w:space="0" w:color="auto"/>
              <w:right w:val="single" w:sz="4" w:space="0" w:color="auto"/>
            </w:tcBorders>
            <w:shd w:val="clear" w:color="auto" w:fill="auto"/>
            <w:noWrap/>
            <w:vAlign w:val="bottom"/>
            <w:hideMark/>
          </w:tcPr>
          <w:p w14:paraId="16DC7787" w14:textId="77777777" w:rsidR="00A91679" w:rsidRPr="0038472A" w:rsidRDefault="00A91679" w:rsidP="006D687C">
            <w:pPr>
              <w:spacing w:after="0"/>
              <w:jc w:val="right"/>
              <w:rPr>
                <w:rFonts w:cs="Arial"/>
                <w:sz w:val="16"/>
                <w:szCs w:val="16"/>
                <w:lang w:eastAsia="en-AU"/>
              </w:rPr>
            </w:pPr>
            <w:r w:rsidRPr="0038472A">
              <w:rPr>
                <w:rFonts w:cs="Arial"/>
                <w:sz w:val="16"/>
                <w:szCs w:val="16"/>
                <w:lang w:eastAsia="en-AU"/>
              </w:rPr>
              <w:t>0%</w:t>
            </w:r>
          </w:p>
        </w:tc>
      </w:tr>
      <w:tr w:rsidR="0038472A" w:rsidRPr="0038472A" w14:paraId="5A163994" w14:textId="77777777" w:rsidTr="0038472A">
        <w:trPr>
          <w:trHeight w:val="298"/>
        </w:trPr>
        <w:tc>
          <w:tcPr>
            <w:tcW w:w="651" w:type="dxa"/>
            <w:tcBorders>
              <w:top w:val="nil"/>
              <w:left w:val="single" w:sz="4" w:space="0" w:color="auto"/>
              <w:bottom w:val="single" w:sz="4" w:space="0" w:color="auto"/>
              <w:right w:val="single" w:sz="4" w:space="0" w:color="auto"/>
            </w:tcBorders>
            <w:shd w:val="clear" w:color="auto" w:fill="auto"/>
            <w:noWrap/>
            <w:vAlign w:val="bottom"/>
            <w:hideMark/>
          </w:tcPr>
          <w:p w14:paraId="5A87B7AB" w14:textId="77777777" w:rsidR="00A91679" w:rsidRPr="0038472A" w:rsidRDefault="00A91679" w:rsidP="006D687C">
            <w:pPr>
              <w:spacing w:after="0"/>
              <w:jc w:val="right"/>
              <w:rPr>
                <w:rFonts w:cs="Arial"/>
                <w:sz w:val="16"/>
                <w:szCs w:val="16"/>
                <w:lang w:eastAsia="en-AU"/>
              </w:rPr>
            </w:pPr>
            <w:r w:rsidRPr="0038472A">
              <w:rPr>
                <w:rFonts w:cs="Arial"/>
                <w:sz w:val="16"/>
                <w:szCs w:val="16"/>
                <w:lang w:eastAsia="en-AU"/>
              </w:rPr>
              <w:t>3031</w:t>
            </w:r>
          </w:p>
        </w:tc>
        <w:tc>
          <w:tcPr>
            <w:tcW w:w="728" w:type="dxa"/>
            <w:tcBorders>
              <w:top w:val="nil"/>
              <w:left w:val="nil"/>
              <w:bottom w:val="single" w:sz="4" w:space="0" w:color="auto"/>
              <w:right w:val="single" w:sz="4" w:space="0" w:color="auto"/>
            </w:tcBorders>
            <w:shd w:val="clear" w:color="auto" w:fill="auto"/>
            <w:noWrap/>
            <w:vAlign w:val="bottom"/>
            <w:hideMark/>
          </w:tcPr>
          <w:p w14:paraId="239DF20A" w14:textId="77777777" w:rsidR="00A91679" w:rsidRPr="0038472A" w:rsidRDefault="00A91679" w:rsidP="006D687C">
            <w:pPr>
              <w:spacing w:after="0"/>
              <w:jc w:val="right"/>
              <w:rPr>
                <w:rFonts w:cs="Arial"/>
                <w:sz w:val="16"/>
                <w:szCs w:val="16"/>
                <w:lang w:eastAsia="en-AU"/>
              </w:rPr>
            </w:pPr>
            <w:r w:rsidRPr="0038472A">
              <w:rPr>
                <w:rFonts w:cs="Arial"/>
                <w:sz w:val="16"/>
                <w:szCs w:val="16"/>
                <w:lang w:eastAsia="en-AU"/>
              </w:rPr>
              <w:t>10%</w:t>
            </w:r>
          </w:p>
        </w:tc>
        <w:tc>
          <w:tcPr>
            <w:tcW w:w="243" w:type="dxa"/>
            <w:tcBorders>
              <w:top w:val="nil"/>
              <w:left w:val="nil"/>
              <w:bottom w:val="single" w:sz="4" w:space="0" w:color="auto"/>
              <w:right w:val="single" w:sz="4" w:space="0" w:color="auto"/>
            </w:tcBorders>
            <w:shd w:val="clear" w:color="auto" w:fill="auto"/>
            <w:noWrap/>
            <w:vAlign w:val="bottom"/>
            <w:hideMark/>
          </w:tcPr>
          <w:p w14:paraId="7D5B3814" w14:textId="77777777" w:rsidR="00A91679" w:rsidRPr="0038472A" w:rsidRDefault="00A91679" w:rsidP="006D687C">
            <w:pPr>
              <w:spacing w:after="0"/>
              <w:jc w:val="right"/>
              <w:rPr>
                <w:rFonts w:cs="Arial"/>
                <w:sz w:val="16"/>
                <w:szCs w:val="16"/>
                <w:lang w:eastAsia="en-AU"/>
              </w:rPr>
            </w:pPr>
            <w:r w:rsidRPr="0038472A">
              <w:rPr>
                <w:rFonts w:cs="Arial"/>
                <w:sz w:val="16"/>
                <w:szCs w:val="16"/>
                <w:lang w:eastAsia="en-AU"/>
              </w:rPr>
              <w:t>3%</w:t>
            </w:r>
          </w:p>
        </w:tc>
        <w:tc>
          <w:tcPr>
            <w:tcW w:w="907" w:type="dxa"/>
            <w:tcBorders>
              <w:top w:val="nil"/>
              <w:left w:val="nil"/>
              <w:bottom w:val="single" w:sz="4" w:space="0" w:color="auto"/>
              <w:right w:val="single" w:sz="4" w:space="0" w:color="auto"/>
            </w:tcBorders>
            <w:shd w:val="clear" w:color="auto" w:fill="auto"/>
            <w:noWrap/>
            <w:vAlign w:val="bottom"/>
            <w:hideMark/>
          </w:tcPr>
          <w:p w14:paraId="2F835E4A" w14:textId="77777777" w:rsidR="00A91679" w:rsidRPr="0038472A" w:rsidRDefault="00A91679" w:rsidP="006D687C">
            <w:pPr>
              <w:spacing w:after="0"/>
              <w:jc w:val="right"/>
              <w:rPr>
                <w:rFonts w:cs="Arial"/>
                <w:sz w:val="16"/>
                <w:szCs w:val="16"/>
                <w:lang w:eastAsia="en-AU"/>
              </w:rPr>
            </w:pPr>
            <w:r w:rsidRPr="0038472A">
              <w:rPr>
                <w:rFonts w:cs="Arial"/>
                <w:sz w:val="16"/>
                <w:szCs w:val="16"/>
                <w:lang w:eastAsia="en-AU"/>
              </w:rPr>
              <w:t>11%</w:t>
            </w:r>
          </w:p>
        </w:tc>
        <w:tc>
          <w:tcPr>
            <w:tcW w:w="478" w:type="dxa"/>
            <w:tcBorders>
              <w:top w:val="nil"/>
              <w:left w:val="nil"/>
              <w:bottom w:val="single" w:sz="4" w:space="0" w:color="auto"/>
              <w:right w:val="single" w:sz="4" w:space="0" w:color="auto"/>
            </w:tcBorders>
            <w:shd w:val="clear" w:color="auto" w:fill="auto"/>
            <w:noWrap/>
            <w:vAlign w:val="bottom"/>
            <w:hideMark/>
          </w:tcPr>
          <w:p w14:paraId="5DC4FCA5" w14:textId="77777777" w:rsidR="00A91679" w:rsidRPr="0038472A" w:rsidRDefault="00A91679" w:rsidP="006D687C">
            <w:pPr>
              <w:spacing w:after="0"/>
              <w:jc w:val="right"/>
              <w:rPr>
                <w:rFonts w:cs="Arial"/>
                <w:sz w:val="16"/>
                <w:szCs w:val="16"/>
                <w:lang w:eastAsia="en-AU"/>
              </w:rPr>
            </w:pPr>
            <w:r w:rsidRPr="0038472A">
              <w:rPr>
                <w:rFonts w:cs="Arial"/>
                <w:sz w:val="16"/>
                <w:szCs w:val="16"/>
                <w:lang w:eastAsia="en-AU"/>
              </w:rPr>
              <w:t>0%</w:t>
            </w:r>
          </w:p>
        </w:tc>
        <w:tc>
          <w:tcPr>
            <w:tcW w:w="663" w:type="dxa"/>
            <w:tcBorders>
              <w:top w:val="nil"/>
              <w:left w:val="nil"/>
              <w:bottom w:val="single" w:sz="4" w:space="0" w:color="auto"/>
              <w:right w:val="single" w:sz="4" w:space="0" w:color="auto"/>
            </w:tcBorders>
            <w:shd w:val="clear" w:color="auto" w:fill="auto"/>
            <w:noWrap/>
            <w:vAlign w:val="bottom"/>
            <w:hideMark/>
          </w:tcPr>
          <w:p w14:paraId="691D35E2" w14:textId="77777777" w:rsidR="00A91679" w:rsidRPr="0038472A" w:rsidRDefault="00A91679" w:rsidP="006D687C">
            <w:pPr>
              <w:spacing w:after="0"/>
              <w:jc w:val="right"/>
              <w:rPr>
                <w:rFonts w:cs="Arial"/>
                <w:sz w:val="16"/>
                <w:szCs w:val="16"/>
                <w:lang w:eastAsia="en-AU"/>
              </w:rPr>
            </w:pPr>
            <w:r w:rsidRPr="0038472A">
              <w:rPr>
                <w:rFonts w:cs="Arial"/>
                <w:sz w:val="16"/>
                <w:szCs w:val="16"/>
                <w:lang w:eastAsia="en-AU"/>
              </w:rPr>
              <w:t>0%</w:t>
            </w:r>
          </w:p>
        </w:tc>
        <w:tc>
          <w:tcPr>
            <w:tcW w:w="680" w:type="dxa"/>
            <w:tcBorders>
              <w:top w:val="nil"/>
              <w:left w:val="nil"/>
              <w:bottom w:val="single" w:sz="4" w:space="0" w:color="auto"/>
              <w:right w:val="single" w:sz="4" w:space="0" w:color="auto"/>
            </w:tcBorders>
            <w:shd w:val="clear" w:color="auto" w:fill="auto"/>
            <w:noWrap/>
            <w:vAlign w:val="bottom"/>
            <w:hideMark/>
          </w:tcPr>
          <w:p w14:paraId="20A9072E" w14:textId="77777777" w:rsidR="00A91679" w:rsidRPr="0038472A" w:rsidRDefault="00A91679" w:rsidP="006D687C">
            <w:pPr>
              <w:spacing w:after="0"/>
              <w:jc w:val="right"/>
              <w:rPr>
                <w:rFonts w:cs="Arial"/>
                <w:sz w:val="16"/>
                <w:szCs w:val="16"/>
                <w:lang w:eastAsia="en-AU"/>
              </w:rPr>
            </w:pPr>
            <w:r w:rsidRPr="0038472A">
              <w:rPr>
                <w:rFonts w:cs="Arial"/>
                <w:sz w:val="16"/>
                <w:szCs w:val="16"/>
                <w:lang w:eastAsia="en-AU"/>
              </w:rPr>
              <w:t>2%</w:t>
            </w:r>
          </w:p>
        </w:tc>
        <w:tc>
          <w:tcPr>
            <w:tcW w:w="721" w:type="dxa"/>
            <w:tcBorders>
              <w:top w:val="nil"/>
              <w:left w:val="nil"/>
              <w:bottom w:val="single" w:sz="4" w:space="0" w:color="auto"/>
              <w:right w:val="single" w:sz="4" w:space="0" w:color="auto"/>
            </w:tcBorders>
            <w:shd w:val="clear" w:color="auto" w:fill="auto"/>
            <w:noWrap/>
            <w:vAlign w:val="bottom"/>
            <w:hideMark/>
          </w:tcPr>
          <w:p w14:paraId="0F852EA7" w14:textId="77777777" w:rsidR="00A91679" w:rsidRPr="0038472A" w:rsidRDefault="00A91679" w:rsidP="006D687C">
            <w:pPr>
              <w:spacing w:after="0"/>
              <w:jc w:val="right"/>
              <w:rPr>
                <w:rFonts w:cs="Arial"/>
                <w:sz w:val="16"/>
                <w:szCs w:val="16"/>
                <w:lang w:eastAsia="en-AU"/>
              </w:rPr>
            </w:pPr>
            <w:r w:rsidRPr="0038472A">
              <w:rPr>
                <w:rFonts w:cs="Arial"/>
                <w:sz w:val="16"/>
                <w:szCs w:val="16"/>
                <w:lang w:eastAsia="en-AU"/>
              </w:rPr>
              <w:t>1%</w:t>
            </w:r>
          </w:p>
        </w:tc>
        <w:tc>
          <w:tcPr>
            <w:tcW w:w="895" w:type="dxa"/>
            <w:tcBorders>
              <w:top w:val="nil"/>
              <w:left w:val="nil"/>
              <w:bottom w:val="single" w:sz="4" w:space="0" w:color="auto"/>
              <w:right w:val="single" w:sz="4" w:space="0" w:color="auto"/>
            </w:tcBorders>
            <w:shd w:val="clear" w:color="auto" w:fill="auto"/>
            <w:noWrap/>
            <w:vAlign w:val="bottom"/>
            <w:hideMark/>
          </w:tcPr>
          <w:p w14:paraId="035B8654" w14:textId="77777777" w:rsidR="00A91679" w:rsidRPr="0038472A" w:rsidRDefault="00A91679" w:rsidP="006D687C">
            <w:pPr>
              <w:spacing w:after="0"/>
              <w:jc w:val="right"/>
              <w:rPr>
                <w:rFonts w:cs="Arial"/>
                <w:sz w:val="16"/>
                <w:szCs w:val="16"/>
                <w:lang w:eastAsia="en-AU"/>
              </w:rPr>
            </w:pPr>
            <w:r w:rsidRPr="0038472A">
              <w:rPr>
                <w:rFonts w:cs="Arial"/>
                <w:sz w:val="16"/>
                <w:szCs w:val="16"/>
                <w:lang w:eastAsia="en-AU"/>
              </w:rPr>
              <w:t>3%</w:t>
            </w:r>
          </w:p>
        </w:tc>
        <w:tc>
          <w:tcPr>
            <w:tcW w:w="773" w:type="dxa"/>
            <w:tcBorders>
              <w:top w:val="nil"/>
              <w:left w:val="nil"/>
              <w:bottom w:val="single" w:sz="4" w:space="0" w:color="auto"/>
              <w:right w:val="single" w:sz="4" w:space="0" w:color="auto"/>
            </w:tcBorders>
            <w:shd w:val="clear" w:color="auto" w:fill="auto"/>
            <w:noWrap/>
            <w:vAlign w:val="bottom"/>
            <w:hideMark/>
          </w:tcPr>
          <w:p w14:paraId="693CE6D5" w14:textId="77777777" w:rsidR="00A91679" w:rsidRPr="0038472A" w:rsidRDefault="00A91679" w:rsidP="006D687C">
            <w:pPr>
              <w:spacing w:after="0"/>
              <w:jc w:val="right"/>
              <w:rPr>
                <w:rFonts w:cs="Arial"/>
                <w:sz w:val="16"/>
                <w:szCs w:val="16"/>
                <w:lang w:eastAsia="en-AU"/>
              </w:rPr>
            </w:pPr>
            <w:r w:rsidRPr="0038472A">
              <w:rPr>
                <w:rFonts w:cs="Arial"/>
                <w:sz w:val="16"/>
                <w:szCs w:val="16"/>
                <w:lang w:eastAsia="en-AU"/>
              </w:rPr>
              <w:t>1%</w:t>
            </w:r>
          </w:p>
        </w:tc>
        <w:tc>
          <w:tcPr>
            <w:tcW w:w="733" w:type="dxa"/>
            <w:tcBorders>
              <w:top w:val="nil"/>
              <w:left w:val="nil"/>
              <w:bottom w:val="single" w:sz="4" w:space="0" w:color="auto"/>
              <w:right w:val="single" w:sz="4" w:space="0" w:color="auto"/>
            </w:tcBorders>
            <w:shd w:val="clear" w:color="auto" w:fill="auto"/>
            <w:noWrap/>
            <w:vAlign w:val="bottom"/>
            <w:hideMark/>
          </w:tcPr>
          <w:p w14:paraId="60705A8F" w14:textId="77777777" w:rsidR="00A91679" w:rsidRPr="0038472A" w:rsidRDefault="00A91679" w:rsidP="006D687C">
            <w:pPr>
              <w:spacing w:after="0"/>
              <w:jc w:val="right"/>
              <w:rPr>
                <w:rFonts w:cs="Arial"/>
                <w:sz w:val="16"/>
                <w:szCs w:val="16"/>
                <w:lang w:eastAsia="en-AU"/>
              </w:rPr>
            </w:pPr>
            <w:r w:rsidRPr="0038472A">
              <w:rPr>
                <w:rFonts w:cs="Arial"/>
                <w:sz w:val="16"/>
                <w:szCs w:val="16"/>
                <w:lang w:eastAsia="en-AU"/>
              </w:rPr>
              <w:t>67%</w:t>
            </w:r>
          </w:p>
        </w:tc>
        <w:tc>
          <w:tcPr>
            <w:tcW w:w="965" w:type="dxa"/>
            <w:tcBorders>
              <w:top w:val="nil"/>
              <w:left w:val="nil"/>
              <w:bottom w:val="single" w:sz="4" w:space="0" w:color="auto"/>
              <w:right w:val="single" w:sz="4" w:space="0" w:color="auto"/>
            </w:tcBorders>
            <w:shd w:val="clear" w:color="auto" w:fill="auto"/>
            <w:noWrap/>
            <w:vAlign w:val="bottom"/>
            <w:hideMark/>
          </w:tcPr>
          <w:p w14:paraId="514F1057" w14:textId="77777777" w:rsidR="00A91679" w:rsidRPr="0038472A" w:rsidRDefault="00A91679" w:rsidP="006D687C">
            <w:pPr>
              <w:spacing w:after="0"/>
              <w:jc w:val="right"/>
              <w:rPr>
                <w:rFonts w:cs="Arial"/>
                <w:sz w:val="16"/>
                <w:szCs w:val="16"/>
                <w:lang w:eastAsia="en-AU"/>
              </w:rPr>
            </w:pPr>
            <w:r w:rsidRPr="0038472A">
              <w:rPr>
                <w:rFonts w:cs="Arial"/>
                <w:sz w:val="16"/>
                <w:szCs w:val="16"/>
                <w:lang w:eastAsia="en-AU"/>
              </w:rPr>
              <w:t>0%</w:t>
            </w:r>
          </w:p>
        </w:tc>
        <w:tc>
          <w:tcPr>
            <w:tcW w:w="570" w:type="dxa"/>
            <w:tcBorders>
              <w:top w:val="nil"/>
              <w:left w:val="nil"/>
              <w:bottom w:val="single" w:sz="4" w:space="0" w:color="auto"/>
              <w:right w:val="single" w:sz="4" w:space="0" w:color="auto"/>
            </w:tcBorders>
            <w:shd w:val="clear" w:color="auto" w:fill="auto"/>
            <w:noWrap/>
            <w:vAlign w:val="bottom"/>
            <w:hideMark/>
          </w:tcPr>
          <w:p w14:paraId="6132C520" w14:textId="77777777" w:rsidR="00A91679" w:rsidRPr="0038472A" w:rsidRDefault="00A91679" w:rsidP="006D687C">
            <w:pPr>
              <w:spacing w:after="0"/>
              <w:jc w:val="right"/>
              <w:rPr>
                <w:rFonts w:cs="Arial"/>
                <w:sz w:val="16"/>
                <w:szCs w:val="16"/>
                <w:lang w:eastAsia="en-AU"/>
              </w:rPr>
            </w:pPr>
            <w:r w:rsidRPr="0038472A">
              <w:rPr>
                <w:rFonts w:cs="Arial"/>
                <w:sz w:val="16"/>
                <w:szCs w:val="16"/>
                <w:lang w:eastAsia="en-AU"/>
              </w:rPr>
              <w:t>0%</w:t>
            </w:r>
          </w:p>
        </w:tc>
        <w:tc>
          <w:tcPr>
            <w:tcW w:w="767" w:type="dxa"/>
            <w:tcBorders>
              <w:top w:val="nil"/>
              <w:left w:val="nil"/>
              <w:bottom w:val="single" w:sz="4" w:space="0" w:color="auto"/>
              <w:right w:val="single" w:sz="4" w:space="0" w:color="auto"/>
            </w:tcBorders>
            <w:shd w:val="clear" w:color="auto" w:fill="auto"/>
            <w:noWrap/>
            <w:vAlign w:val="bottom"/>
            <w:hideMark/>
          </w:tcPr>
          <w:p w14:paraId="73C14F90" w14:textId="77777777" w:rsidR="00A91679" w:rsidRPr="0038472A" w:rsidRDefault="00A91679" w:rsidP="006D687C">
            <w:pPr>
              <w:spacing w:after="0"/>
              <w:jc w:val="right"/>
              <w:rPr>
                <w:rFonts w:cs="Arial"/>
                <w:sz w:val="16"/>
                <w:szCs w:val="16"/>
                <w:lang w:eastAsia="en-AU"/>
              </w:rPr>
            </w:pPr>
            <w:r w:rsidRPr="0038472A">
              <w:rPr>
                <w:rFonts w:cs="Arial"/>
                <w:sz w:val="16"/>
                <w:szCs w:val="16"/>
                <w:lang w:eastAsia="en-AU"/>
              </w:rPr>
              <w:t>0%</w:t>
            </w:r>
          </w:p>
        </w:tc>
      </w:tr>
      <w:tr w:rsidR="0038472A" w:rsidRPr="0038472A" w14:paraId="2DE2291A" w14:textId="77777777" w:rsidTr="0038472A">
        <w:trPr>
          <w:trHeight w:val="298"/>
        </w:trPr>
        <w:tc>
          <w:tcPr>
            <w:tcW w:w="651" w:type="dxa"/>
            <w:tcBorders>
              <w:top w:val="nil"/>
              <w:left w:val="single" w:sz="4" w:space="0" w:color="auto"/>
              <w:bottom w:val="single" w:sz="4" w:space="0" w:color="auto"/>
              <w:right w:val="single" w:sz="4" w:space="0" w:color="auto"/>
            </w:tcBorders>
            <w:shd w:val="clear" w:color="auto" w:fill="auto"/>
            <w:noWrap/>
            <w:vAlign w:val="bottom"/>
            <w:hideMark/>
          </w:tcPr>
          <w:p w14:paraId="21ABBCC2" w14:textId="77777777" w:rsidR="00A91679" w:rsidRPr="0038472A" w:rsidRDefault="00A91679" w:rsidP="006D687C">
            <w:pPr>
              <w:spacing w:after="0"/>
              <w:jc w:val="right"/>
              <w:rPr>
                <w:rFonts w:cs="Arial"/>
                <w:sz w:val="16"/>
                <w:szCs w:val="16"/>
                <w:lang w:eastAsia="en-AU"/>
              </w:rPr>
            </w:pPr>
            <w:r w:rsidRPr="0038472A">
              <w:rPr>
                <w:rFonts w:cs="Arial"/>
                <w:sz w:val="16"/>
                <w:szCs w:val="16"/>
                <w:lang w:eastAsia="en-AU"/>
              </w:rPr>
              <w:t>3032</w:t>
            </w:r>
          </w:p>
        </w:tc>
        <w:tc>
          <w:tcPr>
            <w:tcW w:w="728" w:type="dxa"/>
            <w:tcBorders>
              <w:top w:val="nil"/>
              <w:left w:val="nil"/>
              <w:bottom w:val="single" w:sz="4" w:space="0" w:color="auto"/>
              <w:right w:val="single" w:sz="4" w:space="0" w:color="auto"/>
            </w:tcBorders>
            <w:shd w:val="clear" w:color="auto" w:fill="auto"/>
            <w:noWrap/>
            <w:vAlign w:val="bottom"/>
            <w:hideMark/>
          </w:tcPr>
          <w:p w14:paraId="547517B9" w14:textId="77777777" w:rsidR="00A91679" w:rsidRPr="0038472A" w:rsidRDefault="00A91679" w:rsidP="006D687C">
            <w:pPr>
              <w:spacing w:after="0"/>
              <w:jc w:val="right"/>
              <w:rPr>
                <w:rFonts w:cs="Arial"/>
                <w:sz w:val="16"/>
                <w:szCs w:val="16"/>
                <w:lang w:eastAsia="en-AU"/>
              </w:rPr>
            </w:pPr>
            <w:r w:rsidRPr="0038472A">
              <w:rPr>
                <w:rFonts w:cs="Arial"/>
                <w:sz w:val="16"/>
                <w:szCs w:val="16"/>
                <w:lang w:eastAsia="en-AU"/>
              </w:rPr>
              <w:t>5%</w:t>
            </w:r>
          </w:p>
        </w:tc>
        <w:tc>
          <w:tcPr>
            <w:tcW w:w="243" w:type="dxa"/>
            <w:tcBorders>
              <w:top w:val="nil"/>
              <w:left w:val="nil"/>
              <w:bottom w:val="single" w:sz="4" w:space="0" w:color="auto"/>
              <w:right w:val="single" w:sz="4" w:space="0" w:color="auto"/>
            </w:tcBorders>
            <w:shd w:val="clear" w:color="auto" w:fill="auto"/>
            <w:noWrap/>
            <w:vAlign w:val="bottom"/>
            <w:hideMark/>
          </w:tcPr>
          <w:p w14:paraId="2B1BE55B" w14:textId="77777777" w:rsidR="00A91679" w:rsidRPr="0038472A" w:rsidRDefault="00A91679" w:rsidP="006D687C">
            <w:pPr>
              <w:spacing w:after="0"/>
              <w:jc w:val="right"/>
              <w:rPr>
                <w:rFonts w:cs="Arial"/>
                <w:sz w:val="16"/>
                <w:szCs w:val="16"/>
                <w:lang w:eastAsia="en-AU"/>
              </w:rPr>
            </w:pPr>
            <w:r w:rsidRPr="0038472A">
              <w:rPr>
                <w:rFonts w:cs="Arial"/>
                <w:sz w:val="16"/>
                <w:szCs w:val="16"/>
                <w:lang w:eastAsia="en-AU"/>
              </w:rPr>
              <w:t>0%</w:t>
            </w:r>
          </w:p>
        </w:tc>
        <w:tc>
          <w:tcPr>
            <w:tcW w:w="907" w:type="dxa"/>
            <w:tcBorders>
              <w:top w:val="nil"/>
              <w:left w:val="nil"/>
              <w:bottom w:val="single" w:sz="4" w:space="0" w:color="auto"/>
              <w:right w:val="single" w:sz="4" w:space="0" w:color="auto"/>
            </w:tcBorders>
            <w:shd w:val="clear" w:color="auto" w:fill="auto"/>
            <w:noWrap/>
            <w:vAlign w:val="bottom"/>
            <w:hideMark/>
          </w:tcPr>
          <w:p w14:paraId="683AA308" w14:textId="77777777" w:rsidR="00A91679" w:rsidRPr="0038472A" w:rsidRDefault="00A91679" w:rsidP="006D687C">
            <w:pPr>
              <w:spacing w:after="0"/>
              <w:jc w:val="right"/>
              <w:rPr>
                <w:rFonts w:cs="Arial"/>
                <w:sz w:val="16"/>
                <w:szCs w:val="16"/>
                <w:lang w:eastAsia="en-AU"/>
              </w:rPr>
            </w:pPr>
            <w:r w:rsidRPr="0038472A">
              <w:rPr>
                <w:rFonts w:cs="Arial"/>
                <w:sz w:val="16"/>
                <w:szCs w:val="16"/>
                <w:lang w:eastAsia="en-AU"/>
              </w:rPr>
              <w:t>0%</w:t>
            </w:r>
          </w:p>
        </w:tc>
        <w:tc>
          <w:tcPr>
            <w:tcW w:w="478" w:type="dxa"/>
            <w:tcBorders>
              <w:top w:val="nil"/>
              <w:left w:val="nil"/>
              <w:bottom w:val="single" w:sz="4" w:space="0" w:color="auto"/>
              <w:right w:val="single" w:sz="4" w:space="0" w:color="auto"/>
            </w:tcBorders>
            <w:shd w:val="clear" w:color="auto" w:fill="auto"/>
            <w:noWrap/>
            <w:vAlign w:val="bottom"/>
            <w:hideMark/>
          </w:tcPr>
          <w:p w14:paraId="2C8D54FB" w14:textId="77777777" w:rsidR="00A91679" w:rsidRPr="0038472A" w:rsidRDefault="00A91679" w:rsidP="006D687C">
            <w:pPr>
              <w:spacing w:after="0"/>
              <w:jc w:val="right"/>
              <w:rPr>
                <w:rFonts w:cs="Arial"/>
                <w:sz w:val="16"/>
                <w:szCs w:val="16"/>
                <w:lang w:eastAsia="en-AU"/>
              </w:rPr>
            </w:pPr>
            <w:r w:rsidRPr="0038472A">
              <w:rPr>
                <w:rFonts w:cs="Arial"/>
                <w:sz w:val="16"/>
                <w:szCs w:val="16"/>
                <w:lang w:eastAsia="en-AU"/>
              </w:rPr>
              <w:t>0%</w:t>
            </w:r>
          </w:p>
        </w:tc>
        <w:tc>
          <w:tcPr>
            <w:tcW w:w="663" w:type="dxa"/>
            <w:tcBorders>
              <w:top w:val="nil"/>
              <w:left w:val="nil"/>
              <w:bottom w:val="single" w:sz="4" w:space="0" w:color="auto"/>
              <w:right w:val="single" w:sz="4" w:space="0" w:color="auto"/>
            </w:tcBorders>
            <w:shd w:val="clear" w:color="auto" w:fill="auto"/>
            <w:noWrap/>
            <w:vAlign w:val="bottom"/>
            <w:hideMark/>
          </w:tcPr>
          <w:p w14:paraId="4501EA50" w14:textId="77777777" w:rsidR="00A91679" w:rsidRPr="0038472A" w:rsidRDefault="00A91679" w:rsidP="006D687C">
            <w:pPr>
              <w:spacing w:after="0"/>
              <w:jc w:val="right"/>
              <w:rPr>
                <w:rFonts w:cs="Arial"/>
                <w:sz w:val="16"/>
                <w:szCs w:val="16"/>
                <w:lang w:eastAsia="en-AU"/>
              </w:rPr>
            </w:pPr>
            <w:r w:rsidRPr="0038472A">
              <w:rPr>
                <w:rFonts w:cs="Arial"/>
                <w:sz w:val="16"/>
                <w:szCs w:val="16"/>
                <w:lang w:eastAsia="en-AU"/>
              </w:rPr>
              <w:t>1%</w:t>
            </w:r>
          </w:p>
        </w:tc>
        <w:tc>
          <w:tcPr>
            <w:tcW w:w="680" w:type="dxa"/>
            <w:tcBorders>
              <w:top w:val="nil"/>
              <w:left w:val="nil"/>
              <w:bottom w:val="single" w:sz="4" w:space="0" w:color="auto"/>
              <w:right w:val="single" w:sz="4" w:space="0" w:color="auto"/>
            </w:tcBorders>
            <w:shd w:val="clear" w:color="auto" w:fill="auto"/>
            <w:noWrap/>
            <w:vAlign w:val="bottom"/>
            <w:hideMark/>
          </w:tcPr>
          <w:p w14:paraId="7586E3B0" w14:textId="77777777" w:rsidR="00A91679" w:rsidRPr="0038472A" w:rsidRDefault="00A91679" w:rsidP="006D687C">
            <w:pPr>
              <w:spacing w:after="0"/>
              <w:jc w:val="right"/>
              <w:rPr>
                <w:rFonts w:cs="Arial"/>
                <w:sz w:val="16"/>
                <w:szCs w:val="16"/>
                <w:lang w:eastAsia="en-AU"/>
              </w:rPr>
            </w:pPr>
            <w:r w:rsidRPr="0038472A">
              <w:rPr>
                <w:rFonts w:cs="Arial"/>
                <w:sz w:val="16"/>
                <w:szCs w:val="16"/>
                <w:lang w:eastAsia="en-AU"/>
              </w:rPr>
              <w:t>0%</w:t>
            </w:r>
          </w:p>
        </w:tc>
        <w:tc>
          <w:tcPr>
            <w:tcW w:w="721" w:type="dxa"/>
            <w:tcBorders>
              <w:top w:val="nil"/>
              <w:left w:val="nil"/>
              <w:bottom w:val="single" w:sz="4" w:space="0" w:color="auto"/>
              <w:right w:val="single" w:sz="4" w:space="0" w:color="auto"/>
            </w:tcBorders>
            <w:shd w:val="clear" w:color="auto" w:fill="auto"/>
            <w:noWrap/>
            <w:vAlign w:val="bottom"/>
            <w:hideMark/>
          </w:tcPr>
          <w:p w14:paraId="52D9D4F7" w14:textId="77777777" w:rsidR="00A91679" w:rsidRPr="0038472A" w:rsidRDefault="00A91679" w:rsidP="006D687C">
            <w:pPr>
              <w:spacing w:after="0"/>
              <w:jc w:val="right"/>
              <w:rPr>
                <w:rFonts w:cs="Arial"/>
                <w:sz w:val="16"/>
                <w:szCs w:val="16"/>
                <w:lang w:eastAsia="en-AU"/>
              </w:rPr>
            </w:pPr>
            <w:r w:rsidRPr="0038472A">
              <w:rPr>
                <w:rFonts w:cs="Arial"/>
                <w:sz w:val="16"/>
                <w:szCs w:val="16"/>
                <w:lang w:eastAsia="en-AU"/>
              </w:rPr>
              <w:t>0%</w:t>
            </w:r>
          </w:p>
        </w:tc>
        <w:tc>
          <w:tcPr>
            <w:tcW w:w="895" w:type="dxa"/>
            <w:tcBorders>
              <w:top w:val="nil"/>
              <w:left w:val="nil"/>
              <w:bottom w:val="single" w:sz="4" w:space="0" w:color="auto"/>
              <w:right w:val="single" w:sz="4" w:space="0" w:color="auto"/>
            </w:tcBorders>
            <w:shd w:val="clear" w:color="auto" w:fill="auto"/>
            <w:noWrap/>
            <w:vAlign w:val="bottom"/>
            <w:hideMark/>
          </w:tcPr>
          <w:p w14:paraId="09CBF5A7" w14:textId="77777777" w:rsidR="00A91679" w:rsidRPr="0038472A" w:rsidRDefault="00A91679" w:rsidP="006D687C">
            <w:pPr>
              <w:spacing w:after="0"/>
              <w:jc w:val="right"/>
              <w:rPr>
                <w:rFonts w:cs="Arial"/>
                <w:sz w:val="16"/>
                <w:szCs w:val="16"/>
                <w:lang w:eastAsia="en-AU"/>
              </w:rPr>
            </w:pPr>
            <w:r w:rsidRPr="0038472A">
              <w:rPr>
                <w:rFonts w:cs="Arial"/>
                <w:sz w:val="16"/>
                <w:szCs w:val="16"/>
                <w:lang w:eastAsia="en-AU"/>
              </w:rPr>
              <w:t>0%</w:t>
            </w:r>
          </w:p>
        </w:tc>
        <w:tc>
          <w:tcPr>
            <w:tcW w:w="773" w:type="dxa"/>
            <w:tcBorders>
              <w:top w:val="nil"/>
              <w:left w:val="nil"/>
              <w:bottom w:val="single" w:sz="4" w:space="0" w:color="auto"/>
              <w:right w:val="single" w:sz="4" w:space="0" w:color="auto"/>
            </w:tcBorders>
            <w:shd w:val="clear" w:color="auto" w:fill="auto"/>
            <w:noWrap/>
            <w:vAlign w:val="bottom"/>
            <w:hideMark/>
          </w:tcPr>
          <w:p w14:paraId="709BCD0D" w14:textId="77777777" w:rsidR="00A91679" w:rsidRPr="0038472A" w:rsidRDefault="00A91679" w:rsidP="006D687C">
            <w:pPr>
              <w:spacing w:after="0"/>
              <w:jc w:val="right"/>
              <w:rPr>
                <w:rFonts w:cs="Arial"/>
                <w:sz w:val="16"/>
                <w:szCs w:val="16"/>
                <w:lang w:eastAsia="en-AU"/>
              </w:rPr>
            </w:pPr>
            <w:r w:rsidRPr="0038472A">
              <w:rPr>
                <w:rFonts w:cs="Arial"/>
                <w:sz w:val="16"/>
                <w:szCs w:val="16"/>
                <w:lang w:eastAsia="en-AU"/>
              </w:rPr>
              <w:t>95%</w:t>
            </w:r>
          </w:p>
        </w:tc>
        <w:tc>
          <w:tcPr>
            <w:tcW w:w="733" w:type="dxa"/>
            <w:tcBorders>
              <w:top w:val="nil"/>
              <w:left w:val="nil"/>
              <w:bottom w:val="single" w:sz="4" w:space="0" w:color="auto"/>
              <w:right w:val="single" w:sz="4" w:space="0" w:color="auto"/>
            </w:tcBorders>
            <w:shd w:val="clear" w:color="auto" w:fill="auto"/>
            <w:noWrap/>
            <w:vAlign w:val="bottom"/>
            <w:hideMark/>
          </w:tcPr>
          <w:p w14:paraId="24164D35" w14:textId="77777777" w:rsidR="00A91679" w:rsidRPr="0038472A" w:rsidRDefault="00A91679" w:rsidP="006D687C">
            <w:pPr>
              <w:spacing w:after="0"/>
              <w:jc w:val="right"/>
              <w:rPr>
                <w:rFonts w:cs="Arial"/>
                <w:sz w:val="16"/>
                <w:szCs w:val="16"/>
                <w:lang w:eastAsia="en-AU"/>
              </w:rPr>
            </w:pPr>
            <w:r w:rsidRPr="0038472A">
              <w:rPr>
                <w:rFonts w:cs="Arial"/>
                <w:sz w:val="16"/>
                <w:szCs w:val="16"/>
                <w:lang w:eastAsia="en-AU"/>
              </w:rPr>
              <w:t>0%</w:t>
            </w:r>
          </w:p>
        </w:tc>
        <w:tc>
          <w:tcPr>
            <w:tcW w:w="965" w:type="dxa"/>
            <w:tcBorders>
              <w:top w:val="nil"/>
              <w:left w:val="nil"/>
              <w:bottom w:val="single" w:sz="4" w:space="0" w:color="auto"/>
              <w:right w:val="single" w:sz="4" w:space="0" w:color="auto"/>
            </w:tcBorders>
            <w:shd w:val="clear" w:color="auto" w:fill="auto"/>
            <w:noWrap/>
            <w:vAlign w:val="bottom"/>
            <w:hideMark/>
          </w:tcPr>
          <w:p w14:paraId="069CA9DF" w14:textId="77777777" w:rsidR="00A91679" w:rsidRPr="0038472A" w:rsidRDefault="00A91679" w:rsidP="006D687C">
            <w:pPr>
              <w:spacing w:after="0"/>
              <w:jc w:val="right"/>
              <w:rPr>
                <w:rFonts w:cs="Arial"/>
                <w:sz w:val="16"/>
                <w:szCs w:val="16"/>
                <w:lang w:eastAsia="en-AU"/>
              </w:rPr>
            </w:pPr>
            <w:r w:rsidRPr="0038472A">
              <w:rPr>
                <w:rFonts w:cs="Arial"/>
                <w:sz w:val="16"/>
                <w:szCs w:val="16"/>
                <w:lang w:eastAsia="en-AU"/>
              </w:rPr>
              <w:t>0%</w:t>
            </w:r>
          </w:p>
        </w:tc>
        <w:tc>
          <w:tcPr>
            <w:tcW w:w="570" w:type="dxa"/>
            <w:tcBorders>
              <w:top w:val="nil"/>
              <w:left w:val="nil"/>
              <w:bottom w:val="single" w:sz="4" w:space="0" w:color="auto"/>
              <w:right w:val="single" w:sz="4" w:space="0" w:color="auto"/>
            </w:tcBorders>
            <w:shd w:val="clear" w:color="auto" w:fill="auto"/>
            <w:noWrap/>
            <w:vAlign w:val="bottom"/>
            <w:hideMark/>
          </w:tcPr>
          <w:p w14:paraId="432D8BA8" w14:textId="77777777" w:rsidR="00A91679" w:rsidRPr="0038472A" w:rsidRDefault="00A91679" w:rsidP="006D687C">
            <w:pPr>
              <w:spacing w:after="0"/>
              <w:jc w:val="right"/>
              <w:rPr>
                <w:rFonts w:cs="Arial"/>
                <w:sz w:val="16"/>
                <w:szCs w:val="16"/>
                <w:lang w:eastAsia="en-AU"/>
              </w:rPr>
            </w:pPr>
            <w:r w:rsidRPr="0038472A">
              <w:rPr>
                <w:rFonts w:cs="Arial"/>
                <w:sz w:val="16"/>
                <w:szCs w:val="16"/>
                <w:lang w:eastAsia="en-AU"/>
              </w:rPr>
              <w:t>0%</w:t>
            </w:r>
          </w:p>
        </w:tc>
        <w:tc>
          <w:tcPr>
            <w:tcW w:w="767" w:type="dxa"/>
            <w:tcBorders>
              <w:top w:val="nil"/>
              <w:left w:val="nil"/>
              <w:bottom w:val="single" w:sz="4" w:space="0" w:color="auto"/>
              <w:right w:val="single" w:sz="4" w:space="0" w:color="auto"/>
            </w:tcBorders>
            <w:shd w:val="clear" w:color="auto" w:fill="auto"/>
            <w:noWrap/>
            <w:vAlign w:val="bottom"/>
            <w:hideMark/>
          </w:tcPr>
          <w:p w14:paraId="455375FC" w14:textId="77777777" w:rsidR="00A91679" w:rsidRPr="0038472A" w:rsidRDefault="00A91679" w:rsidP="006D687C">
            <w:pPr>
              <w:spacing w:after="0"/>
              <w:jc w:val="right"/>
              <w:rPr>
                <w:rFonts w:cs="Arial"/>
                <w:sz w:val="16"/>
                <w:szCs w:val="16"/>
                <w:lang w:eastAsia="en-AU"/>
              </w:rPr>
            </w:pPr>
            <w:r w:rsidRPr="0038472A">
              <w:rPr>
                <w:rFonts w:cs="Arial"/>
                <w:sz w:val="16"/>
                <w:szCs w:val="16"/>
                <w:lang w:eastAsia="en-AU"/>
              </w:rPr>
              <w:t>0%</w:t>
            </w:r>
          </w:p>
        </w:tc>
      </w:tr>
      <w:tr w:rsidR="0038472A" w:rsidRPr="0038472A" w14:paraId="3A2C047F" w14:textId="77777777" w:rsidTr="0038472A">
        <w:trPr>
          <w:trHeight w:val="298"/>
        </w:trPr>
        <w:tc>
          <w:tcPr>
            <w:tcW w:w="651" w:type="dxa"/>
            <w:tcBorders>
              <w:top w:val="nil"/>
              <w:left w:val="single" w:sz="4" w:space="0" w:color="auto"/>
              <w:bottom w:val="single" w:sz="4" w:space="0" w:color="auto"/>
              <w:right w:val="single" w:sz="4" w:space="0" w:color="auto"/>
            </w:tcBorders>
            <w:shd w:val="clear" w:color="auto" w:fill="auto"/>
            <w:noWrap/>
            <w:vAlign w:val="bottom"/>
            <w:hideMark/>
          </w:tcPr>
          <w:p w14:paraId="584F9B24" w14:textId="77777777" w:rsidR="00A91679" w:rsidRPr="0038472A" w:rsidRDefault="00A91679" w:rsidP="006D687C">
            <w:pPr>
              <w:spacing w:after="0"/>
              <w:jc w:val="right"/>
              <w:rPr>
                <w:rFonts w:cs="Arial"/>
                <w:sz w:val="16"/>
                <w:szCs w:val="16"/>
                <w:lang w:eastAsia="en-AU"/>
              </w:rPr>
            </w:pPr>
            <w:r w:rsidRPr="0038472A">
              <w:rPr>
                <w:rFonts w:cs="Arial"/>
                <w:sz w:val="16"/>
                <w:szCs w:val="16"/>
                <w:lang w:eastAsia="en-AU"/>
              </w:rPr>
              <w:t>3050</w:t>
            </w:r>
          </w:p>
        </w:tc>
        <w:tc>
          <w:tcPr>
            <w:tcW w:w="728" w:type="dxa"/>
            <w:tcBorders>
              <w:top w:val="nil"/>
              <w:left w:val="nil"/>
              <w:bottom w:val="single" w:sz="4" w:space="0" w:color="auto"/>
              <w:right w:val="single" w:sz="4" w:space="0" w:color="auto"/>
            </w:tcBorders>
            <w:shd w:val="clear" w:color="auto" w:fill="auto"/>
            <w:noWrap/>
            <w:vAlign w:val="bottom"/>
            <w:hideMark/>
          </w:tcPr>
          <w:p w14:paraId="00FFA5F9" w14:textId="77777777" w:rsidR="00A91679" w:rsidRPr="0038472A" w:rsidRDefault="00A91679" w:rsidP="006D687C">
            <w:pPr>
              <w:spacing w:after="0"/>
              <w:jc w:val="right"/>
              <w:rPr>
                <w:rFonts w:cs="Arial"/>
                <w:sz w:val="16"/>
                <w:szCs w:val="16"/>
                <w:lang w:eastAsia="en-AU"/>
              </w:rPr>
            </w:pPr>
            <w:r w:rsidRPr="0038472A">
              <w:rPr>
                <w:rFonts w:cs="Arial"/>
                <w:sz w:val="16"/>
                <w:szCs w:val="16"/>
                <w:lang w:eastAsia="en-AU"/>
              </w:rPr>
              <w:t>0%</w:t>
            </w:r>
          </w:p>
        </w:tc>
        <w:tc>
          <w:tcPr>
            <w:tcW w:w="243" w:type="dxa"/>
            <w:tcBorders>
              <w:top w:val="nil"/>
              <w:left w:val="nil"/>
              <w:bottom w:val="single" w:sz="4" w:space="0" w:color="auto"/>
              <w:right w:val="single" w:sz="4" w:space="0" w:color="auto"/>
            </w:tcBorders>
            <w:shd w:val="clear" w:color="auto" w:fill="auto"/>
            <w:noWrap/>
            <w:vAlign w:val="bottom"/>
            <w:hideMark/>
          </w:tcPr>
          <w:p w14:paraId="6A8EF887" w14:textId="77777777" w:rsidR="00A91679" w:rsidRPr="0038472A" w:rsidRDefault="00A91679" w:rsidP="006D687C">
            <w:pPr>
              <w:spacing w:after="0"/>
              <w:jc w:val="right"/>
              <w:rPr>
                <w:rFonts w:cs="Arial"/>
                <w:sz w:val="16"/>
                <w:szCs w:val="16"/>
                <w:lang w:eastAsia="en-AU"/>
              </w:rPr>
            </w:pPr>
            <w:r w:rsidRPr="0038472A">
              <w:rPr>
                <w:rFonts w:cs="Arial"/>
                <w:sz w:val="16"/>
                <w:szCs w:val="16"/>
                <w:lang w:eastAsia="en-AU"/>
              </w:rPr>
              <w:t>0%</w:t>
            </w:r>
          </w:p>
        </w:tc>
        <w:tc>
          <w:tcPr>
            <w:tcW w:w="907" w:type="dxa"/>
            <w:tcBorders>
              <w:top w:val="nil"/>
              <w:left w:val="nil"/>
              <w:bottom w:val="single" w:sz="4" w:space="0" w:color="auto"/>
              <w:right w:val="single" w:sz="4" w:space="0" w:color="auto"/>
            </w:tcBorders>
            <w:shd w:val="clear" w:color="auto" w:fill="auto"/>
            <w:noWrap/>
            <w:vAlign w:val="bottom"/>
            <w:hideMark/>
          </w:tcPr>
          <w:p w14:paraId="09E1404B" w14:textId="77777777" w:rsidR="00A91679" w:rsidRPr="0038472A" w:rsidRDefault="00A91679" w:rsidP="006D687C">
            <w:pPr>
              <w:spacing w:after="0"/>
              <w:jc w:val="right"/>
              <w:rPr>
                <w:rFonts w:cs="Arial"/>
                <w:sz w:val="16"/>
                <w:szCs w:val="16"/>
                <w:lang w:eastAsia="en-AU"/>
              </w:rPr>
            </w:pPr>
            <w:r w:rsidRPr="0038472A">
              <w:rPr>
                <w:rFonts w:cs="Arial"/>
                <w:sz w:val="16"/>
                <w:szCs w:val="16"/>
                <w:lang w:eastAsia="en-AU"/>
              </w:rPr>
              <w:t>0%</w:t>
            </w:r>
          </w:p>
        </w:tc>
        <w:tc>
          <w:tcPr>
            <w:tcW w:w="478" w:type="dxa"/>
            <w:tcBorders>
              <w:top w:val="nil"/>
              <w:left w:val="nil"/>
              <w:bottom w:val="single" w:sz="4" w:space="0" w:color="auto"/>
              <w:right w:val="single" w:sz="4" w:space="0" w:color="auto"/>
            </w:tcBorders>
            <w:shd w:val="clear" w:color="auto" w:fill="auto"/>
            <w:noWrap/>
            <w:vAlign w:val="bottom"/>
            <w:hideMark/>
          </w:tcPr>
          <w:p w14:paraId="216C35BF" w14:textId="77777777" w:rsidR="00A91679" w:rsidRPr="0038472A" w:rsidRDefault="00A91679" w:rsidP="006D687C">
            <w:pPr>
              <w:spacing w:after="0"/>
              <w:jc w:val="right"/>
              <w:rPr>
                <w:rFonts w:cs="Arial"/>
                <w:sz w:val="16"/>
                <w:szCs w:val="16"/>
                <w:lang w:eastAsia="en-AU"/>
              </w:rPr>
            </w:pPr>
            <w:r w:rsidRPr="0038472A">
              <w:rPr>
                <w:rFonts w:cs="Arial"/>
                <w:sz w:val="16"/>
                <w:szCs w:val="16"/>
                <w:lang w:eastAsia="en-AU"/>
              </w:rPr>
              <w:t>0%</w:t>
            </w:r>
          </w:p>
        </w:tc>
        <w:tc>
          <w:tcPr>
            <w:tcW w:w="663" w:type="dxa"/>
            <w:tcBorders>
              <w:top w:val="nil"/>
              <w:left w:val="nil"/>
              <w:bottom w:val="single" w:sz="4" w:space="0" w:color="auto"/>
              <w:right w:val="single" w:sz="4" w:space="0" w:color="auto"/>
            </w:tcBorders>
            <w:shd w:val="clear" w:color="auto" w:fill="auto"/>
            <w:noWrap/>
            <w:vAlign w:val="bottom"/>
            <w:hideMark/>
          </w:tcPr>
          <w:p w14:paraId="4F569237" w14:textId="77777777" w:rsidR="00A91679" w:rsidRPr="0038472A" w:rsidRDefault="00A91679" w:rsidP="006D687C">
            <w:pPr>
              <w:spacing w:after="0"/>
              <w:jc w:val="right"/>
              <w:rPr>
                <w:rFonts w:cs="Arial"/>
                <w:sz w:val="16"/>
                <w:szCs w:val="16"/>
                <w:lang w:eastAsia="en-AU"/>
              </w:rPr>
            </w:pPr>
            <w:r w:rsidRPr="0038472A">
              <w:rPr>
                <w:rFonts w:cs="Arial"/>
                <w:sz w:val="16"/>
                <w:szCs w:val="16"/>
                <w:lang w:eastAsia="en-AU"/>
              </w:rPr>
              <w:t>0%</w:t>
            </w:r>
          </w:p>
        </w:tc>
        <w:tc>
          <w:tcPr>
            <w:tcW w:w="680" w:type="dxa"/>
            <w:tcBorders>
              <w:top w:val="nil"/>
              <w:left w:val="nil"/>
              <w:bottom w:val="single" w:sz="4" w:space="0" w:color="auto"/>
              <w:right w:val="single" w:sz="4" w:space="0" w:color="auto"/>
            </w:tcBorders>
            <w:shd w:val="clear" w:color="auto" w:fill="auto"/>
            <w:noWrap/>
            <w:vAlign w:val="bottom"/>
            <w:hideMark/>
          </w:tcPr>
          <w:p w14:paraId="473419CD" w14:textId="77777777" w:rsidR="00A91679" w:rsidRPr="0038472A" w:rsidRDefault="00A91679" w:rsidP="006D687C">
            <w:pPr>
              <w:spacing w:after="0"/>
              <w:jc w:val="right"/>
              <w:rPr>
                <w:rFonts w:cs="Arial"/>
                <w:sz w:val="16"/>
                <w:szCs w:val="16"/>
                <w:lang w:eastAsia="en-AU"/>
              </w:rPr>
            </w:pPr>
            <w:r w:rsidRPr="0038472A">
              <w:rPr>
                <w:rFonts w:cs="Arial"/>
                <w:sz w:val="16"/>
                <w:szCs w:val="16"/>
                <w:lang w:eastAsia="en-AU"/>
              </w:rPr>
              <w:t>1%</w:t>
            </w:r>
          </w:p>
        </w:tc>
        <w:tc>
          <w:tcPr>
            <w:tcW w:w="721" w:type="dxa"/>
            <w:tcBorders>
              <w:top w:val="nil"/>
              <w:left w:val="nil"/>
              <w:bottom w:val="single" w:sz="4" w:space="0" w:color="auto"/>
              <w:right w:val="single" w:sz="4" w:space="0" w:color="auto"/>
            </w:tcBorders>
            <w:shd w:val="clear" w:color="auto" w:fill="auto"/>
            <w:noWrap/>
            <w:vAlign w:val="bottom"/>
            <w:hideMark/>
          </w:tcPr>
          <w:p w14:paraId="34CEB4CD" w14:textId="77777777" w:rsidR="00A91679" w:rsidRPr="0038472A" w:rsidRDefault="00A91679" w:rsidP="006D687C">
            <w:pPr>
              <w:spacing w:after="0"/>
              <w:jc w:val="right"/>
              <w:rPr>
                <w:rFonts w:cs="Arial"/>
                <w:sz w:val="16"/>
                <w:szCs w:val="16"/>
                <w:lang w:eastAsia="en-AU"/>
              </w:rPr>
            </w:pPr>
            <w:r w:rsidRPr="0038472A">
              <w:rPr>
                <w:rFonts w:cs="Arial"/>
                <w:sz w:val="16"/>
                <w:szCs w:val="16"/>
                <w:lang w:eastAsia="en-AU"/>
              </w:rPr>
              <w:t>98%</w:t>
            </w:r>
          </w:p>
        </w:tc>
        <w:tc>
          <w:tcPr>
            <w:tcW w:w="895" w:type="dxa"/>
            <w:tcBorders>
              <w:top w:val="nil"/>
              <w:left w:val="nil"/>
              <w:bottom w:val="single" w:sz="4" w:space="0" w:color="auto"/>
              <w:right w:val="single" w:sz="4" w:space="0" w:color="auto"/>
            </w:tcBorders>
            <w:shd w:val="clear" w:color="auto" w:fill="auto"/>
            <w:noWrap/>
            <w:vAlign w:val="bottom"/>
            <w:hideMark/>
          </w:tcPr>
          <w:p w14:paraId="78FAE274" w14:textId="77777777" w:rsidR="00A91679" w:rsidRPr="0038472A" w:rsidRDefault="00A91679" w:rsidP="006D687C">
            <w:pPr>
              <w:spacing w:after="0"/>
              <w:jc w:val="right"/>
              <w:rPr>
                <w:rFonts w:cs="Arial"/>
                <w:sz w:val="16"/>
                <w:szCs w:val="16"/>
                <w:lang w:eastAsia="en-AU"/>
              </w:rPr>
            </w:pPr>
            <w:r w:rsidRPr="0038472A">
              <w:rPr>
                <w:rFonts w:cs="Arial"/>
                <w:sz w:val="16"/>
                <w:szCs w:val="16"/>
                <w:lang w:eastAsia="en-AU"/>
              </w:rPr>
              <w:t>0%</w:t>
            </w:r>
          </w:p>
        </w:tc>
        <w:tc>
          <w:tcPr>
            <w:tcW w:w="773" w:type="dxa"/>
            <w:tcBorders>
              <w:top w:val="nil"/>
              <w:left w:val="nil"/>
              <w:bottom w:val="single" w:sz="4" w:space="0" w:color="auto"/>
              <w:right w:val="single" w:sz="4" w:space="0" w:color="auto"/>
            </w:tcBorders>
            <w:shd w:val="clear" w:color="auto" w:fill="auto"/>
            <w:noWrap/>
            <w:vAlign w:val="bottom"/>
            <w:hideMark/>
          </w:tcPr>
          <w:p w14:paraId="4BCE6F01" w14:textId="77777777" w:rsidR="00A91679" w:rsidRPr="0038472A" w:rsidRDefault="00A91679" w:rsidP="006D687C">
            <w:pPr>
              <w:spacing w:after="0"/>
              <w:jc w:val="right"/>
              <w:rPr>
                <w:rFonts w:cs="Arial"/>
                <w:sz w:val="16"/>
                <w:szCs w:val="16"/>
                <w:lang w:eastAsia="en-AU"/>
              </w:rPr>
            </w:pPr>
            <w:r w:rsidRPr="0038472A">
              <w:rPr>
                <w:rFonts w:cs="Arial"/>
                <w:sz w:val="16"/>
                <w:szCs w:val="16"/>
                <w:lang w:eastAsia="en-AU"/>
              </w:rPr>
              <w:t>0%</w:t>
            </w:r>
          </w:p>
        </w:tc>
        <w:tc>
          <w:tcPr>
            <w:tcW w:w="733" w:type="dxa"/>
            <w:tcBorders>
              <w:top w:val="nil"/>
              <w:left w:val="nil"/>
              <w:bottom w:val="single" w:sz="4" w:space="0" w:color="auto"/>
              <w:right w:val="single" w:sz="4" w:space="0" w:color="auto"/>
            </w:tcBorders>
            <w:shd w:val="clear" w:color="auto" w:fill="auto"/>
            <w:noWrap/>
            <w:vAlign w:val="bottom"/>
            <w:hideMark/>
          </w:tcPr>
          <w:p w14:paraId="498564BC" w14:textId="77777777" w:rsidR="00A91679" w:rsidRPr="0038472A" w:rsidRDefault="00A91679" w:rsidP="006D687C">
            <w:pPr>
              <w:spacing w:after="0"/>
              <w:jc w:val="right"/>
              <w:rPr>
                <w:rFonts w:cs="Arial"/>
                <w:sz w:val="16"/>
                <w:szCs w:val="16"/>
                <w:lang w:eastAsia="en-AU"/>
              </w:rPr>
            </w:pPr>
            <w:r w:rsidRPr="0038472A">
              <w:rPr>
                <w:rFonts w:cs="Arial"/>
                <w:sz w:val="16"/>
                <w:szCs w:val="16"/>
                <w:lang w:eastAsia="en-AU"/>
              </w:rPr>
              <w:t>0%</w:t>
            </w:r>
          </w:p>
        </w:tc>
        <w:tc>
          <w:tcPr>
            <w:tcW w:w="965" w:type="dxa"/>
            <w:tcBorders>
              <w:top w:val="nil"/>
              <w:left w:val="nil"/>
              <w:bottom w:val="single" w:sz="4" w:space="0" w:color="auto"/>
              <w:right w:val="single" w:sz="4" w:space="0" w:color="auto"/>
            </w:tcBorders>
            <w:shd w:val="clear" w:color="auto" w:fill="auto"/>
            <w:noWrap/>
            <w:vAlign w:val="bottom"/>
            <w:hideMark/>
          </w:tcPr>
          <w:p w14:paraId="1D76654D" w14:textId="77777777" w:rsidR="00A91679" w:rsidRPr="0038472A" w:rsidRDefault="00A91679" w:rsidP="006D687C">
            <w:pPr>
              <w:spacing w:after="0"/>
              <w:jc w:val="right"/>
              <w:rPr>
                <w:rFonts w:cs="Arial"/>
                <w:sz w:val="16"/>
                <w:szCs w:val="16"/>
                <w:lang w:eastAsia="en-AU"/>
              </w:rPr>
            </w:pPr>
            <w:r w:rsidRPr="0038472A">
              <w:rPr>
                <w:rFonts w:cs="Arial"/>
                <w:sz w:val="16"/>
                <w:szCs w:val="16"/>
                <w:lang w:eastAsia="en-AU"/>
              </w:rPr>
              <w:t>0%</w:t>
            </w:r>
          </w:p>
        </w:tc>
        <w:tc>
          <w:tcPr>
            <w:tcW w:w="570" w:type="dxa"/>
            <w:tcBorders>
              <w:top w:val="nil"/>
              <w:left w:val="nil"/>
              <w:bottom w:val="single" w:sz="4" w:space="0" w:color="auto"/>
              <w:right w:val="single" w:sz="4" w:space="0" w:color="auto"/>
            </w:tcBorders>
            <w:shd w:val="clear" w:color="auto" w:fill="auto"/>
            <w:noWrap/>
            <w:vAlign w:val="bottom"/>
            <w:hideMark/>
          </w:tcPr>
          <w:p w14:paraId="62190F1E" w14:textId="77777777" w:rsidR="00A91679" w:rsidRPr="0038472A" w:rsidRDefault="00A91679" w:rsidP="006D687C">
            <w:pPr>
              <w:spacing w:after="0"/>
              <w:jc w:val="right"/>
              <w:rPr>
                <w:rFonts w:cs="Arial"/>
                <w:sz w:val="16"/>
                <w:szCs w:val="16"/>
                <w:lang w:eastAsia="en-AU"/>
              </w:rPr>
            </w:pPr>
            <w:r w:rsidRPr="0038472A">
              <w:rPr>
                <w:rFonts w:cs="Arial"/>
                <w:sz w:val="16"/>
                <w:szCs w:val="16"/>
                <w:lang w:eastAsia="en-AU"/>
              </w:rPr>
              <w:t>1%</w:t>
            </w:r>
          </w:p>
        </w:tc>
        <w:tc>
          <w:tcPr>
            <w:tcW w:w="767" w:type="dxa"/>
            <w:tcBorders>
              <w:top w:val="nil"/>
              <w:left w:val="nil"/>
              <w:bottom w:val="single" w:sz="4" w:space="0" w:color="auto"/>
              <w:right w:val="single" w:sz="4" w:space="0" w:color="auto"/>
            </w:tcBorders>
            <w:shd w:val="clear" w:color="auto" w:fill="auto"/>
            <w:noWrap/>
            <w:vAlign w:val="bottom"/>
            <w:hideMark/>
          </w:tcPr>
          <w:p w14:paraId="7665CB0F" w14:textId="77777777" w:rsidR="00A91679" w:rsidRPr="0038472A" w:rsidRDefault="00A91679" w:rsidP="006D687C">
            <w:pPr>
              <w:spacing w:after="0"/>
              <w:jc w:val="right"/>
              <w:rPr>
                <w:rFonts w:cs="Arial"/>
                <w:sz w:val="16"/>
                <w:szCs w:val="16"/>
                <w:lang w:eastAsia="en-AU"/>
              </w:rPr>
            </w:pPr>
            <w:r w:rsidRPr="0038472A">
              <w:rPr>
                <w:rFonts w:cs="Arial"/>
                <w:sz w:val="16"/>
                <w:szCs w:val="16"/>
                <w:lang w:eastAsia="en-AU"/>
              </w:rPr>
              <w:t>0%</w:t>
            </w:r>
          </w:p>
        </w:tc>
      </w:tr>
      <w:tr w:rsidR="0038472A" w:rsidRPr="0038472A" w14:paraId="066BE3CF" w14:textId="77777777" w:rsidTr="0038472A">
        <w:trPr>
          <w:trHeight w:val="298"/>
        </w:trPr>
        <w:tc>
          <w:tcPr>
            <w:tcW w:w="651" w:type="dxa"/>
            <w:tcBorders>
              <w:top w:val="nil"/>
              <w:left w:val="single" w:sz="4" w:space="0" w:color="auto"/>
              <w:bottom w:val="single" w:sz="4" w:space="0" w:color="auto"/>
              <w:right w:val="single" w:sz="4" w:space="0" w:color="auto"/>
            </w:tcBorders>
            <w:shd w:val="clear" w:color="auto" w:fill="auto"/>
            <w:noWrap/>
            <w:vAlign w:val="bottom"/>
            <w:hideMark/>
          </w:tcPr>
          <w:p w14:paraId="45B55454" w14:textId="77777777" w:rsidR="00A91679" w:rsidRPr="0038472A" w:rsidRDefault="00A91679" w:rsidP="006D687C">
            <w:pPr>
              <w:spacing w:after="0"/>
              <w:jc w:val="right"/>
              <w:rPr>
                <w:rFonts w:cs="Arial"/>
                <w:sz w:val="16"/>
                <w:szCs w:val="16"/>
                <w:lang w:eastAsia="en-AU"/>
              </w:rPr>
            </w:pPr>
            <w:r w:rsidRPr="0038472A">
              <w:rPr>
                <w:rFonts w:cs="Arial"/>
                <w:sz w:val="16"/>
                <w:szCs w:val="16"/>
                <w:lang w:eastAsia="en-AU"/>
              </w:rPr>
              <w:t>3051</w:t>
            </w:r>
          </w:p>
        </w:tc>
        <w:tc>
          <w:tcPr>
            <w:tcW w:w="728" w:type="dxa"/>
            <w:tcBorders>
              <w:top w:val="nil"/>
              <w:left w:val="nil"/>
              <w:bottom w:val="single" w:sz="4" w:space="0" w:color="auto"/>
              <w:right w:val="single" w:sz="4" w:space="0" w:color="auto"/>
            </w:tcBorders>
            <w:shd w:val="clear" w:color="auto" w:fill="auto"/>
            <w:noWrap/>
            <w:vAlign w:val="bottom"/>
            <w:hideMark/>
          </w:tcPr>
          <w:p w14:paraId="5870EC56" w14:textId="77777777" w:rsidR="00A91679" w:rsidRPr="0038472A" w:rsidRDefault="00A91679" w:rsidP="006D687C">
            <w:pPr>
              <w:spacing w:after="0"/>
              <w:jc w:val="right"/>
              <w:rPr>
                <w:rFonts w:cs="Arial"/>
                <w:sz w:val="16"/>
                <w:szCs w:val="16"/>
                <w:lang w:eastAsia="en-AU"/>
              </w:rPr>
            </w:pPr>
            <w:r w:rsidRPr="0038472A">
              <w:rPr>
                <w:rFonts w:cs="Arial"/>
                <w:sz w:val="16"/>
                <w:szCs w:val="16"/>
                <w:lang w:eastAsia="en-AU"/>
              </w:rPr>
              <w:t>18%</w:t>
            </w:r>
          </w:p>
        </w:tc>
        <w:tc>
          <w:tcPr>
            <w:tcW w:w="243" w:type="dxa"/>
            <w:tcBorders>
              <w:top w:val="nil"/>
              <w:left w:val="nil"/>
              <w:bottom w:val="single" w:sz="4" w:space="0" w:color="auto"/>
              <w:right w:val="single" w:sz="4" w:space="0" w:color="auto"/>
            </w:tcBorders>
            <w:shd w:val="clear" w:color="auto" w:fill="auto"/>
            <w:noWrap/>
            <w:vAlign w:val="bottom"/>
            <w:hideMark/>
          </w:tcPr>
          <w:p w14:paraId="7F278691" w14:textId="77777777" w:rsidR="00A91679" w:rsidRPr="0038472A" w:rsidRDefault="00A91679" w:rsidP="006D687C">
            <w:pPr>
              <w:spacing w:after="0"/>
              <w:jc w:val="right"/>
              <w:rPr>
                <w:rFonts w:cs="Arial"/>
                <w:sz w:val="16"/>
                <w:szCs w:val="16"/>
                <w:lang w:eastAsia="en-AU"/>
              </w:rPr>
            </w:pPr>
            <w:r w:rsidRPr="0038472A">
              <w:rPr>
                <w:rFonts w:cs="Arial"/>
                <w:sz w:val="16"/>
                <w:szCs w:val="16"/>
                <w:lang w:eastAsia="en-AU"/>
              </w:rPr>
              <w:t>6%</w:t>
            </w:r>
          </w:p>
        </w:tc>
        <w:tc>
          <w:tcPr>
            <w:tcW w:w="907" w:type="dxa"/>
            <w:tcBorders>
              <w:top w:val="nil"/>
              <w:left w:val="nil"/>
              <w:bottom w:val="single" w:sz="4" w:space="0" w:color="auto"/>
              <w:right w:val="single" w:sz="4" w:space="0" w:color="auto"/>
            </w:tcBorders>
            <w:shd w:val="clear" w:color="auto" w:fill="auto"/>
            <w:noWrap/>
            <w:vAlign w:val="bottom"/>
            <w:hideMark/>
          </w:tcPr>
          <w:p w14:paraId="2A625506" w14:textId="77777777" w:rsidR="00A91679" w:rsidRPr="0038472A" w:rsidRDefault="00A91679" w:rsidP="006D687C">
            <w:pPr>
              <w:spacing w:after="0"/>
              <w:jc w:val="right"/>
              <w:rPr>
                <w:rFonts w:cs="Arial"/>
                <w:sz w:val="16"/>
                <w:szCs w:val="16"/>
                <w:lang w:eastAsia="en-AU"/>
              </w:rPr>
            </w:pPr>
            <w:r w:rsidRPr="0038472A">
              <w:rPr>
                <w:rFonts w:cs="Arial"/>
                <w:sz w:val="16"/>
                <w:szCs w:val="16"/>
                <w:lang w:eastAsia="en-AU"/>
              </w:rPr>
              <w:t>8%</w:t>
            </w:r>
          </w:p>
        </w:tc>
        <w:tc>
          <w:tcPr>
            <w:tcW w:w="478" w:type="dxa"/>
            <w:tcBorders>
              <w:top w:val="nil"/>
              <w:left w:val="nil"/>
              <w:bottom w:val="single" w:sz="4" w:space="0" w:color="auto"/>
              <w:right w:val="single" w:sz="4" w:space="0" w:color="auto"/>
            </w:tcBorders>
            <w:shd w:val="clear" w:color="auto" w:fill="auto"/>
            <w:noWrap/>
            <w:vAlign w:val="bottom"/>
            <w:hideMark/>
          </w:tcPr>
          <w:p w14:paraId="196493D6" w14:textId="77777777" w:rsidR="00A91679" w:rsidRPr="0038472A" w:rsidRDefault="00A91679" w:rsidP="006D687C">
            <w:pPr>
              <w:spacing w:after="0"/>
              <w:jc w:val="right"/>
              <w:rPr>
                <w:rFonts w:cs="Arial"/>
                <w:sz w:val="16"/>
                <w:szCs w:val="16"/>
                <w:lang w:eastAsia="en-AU"/>
              </w:rPr>
            </w:pPr>
            <w:r w:rsidRPr="0038472A">
              <w:rPr>
                <w:rFonts w:cs="Arial"/>
                <w:sz w:val="16"/>
                <w:szCs w:val="16"/>
                <w:lang w:eastAsia="en-AU"/>
              </w:rPr>
              <w:t>0%</w:t>
            </w:r>
          </w:p>
        </w:tc>
        <w:tc>
          <w:tcPr>
            <w:tcW w:w="663" w:type="dxa"/>
            <w:tcBorders>
              <w:top w:val="nil"/>
              <w:left w:val="nil"/>
              <w:bottom w:val="single" w:sz="4" w:space="0" w:color="auto"/>
              <w:right w:val="single" w:sz="4" w:space="0" w:color="auto"/>
            </w:tcBorders>
            <w:shd w:val="clear" w:color="auto" w:fill="auto"/>
            <w:noWrap/>
            <w:vAlign w:val="bottom"/>
            <w:hideMark/>
          </w:tcPr>
          <w:p w14:paraId="42882540" w14:textId="77777777" w:rsidR="00A91679" w:rsidRPr="0038472A" w:rsidRDefault="00A91679" w:rsidP="006D687C">
            <w:pPr>
              <w:spacing w:after="0"/>
              <w:jc w:val="right"/>
              <w:rPr>
                <w:rFonts w:cs="Arial"/>
                <w:sz w:val="16"/>
                <w:szCs w:val="16"/>
                <w:lang w:eastAsia="en-AU"/>
              </w:rPr>
            </w:pPr>
            <w:r w:rsidRPr="0038472A">
              <w:rPr>
                <w:rFonts w:cs="Arial"/>
                <w:sz w:val="16"/>
                <w:szCs w:val="16"/>
                <w:lang w:eastAsia="en-AU"/>
              </w:rPr>
              <w:t>0%</w:t>
            </w:r>
          </w:p>
        </w:tc>
        <w:tc>
          <w:tcPr>
            <w:tcW w:w="680" w:type="dxa"/>
            <w:tcBorders>
              <w:top w:val="nil"/>
              <w:left w:val="nil"/>
              <w:bottom w:val="single" w:sz="4" w:space="0" w:color="auto"/>
              <w:right w:val="single" w:sz="4" w:space="0" w:color="auto"/>
            </w:tcBorders>
            <w:shd w:val="clear" w:color="auto" w:fill="auto"/>
            <w:noWrap/>
            <w:vAlign w:val="bottom"/>
            <w:hideMark/>
          </w:tcPr>
          <w:p w14:paraId="7C09DE0A" w14:textId="77777777" w:rsidR="00A91679" w:rsidRPr="0038472A" w:rsidRDefault="00A91679" w:rsidP="006D687C">
            <w:pPr>
              <w:spacing w:after="0"/>
              <w:jc w:val="right"/>
              <w:rPr>
                <w:rFonts w:cs="Arial"/>
                <w:sz w:val="16"/>
                <w:szCs w:val="16"/>
                <w:lang w:eastAsia="en-AU"/>
              </w:rPr>
            </w:pPr>
            <w:r w:rsidRPr="0038472A">
              <w:rPr>
                <w:rFonts w:cs="Arial"/>
                <w:sz w:val="16"/>
                <w:szCs w:val="16"/>
                <w:lang w:eastAsia="en-AU"/>
              </w:rPr>
              <w:t>3%</w:t>
            </w:r>
          </w:p>
        </w:tc>
        <w:tc>
          <w:tcPr>
            <w:tcW w:w="721" w:type="dxa"/>
            <w:tcBorders>
              <w:top w:val="nil"/>
              <w:left w:val="nil"/>
              <w:bottom w:val="single" w:sz="4" w:space="0" w:color="auto"/>
              <w:right w:val="single" w:sz="4" w:space="0" w:color="auto"/>
            </w:tcBorders>
            <w:shd w:val="clear" w:color="auto" w:fill="auto"/>
            <w:noWrap/>
            <w:vAlign w:val="bottom"/>
            <w:hideMark/>
          </w:tcPr>
          <w:p w14:paraId="21982503" w14:textId="77777777" w:rsidR="00A91679" w:rsidRPr="0038472A" w:rsidRDefault="00A91679" w:rsidP="006D687C">
            <w:pPr>
              <w:spacing w:after="0"/>
              <w:jc w:val="right"/>
              <w:rPr>
                <w:rFonts w:cs="Arial"/>
                <w:sz w:val="16"/>
                <w:szCs w:val="16"/>
                <w:lang w:eastAsia="en-AU"/>
              </w:rPr>
            </w:pPr>
            <w:r w:rsidRPr="0038472A">
              <w:rPr>
                <w:rFonts w:cs="Arial"/>
                <w:sz w:val="16"/>
                <w:szCs w:val="16"/>
                <w:lang w:eastAsia="en-AU"/>
              </w:rPr>
              <w:t>3%</w:t>
            </w:r>
          </w:p>
        </w:tc>
        <w:tc>
          <w:tcPr>
            <w:tcW w:w="895" w:type="dxa"/>
            <w:tcBorders>
              <w:top w:val="nil"/>
              <w:left w:val="nil"/>
              <w:bottom w:val="single" w:sz="4" w:space="0" w:color="auto"/>
              <w:right w:val="single" w:sz="4" w:space="0" w:color="auto"/>
            </w:tcBorders>
            <w:shd w:val="clear" w:color="auto" w:fill="auto"/>
            <w:noWrap/>
            <w:vAlign w:val="bottom"/>
            <w:hideMark/>
          </w:tcPr>
          <w:p w14:paraId="64D0B5D6" w14:textId="77777777" w:rsidR="00A91679" w:rsidRPr="0038472A" w:rsidRDefault="00A91679" w:rsidP="006D687C">
            <w:pPr>
              <w:spacing w:after="0"/>
              <w:jc w:val="right"/>
              <w:rPr>
                <w:rFonts w:cs="Arial"/>
                <w:sz w:val="16"/>
                <w:szCs w:val="16"/>
                <w:lang w:eastAsia="en-AU"/>
              </w:rPr>
            </w:pPr>
            <w:r w:rsidRPr="0038472A">
              <w:rPr>
                <w:rFonts w:cs="Arial"/>
                <w:sz w:val="16"/>
                <w:szCs w:val="16"/>
                <w:lang w:eastAsia="en-AU"/>
              </w:rPr>
              <w:t>2%</w:t>
            </w:r>
          </w:p>
        </w:tc>
        <w:tc>
          <w:tcPr>
            <w:tcW w:w="773" w:type="dxa"/>
            <w:tcBorders>
              <w:top w:val="nil"/>
              <w:left w:val="nil"/>
              <w:bottom w:val="single" w:sz="4" w:space="0" w:color="auto"/>
              <w:right w:val="single" w:sz="4" w:space="0" w:color="auto"/>
            </w:tcBorders>
            <w:shd w:val="clear" w:color="auto" w:fill="auto"/>
            <w:noWrap/>
            <w:vAlign w:val="bottom"/>
            <w:hideMark/>
          </w:tcPr>
          <w:p w14:paraId="35DCB31A" w14:textId="77777777" w:rsidR="00A91679" w:rsidRPr="0038472A" w:rsidRDefault="00A91679" w:rsidP="006D687C">
            <w:pPr>
              <w:spacing w:after="0"/>
              <w:jc w:val="right"/>
              <w:rPr>
                <w:rFonts w:cs="Arial"/>
                <w:sz w:val="16"/>
                <w:szCs w:val="16"/>
                <w:lang w:eastAsia="en-AU"/>
              </w:rPr>
            </w:pPr>
            <w:r w:rsidRPr="0038472A">
              <w:rPr>
                <w:rFonts w:cs="Arial"/>
                <w:sz w:val="16"/>
                <w:szCs w:val="16"/>
                <w:lang w:eastAsia="en-AU"/>
              </w:rPr>
              <w:t>2%</w:t>
            </w:r>
          </w:p>
        </w:tc>
        <w:tc>
          <w:tcPr>
            <w:tcW w:w="733" w:type="dxa"/>
            <w:tcBorders>
              <w:top w:val="nil"/>
              <w:left w:val="nil"/>
              <w:bottom w:val="single" w:sz="4" w:space="0" w:color="auto"/>
              <w:right w:val="single" w:sz="4" w:space="0" w:color="auto"/>
            </w:tcBorders>
            <w:shd w:val="clear" w:color="auto" w:fill="auto"/>
            <w:noWrap/>
            <w:vAlign w:val="bottom"/>
            <w:hideMark/>
          </w:tcPr>
          <w:p w14:paraId="6ECFB68C" w14:textId="77777777" w:rsidR="00A91679" w:rsidRPr="0038472A" w:rsidRDefault="00A91679" w:rsidP="006D687C">
            <w:pPr>
              <w:spacing w:after="0"/>
              <w:jc w:val="right"/>
              <w:rPr>
                <w:rFonts w:cs="Arial"/>
                <w:sz w:val="16"/>
                <w:szCs w:val="16"/>
                <w:lang w:eastAsia="en-AU"/>
              </w:rPr>
            </w:pPr>
            <w:r w:rsidRPr="0038472A">
              <w:rPr>
                <w:rFonts w:cs="Arial"/>
                <w:sz w:val="16"/>
                <w:szCs w:val="16"/>
                <w:lang w:eastAsia="en-AU"/>
              </w:rPr>
              <w:t>55%</w:t>
            </w:r>
          </w:p>
        </w:tc>
        <w:tc>
          <w:tcPr>
            <w:tcW w:w="965" w:type="dxa"/>
            <w:tcBorders>
              <w:top w:val="nil"/>
              <w:left w:val="nil"/>
              <w:bottom w:val="single" w:sz="4" w:space="0" w:color="auto"/>
              <w:right w:val="single" w:sz="4" w:space="0" w:color="auto"/>
            </w:tcBorders>
            <w:shd w:val="clear" w:color="auto" w:fill="auto"/>
            <w:noWrap/>
            <w:vAlign w:val="bottom"/>
            <w:hideMark/>
          </w:tcPr>
          <w:p w14:paraId="319B0B5A" w14:textId="77777777" w:rsidR="00A91679" w:rsidRPr="0038472A" w:rsidRDefault="00A91679" w:rsidP="006D687C">
            <w:pPr>
              <w:spacing w:after="0"/>
              <w:jc w:val="right"/>
              <w:rPr>
                <w:rFonts w:cs="Arial"/>
                <w:sz w:val="16"/>
                <w:szCs w:val="16"/>
                <w:lang w:eastAsia="en-AU"/>
              </w:rPr>
            </w:pPr>
            <w:r w:rsidRPr="0038472A">
              <w:rPr>
                <w:rFonts w:cs="Arial"/>
                <w:sz w:val="16"/>
                <w:szCs w:val="16"/>
                <w:lang w:eastAsia="en-AU"/>
              </w:rPr>
              <w:t>2%</w:t>
            </w:r>
          </w:p>
        </w:tc>
        <w:tc>
          <w:tcPr>
            <w:tcW w:w="570" w:type="dxa"/>
            <w:tcBorders>
              <w:top w:val="nil"/>
              <w:left w:val="nil"/>
              <w:bottom w:val="single" w:sz="4" w:space="0" w:color="auto"/>
              <w:right w:val="single" w:sz="4" w:space="0" w:color="auto"/>
            </w:tcBorders>
            <w:shd w:val="clear" w:color="auto" w:fill="auto"/>
            <w:noWrap/>
            <w:vAlign w:val="bottom"/>
            <w:hideMark/>
          </w:tcPr>
          <w:p w14:paraId="240F4427" w14:textId="77777777" w:rsidR="00A91679" w:rsidRPr="0038472A" w:rsidRDefault="00A91679" w:rsidP="006D687C">
            <w:pPr>
              <w:spacing w:after="0"/>
              <w:jc w:val="right"/>
              <w:rPr>
                <w:rFonts w:cs="Arial"/>
                <w:sz w:val="16"/>
                <w:szCs w:val="16"/>
                <w:lang w:eastAsia="en-AU"/>
              </w:rPr>
            </w:pPr>
            <w:r w:rsidRPr="0038472A">
              <w:rPr>
                <w:rFonts w:cs="Arial"/>
                <w:sz w:val="16"/>
                <w:szCs w:val="16"/>
                <w:lang w:eastAsia="en-AU"/>
              </w:rPr>
              <w:t>0%</w:t>
            </w:r>
          </w:p>
        </w:tc>
        <w:tc>
          <w:tcPr>
            <w:tcW w:w="767" w:type="dxa"/>
            <w:tcBorders>
              <w:top w:val="nil"/>
              <w:left w:val="nil"/>
              <w:bottom w:val="single" w:sz="4" w:space="0" w:color="auto"/>
              <w:right w:val="single" w:sz="4" w:space="0" w:color="auto"/>
            </w:tcBorders>
            <w:shd w:val="clear" w:color="auto" w:fill="auto"/>
            <w:noWrap/>
            <w:vAlign w:val="bottom"/>
            <w:hideMark/>
          </w:tcPr>
          <w:p w14:paraId="78B65871" w14:textId="77777777" w:rsidR="00A91679" w:rsidRPr="0038472A" w:rsidRDefault="00A91679" w:rsidP="006D687C">
            <w:pPr>
              <w:spacing w:after="0"/>
              <w:jc w:val="right"/>
              <w:rPr>
                <w:rFonts w:cs="Arial"/>
                <w:sz w:val="16"/>
                <w:szCs w:val="16"/>
                <w:lang w:eastAsia="en-AU"/>
              </w:rPr>
            </w:pPr>
            <w:r w:rsidRPr="0038472A">
              <w:rPr>
                <w:rFonts w:cs="Arial"/>
                <w:sz w:val="16"/>
                <w:szCs w:val="16"/>
                <w:lang w:eastAsia="en-AU"/>
              </w:rPr>
              <w:t>1%</w:t>
            </w:r>
          </w:p>
        </w:tc>
      </w:tr>
      <w:tr w:rsidR="0038472A" w:rsidRPr="0038472A" w14:paraId="68B02087" w14:textId="77777777" w:rsidTr="0038472A">
        <w:trPr>
          <w:trHeight w:val="298"/>
        </w:trPr>
        <w:tc>
          <w:tcPr>
            <w:tcW w:w="651" w:type="dxa"/>
            <w:tcBorders>
              <w:top w:val="nil"/>
              <w:left w:val="single" w:sz="4" w:space="0" w:color="auto"/>
              <w:bottom w:val="single" w:sz="4" w:space="0" w:color="auto"/>
              <w:right w:val="single" w:sz="4" w:space="0" w:color="auto"/>
            </w:tcBorders>
            <w:shd w:val="clear" w:color="auto" w:fill="auto"/>
            <w:noWrap/>
            <w:vAlign w:val="bottom"/>
            <w:hideMark/>
          </w:tcPr>
          <w:p w14:paraId="740F404E" w14:textId="77777777" w:rsidR="00A91679" w:rsidRPr="0038472A" w:rsidRDefault="00A91679" w:rsidP="006D687C">
            <w:pPr>
              <w:spacing w:after="0"/>
              <w:jc w:val="right"/>
              <w:rPr>
                <w:rFonts w:cs="Arial"/>
                <w:sz w:val="16"/>
                <w:szCs w:val="16"/>
                <w:lang w:eastAsia="en-AU"/>
              </w:rPr>
            </w:pPr>
            <w:r w:rsidRPr="0038472A">
              <w:rPr>
                <w:rFonts w:cs="Arial"/>
                <w:sz w:val="16"/>
                <w:szCs w:val="16"/>
                <w:lang w:eastAsia="en-AU"/>
              </w:rPr>
              <w:t>3052</w:t>
            </w:r>
          </w:p>
        </w:tc>
        <w:tc>
          <w:tcPr>
            <w:tcW w:w="728" w:type="dxa"/>
            <w:tcBorders>
              <w:top w:val="nil"/>
              <w:left w:val="nil"/>
              <w:bottom w:val="single" w:sz="4" w:space="0" w:color="auto"/>
              <w:right w:val="single" w:sz="4" w:space="0" w:color="auto"/>
            </w:tcBorders>
            <w:shd w:val="clear" w:color="auto" w:fill="auto"/>
            <w:noWrap/>
            <w:vAlign w:val="bottom"/>
            <w:hideMark/>
          </w:tcPr>
          <w:p w14:paraId="0822F4D0" w14:textId="77777777" w:rsidR="00A91679" w:rsidRPr="0038472A" w:rsidRDefault="00A91679" w:rsidP="006D687C">
            <w:pPr>
              <w:spacing w:after="0"/>
              <w:jc w:val="right"/>
              <w:rPr>
                <w:rFonts w:cs="Arial"/>
                <w:sz w:val="16"/>
                <w:szCs w:val="16"/>
                <w:lang w:eastAsia="en-AU"/>
              </w:rPr>
            </w:pPr>
            <w:r w:rsidRPr="0038472A">
              <w:rPr>
                <w:rFonts w:cs="Arial"/>
                <w:sz w:val="16"/>
                <w:szCs w:val="16"/>
                <w:lang w:eastAsia="en-AU"/>
              </w:rPr>
              <w:t>5%</w:t>
            </w:r>
          </w:p>
        </w:tc>
        <w:tc>
          <w:tcPr>
            <w:tcW w:w="243" w:type="dxa"/>
            <w:tcBorders>
              <w:top w:val="nil"/>
              <w:left w:val="nil"/>
              <w:bottom w:val="single" w:sz="4" w:space="0" w:color="auto"/>
              <w:right w:val="single" w:sz="4" w:space="0" w:color="auto"/>
            </w:tcBorders>
            <w:shd w:val="clear" w:color="auto" w:fill="auto"/>
            <w:noWrap/>
            <w:vAlign w:val="bottom"/>
            <w:hideMark/>
          </w:tcPr>
          <w:p w14:paraId="4016886F" w14:textId="77777777" w:rsidR="00A91679" w:rsidRPr="0038472A" w:rsidRDefault="00A91679" w:rsidP="006D687C">
            <w:pPr>
              <w:spacing w:after="0"/>
              <w:jc w:val="right"/>
              <w:rPr>
                <w:rFonts w:cs="Arial"/>
                <w:sz w:val="16"/>
                <w:szCs w:val="16"/>
                <w:lang w:eastAsia="en-AU"/>
              </w:rPr>
            </w:pPr>
            <w:r w:rsidRPr="0038472A">
              <w:rPr>
                <w:rFonts w:cs="Arial"/>
                <w:sz w:val="16"/>
                <w:szCs w:val="16"/>
                <w:lang w:eastAsia="en-AU"/>
              </w:rPr>
              <w:t>0%</w:t>
            </w:r>
          </w:p>
        </w:tc>
        <w:tc>
          <w:tcPr>
            <w:tcW w:w="907" w:type="dxa"/>
            <w:tcBorders>
              <w:top w:val="nil"/>
              <w:left w:val="nil"/>
              <w:bottom w:val="single" w:sz="4" w:space="0" w:color="auto"/>
              <w:right w:val="single" w:sz="4" w:space="0" w:color="auto"/>
            </w:tcBorders>
            <w:shd w:val="clear" w:color="auto" w:fill="auto"/>
            <w:noWrap/>
            <w:vAlign w:val="bottom"/>
            <w:hideMark/>
          </w:tcPr>
          <w:p w14:paraId="3B7CDEFE" w14:textId="77777777" w:rsidR="00A91679" w:rsidRPr="0038472A" w:rsidRDefault="00A91679" w:rsidP="006D687C">
            <w:pPr>
              <w:spacing w:after="0"/>
              <w:jc w:val="right"/>
              <w:rPr>
                <w:rFonts w:cs="Arial"/>
                <w:sz w:val="16"/>
                <w:szCs w:val="16"/>
                <w:lang w:eastAsia="en-AU"/>
              </w:rPr>
            </w:pPr>
            <w:r w:rsidRPr="0038472A">
              <w:rPr>
                <w:rFonts w:cs="Arial"/>
                <w:sz w:val="16"/>
                <w:szCs w:val="16"/>
                <w:lang w:eastAsia="en-AU"/>
              </w:rPr>
              <w:t>0%</w:t>
            </w:r>
          </w:p>
        </w:tc>
        <w:tc>
          <w:tcPr>
            <w:tcW w:w="478" w:type="dxa"/>
            <w:tcBorders>
              <w:top w:val="nil"/>
              <w:left w:val="nil"/>
              <w:bottom w:val="single" w:sz="4" w:space="0" w:color="auto"/>
              <w:right w:val="single" w:sz="4" w:space="0" w:color="auto"/>
            </w:tcBorders>
            <w:shd w:val="clear" w:color="auto" w:fill="auto"/>
            <w:noWrap/>
            <w:vAlign w:val="bottom"/>
            <w:hideMark/>
          </w:tcPr>
          <w:p w14:paraId="408399DA" w14:textId="77777777" w:rsidR="00A91679" w:rsidRPr="0038472A" w:rsidRDefault="00A91679" w:rsidP="006D687C">
            <w:pPr>
              <w:spacing w:after="0"/>
              <w:jc w:val="right"/>
              <w:rPr>
                <w:rFonts w:cs="Arial"/>
                <w:sz w:val="16"/>
                <w:szCs w:val="16"/>
                <w:lang w:eastAsia="en-AU"/>
              </w:rPr>
            </w:pPr>
            <w:r w:rsidRPr="0038472A">
              <w:rPr>
                <w:rFonts w:cs="Arial"/>
                <w:sz w:val="16"/>
                <w:szCs w:val="16"/>
                <w:lang w:eastAsia="en-AU"/>
              </w:rPr>
              <w:t>0%</w:t>
            </w:r>
          </w:p>
        </w:tc>
        <w:tc>
          <w:tcPr>
            <w:tcW w:w="663" w:type="dxa"/>
            <w:tcBorders>
              <w:top w:val="nil"/>
              <w:left w:val="nil"/>
              <w:bottom w:val="single" w:sz="4" w:space="0" w:color="auto"/>
              <w:right w:val="single" w:sz="4" w:space="0" w:color="auto"/>
            </w:tcBorders>
            <w:shd w:val="clear" w:color="auto" w:fill="auto"/>
            <w:noWrap/>
            <w:vAlign w:val="bottom"/>
            <w:hideMark/>
          </w:tcPr>
          <w:p w14:paraId="13B22966" w14:textId="77777777" w:rsidR="00A91679" w:rsidRPr="0038472A" w:rsidRDefault="00A91679" w:rsidP="006D687C">
            <w:pPr>
              <w:spacing w:after="0"/>
              <w:jc w:val="right"/>
              <w:rPr>
                <w:rFonts w:cs="Arial"/>
                <w:sz w:val="16"/>
                <w:szCs w:val="16"/>
                <w:lang w:eastAsia="en-AU"/>
              </w:rPr>
            </w:pPr>
            <w:r w:rsidRPr="0038472A">
              <w:rPr>
                <w:rFonts w:cs="Arial"/>
                <w:sz w:val="16"/>
                <w:szCs w:val="16"/>
                <w:lang w:eastAsia="en-AU"/>
              </w:rPr>
              <w:t>0%</w:t>
            </w:r>
          </w:p>
        </w:tc>
        <w:tc>
          <w:tcPr>
            <w:tcW w:w="680" w:type="dxa"/>
            <w:tcBorders>
              <w:top w:val="nil"/>
              <w:left w:val="nil"/>
              <w:bottom w:val="single" w:sz="4" w:space="0" w:color="auto"/>
              <w:right w:val="single" w:sz="4" w:space="0" w:color="auto"/>
            </w:tcBorders>
            <w:shd w:val="clear" w:color="auto" w:fill="auto"/>
            <w:noWrap/>
            <w:vAlign w:val="bottom"/>
            <w:hideMark/>
          </w:tcPr>
          <w:p w14:paraId="34EAE26E" w14:textId="77777777" w:rsidR="00A91679" w:rsidRPr="0038472A" w:rsidRDefault="00A91679" w:rsidP="006D687C">
            <w:pPr>
              <w:spacing w:after="0"/>
              <w:jc w:val="right"/>
              <w:rPr>
                <w:rFonts w:cs="Arial"/>
                <w:sz w:val="16"/>
                <w:szCs w:val="16"/>
                <w:lang w:eastAsia="en-AU"/>
              </w:rPr>
            </w:pPr>
            <w:r w:rsidRPr="0038472A">
              <w:rPr>
                <w:rFonts w:cs="Arial"/>
                <w:sz w:val="16"/>
                <w:szCs w:val="16"/>
                <w:lang w:eastAsia="en-AU"/>
              </w:rPr>
              <w:t>13%</w:t>
            </w:r>
          </w:p>
        </w:tc>
        <w:tc>
          <w:tcPr>
            <w:tcW w:w="721" w:type="dxa"/>
            <w:tcBorders>
              <w:top w:val="nil"/>
              <w:left w:val="nil"/>
              <w:bottom w:val="single" w:sz="4" w:space="0" w:color="auto"/>
              <w:right w:val="single" w:sz="4" w:space="0" w:color="auto"/>
            </w:tcBorders>
            <w:shd w:val="clear" w:color="auto" w:fill="auto"/>
            <w:noWrap/>
            <w:vAlign w:val="bottom"/>
            <w:hideMark/>
          </w:tcPr>
          <w:p w14:paraId="31FD6E87" w14:textId="77777777" w:rsidR="00A91679" w:rsidRPr="0038472A" w:rsidRDefault="00A91679" w:rsidP="006D687C">
            <w:pPr>
              <w:spacing w:after="0"/>
              <w:jc w:val="right"/>
              <w:rPr>
                <w:rFonts w:cs="Arial"/>
                <w:sz w:val="16"/>
                <w:szCs w:val="16"/>
                <w:lang w:eastAsia="en-AU"/>
              </w:rPr>
            </w:pPr>
            <w:r w:rsidRPr="0038472A">
              <w:rPr>
                <w:rFonts w:cs="Arial"/>
                <w:sz w:val="16"/>
                <w:szCs w:val="16"/>
                <w:lang w:eastAsia="en-AU"/>
              </w:rPr>
              <w:t>42%</w:t>
            </w:r>
          </w:p>
        </w:tc>
        <w:tc>
          <w:tcPr>
            <w:tcW w:w="895" w:type="dxa"/>
            <w:tcBorders>
              <w:top w:val="nil"/>
              <w:left w:val="nil"/>
              <w:bottom w:val="single" w:sz="4" w:space="0" w:color="auto"/>
              <w:right w:val="single" w:sz="4" w:space="0" w:color="auto"/>
            </w:tcBorders>
            <w:shd w:val="clear" w:color="auto" w:fill="auto"/>
            <w:noWrap/>
            <w:vAlign w:val="bottom"/>
            <w:hideMark/>
          </w:tcPr>
          <w:p w14:paraId="6285FF57" w14:textId="77777777" w:rsidR="00A91679" w:rsidRPr="0038472A" w:rsidRDefault="00A91679" w:rsidP="006D687C">
            <w:pPr>
              <w:spacing w:after="0"/>
              <w:jc w:val="right"/>
              <w:rPr>
                <w:rFonts w:cs="Arial"/>
                <w:sz w:val="16"/>
                <w:szCs w:val="16"/>
                <w:lang w:eastAsia="en-AU"/>
              </w:rPr>
            </w:pPr>
            <w:r w:rsidRPr="0038472A">
              <w:rPr>
                <w:rFonts w:cs="Arial"/>
                <w:sz w:val="16"/>
                <w:szCs w:val="16"/>
                <w:lang w:eastAsia="en-AU"/>
              </w:rPr>
              <w:t>1%</w:t>
            </w:r>
          </w:p>
        </w:tc>
        <w:tc>
          <w:tcPr>
            <w:tcW w:w="773" w:type="dxa"/>
            <w:tcBorders>
              <w:top w:val="nil"/>
              <w:left w:val="nil"/>
              <w:bottom w:val="single" w:sz="4" w:space="0" w:color="auto"/>
              <w:right w:val="single" w:sz="4" w:space="0" w:color="auto"/>
            </w:tcBorders>
            <w:shd w:val="clear" w:color="auto" w:fill="auto"/>
            <w:noWrap/>
            <w:vAlign w:val="bottom"/>
            <w:hideMark/>
          </w:tcPr>
          <w:p w14:paraId="49A1A5B0" w14:textId="77777777" w:rsidR="00A91679" w:rsidRPr="0038472A" w:rsidRDefault="00A91679" w:rsidP="006D687C">
            <w:pPr>
              <w:spacing w:after="0"/>
              <w:jc w:val="right"/>
              <w:rPr>
                <w:rFonts w:cs="Arial"/>
                <w:sz w:val="16"/>
                <w:szCs w:val="16"/>
                <w:lang w:eastAsia="en-AU"/>
              </w:rPr>
            </w:pPr>
            <w:r w:rsidRPr="0038472A">
              <w:rPr>
                <w:rFonts w:cs="Arial"/>
                <w:sz w:val="16"/>
                <w:szCs w:val="16"/>
                <w:lang w:eastAsia="en-AU"/>
              </w:rPr>
              <w:t>0%</w:t>
            </w:r>
          </w:p>
        </w:tc>
        <w:tc>
          <w:tcPr>
            <w:tcW w:w="733" w:type="dxa"/>
            <w:tcBorders>
              <w:top w:val="nil"/>
              <w:left w:val="nil"/>
              <w:bottom w:val="single" w:sz="4" w:space="0" w:color="auto"/>
              <w:right w:val="single" w:sz="4" w:space="0" w:color="auto"/>
            </w:tcBorders>
            <w:shd w:val="clear" w:color="auto" w:fill="auto"/>
            <w:noWrap/>
            <w:vAlign w:val="bottom"/>
            <w:hideMark/>
          </w:tcPr>
          <w:p w14:paraId="595E3F28" w14:textId="77777777" w:rsidR="00A91679" w:rsidRPr="0038472A" w:rsidRDefault="00A91679" w:rsidP="006D687C">
            <w:pPr>
              <w:spacing w:after="0"/>
              <w:jc w:val="right"/>
              <w:rPr>
                <w:rFonts w:cs="Arial"/>
                <w:sz w:val="16"/>
                <w:szCs w:val="16"/>
                <w:lang w:eastAsia="en-AU"/>
              </w:rPr>
            </w:pPr>
            <w:r w:rsidRPr="0038472A">
              <w:rPr>
                <w:rFonts w:cs="Arial"/>
                <w:sz w:val="16"/>
                <w:szCs w:val="16"/>
                <w:lang w:eastAsia="en-AU"/>
              </w:rPr>
              <w:t>35%</w:t>
            </w:r>
          </w:p>
        </w:tc>
        <w:tc>
          <w:tcPr>
            <w:tcW w:w="965" w:type="dxa"/>
            <w:tcBorders>
              <w:top w:val="nil"/>
              <w:left w:val="nil"/>
              <w:bottom w:val="single" w:sz="4" w:space="0" w:color="auto"/>
              <w:right w:val="single" w:sz="4" w:space="0" w:color="auto"/>
            </w:tcBorders>
            <w:shd w:val="clear" w:color="auto" w:fill="auto"/>
            <w:noWrap/>
            <w:vAlign w:val="bottom"/>
            <w:hideMark/>
          </w:tcPr>
          <w:p w14:paraId="0FA9C2CB" w14:textId="77777777" w:rsidR="00A91679" w:rsidRPr="0038472A" w:rsidRDefault="00A91679" w:rsidP="006D687C">
            <w:pPr>
              <w:spacing w:after="0"/>
              <w:jc w:val="right"/>
              <w:rPr>
                <w:rFonts w:cs="Arial"/>
                <w:sz w:val="16"/>
                <w:szCs w:val="16"/>
                <w:lang w:eastAsia="en-AU"/>
              </w:rPr>
            </w:pPr>
            <w:r w:rsidRPr="0038472A">
              <w:rPr>
                <w:rFonts w:cs="Arial"/>
                <w:sz w:val="16"/>
                <w:szCs w:val="16"/>
                <w:lang w:eastAsia="en-AU"/>
              </w:rPr>
              <w:t>2%</w:t>
            </w:r>
          </w:p>
        </w:tc>
        <w:tc>
          <w:tcPr>
            <w:tcW w:w="570" w:type="dxa"/>
            <w:tcBorders>
              <w:top w:val="nil"/>
              <w:left w:val="nil"/>
              <w:bottom w:val="single" w:sz="4" w:space="0" w:color="auto"/>
              <w:right w:val="single" w:sz="4" w:space="0" w:color="auto"/>
            </w:tcBorders>
            <w:shd w:val="clear" w:color="auto" w:fill="auto"/>
            <w:noWrap/>
            <w:vAlign w:val="bottom"/>
            <w:hideMark/>
          </w:tcPr>
          <w:p w14:paraId="7EA29060" w14:textId="77777777" w:rsidR="00A91679" w:rsidRPr="0038472A" w:rsidRDefault="00A91679" w:rsidP="006D687C">
            <w:pPr>
              <w:spacing w:after="0"/>
              <w:jc w:val="right"/>
              <w:rPr>
                <w:rFonts w:cs="Arial"/>
                <w:sz w:val="16"/>
                <w:szCs w:val="16"/>
                <w:lang w:eastAsia="en-AU"/>
              </w:rPr>
            </w:pPr>
            <w:r w:rsidRPr="0038472A">
              <w:rPr>
                <w:rFonts w:cs="Arial"/>
                <w:sz w:val="16"/>
                <w:szCs w:val="16"/>
                <w:lang w:eastAsia="en-AU"/>
              </w:rPr>
              <w:t>1%</w:t>
            </w:r>
          </w:p>
        </w:tc>
        <w:tc>
          <w:tcPr>
            <w:tcW w:w="767" w:type="dxa"/>
            <w:tcBorders>
              <w:top w:val="nil"/>
              <w:left w:val="nil"/>
              <w:bottom w:val="single" w:sz="4" w:space="0" w:color="auto"/>
              <w:right w:val="single" w:sz="4" w:space="0" w:color="auto"/>
            </w:tcBorders>
            <w:shd w:val="clear" w:color="auto" w:fill="auto"/>
            <w:noWrap/>
            <w:vAlign w:val="bottom"/>
            <w:hideMark/>
          </w:tcPr>
          <w:p w14:paraId="3D89C0A4" w14:textId="77777777" w:rsidR="00A91679" w:rsidRPr="0038472A" w:rsidRDefault="00A91679" w:rsidP="006D687C">
            <w:pPr>
              <w:spacing w:after="0"/>
              <w:jc w:val="right"/>
              <w:rPr>
                <w:rFonts w:cs="Arial"/>
                <w:sz w:val="16"/>
                <w:szCs w:val="16"/>
                <w:lang w:eastAsia="en-AU"/>
              </w:rPr>
            </w:pPr>
            <w:r w:rsidRPr="0038472A">
              <w:rPr>
                <w:rFonts w:cs="Arial"/>
                <w:sz w:val="16"/>
                <w:szCs w:val="16"/>
                <w:lang w:eastAsia="en-AU"/>
              </w:rPr>
              <w:t>0%</w:t>
            </w:r>
          </w:p>
        </w:tc>
      </w:tr>
      <w:tr w:rsidR="0038472A" w:rsidRPr="0038472A" w14:paraId="25D728B8" w14:textId="77777777" w:rsidTr="0038472A">
        <w:trPr>
          <w:trHeight w:val="298"/>
        </w:trPr>
        <w:tc>
          <w:tcPr>
            <w:tcW w:w="651" w:type="dxa"/>
            <w:tcBorders>
              <w:top w:val="nil"/>
              <w:left w:val="single" w:sz="4" w:space="0" w:color="auto"/>
              <w:bottom w:val="single" w:sz="4" w:space="0" w:color="auto"/>
              <w:right w:val="single" w:sz="4" w:space="0" w:color="auto"/>
            </w:tcBorders>
            <w:shd w:val="clear" w:color="auto" w:fill="auto"/>
            <w:noWrap/>
            <w:vAlign w:val="bottom"/>
            <w:hideMark/>
          </w:tcPr>
          <w:p w14:paraId="47DCC9C9" w14:textId="77777777" w:rsidR="00A91679" w:rsidRPr="0038472A" w:rsidRDefault="00A91679" w:rsidP="006D687C">
            <w:pPr>
              <w:spacing w:after="0"/>
              <w:jc w:val="right"/>
              <w:rPr>
                <w:rFonts w:cs="Arial"/>
                <w:sz w:val="16"/>
                <w:szCs w:val="16"/>
                <w:lang w:eastAsia="en-AU"/>
              </w:rPr>
            </w:pPr>
            <w:r w:rsidRPr="0038472A">
              <w:rPr>
                <w:rFonts w:cs="Arial"/>
                <w:sz w:val="16"/>
                <w:szCs w:val="16"/>
                <w:lang w:eastAsia="en-AU"/>
              </w:rPr>
              <w:t>3053</w:t>
            </w:r>
          </w:p>
        </w:tc>
        <w:tc>
          <w:tcPr>
            <w:tcW w:w="728" w:type="dxa"/>
            <w:tcBorders>
              <w:top w:val="nil"/>
              <w:left w:val="nil"/>
              <w:bottom w:val="single" w:sz="4" w:space="0" w:color="auto"/>
              <w:right w:val="single" w:sz="4" w:space="0" w:color="auto"/>
            </w:tcBorders>
            <w:shd w:val="clear" w:color="auto" w:fill="auto"/>
            <w:noWrap/>
            <w:vAlign w:val="bottom"/>
            <w:hideMark/>
          </w:tcPr>
          <w:p w14:paraId="7C360FB0" w14:textId="77777777" w:rsidR="00A91679" w:rsidRPr="0038472A" w:rsidRDefault="00A91679" w:rsidP="006D687C">
            <w:pPr>
              <w:spacing w:after="0"/>
              <w:jc w:val="right"/>
              <w:rPr>
                <w:rFonts w:cs="Arial"/>
                <w:sz w:val="16"/>
                <w:szCs w:val="16"/>
                <w:lang w:eastAsia="en-AU"/>
              </w:rPr>
            </w:pPr>
            <w:r w:rsidRPr="0038472A">
              <w:rPr>
                <w:rFonts w:cs="Arial"/>
                <w:sz w:val="16"/>
                <w:szCs w:val="16"/>
                <w:lang w:eastAsia="en-AU"/>
              </w:rPr>
              <w:t>20%</w:t>
            </w:r>
          </w:p>
        </w:tc>
        <w:tc>
          <w:tcPr>
            <w:tcW w:w="243" w:type="dxa"/>
            <w:tcBorders>
              <w:top w:val="nil"/>
              <w:left w:val="nil"/>
              <w:bottom w:val="single" w:sz="4" w:space="0" w:color="auto"/>
              <w:right w:val="single" w:sz="4" w:space="0" w:color="auto"/>
            </w:tcBorders>
            <w:shd w:val="clear" w:color="auto" w:fill="auto"/>
            <w:noWrap/>
            <w:vAlign w:val="bottom"/>
            <w:hideMark/>
          </w:tcPr>
          <w:p w14:paraId="4104D3D0" w14:textId="77777777" w:rsidR="00A91679" w:rsidRPr="0038472A" w:rsidRDefault="00A91679" w:rsidP="006D687C">
            <w:pPr>
              <w:spacing w:after="0"/>
              <w:jc w:val="right"/>
              <w:rPr>
                <w:rFonts w:cs="Arial"/>
                <w:sz w:val="16"/>
                <w:szCs w:val="16"/>
                <w:lang w:eastAsia="en-AU"/>
              </w:rPr>
            </w:pPr>
            <w:r w:rsidRPr="0038472A">
              <w:rPr>
                <w:rFonts w:cs="Arial"/>
                <w:sz w:val="16"/>
                <w:szCs w:val="16"/>
                <w:lang w:eastAsia="en-AU"/>
              </w:rPr>
              <w:t>3%</w:t>
            </w:r>
          </w:p>
        </w:tc>
        <w:tc>
          <w:tcPr>
            <w:tcW w:w="907" w:type="dxa"/>
            <w:tcBorders>
              <w:top w:val="nil"/>
              <w:left w:val="nil"/>
              <w:bottom w:val="single" w:sz="4" w:space="0" w:color="auto"/>
              <w:right w:val="single" w:sz="4" w:space="0" w:color="auto"/>
            </w:tcBorders>
            <w:shd w:val="clear" w:color="auto" w:fill="auto"/>
            <w:noWrap/>
            <w:vAlign w:val="bottom"/>
            <w:hideMark/>
          </w:tcPr>
          <w:p w14:paraId="713EBC95" w14:textId="77777777" w:rsidR="00A91679" w:rsidRPr="0038472A" w:rsidRDefault="00A91679" w:rsidP="006D687C">
            <w:pPr>
              <w:spacing w:after="0"/>
              <w:jc w:val="right"/>
              <w:rPr>
                <w:rFonts w:cs="Arial"/>
                <w:sz w:val="16"/>
                <w:szCs w:val="16"/>
                <w:lang w:eastAsia="en-AU"/>
              </w:rPr>
            </w:pPr>
            <w:r w:rsidRPr="0038472A">
              <w:rPr>
                <w:rFonts w:cs="Arial"/>
                <w:sz w:val="16"/>
                <w:szCs w:val="16"/>
                <w:lang w:eastAsia="en-AU"/>
              </w:rPr>
              <w:t>1%</w:t>
            </w:r>
          </w:p>
        </w:tc>
        <w:tc>
          <w:tcPr>
            <w:tcW w:w="478" w:type="dxa"/>
            <w:tcBorders>
              <w:top w:val="nil"/>
              <w:left w:val="nil"/>
              <w:bottom w:val="single" w:sz="4" w:space="0" w:color="auto"/>
              <w:right w:val="single" w:sz="4" w:space="0" w:color="auto"/>
            </w:tcBorders>
            <w:shd w:val="clear" w:color="auto" w:fill="auto"/>
            <w:noWrap/>
            <w:vAlign w:val="bottom"/>
            <w:hideMark/>
          </w:tcPr>
          <w:p w14:paraId="0ED5A129" w14:textId="77777777" w:rsidR="00A91679" w:rsidRPr="0038472A" w:rsidRDefault="00A91679" w:rsidP="006D687C">
            <w:pPr>
              <w:spacing w:after="0"/>
              <w:jc w:val="right"/>
              <w:rPr>
                <w:rFonts w:cs="Arial"/>
                <w:sz w:val="16"/>
                <w:szCs w:val="16"/>
                <w:lang w:eastAsia="en-AU"/>
              </w:rPr>
            </w:pPr>
            <w:r w:rsidRPr="0038472A">
              <w:rPr>
                <w:rFonts w:cs="Arial"/>
                <w:sz w:val="16"/>
                <w:szCs w:val="16"/>
                <w:lang w:eastAsia="en-AU"/>
              </w:rPr>
              <w:t>0%</w:t>
            </w:r>
          </w:p>
        </w:tc>
        <w:tc>
          <w:tcPr>
            <w:tcW w:w="663" w:type="dxa"/>
            <w:tcBorders>
              <w:top w:val="nil"/>
              <w:left w:val="nil"/>
              <w:bottom w:val="single" w:sz="4" w:space="0" w:color="auto"/>
              <w:right w:val="single" w:sz="4" w:space="0" w:color="auto"/>
            </w:tcBorders>
            <w:shd w:val="clear" w:color="auto" w:fill="auto"/>
            <w:noWrap/>
            <w:vAlign w:val="bottom"/>
            <w:hideMark/>
          </w:tcPr>
          <w:p w14:paraId="34944D47" w14:textId="77777777" w:rsidR="00A91679" w:rsidRPr="0038472A" w:rsidRDefault="00A91679" w:rsidP="006D687C">
            <w:pPr>
              <w:spacing w:after="0"/>
              <w:jc w:val="right"/>
              <w:rPr>
                <w:rFonts w:cs="Arial"/>
                <w:sz w:val="16"/>
                <w:szCs w:val="16"/>
                <w:lang w:eastAsia="en-AU"/>
              </w:rPr>
            </w:pPr>
            <w:r w:rsidRPr="0038472A">
              <w:rPr>
                <w:rFonts w:cs="Arial"/>
                <w:sz w:val="16"/>
                <w:szCs w:val="16"/>
                <w:lang w:eastAsia="en-AU"/>
              </w:rPr>
              <w:t>0%</w:t>
            </w:r>
          </w:p>
        </w:tc>
        <w:tc>
          <w:tcPr>
            <w:tcW w:w="680" w:type="dxa"/>
            <w:tcBorders>
              <w:top w:val="nil"/>
              <w:left w:val="nil"/>
              <w:bottom w:val="single" w:sz="4" w:space="0" w:color="auto"/>
              <w:right w:val="single" w:sz="4" w:space="0" w:color="auto"/>
            </w:tcBorders>
            <w:shd w:val="clear" w:color="auto" w:fill="auto"/>
            <w:noWrap/>
            <w:vAlign w:val="bottom"/>
            <w:hideMark/>
          </w:tcPr>
          <w:p w14:paraId="38657D27" w14:textId="77777777" w:rsidR="00A91679" w:rsidRPr="0038472A" w:rsidRDefault="00A91679" w:rsidP="006D687C">
            <w:pPr>
              <w:spacing w:after="0"/>
              <w:jc w:val="right"/>
              <w:rPr>
                <w:rFonts w:cs="Arial"/>
                <w:sz w:val="16"/>
                <w:szCs w:val="16"/>
                <w:lang w:eastAsia="en-AU"/>
              </w:rPr>
            </w:pPr>
            <w:r w:rsidRPr="0038472A">
              <w:rPr>
                <w:rFonts w:cs="Arial"/>
                <w:sz w:val="16"/>
                <w:szCs w:val="16"/>
                <w:lang w:eastAsia="en-AU"/>
              </w:rPr>
              <w:t>11%</w:t>
            </w:r>
          </w:p>
        </w:tc>
        <w:tc>
          <w:tcPr>
            <w:tcW w:w="721" w:type="dxa"/>
            <w:tcBorders>
              <w:top w:val="nil"/>
              <w:left w:val="nil"/>
              <w:bottom w:val="single" w:sz="4" w:space="0" w:color="auto"/>
              <w:right w:val="single" w:sz="4" w:space="0" w:color="auto"/>
            </w:tcBorders>
            <w:shd w:val="clear" w:color="auto" w:fill="auto"/>
            <w:noWrap/>
            <w:vAlign w:val="bottom"/>
            <w:hideMark/>
          </w:tcPr>
          <w:p w14:paraId="287F0B46" w14:textId="77777777" w:rsidR="00A91679" w:rsidRPr="0038472A" w:rsidRDefault="00A91679" w:rsidP="006D687C">
            <w:pPr>
              <w:spacing w:after="0"/>
              <w:jc w:val="right"/>
              <w:rPr>
                <w:rFonts w:cs="Arial"/>
                <w:sz w:val="16"/>
                <w:szCs w:val="16"/>
                <w:lang w:eastAsia="en-AU"/>
              </w:rPr>
            </w:pPr>
            <w:r w:rsidRPr="0038472A">
              <w:rPr>
                <w:rFonts w:cs="Arial"/>
                <w:sz w:val="16"/>
                <w:szCs w:val="16"/>
                <w:lang w:eastAsia="en-AU"/>
              </w:rPr>
              <w:t>4%</w:t>
            </w:r>
          </w:p>
        </w:tc>
        <w:tc>
          <w:tcPr>
            <w:tcW w:w="895" w:type="dxa"/>
            <w:tcBorders>
              <w:top w:val="nil"/>
              <w:left w:val="nil"/>
              <w:bottom w:val="single" w:sz="4" w:space="0" w:color="auto"/>
              <w:right w:val="single" w:sz="4" w:space="0" w:color="auto"/>
            </w:tcBorders>
            <w:shd w:val="clear" w:color="auto" w:fill="auto"/>
            <w:noWrap/>
            <w:vAlign w:val="bottom"/>
            <w:hideMark/>
          </w:tcPr>
          <w:p w14:paraId="2CE0488F" w14:textId="77777777" w:rsidR="00A91679" w:rsidRPr="0038472A" w:rsidRDefault="00A91679" w:rsidP="006D687C">
            <w:pPr>
              <w:spacing w:after="0"/>
              <w:jc w:val="right"/>
              <w:rPr>
                <w:rFonts w:cs="Arial"/>
                <w:sz w:val="16"/>
                <w:szCs w:val="16"/>
                <w:lang w:eastAsia="en-AU"/>
              </w:rPr>
            </w:pPr>
            <w:r w:rsidRPr="0038472A">
              <w:rPr>
                <w:rFonts w:cs="Arial"/>
                <w:sz w:val="16"/>
                <w:szCs w:val="16"/>
                <w:lang w:eastAsia="en-AU"/>
              </w:rPr>
              <w:t>3%</w:t>
            </w:r>
          </w:p>
        </w:tc>
        <w:tc>
          <w:tcPr>
            <w:tcW w:w="773" w:type="dxa"/>
            <w:tcBorders>
              <w:top w:val="nil"/>
              <w:left w:val="nil"/>
              <w:bottom w:val="single" w:sz="4" w:space="0" w:color="auto"/>
              <w:right w:val="single" w:sz="4" w:space="0" w:color="auto"/>
            </w:tcBorders>
            <w:shd w:val="clear" w:color="auto" w:fill="auto"/>
            <w:noWrap/>
            <w:vAlign w:val="bottom"/>
            <w:hideMark/>
          </w:tcPr>
          <w:p w14:paraId="334C5E68" w14:textId="77777777" w:rsidR="00A91679" w:rsidRPr="0038472A" w:rsidRDefault="00A91679" w:rsidP="006D687C">
            <w:pPr>
              <w:spacing w:after="0"/>
              <w:jc w:val="right"/>
              <w:rPr>
                <w:rFonts w:cs="Arial"/>
                <w:sz w:val="16"/>
                <w:szCs w:val="16"/>
                <w:lang w:eastAsia="en-AU"/>
              </w:rPr>
            </w:pPr>
            <w:r w:rsidRPr="0038472A">
              <w:rPr>
                <w:rFonts w:cs="Arial"/>
                <w:sz w:val="16"/>
                <w:szCs w:val="16"/>
                <w:lang w:eastAsia="en-AU"/>
              </w:rPr>
              <w:t>3%</w:t>
            </w:r>
          </w:p>
        </w:tc>
        <w:tc>
          <w:tcPr>
            <w:tcW w:w="733" w:type="dxa"/>
            <w:tcBorders>
              <w:top w:val="nil"/>
              <w:left w:val="nil"/>
              <w:bottom w:val="single" w:sz="4" w:space="0" w:color="auto"/>
              <w:right w:val="single" w:sz="4" w:space="0" w:color="auto"/>
            </w:tcBorders>
            <w:shd w:val="clear" w:color="auto" w:fill="auto"/>
            <w:noWrap/>
            <w:vAlign w:val="bottom"/>
            <w:hideMark/>
          </w:tcPr>
          <w:p w14:paraId="13CE8810" w14:textId="77777777" w:rsidR="00A91679" w:rsidRPr="0038472A" w:rsidRDefault="00A91679" w:rsidP="006D687C">
            <w:pPr>
              <w:spacing w:after="0"/>
              <w:jc w:val="right"/>
              <w:rPr>
                <w:rFonts w:cs="Arial"/>
                <w:sz w:val="16"/>
                <w:szCs w:val="16"/>
                <w:lang w:eastAsia="en-AU"/>
              </w:rPr>
            </w:pPr>
            <w:r w:rsidRPr="0038472A">
              <w:rPr>
                <w:rFonts w:cs="Arial"/>
                <w:sz w:val="16"/>
                <w:szCs w:val="16"/>
                <w:lang w:eastAsia="en-AU"/>
              </w:rPr>
              <w:t>50%</w:t>
            </w:r>
          </w:p>
        </w:tc>
        <w:tc>
          <w:tcPr>
            <w:tcW w:w="965" w:type="dxa"/>
            <w:tcBorders>
              <w:top w:val="nil"/>
              <w:left w:val="nil"/>
              <w:bottom w:val="single" w:sz="4" w:space="0" w:color="auto"/>
              <w:right w:val="single" w:sz="4" w:space="0" w:color="auto"/>
            </w:tcBorders>
            <w:shd w:val="clear" w:color="auto" w:fill="auto"/>
            <w:noWrap/>
            <w:vAlign w:val="bottom"/>
            <w:hideMark/>
          </w:tcPr>
          <w:p w14:paraId="75467DD7" w14:textId="77777777" w:rsidR="00A91679" w:rsidRPr="0038472A" w:rsidRDefault="00A91679" w:rsidP="006D687C">
            <w:pPr>
              <w:spacing w:after="0"/>
              <w:jc w:val="right"/>
              <w:rPr>
                <w:rFonts w:cs="Arial"/>
                <w:sz w:val="16"/>
                <w:szCs w:val="16"/>
                <w:lang w:eastAsia="en-AU"/>
              </w:rPr>
            </w:pPr>
            <w:r w:rsidRPr="0038472A">
              <w:rPr>
                <w:rFonts w:cs="Arial"/>
                <w:sz w:val="16"/>
                <w:szCs w:val="16"/>
                <w:lang w:eastAsia="en-AU"/>
              </w:rPr>
              <w:t>3%</w:t>
            </w:r>
          </w:p>
        </w:tc>
        <w:tc>
          <w:tcPr>
            <w:tcW w:w="570" w:type="dxa"/>
            <w:tcBorders>
              <w:top w:val="nil"/>
              <w:left w:val="nil"/>
              <w:bottom w:val="single" w:sz="4" w:space="0" w:color="auto"/>
              <w:right w:val="single" w:sz="4" w:space="0" w:color="auto"/>
            </w:tcBorders>
            <w:shd w:val="clear" w:color="auto" w:fill="auto"/>
            <w:noWrap/>
            <w:vAlign w:val="bottom"/>
            <w:hideMark/>
          </w:tcPr>
          <w:p w14:paraId="2C568B81" w14:textId="77777777" w:rsidR="00A91679" w:rsidRPr="0038472A" w:rsidRDefault="00A91679" w:rsidP="006D687C">
            <w:pPr>
              <w:spacing w:after="0"/>
              <w:jc w:val="right"/>
              <w:rPr>
                <w:rFonts w:cs="Arial"/>
                <w:sz w:val="16"/>
                <w:szCs w:val="16"/>
                <w:lang w:eastAsia="en-AU"/>
              </w:rPr>
            </w:pPr>
            <w:r w:rsidRPr="0038472A">
              <w:rPr>
                <w:rFonts w:cs="Arial"/>
                <w:sz w:val="16"/>
                <w:szCs w:val="16"/>
                <w:lang w:eastAsia="en-AU"/>
              </w:rPr>
              <w:t>1%</w:t>
            </w:r>
          </w:p>
        </w:tc>
        <w:tc>
          <w:tcPr>
            <w:tcW w:w="767" w:type="dxa"/>
            <w:tcBorders>
              <w:top w:val="nil"/>
              <w:left w:val="nil"/>
              <w:bottom w:val="single" w:sz="4" w:space="0" w:color="auto"/>
              <w:right w:val="single" w:sz="4" w:space="0" w:color="auto"/>
            </w:tcBorders>
            <w:shd w:val="clear" w:color="auto" w:fill="auto"/>
            <w:noWrap/>
            <w:vAlign w:val="bottom"/>
            <w:hideMark/>
          </w:tcPr>
          <w:p w14:paraId="0F32AB02" w14:textId="77777777" w:rsidR="00A91679" w:rsidRPr="0038472A" w:rsidRDefault="00A91679" w:rsidP="006D687C">
            <w:pPr>
              <w:spacing w:after="0"/>
              <w:jc w:val="right"/>
              <w:rPr>
                <w:rFonts w:cs="Arial"/>
                <w:sz w:val="16"/>
                <w:szCs w:val="16"/>
                <w:lang w:eastAsia="en-AU"/>
              </w:rPr>
            </w:pPr>
            <w:r w:rsidRPr="0038472A">
              <w:rPr>
                <w:rFonts w:cs="Arial"/>
                <w:sz w:val="16"/>
                <w:szCs w:val="16"/>
                <w:lang w:eastAsia="en-AU"/>
              </w:rPr>
              <w:t>0%</w:t>
            </w:r>
          </w:p>
        </w:tc>
      </w:tr>
      <w:tr w:rsidR="0038472A" w:rsidRPr="0038472A" w14:paraId="5594289A" w14:textId="77777777" w:rsidTr="0038472A">
        <w:trPr>
          <w:trHeight w:val="298"/>
        </w:trPr>
        <w:tc>
          <w:tcPr>
            <w:tcW w:w="651" w:type="dxa"/>
            <w:tcBorders>
              <w:top w:val="nil"/>
              <w:left w:val="single" w:sz="4" w:space="0" w:color="auto"/>
              <w:bottom w:val="single" w:sz="4" w:space="0" w:color="auto"/>
              <w:right w:val="single" w:sz="4" w:space="0" w:color="auto"/>
            </w:tcBorders>
            <w:shd w:val="clear" w:color="auto" w:fill="auto"/>
            <w:noWrap/>
            <w:vAlign w:val="bottom"/>
            <w:hideMark/>
          </w:tcPr>
          <w:p w14:paraId="4A41EF23" w14:textId="77777777" w:rsidR="00A91679" w:rsidRPr="0038472A" w:rsidRDefault="00A91679" w:rsidP="006D687C">
            <w:pPr>
              <w:spacing w:after="0"/>
              <w:jc w:val="right"/>
              <w:rPr>
                <w:rFonts w:cs="Arial"/>
                <w:sz w:val="16"/>
                <w:szCs w:val="16"/>
                <w:lang w:eastAsia="en-AU"/>
              </w:rPr>
            </w:pPr>
            <w:r w:rsidRPr="0038472A">
              <w:rPr>
                <w:rFonts w:cs="Arial"/>
                <w:sz w:val="16"/>
                <w:szCs w:val="16"/>
                <w:lang w:eastAsia="en-AU"/>
              </w:rPr>
              <w:t>3054</w:t>
            </w:r>
          </w:p>
        </w:tc>
        <w:tc>
          <w:tcPr>
            <w:tcW w:w="728" w:type="dxa"/>
            <w:tcBorders>
              <w:top w:val="nil"/>
              <w:left w:val="nil"/>
              <w:bottom w:val="single" w:sz="4" w:space="0" w:color="auto"/>
              <w:right w:val="single" w:sz="4" w:space="0" w:color="auto"/>
            </w:tcBorders>
            <w:shd w:val="clear" w:color="auto" w:fill="auto"/>
            <w:noWrap/>
            <w:vAlign w:val="bottom"/>
            <w:hideMark/>
          </w:tcPr>
          <w:p w14:paraId="5E7FF8D1" w14:textId="77777777" w:rsidR="00A91679" w:rsidRPr="0038472A" w:rsidRDefault="00A91679" w:rsidP="006D687C">
            <w:pPr>
              <w:spacing w:after="0"/>
              <w:jc w:val="right"/>
              <w:rPr>
                <w:rFonts w:cs="Arial"/>
                <w:sz w:val="16"/>
                <w:szCs w:val="16"/>
                <w:lang w:eastAsia="en-AU"/>
              </w:rPr>
            </w:pPr>
            <w:r w:rsidRPr="0038472A">
              <w:rPr>
                <w:rFonts w:cs="Arial"/>
                <w:sz w:val="16"/>
                <w:szCs w:val="16"/>
                <w:lang w:eastAsia="en-AU"/>
              </w:rPr>
              <w:t>35%</w:t>
            </w:r>
          </w:p>
        </w:tc>
        <w:tc>
          <w:tcPr>
            <w:tcW w:w="243" w:type="dxa"/>
            <w:tcBorders>
              <w:top w:val="nil"/>
              <w:left w:val="nil"/>
              <w:bottom w:val="single" w:sz="4" w:space="0" w:color="auto"/>
              <w:right w:val="single" w:sz="4" w:space="0" w:color="auto"/>
            </w:tcBorders>
            <w:shd w:val="clear" w:color="auto" w:fill="auto"/>
            <w:noWrap/>
            <w:vAlign w:val="bottom"/>
            <w:hideMark/>
          </w:tcPr>
          <w:p w14:paraId="6E79415D" w14:textId="77777777" w:rsidR="00A91679" w:rsidRPr="0038472A" w:rsidRDefault="00A91679" w:rsidP="006D687C">
            <w:pPr>
              <w:spacing w:after="0"/>
              <w:jc w:val="right"/>
              <w:rPr>
                <w:rFonts w:cs="Arial"/>
                <w:sz w:val="16"/>
                <w:szCs w:val="16"/>
                <w:lang w:eastAsia="en-AU"/>
              </w:rPr>
            </w:pPr>
            <w:r w:rsidRPr="0038472A">
              <w:rPr>
                <w:rFonts w:cs="Arial"/>
                <w:sz w:val="16"/>
                <w:szCs w:val="16"/>
                <w:lang w:eastAsia="en-AU"/>
              </w:rPr>
              <w:t>7%</w:t>
            </w:r>
          </w:p>
        </w:tc>
        <w:tc>
          <w:tcPr>
            <w:tcW w:w="907" w:type="dxa"/>
            <w:tcBorders>
              <w:top w:val="nil"/>
              <w:left w:val="nil"/>
              <w:bottom w:val="single" w:sz="4" w:space="0" w:color="auto"/>
              <w:right w:val="single" w:sz="4" w:space="0" w:color="auto"/>
            </w:tcBorders>
            <w:shd w:val="clear" w:color="auto" w:fill="auto"/>
            <w:noWrap/>
            <w:vAlign w:val="bottom"/>
            <w:hideMark/>
          </w:tcPr>
          <w:p w14:paraId="3CCD8C04" w14:textId="77777777" w:rsidR="00A91679" w:rsidRPr="0038472A" w:rsidRDefault="00A91679" w:rsidP="006D687C">
            <w:pPr>
              <w:spacing w:after="0"/>
              <w:jc w:val="right"/>
              <w:rPr>
                <w:rFonts w:cs="Arial"/>
                <w:sz w:val="16"/>
                <w:szCs w:val="16"/>
                <w:lang w:eastAsia="en-AU"/>
              </w:rPr>
            </w:pPr>
            <w:r w:rsidRPr="0038472A">
              <w:rPr>
                <w:rFonts w:cs="Arial"/>
                <w:sz w:val="16"/>
                <w:szCs w:val="16"/>
                <w:lang w:eastAsia="en-AU"/>
              </w:rPr>
              <w:t>0%</w:t>
            </w:r>
          </w:p>
        </w:tc>
        <w:tc>
          <w:tcPr>
            <w:tcW w:w="478" w:type="dxa"/>
            <w:tcBorders>
              <w:top w:val="nil"/>
              <w:left w:val="nil"/>
              <w:bottom w:val="single" w:sz="4" w:space="0" w:color="auto"/>
              <w:right w:val="single" w:sz="4" w:space="0" w:color="auto"/>
            </w:tcBorders>
            <w:shd w:val="clear" w:color="auto" w:fill="auto"/>
            <w:noWrap/>
            <w:vAlign w:val="bottom"/>
            <w:hideMark/>
          </w:tcPr>
          <w:p w14:paraId="3481396A" w14:textId="77777777" w:rsidR="00A91679" w:rsidRPr="0038472A" w:rsidRDefault="00A91679" w:rsidP="006D687C">
            <w:pPr>
              <w:spacing w:after="0"/>
              <w:jc w:val="right"/>
              <w:rPr>
                <w:rFonts w:cs="Arial"/>
                <w:sz w:val="16"/>
                <w:szCs w:val="16"/>
                <w:lang w:eastAsia="en-AU"/>
              </w:rPr>
            </w:pPr>
            <w:r w:rsidRPr="0038472A">
              <w:rPr>
                <w:rFonts w:cs="Arial"/>
                <w:sz w:val="16"/>
                <w:szCs w:val="16"/>
                <w:lang w:eastAsia="en-AU"/>
              </w:rPr>
              <w:t>0%</w:t>
            </w:r>
          </w:p>
        </w:tc>
        <w:tc>
          <w:tcPr>
            <w:tcW w:w="663" w:type="dxa"/>
            <w:tcBorders>
              <w:top w:val="nil"/>
              <w:left w:val="nil"/>
              <w:bottom w:val="single" w:sz="4" w:space="0" w:color="auto"/>
              <w:right w:val="single" w:sz="4" w:space="0" w:color="auto"/>
            </w:tcBorders>
            <w:shd w:val="clear" w:color="auto" w:fill="auto"/>
            <w:noWrap/>
            <w:vAlign w:val="bottom"/>
            <w:hideMark/>
          </w:tcPr>
          <w:p w14:paraId="5C8467AE" w14:textId="77777777" w:rsidR="00A91679" w:rsidRPr="0038472A" w:rsidRDefault="00A91679" w:rsidP="006D687C">
            <w:pPr>
              <w:spacing w:after="0"/>
              <w:jc w:val="right"/>
              <w:rPr>
                <w:rFonts w:cs="Arial"/>
                <w:sz w:val="16"/>
                <w:szCs w:val="16"/>
                <w:lang w:eastAsia="en-AU"/>
              </w:rPr>
            </w:pPr>
            <w:r w:rsidRPr="0038472A">
              <w:rPr>
                <w:rFonts w:cs="Arial"/>
                <w:sz w:val="16"/>
                <w:szCs w:val="16"/>
                <w:lang w:eastAsia="en-AU"/>
              </w:rPr>
              <w:t>0%</w:t>
            </w:r>
          </w:p>
        </w:tc>
        <w:tc>
          <w:tcPr>
            <w:tcW w:w="680" w:type="dxa"/>
            <w:tcBorders>
              <w:top w:val="nil"/>
              <w:left w:val="nil"/>
              <w:bottom w:val="single" w:sz="4" w:space="0" w:color="auto"/>
              <w:right w:val="single" w:sz="4" w:space="0" w:color="auto"/>
            </w:tcBorders>
            <w:shd w:val="clear" w:color="auto" w:fill="auto"/>
            <w:noWrap/>
            <w:vAlign w:val="bottom"/>
            <w:hideMark/>
          </w:tcPr>
          <w:p w14:paraId="5E8A65AF" w14:textId="77777777" w:rsidR="00A91679" w:rsidRPr="0038472A" w:rsidRDefault="00A91679" w:rsidP="006D687C">
            <w:pPr>
              <w:spacing w:after="0"/>
              <w:jc w:val="right"/>
              <w:rPr>
                <w:rFonts w:cs="Arial"/>
                <w:sz w:val="16"/>
                <w:szCs w:val="16"/>
                <w:lang w:eastAsia="en-AU"/>
              </w:rPr>
            </w:pPr>
            <w:r w:rsidRPr="0038472A">
              <w:rPr>
                <w:rFonts w:cs="Arial"/>
                <w:sz w:val="16"/>
                <w:szCs w:val="16"/>
                <w:lang w:eastAsia="en-AU"/>
              </w:rPr>
              <w:t>0%</w:t>
            </w:r>
          </w:p>
        </w:tc>
        <w:tc>
          <w:tcPr>
            <w:tcW w:w="721" w:type="dxa"/>
            <w:tcBorders>
              <w:top w:val="nil"/>
              <w:left w:val="nil"/>
              <w:bottom w:val="single" w:sz="4" w:space="0" w:color="auto"/>
              <w:right w:val="single" w:sz="4" w:space="0" w:color="auto"/>
            </w:tcBorders>
            <w:shd w:val="clear" w:color="auto" w:fill="auto"/>
            <w:noWrap/>
            <w:vAlign w:val="bottom"/>
            <w:hideMark/>
          </w:tcPr>
          <w:p w14:paraId="7E6BE4DB" w14:textId="77777777" w:rsidR="00A91679" w:rsidRPr="0038472A" w:rsidRDefault="00A91679" w:rsidP="006D687C">
            <w:pPr>
              <w:spacing w:after="0"/>
              <w:jc w:val="right"/>
              <w:rPr>
                <w:rFonts w:cs="Arial"/>
                <w:sz w:val="16"/>
                <w:szCs w:val="16"/>
                <w:lang w:eastAsia="en-AU"/>
              </w:rPr>
            </w:pPr>
            <w:r w:rsidRPr="0038472A">
              <w:rPr>
                <w:rFonts w:cs="Arial"/>
                <w:sz w:val="16"/>
                <w:szCs w:val="16"/>
                <w:lang w:eastAsia="en-AU"/>
              </w:rPr>
              <w:t>0%</w:t>
            </w:r>
          </w:p>
        </w:tc>
        <w:tc>
          <w:tcPr>
            <w:tcW w:w="895" w:type="dxa"/>
            <w:tcBorders>
              <w:top w:val="nil"/>
              <w:left w:val="nil"/>
              <w:bottom w:val="single" w:sz="4" w:space="0" w:color="auto"/>
              <w:right w:val="single" w:sz="4" w:space="0" w:color="auto"/>
            </w:tcBorders>
            <w:shd w:val="clear" w:color="auto" w:fill="auto"/>
            <w:noWrap/>
            <w:vAlign w:val="bottom"/>
            <w:hideMark/>
          </w:tcPr>
          <w:p w14:paraId="0C37902F" w14:textId="77777777" w:rsidR="00A91679" w:rsidRPr="0038472A" w:rsidRDefault="00A91679" w:rsidP="006D687C">
            <w:pPr>
              <w:spacing w:after="0"/>
              <w:jc w:val="right"/>
              <w:rPr>
                <w:rFonts w:cs="Arial"/>
                <w:sz w:val="16"/>
                <w:szCs w:val="16"/>
                <w:lang w:eastAsia="en-AU"/>
              </w:rPr>
            </w:pPr>
            <w:r w:rsidRPr="0038472A">
              <w:rPr>
                <w:rFonts w:cs="Arial"/>
                <w:sz w:val="16"/>
                <w:szCs w:val="16"/>
                <w:lang w:eastAsia="en-AU"/>
              </w:rPr>
              <w:t>0%</w:t>
            </w:r>
          </w:p>
        </w:tc>
        <w:tc>
          <w:tcPr>
            <w:tcW w:w="773" w:type="dxa"/>
            <w:tcBorders>
              <w:top w:val="nil"/>
              <w:left w:val="nil"/>
              <w:bottom w:val="single" w:sz="4" w:space="0" w:color="auto"/>
              <w:right w:val="single" w:sz="4" w:space="0" w:color="auto"/>
            </w:tcBorders>
            <w:shd w:val="clear" w:color="auto" w:fill="auto"/>
            <w:noWrap/>
            <w:vAlign w:val="bottom"/>
            <w:hideMark/>
          </w:tcPr>
          <w:p w14:paraId="4AA320D5" w14:textId="77777777" w:rsidR="00A91679" w:rsidRPr="0038472A" w:rsidRDefault="00A91679" w:rsidP="006D687C">
            <w:pPr>
              <w:spacing w:after="0"/>
              <w:jc w:val="right"/>
              <w:rPr>
                <w:rFonts w:cs="Arial"/>
                <w:sz w:val="16"/>
                <w:szCs w:val="16"/>
                <w:lang w:eastAsia="en-AU"/>
              </w:rPr>
            </w:pPr>
            <w:r w:rsidRPr="0038472A">
              <w:rPr>
                <w:rFonts w:cs="Arial"/>
                <w:sz w:val="16"/>
                <w:szCs w:val="16"/>
                <w:lang w:eastAsia="en-AU"/>
              </w:rPr>
              <w:t>53%</w:t>
            </w:r>
          </w:p>
        </w:tc>
        <w:tc>
          <w:tcPr>
            <w:tcW w:w="733" w:type="dxa"/>
            <w:tcBorders>
              <w:top w:val="nil"/>
              <w:left w:val="nil"/>
              <w:bottom w:val="single" w:sz="4" w:space="0" w:color="auto"/>
              <w:right w:val="single" w:sz="4" w:space="0" w:color="auto"/>
            </w:tcBorders>
            <w:shd w:val="clear" w:color="auto" w:fill="auto"/>
            <w:noWrap/>
            <w:vAlign w:val="bottom"/>
            <w:hideMark/>
          </w:tcPr>
          <w:p w14:paraId="6F2F6956" w14:textId="77777777" w:rsidR="00A91679" w:rsidRPr="0038472A" w:rsidRDefault="00A91679" w:rsidP="006D687C">
            <w:pPr>
              <w:spacing w:after="0"/>
              <w:jc w:val="right"/>
              <w:rPr>
                <w:rFonts w:cs="Arial"/>
                <w:sz w:val="16"/>
                <w:szCs w:val="16"/>
                <w:lang w:eastAsia="en-AU"/>
              </w:rPr>
            </w:pPr>
            <w:r w:rsidRPr="0038472A">
              <w:rPr>
                <w:rFonts w:cs="Arial"/>
                <w:sz w:val="16"/>
                <w:szCs w:val="16"/>
                <w:lang w:eastAsia="en-AU"/>
              </w:rPr>
              <w:t>4%</w:t>
            </w:r>
          </w:p>
        </w:tc>
        <w:tc>
          <w:tcPr>
            <w:tcW w:w="965" w:type="dxa"/>
            <w:tcBorders>
              <w:top w:val="nil"/>
              <w:left w:val="nil"/>
              <w:bottom w:val="single" w:sz="4" w:space="0" w:color="auto"/>
              <w:right w:val="single" w:sz="4" w:space="0" w:color="auto"/>
            </w:tcBorders>
            <w:shd w:val="clear" w:color="auto" w:fill="auto"/>
            <w:noWrap/>
            <w:vAlign w:val="bottom"/>
            <w:hideMark/>
          </w:tcPr>
          <w:p w14:paraId="08E8FFE8" w14:textId="77777777" w:rsidR="00A91679" w:rsidRPr="0038472A" w:rsidRDefault="00A91679" w:rsidP="006D687C">
            <w:pPr>
              <w:spacing w:after="0"/>
              <w:jc w:val="right"/>
              <w:rPr>
                <w:rFonts w:cs="Arial"/>
                <w:sz w:val="16"/>
                <w:szCs w:val="16"/>
                <w:lang w:eastAsia="en-AU"/>
              </w:rPr>
            </w:pPr>
            <w:r w:rsidRPr="0038472A">
              <w:rPr>
                <w:rFonts w:cs="Arial"/>
                <w:sz w:val="16"/>
                <w:szCs w:val="16"/>
                <w:lang w:eastAsia="en-AU"/>
              </w:rPr>
              <w:t>0%</w:t>
            </w:r>
          </w:p>
        </w:tc>
        <w:tc>
          <w:tcPr>
            <w:tcW w:w="570" w:type="dxa"/>
            <w:tcBorders>
              <w:top w:val="nil"/>
              <w:left w:val="nil"/>
              <w:bottom w:val="single" w:sz="4" w:space="0" w:color="auto"/>
              <w:right w:val="single" w:sz="4" w:space="0" w:color="auto"/>
            </w:tcBorders>
            <w:shd w:val="clear" w:color="auto" w:fill="auto"/>
            <w:noWrap/>
            <w:vAlign w:val="bottom"/>
            <w:hideMark/>
          </w:tcPr>
          <w:p w14:paraId="6DAE1DE7" w14:textId="77777777" w:rsidR="00A91679" w:rsidRPr="0038472A" w:rsidRDefault="00A91679" w:rsidP="006D687C">
            <w:pPr>
              <w:spacing w:after="0"/>
              <w:jc w:val="right"/>
              <w:rPr>
                <w:rFonts w:cs="Arial"/>
                <w:sz w:val="16"/>
                <w:szCs w:val="16"/>
                <w:lang w:eastAsia="en-AU"/>
              </w:rPr>
            </w:pPr>
            <w:r w:rsidRPr="0038472A">
              <w:rPr>
                <w:rFonts w:cs="Arial"/>
                <w:sz w:val="16"/>
                <w:szCs w:val="16"/>
                <w:lang w:eastAsia="en-AU"/>
              </w:rPr>
              <w:t>0%</w:t>
            </w:r>
          </w:p>
        </w:tc>
        <w:tc>
          <w:tcPr>
            <w:tcW w:w="767" w:type="dxa"/>
            <w:tcBorders>
              <w:top w:val="nil"/>
              <w:left w:val="nil"/>
              <w:bottom w:val="single" w:sz="4" w:space="0" w:color="auto"/>
              <w:right w:val="single" w:sz="4" w:space="0" w:color="auto"/>
            </w:tcBorders>
            <w:shd w:val="clear" w:color="auto" w:fill="auto"/>
            <w:noWrap/>
            <w:vAlign w:val="bottom"/>
            <w:hideMark/>
          </w:tcPr>
          <w:p w14:paraId="4BBE10B7" w14:textId="77777777" w:rsidR="00A91679" w:rsidRPr="0038472A" w:rsidRDefault="00A91679" w:rsidP="006D687C">
            <w:pPr>
              <w:spacing w:after="0"/>
              <w:jc w:val="right"/>
              <w:rPr>
                <w:rFonts w:cs="Arial"/>
                <w:sz w:val="16"/>
                <w:szCs w:val="16"/>
                <w:lang w:eastAsia="en-AU"/>
              </w:rPr>
            </w:pPr>
            <w:r w:rsidRPr="0038472A">
              <w:rPr>
                <w:rFonts w:cs="Arial"/>
                <w:sz w:val="16"/>
                <w:szCs w:val="16"/>
                <w:lang w:eastAsia="en-AU"/>
              </w:rPr>
              <w:t>0%</w:t>
            </w:r>
          </w:p>
        </w:tc>
      </w:tr>
      <w:tr w:rsidR="0038472A" w:rsidRPr="0038472A" w14:paraId="6D2524EF" w14:textId="77777777" w:rsidTr="0038472A">
        <w:trPr>
          <w:trHeight w:val="298"/>
        </w:trPr>
        <w:tc>
          <w:tcPr>
            <w:tcW w:w="651" w:type="dxa"/>
            <w:tcBorders>
              <w:top w:val="nil"/>
              <w:left w:val="single" w:sz="4" w:space="0" w:color="auto"/>
              <w:bottom w:val="single" w:sz="4" w:space="0" w:color="auto"/>
              <w:right w:val="single" w:sz="4" w:space="0" w:color="auto"/>
            </w:tcBorders>
            <w:shd w:val="clear" w:color="auto" w:fill="auto"/>
            <w:noWrap/>
            <w:vAlign w:val="bottom"/>
            <w:hideMark/>
          </w:tcPr>
          <w:p w14:paraId="2FE679E8" w14:textId="77777777" w:rsidR="00A91679" w:rsidRPr="0038472A" w:rsidRDefault="00A91679" w:rsidP="006D687C">
            <w:pPr>
              <w:spacing w:after="0"/>
              <w:jc w:val="right"/>
              <w:rPr>
                <w:rFonts w:cs="Arial"/>
                <w:sz w:val="16"/>
                <w:szCs w:val="16"/>
                <w:lang w:eastAsia="en-AU"/>
              </w:rPr>
            </w:pPr>
            <w:r w:rsidRPr="0038472A">
              <w:rPr>
                <w:rFonts w:cs="Arial"/>
                <w:sz w:val="16"/>
                <w:szCs w:val="16"/>
                <w:lang w:eastAsia="en-AU"/>
              </w:rPr>
              <w:t>3141</w:t>
            </w:r>
          </w:p>
        </w:tc>
        <w:tc>
          <w:tcPr>
            <w:tcW w:w="728" w:type="dxa"/>
            <w:tcBorders>
              <w:top w:val="nil"/>
              <w:left w:val="nil"/>
              <w:bottom w:val="single" w:sz="4" w:space="0" w:color="auto"/>
              <w:right w:val="single" w:sz="4" w:space="0" w:color="auto"/>
            </w:tcBorders>
            <w:shd w:val="clear" w:color="auto" w:fill="auto"/>
            <w:noWrap/>
            <w:vAlign w:val="bottom"/>
            <w:hideMark/>
          </w:tcPr>
          <w:p w14:paraId="37DF8A94" w14:textId="77777777" w:rsidR="00A91679" w:rsidRPr="0038472A" w:rsidRDefault="00A91679" w:rsidP="006D687C">
            <w:pPr>
              <w:spacing w:after="0"/>
              <w:jc w:val="right"/>
              <w:rPr>
                <w:rFonts w:cs="Arial"/>
                <w:sz w:val="16"/>
                <w:szCs w:val="16"/>
                <w:lang w:eastAsia="en-AU"/>
              </w:rPr>
            </w:pPr>
            <w:r w:rsidRPr="0038472A">
              <w:rPr>
                <w:rFonts w:cs="Arial"/>
                <w:sz w:val="16"/>
                <w:szCs w:val="16"/>
                <w:lang w:eastAsia="en-AU"/>
              </w:rPr>
              <w:t>0%</w:t>
            </w:r>
          </w:p>
        </w:tc>
        <w:tc>
          <w:tcPr>
            <w:tcW w:w="243" w:type="dxa"/>
            <w:tcBorders>
              <w:top w:val="nil"/>
              <w:left w:val="nil"/>
              <w:bottom w:val="single" w:sz="4" w:space="0" w:color="auto"/>
              <w:right w:val="single" w:sz="4" w:space="0" w:color="auto"/>
            </w:tcBorders>
            <w:shd w:val="clear" w:color="auto" w:fill="auto"/>
            <w:noWrap/>
            <w:vAlign w:val="bottom"/>
            <w:hideMark/>
          </w:tcPr>
          <w:p w14:paraId="15D42CAE" w14:textId="77777777" w:rsidR="00A91679" w:rsidRPr="0038472A" w:rsidRDefault="00A91679" w:rsidP="006D687C">
            <w:pPr>
              <w:spacing w:after="0"/>
              <w:jc w:val="right"/>
              <w:rPr>
                <w:rFonts w:cs="Arial"/>
                <w:sz w:val="16"/>
                <w:szCs w:val="16"/>
                <w:lang w:eastAsia="en-AU"/>
              </w:rPr>
            </w:pPr>
            <w:r w:rsidRPr="0038472A">
              <w:rPr>
                <w:rFonts w:cs="Arial"/>
                <w:sz w:val="16"/>
                <w:szCs w:val="16"/>
                <w:lang w:eastAsia="en-AU"/>
              </w:rPr>
              <w:t>0%</w:t>
            </w:r>
          </w:p>
        </w:tc>
        <w:tc>
          <w:tcPr>
            <w:tcW w:w="907" w:type="dxa"/>
            <w:tcBorders>
              <w:top w:val="nil"/>
              <w:left w:val="nil"/>
              <w:bottom w:val="single" w:sz="4" w:space="0" w:color="auto"/>
              <w:right w:val="single" w:sz="4" w:space="0" w:color="auto"/>
            </w:tcBorders>
            <w:shd w:val="clear" w:color="auto" w:fill="auto"/>
            <w:noWrap/>
            <w:vAlign w:val="bottom"/>
            <w:hideMark/>
          </w:tcPr>
          <w:p w14:paraId="07C2CBAF" w14:textId="77777777" w:rsidR="00A91679" w:rsidRPr="0038472A" w:rsidRDefault="00A91679" w:rsidP="006D687C">
            <w:pPr>
              <w:spacing w:after="0"/>
              <w:jc w:val="right"/>
              <w:rPr>
                <w:rFonts w:cs="Arial"/>
                <w:sz w:val="16"/>
                <w:szCs w:val="16"/>
                <w:lang w:eastAsia="en-AU"/>
              </w:rPr>
            </w:pPr>
            <w:r w:rsidRPr="0038472A">
              <w:rPr>
                <w:rFonts w:cs="Arial"/>
                <w:sz w:val="16"/>
                <w:szCs w:val="16"/>
                <w:lang w:eastAsia="en-AU"/>
              </w:rPr>
              <w:t>0%</w:t>
            </w:r>
          </w:p>
        </w:tc>
        <w:tc>
          <w:tcPr>
            <w:tcW w:w="478" w:type="dxa"/>
            <w:tcBorders>
              <w:top w:val="nil"/>
              <w:left w:val="nil"/>
              <w:bottom w:val="single" w:sz="4" w:space="0" w:color="auto"/>
              <w:right w:val="single" w:sz="4" w:space="0" w:color="auto"/>
            </w:tcBorders>
            <w:shd w:val="clear" w:color="auto" w:fill="auto"/>
            <w:noWrap/>
            <w:vAlign w:val="bottom"/>
            <w:hideMark/>
          </w:tcPr>
          <w:p w14:paraId="570C9C17" w14:textId="77777777" w:rsidR="00A91679" w:rsidRPr="0038472A" w:rsidRDefault="00A91679" w:rsidP="006D687C">
            <w:pPr>
              <w:spacing w:after="0"/>
              <w:jc w:val="right"/>
              <w:rPr>
                <w:rFonts w:cs="Arial"/>
                <w:sz w:val="16"/>
                <w:szCs w:val="16"/>
                <w:lang w:eastAsia="en-AU"/>
              </w:rPr>
            </w:pPr>
            <w:r w:rsidRPr="0038472A">
              <w:rPr>
                <w:rFonts w:cs="Arial"/>
                <w:sz w:val="16"/>
                <w:szCs w:val="16"/>
                <w:lang w:eastAsia="en-AU"/>
              </w:rPr>
              <w:t>0%</w:t>
            </w:r>
          </w:p>
        </w:tc>
        <w:tc>
          <w:tcPr>
            <w:tcW w:w="663" w:type="dxa"/>
            <w:tcBorders>
              <w:top w:val="nil"/>
              <w:left w:val="nil"/>
              <w:bottom w:val="single" w:sz="4" w:space="0" w:color="auto"/>
              <w:right w:val="single" w:sz="4" w:space="0" w:color="auto"/>
            </w:tcBorders>
            <w:shd w:val="clear" w:color="auto" w:fill="auto"/>
            <w:noWrap/>
            <w:vAlign w:val="bottom"/>
            <w:hideMark/>
          </w:tcPr>
          <w:p w14:paraId="19CCFBF2" w14:textId="77777777" w:rsidR="00A91679" w:rsidRPr="0038472A" w:rsidRDefault="00A91679" w:rsidP="006D687C">
            <w:pPr>
              <w:spacing w:after="0"/>
              <w:jc w:val="right"/>
              <w:rPr>
                <w:rFonts w:cs="Arial"/>
                <w:sz w:val="16"/>
                <w:szCs w:val="16"/>
                <w:lang w:eastAsia="en-AU"/>
              </w:rPr>
            </w:pPr>
            <w:r w:rsidRPr="0038472A">
              <w:rPr>
                <w:rFonts w:cs="Arial"/>
                <w:sz w:val="16"/>
                <w:szCs w:val="16"/>
                <w:lang w:eastAsia="en-AU"/>
              </w:rPr>
              <w:t>0%</w:t>
            </w:r>
          </w:p>
        </w:tc>
        <w:tc>
          <w:tcPr>
            <w:tcW w:w="680" w:type="dxa"/>
            <w:tcBorders>
              <w:top w:val="nil"/>
              <w:left w:val="nil"/>
              <w:bottom w:val="single" w:sz="4" w:space="0" w:color="auto"/>
              <w:right w:val="single" w:sz="4" w:space="0" w:color="auto"/>
            </w:tcBorders>
            <w:shd w:val="clear" w:color="auto" w:fill="auto"/>
            <w:noWrap/>
            <w:vAlign w:val="bottom"/>
            <w:hideMark/>
          </w:tcPr>
          <w:p w14:paraId="67EA215E" w14:textId="77777777" w:rsidR="00A91679" w:rsidRPr="0038472A" w:rsidRDefault="00A91679" w:rsidP="006D687C">
            <w:pPr>
              <w:spacing w:after="0"/>
              <w:jc w:val="right"/>
              <w:rPr>
                <w:rFonts w:cs="Arial"/>
                <w:sz w:val="16"/>
                <w:szCs w:val="16"/>
                <w:lang w:eastAsia="en-AU"/>
              </w:rPr>
            </w:pPr>
            <w:r w:rsidRPr="0038472A">
              <w:rPr>
                <w:rFonts w:cs="Arial"/>
                <w:sz w:val="16"/>
                <w:szCs w:val="16"/>
                <w:lang w:eastAsia="en-AU"/>
              </w:rPr>
              <w:t>9%</w:t>
            </w:r>
          </w:p>
        </w:tc>
        <w:tc>
          <w:tcPr>
            <w:tcW w:w="721" w:type="dxa"/>
            <w:tcBorders>
              <w:top w:val="nil"/>
              <w:left w:val="nil"/>
              <w:bottom w:val="single" w:sz="4" w:space="0" w:color="auto"/>
              <w:right w:val="single" w:sz="4" w:space="0" w:color="auto"/>
            </w:tcBorders>
            <w:shd w:val="clear" w:color="auto" w:fill="auto"/>
            <w:noWrap/>
            <w:vAlign w:val="bottom"/>
            <w:hideMark/>
          </w:tcPr>
          <w:p w14:paraId="1C0F04AB" w14:textId="77777777" w:rsidR="00A91679" w:rsidRPr="0038472A" w:rsidRDefault="00A91679" w:rsidP="006D687C">
            <w:pPr>
              <w:spacing w:after="0"/>
              <w:jc w:val="right"/>
              <w:rPr>
                <w:rFonts w:cs="Arial"/>
                <w:sz w:val="16"/>
                <w:szCs w:val="16"/>
                <w:lang w:eastAsia="en-AU"/>
              </w:rPr>
            </w:pPr>
            <w:r w:rsidRPr="0038472A">
              <w:rPr>
                <w:rFonts w:cs="Arial"/>
                <w:sz w:val="16"/>
                <w:szCs w:val="16"/>
                <w:lang w:eastAsia="en-AU"/>
              </w:rPr>
              <w:t>0%</w:t>
            </w:r>
          </w:p>
        </w:tc>
        <w:tc>
          <w:tcPr>
            <w:tcW w:w="895" w:type="dxa"/>
            <w:tcBorders>
              <w:top w:val="nil"/>
              <w:left w:val="nil"/>
              <w:bottom w:val="single" w:sz="4" w:space="0" w:color="auto"/>
              <w:right w:val="single" w:sz="4" w:space="0" w:color="auto"/>
            </w:tcBorders>
            <w:shd w:val="clear" w:color="auto" w:fill="auto"/>
            <w:noWrap/>
            <w:vAlign w:val="bottom"/>
            <w:hideMark/>
          </w:tcPr>
          <w:p w14:paraId="0732CEB8" w14:textId="77777777" w:rsidR="00A91679" w:rsidRPr="0038472A" w:rsidRDefault="00A91679" w:rsidP="006D687C">
            <w:pPr>
              <w:spacing w:after="0"/>
              <w:jc w:val="right"/>
              <w:rPr>
                <w:rFonts w:cs="Arial"/>
                <w:sz w:val="16"/>
                <w:szCs w:val="16"/>
                <w:lang w:eastAsia="en-AU"/>
              </w:rPr>
            </w:pPr>
            <w:r w:rsidRPr="0038472A">
              <w:rPr>
                <w:rFonts w:cs="Arial"/>
                <w:sz w:val="16"/>
                <w:szCs w:val="16"/>
                <w:lang w:eastAsia="en-AU"/>
              </w:rPr>
              <w:t>1%</w:t>
            </w:r>
          </w:p>
        </w:tc>
        <w:tc>
          <w:tcPr>
            <w:tcW w:w="773" w:type="dxa"/>
            <w:tcBorders>
              <w:top w:val="nil"/>
              <w:left w:val="nil"/>
              <w:bottom w:val="single" w:sz="4" w:space="0" w:color="auto"/>
              <w:right w:val="single" w:sz="4" w:space="0" w:color="auto"/>
            </w:tcBorders>
            <w:shd w:val="clear" w:color="auto" w:fill="auto"/>
            <w:noWrap/>
            <w:vAlign w:val="bottom"/>
            <w:hideMark/>
          </w:tcPr>
          <w:p w14:paraId="43311DF8" w14:textId="77777777" w:rsidR="00A91679" w:rsidRPr="0038472A" w:rsidRDefault="00A91679" w:rsidP="006D687C">
            <w:pPr>
              <w:spacing w:after="0"/>
              <w:jc w:val="right"/>
              <w:rPr>
                <w:rFonts w:cs="Arial"/>
                <w:sz w:val="16"/>
                <w:szCs w:val="16"/>
                <w:lang w:eastAsia="en-AU"/>
              </w:rPr>
            </w:pPr>
            <w:r w:rsidRPr="0038472A">
              <w:rPr>
                <w:rFonts w:cs="Arial"/>
                <w:sz w:val="16"/>
                <w:szCs w:val="16"/>
                <w:lang w:eastAsia="en-AU"/>
              </w:rPr>
              <w:t>2%</w:t>
            </w:r>
          </w:p>
        </w:tc>
        <w:tc>
          <w:tcPr>
            <w:tcW w:w="733" w:type="dxa"/>
            <w:tcBorders>
              <w:top w:val="nil"/>
              <w:left w:val="nil"/>
              <w:bottom w:val="single" w:sz="4" w:space="0" w:color="auto"/>
              <w:right w:val="single" w:sz="4" w:space="0" w:color="auto"/>
            </w:tcBorders>
            <w:shd w:val="clear" w:color="auto" w:fill="auto"/>
            <w:noWrap/>
            <w:vAlign w:val="bottom"/>
            <w:hideMark/>
          </w:tcPr>
          <w:p w14:paraId="4E57849D" w14:textId="77777777" w:rsidR="00A91679" w:rsidRPr="0038472A" w:rsidRDefault="00A91679" w:rsidP="006D687C">
            <w:pPr>
              <w:spacing w:after="0"/>
              <w:jc w:val="right"/>
              <w:rPr>
                <w:rFonts w:cs="Arial"/>
                <w:sz w:val="16"/>
                <w:szCs w:val="16"/>
                <w:lang w:eastAsia="en-AU"/>
              </w:rPr>
            </w:pPr>
            <w:r w:rsidRPr="0038472A">
              <w:rPr>
                <w:rFonts w:cs="Arial"/>
                <w:sz w:val="16"/>
                <w:szCs w:val="16"/>
                <w:lang w:eastAsia="en-AU"/>
              </w:rPr>
              <w:t>87%</w:t>
            </w:r>
          </w:p>
        </w:tc>
        <w:tc>
          <w:tcPr>
            <w:tcW w:w="965" w:type="dxa"/>
            <w:tcBorders>
              <w:top w:val="nil"/>
              <w:left w:val="nil"/>
              <w:bottom w:val="single" w:sz="4" w:space="0" w:color="auto"/>
              <w:right w:val="single" w:sz="4" w:space="0" w:color="auto"/>
            </w:tcBorders>
            <w:shd w:val="clear" w:color="auto" w:fill="auto"/>
            <w:noWrap/>
            <w:vAlign w:val="bottom"/>
            <w:hideMark/>
          </w:tcPr>
          <w:p w14:paraId="0E876CDB" w14:textId="77777777" w:rsidR="00A91679" w:rsidRPr="0038472A" w:rsidRDefault="00A91679" w:rsidP="006D687C">
            <w:pPr>
              <w:spacing w:after="0"/>
              <w:jc w:val="right"/>
              <w:rPr>
                <w:rFonts w:cs="Arial"/>
                <w:sz w:val="16"/>
                <w:szCs w:val="16"/>
                <w:lang w:eastAsia="en-AU"/>
              </w:rPr>
            </w:pPr>
            <w:r w:rsidRPr="0038472A">
              <w:rPr>
                <w:rFonts w:cs="Arial"/>
                <w:sz w:val="16"/>
                <w:szCs w:val="16"/>
                <w:lang w:eastAsia="en-AU"/>
              </w:rPr>
              <w:t>0%</w:t>
            </w:r>
          </w:p>
        </w:tc>
        <w:tc>
          <w:tcPr>
            <w:tcW w:w="570" w:type="dxa"/>
            <w:tcBorders>
              <w:top w:val="nil"/>
              <w:left w:val="nil"/>
              <w:bottom w:val="single" w:sz="4" w:space="0" w:color="auto"/>
              <w:right w:val="single" w:sz="4" w:space="0" w:color="auto"/>
            </w:tcBorders>
            <w:shd w:val="clear" w:color="auto" w:fill="auto"/>
            <w:noWrap/>
            <w:vAlign w:val="bottom"/>
            <w:hideMark/>
          </w:tcPr>
          <w:p w14:paraId="7C67BDA9" w14:textId="77777777" w:rsidR="00A91679" w:rsidRPr="0038472A" w:rsidRDefault="00A91679" w:rsidP="006D687C">
            <w:pPr>
              <w:spacing w:after="0"/>
              <w:jc w:val="right"/>
              <w:rPr>
                <w:rFonts w:cs="Arial"/>
                <w:sz w:val="16"/>
                <w:szCs w:val="16"/>
                <w:lang w:eastAsia="en-AU"/>
              </w:rPr>
            </w:pPr>
            <w:r w:rsidRPr="0038472A">
              <w:rPr>
                <w:rFonts w:cs="Arial"/>
                <w:sz w:val="16"/>
                <w:szCs w:val="16"/>
                <w:lang w:eastAsia="en-AU"/>
              </w:rPr>
              <w:t>0%</w:t>
            </w:r>
          </w:p>
        </w:tc>
        <w:tc>
          <w:tcPr>
            <w:tcW w:w="767" w:type="dxa"/>
            <w:tcBorders>
              <w:top w:val="nil"/>
              <w:left w:val="nil"/>
              <w:bottom w:val="single" w:sz="4" w:space="0" w:color="auto"/>
              <w:right w:val="single" w:sz="4" w:space="0" w:color="auto"/>
            </w:tcBorders>
            <w:shd w:val="clear" w:color="auto" w:fill="auto"/>
            <w:noWrap/>
            <w:vAlign w:val="bottom"/>
            <w:hideMark/>
          </w:tcPr>
          <w:p w14:paraId="32E3EDC3" w14:textId="77777777" w:rsidR="00A91679" w:rsidRPr="0038472A" w:rsidRDefault="00A91679" w:rsidP="006D687C">
            <w:pPr>
              <w:spacing w:after="0"/>
              <w:jc w:val="right"/>
              <w:rPr>
                <w:rFonts w:cs="Arial"/>
                <w:sz w:val="16"/>
                <w:szCs w:val="16"/>
                <w:lang w:eastAsia="en-AU"/>
              </w:rPr>
            </w:pPr>
            <w:r w:rsidRPr="0038472A">
              <w:rPr>
                <w:rFonts w:cs="Arial"/>
                <w:sz w:val="16"/>
                <w:szCs w:val="16"/>
                <w:lang w:eastAsia="en-AU"/>
              </w:rPr>
              <w:t>0%</w:t>
            </w:r>
          </w:p>
        </w:tc>
      </w:tr>
      <w:tr w:rsidR="0038472A" w:rsidRPr="0038472A" w14:paraId="16FC4C7A" w14:textId="77777777" w:rsidTr="0038472A">
        <w:trPr>
          <w:trHeight w:val="298"/>
        </w:trPr>
        <w:tc>
          <w:tcPr>
            <w:tcW w:w="651" w:type="dxa"/>
            <w:tcBorders>
              <w:top w:val="nil"/>
              <w:left w:val="single" w:sz="4" w:space="0" w:color="auto"/>
              <w:bottom w:val="single" w:sz="4" w:space="0" w:color="auto"/>
              <w:right w:val="single" w:sz="4" w:space="0" w:color="auto"/>
            </w:tcBorders>
            <w:shd w:val="clear" w:color="auto" w:fill="auto"/>
            <w:noWrap/>
            <w:vAlign w:val="bottom"/>
            <w:hideMark/>
          </w:tcPr>
          <w:p w14:paraId="4506CF86" w14:textId="77777777" w:rsidR="00A91679" w:rsidRPr="0038472A" w:rsidRDefault="00A91679" w:rsidP="006D687C">
            <w:pPr>
              <w:spacing w:after="0"/>
              <w:jc w:val="right"/>
              <w:rPr>
                <w:rFonts w:cs="Arial"/>
                <w:sz w:val="16"/>
                <w:szCs w:val="16"/>
                <w:lang w:eastAsia="en-AU"/>
              </w:rPr>
            </w:pPr>
            <w:r w:rsidRPr="0038472A">
              <w:rPr>
                <w:rFonts w:cs="Arial"/>
                <w:sz w:val="16"/>
                <w:szCs w:val="16"/>
                <w:lang w:eastAsia="en-AU"/>
              </w:rPr>
              <w:t>3181</w:t>
            </w:r>
          </w:p>
        </w:tc>
        <w:tc>
          <w:tcPr>
            <w:tcW w:w="728" w:type="dxa"/>
            <w:tcBorders>
              <w:top w:val="nil"/>
              <w:left w:val="nil"/>
              <w:bottom w:val="single" w:sz="4" w:space="0" w:color="auto"/>
              <w:right w:val="single" w:sz="4" w:space="0" w:color="auto"/>
            </w:tcBorders>
            <w:shd w:val="clear" w:color="auto" w:fill="auto"/>
            <w:noWrap/>
            <w:vAlign w:val="bottom"/>
            <w:hideMark/>
          </w:tcPr>
          <w:p w14:paraId="31541455" w14:textId="77777777" w:rsidR="00A91679" w:rsidRPr="0038472A" w:rsidRDefault="00A91679" w:rsidP="006D687C">
            <w:pPr>
              <w:spacing w:after="0"/>
              <w:jc w:val="right"/>
              <w:rPr>
                <w:rFonts w:cs="Arial"/>
                <w:sz w:val="16"/>
                <w:szCs w:val="16"/>
                <w:lang w:eastAsia="en-AU"/>
              </w:rPr>
            </w:pPr>
            <w:r w:rsidRPr="0038472A">
              <w:rPr>
                <w:rFonts w:cs="Arial"/>
                <w:sz w:val="16"/>
                <w:szCs w:val="16"/>
                <w:lang w:eastAsia="en-AU"/>
              </w:rPr>
              <w:t>1%</w:t>
            </w:r>
          </w:p>
        </w:tc>
        <w:tc>
          <w:tcPr>
            <w:tcW w:w="243" w:type="dxa"/>
            <w:tcBorders>
              <w:top w:val="nil"/>
              <w:left w:val="nil"/>
              <w:bottom w:val="single" w:sz="4" w:space="0" w:color="auto"/>
              <w:right w:val="single" w:sz="4" w:space="0" w:color="auto"/>
            </w:tcBorders>
            <w:shd w:val="clear" w:color="auto" w:fill="auto"/>
            <w:noWrap/>
            <w:vAlign w:val="bottom"/>
            <w:hideMark/>
          </w:tcPr>
          <w:p w14:paraId="019CD3C1" w14:textId="77777777" w:rsidR="00A91679" w:rsidRPr="0038472A" w:rsidRDefault="00A91679" w:rsidP="006D687C">
            <w:pPr>
              <w:spacing w:after="0"/>
              <w:jc w:val="right"/>
              <w:rPr>
                <w:rFonts w:cs="Arial"/>
                <w:sz w:val="16"/>
                <w:szCs w:val="16"/>
                <w:lang w:eastAsia="en-AU"/>
              </w:rPr>
            </w:pPr>
            <w:r w:rsidRPr="0038472A">
              <w:rPr>
                <w:rFonts w:cs="Arial"/>
                <w:sz w:val="16"/>
                <w:szCs w:val="16"/>
                <w:lang w:eastAsia="en-AU"/>
              </w:rPr>
              <w:t>0%</w:t>
            </w:r>
          </w:p>
        </w:tc>
        <w:tc>
          <w:tcPr>
            <w:tcW w:w="907" w:type="dxa"/>
            <w:tcBorders>
              <w:top w:val="nil"/>
              <w:left w:val="nil"/>
              <w:bottom w:val="single" w:sz="4" w:space="0" w:color="auto"/>
              <w:right w:val="single" w:sz="4" w:space="0" w:color="auto"/>
            </w:tcBorders>
            <w:shd w:val="clear" w:color="auto" w:fill="auto"/>
            <w:noWrap/>
            <w:vAlign w:val="bottom"/>
            <w:hideMark/>
          </w:tcPr>
          <w:p w14:paraId="7874428A" w14:textId="77777777" w:rsidR="00A91679" w:rsidRPr="0038472A" w:rsidRDefault="00A91679" w:rsidP="006D687C">
            <w:pPr>
              <w:spacing w:after="0"/>
              <w:jc w:val="right"/>
              <w:rPr>
                <w:rFonts w:cs="Arial"/>
                <w:sz w:val="16"/>
                <w:szCs w:val="16"/>
                <w:lang w:eastAsia="en-AU"/>
              </w:rPr>
            </w:pPr>
            <w:r w:rsidRPr="0038472A">
              <w:rPr>
                <w:rFonts w:cs="Arial"/>
                <w:sz w:val="16"/>
                <w:szCs w:val="16"/>
                <w:lang w:eastAsia="en-AU"/>
              </w:rPr>
              <w:t>0%</w:t>
            </w:r>
          </w:p>
        </w:tc>
        <w:tc>
          <w:tcPr>
            <w:tcW w:w="478" w:type="dxa"/>
            <w:tcBorders>
              <w:top w:val="nil"/>
              <w:left w:val="nil"/>
              <w:bottom w:val="single" w:sz="4" w:space="0" w:color="auto"/>
              <w:right w:val="single" w:sz="4" w:space="0" w:color="auto"/>
            </w:tcBorders>
            <w:shd w:val="clear" w:color="auto" w:fill="auto"/>
            <w:noWrap/>
            <w:vAlign w:val="bottom"/>
            <w:hideMark/>
          </w:tcPr>
          <w:p w14:paraId="1F29A784" w14:textId="77777777" w:rsidR="00A91679" w:rsidRPr="0038472A" w:rsidRDefault="00A91679" w:rsidP="006D687C">
            <w:pPr>
              <w:spacing w:after="0"/>
              <w:jc w:val="right"/>
              <w:rPr>
                <w:rFonts w:cs="Arial"/>
                <w:sz w:val="16"/>
                <w:szCs w:val="16"/>
                <w:lang w:eastAsia="en-AU"/>
              </w:rPr>
            </w:pPr>
            <w:r w:rsidRPr="0038472A">
              <w:rPr>
                <w:rFonts w:cs="Arial"/>
                <w:sz w:val="16"/>
                <w:szCs w:val="16"/>
                <w:lang w:eastAsia="en-AU"/>
              </w:rPr>
              <w:t>0%</w:t>
            </w:r>
          </w:p>
        </w:tc>
        <w:tc>
          <w:tcPr>
            <w:tcW w:w="663" w:type="dxa"/>
            <w:tcBorders>
              <w:top w:val="nil"/>
              <w:left w:val="nil"/>
              <w:bottom w:val="single" w:sz="4" w:space="0" w:color="auto"/>
              <w:right w:val="single" w:sz="4" w:space="0" w:color="auto"/>
            </w:tcBorders>
            <w:shd w:val="clear" w:color="auto" w:fill="auto"/>
            <w:noWrap/>
            <w:vAlign w:val="bottom"/>
            <w:hideMark/>
          </w:tcPr>
          <w:p w14:paraId="1C0C29E1" w14:textId="77777777" w:rsidR="00A91679" w:rsidRPr="0038472A" w:rsidRDefault="00A91679" w:rsidP="006D687C">
            <w:pPr>
              <w:spacing w:after="0"/>
              <w:jc w:val="right"/>
              <w:rPr>
                <w:rFonts w:cs="Arial"/>
                <w:sz w:val="16"/>
                <w:szCs w:val="16"/>
                <w:lang w:eastAsia="en-AU"/>
              </w:rPr>
            </w:pPr>
            <w:r w:rsidRPr="0038472A">
              <w:rPr>
                <w:rFonts w:cs="Arial"/>
                <w:sz w:val="16"/>
                <w:szCs w:val="16"/>
                <w:lang w:eastAsia="en-AU"/>
              </w:rPr>
              <w:t>0%</w:t>
            </w:r>
          </w:p>
        </w:tc>
        <w:tc>
          <w:tcPr>
            <w:tcW w:w="680" w:type="dxa"/>
            <w:tcBorders>
              <w:top w:val="nil"/>
              <w:left w:val="nil"/>
              <w:bottom w:val="single" w:sz="4" w:space="0" w:color="auto"/>
              <w:right w:val="single" w:sz="4" w:space="0" w:color="auto"/>
            </w:tcBorders>
            <w:shd w:val="clear" w:color="auto" w:fill="auto"/>
            <w:noWrap/>
            <w:vAlign w:val="bottom"/>
            <w:hideMark/>
          </w:tcPr>
          <w:p w14:paraId="19AF55B0" w14:textId="77777777" w:rsidR="00A91679" w:rsidRPr="0038472A" w:rsidRDefault="00A91679" w:rsidP="006D687C">
            <w:pPr>
              <w:spacing w:after="0"/>
              <w:jc w:val="right"/>
              <w:rPr>
                <w:rFonts w:cs="Arial"/>
                <w:sz w:val="16"/>
                <w:szCs w:val="16"/>
                <w:lang w:eastAsia="en-AU"/>
              </w:rPr>
            </w:pPr>
            <w:r w:rsidRPr="0038472A">
              <w:rPr>
                <w:rFonts w:cs="Arial"/>
                <w:sz w:val="16"/>
                <w:szCs w:val="16"/>
                <w:lang w:eastAsia="en-AU"/>
              </w:rPr>
              <w:t>10%</w:t>
            </w:r>
          </w:p>
        </w:tc>
        <w:tc>
          <w:tcPr>
            <w:tcW w:w="721" w:type="dxa"/>
            <w:tcBorders>
              <w:top w:val="nil"/>
              <w:left w:val="nil"/>
              <w:bottom w:val="single" w:sz="4" w:space="0" w:color="auto"/>
              <w:right w:val="single" w:sz="4" w:space="0" w:color="auto"/>
            </w:tcBorders>
            <w:shd w:val="clear" w:color="auto" w:fill="auto"/>
            <w:noWrap/>
            <w:vAlign w:val="bottom"/>
            <w:hideMark/>
          </w:tcPr>
          <w:p w14:paraId="7676F635" w14:textId="77777777" w:rsidR="00A91679" w:rsidRPr="0038472A" w:rsidRDefault="00A91679" w:rsidP="006D687C">
            <w:pPr>
              <w:spacing w:after="0"/>
              <w:jc w:val="right"/>
              <w:rPr>
                <w:rFonts w:cs="Arial"/>
                <w:sz w:val="16"/>
                <w:szCs w:val="16"/>
                <w:lang w:eastAsia="en-AU"/>
              </w:rPr>
            </w:pPr>
            <w:r w:rsidRPr="0038472A">
              <w:rPr>
                <w:rFonts w:cs="Arial"/>
                <w:sz w:val="16"/>
                <w:szCs w:val="16"/>
                <w:lang w:eastAsia="en-AU"/>
              </w:rPr>
              <w:t>89%</w:t>
            </w:r>
          </w:p>
        </w:tc>
        <w:tc>
          <w:tcPr>
            <w:tcW w:w="895" w:type="dxa"/>
            <w:tcBorders>
              <w:top w:val="nil"/>
              <w:left w:val="nil"/>
              <w:bottom w:val="single" w:sz="4" w:space="0" w:color="auto"/>
              <w:right w:val="single" w:sz="4" w:space="0" w:color="auto"/>
            </w:tcBorders>
            <w:shd w:val="clear" w:color="auto" w:fill="auto"/>
            <w:noWrap/>
            <w:vAlign w:val="bottom"/>
            <w:hideMark/>
          </w:tcPr>
          <w:p w14:paraId="4CD05513" w14:textId="77777777" w:rsidR="00A91679" w:rsidRPr="0038472A" w:rsidRDefault="00A91679" w:rsidP="006D687C">
            <w:pPr>
              <w:spacing w:after="0"/>
              <w:jc w:val="right"/>
              <w:rPr>
                <w:rFonts w:cs="Arial"/>
                <w:sz w:val="16"/>
                <w:szCs w:val="16"/>
                <w:lang w:eastAsia="en-AU"/>
              </w:rPr>
            </w:pPr>
            <w:r w:rsidRPr="0038472A">
              <w:rPr>
                <w:rFonts w:cs="Arial"/>
                <w:sz w:val="16"/>
                <w:szCs w:val="16"/>
                <w:lang w:eastAsia="en-AU"/>
              </w:rPr>
              <w:t>0%</w:t>
            </w:r>
          </w:p>
        </w:tc>
        <w:tc>
          <w:tcPr>
            <w:tcW w:w="773" w:type="dxa"/>
            <w:tcBorders>
              <w:top w:val="nil"/>
              <w:left w:val="nil"/>
              <w:bottom w:val="single" w:sz="4" w:space="0" w:color="auto"/>
              <w:right w:val="single" w:sz="4" w:space="0" w:color="auto"/>
            </w:tcBorders>
            <w:shd w:val="clear" w:color="auto" w:fill="auto"/>
            <w:noWrap/>
            <w:vAlign w:val="bottom"/>
            <w:hideMark/>
          </w:tcPr>
          <w:p w14:paraId="6F5CA3A0" w14:textId="77777777" w:rsidR="00A91679" w:rsidRPr="0038472A" w:rsidRDefault="00A91679" w:rsidP="006D687C">
            <w:pPr>
              <w:spacing w:after="0"/>
              <w:jc w:val="right"/>
              <w:rPr>
                <w:rFonts w:cs="Arial"/>
                <w:sz w:val="16"/>
                <w:szCs w:val="16"/>
                <w:lang w:eastAsia="en-AU"/>
              </w:rPr>
            </w:pPr>
            <w:r w:rsidRPr="0038472A">
              <w:rPr>
                <w:rFonts w:cs="Arial"/>
                <w:sz w:val="16"/>
                <w:szCs w:val="16"/>
                <w:lang w:eastAsia="en-AU"/>
              </w:rPr>
              <w:t>0%</w:t>
            </w:r>
          </w:p>
        </w:tc>
        <w:tc>
          <w:tcPr>
            <w:tcW w:w="733" w:type="dxa"/>
            <w:tcBorders>
              <w:top w:val="nil"/>
              <w:left w:val="nil"/>
              <w:bottom w:val="single" w:sz="4" w:space="0" w:color="auto"/>
              <w:right w:val="single" w:sz="4" w:space="0" w:color="auto"/>
            </w:tcBorders>
            <w:shd w:val="clear" w:color="auto" w:fill="auto"/>
            <w:noWrap/>
            <w:vAlign w:val="bottom"/>
            <w:hideMark/>
          </w:tcPr>
          <w:p w14:paraId="4FFE1647" w14:textId="77777777" w:rsidR="00A91679" w:rsidRPr="0038472A" w:rsidRDefault="00A91679" w:rsidP="006D687C">
            <w:pPr>
              <w:spacing w:after="0"/>
              <w:jc w:val="right"/>
              <w:rPr>
                <w:rFonts w:cs="Arial"/>
                <w:sz w:val="16"/>
                <w:szCs w:val="16"/>
                <w:lang w:eastAsia="en-AU"/>
              </w:rPr>
            </w:pPr>
            <w:r w:rsidRPr="0038472A">
              <w:rPr>
                <w:rFonts w:cs="Arial"/>
                <w:sz w:val="16"/>
                <w:szCs w:val="16"/>
                <w:lang w:eastAsia="en-AU"/>
              </w:rPr>
              <w:t>0%</w:t>
            </w:r>
          </w:p>
        </w:tc>
        <w:tc>
          <w:tcPr>
            <w:tcW w:w="965" w:type="dxa"/>
            <w:tcBorders>
              <w:top w:val="nil"/>
              <w:left w:val="nil"/>
              <w:bottom w:val="single" w:sz="4" w:space="0" w:color="auto"/>
              <w:right w:val="single" w:sz="4" w:space="0" w:color="auto"/>
            </w:tcBorders>
            <w:shd w:val="clear" w:color="auto" w:fill="auto"/>
            <w:noWrap/>
            <w:vAlign w:val="bottom"/>
            <w:hideMark/>
          </w:tcPr>
          <w:p w14:paraId="61A98406" w14:textId="77777777" w:rsidR="00A91679" w:rsidRPr="0038472A" w:rsidRDefault="00A91679" w:rsidP="006D687C">
            <w:pPr>
              <w:spacing w:after="0"/>
              <w:jc w:val="right"/>
              <w:rPr>
                <w:rFonts w:cs="Arial"/>
                <w:sz w:val="16"/>
                <w:szCs w:val="16"/>
                <w:lang w:eastAsia="en-AU"/>
              </w:rPr>
            </w:pPr>
            <w:r w:rsidRPr="0038472A">
              <w:rPr>
                <w:rFonts w:cs="Arial"/>
                <w:sz w:val="16"/>
                <w:szCs w:val="16"/>
                <w:lang w:eastAsia="en-AU"/>
              </w:rPr>
              <w:t>0%</w:t>
            </w:r>
          </w:p>
        </w:tc>
        <w:tc>
          <w:tcPr>
            <w:tcW w:w="570" w:type="dxa"/>
            <w:tcBorders>
              <w:top w:val="nil"/>
              <w:left w:val="nil"/>
              <w:bottom w:val="single" w:sz="4" w:space="0" w:color="auto"/>
              <w:right w:val="single" w:sz="4" w:space="0" w:color="auto"/>
            </w:tcBorders>
            <w:shd w:val="clear" w:color="auto" w:fill="auto"/>
            <w:noWrap/>
            <w:vAlign w:val="bottom"/>
            <w:hideMark/>
          </w:tcPr>
          <w:p w14:paraId="3F3AB90A" w14:textId="77777777" w:rsidR="00A91679" w:rsidRPr="0038472A" w:rsidRDefault="00A91679" w:rsidP="006D687C">
            <w:pPr>
              <w:spacing w:after="0"/>
              <w:jc w:val="right"/>
              <w:rPr>
                <w:rFonts w:cs="Arial"/>
                <w:sz w:val="16"/>
                <w:szCs w:val="16"/>
                <w:lang w:eastAsia="en-AU"/>
              </w:rPr>
            </w:pPr>
            <w:r w:rsidRPr="0038472A">
              <w:rPr>
                <w:rFonts w:cs="Arial"/>
                <w:sz w:val="16"/>
                <w:szCs w:val="16"/>
                <w:lang w:eastAsia="en-AU"/>
              </w:rPr>
              <w:t>0%</w:t>
            </w:r>
          </w:p>
        </w:tc>
        <w:tc>
          <w:tcPr>
            <w:tcW w:w="767" w:type="dxa"/>
            <w:tcBorders>
              <w:top w:val="nil"/>
              <w:left w:val="nil"/>
              <w:bottom w:val="single" w:sz="4" w:space="0" w:color="auto"/>
              <w:right w:val="single" w:sz="4" w:space="0" w:color="auto"/>
            </w:tcBorders>
            <w:shd w:val="clear" w:color="auto" w:fill="auto"/>
            <w:noWrap/>
            <w:vAlign w:val="bottom"/>
            <w:hideMark/>
          </w:tcPr>
          <w:p w14:paraId="4AD98CD3" w14:textId="77777777" w:rsidR="00A91679" w:rsidRPr="0038472A" w:rsidRDefault="00A91679" w:rsidP="006D687C">
            <w:pPr>
              <w:spacing w:after="0"/>
              <w:jc w:val="right"/>
              <w:rPr>
                <w:rFonts w:cs="Arial"/>
                <w:sz w:val="16"/>
                <w:szCs w:val="16"/>
                <w:lang w:eastAsia="en-AU"/>
              </w:rPr>
            </w:pPr>
            <w:r w:rsidRPr="0038472A">
              <w:rPr>
                <w:rFonts w:cs="Arial"/>
                <w:sz w:val="16"/>
                <w:szCs w:val="16"/>
                <w:lang w:eastAsia="en-AU"/>
              </w:rPr>
              <w:t>0%</w:t>
            </w:r>
          </w:p>
        </w:tc>
      </w:tr>
      <w:tr w:rsidR="0038472A" w:rsidRPr="0038472A" w14:paraId="4A932666" w14:textId="77777777" w:rsidTr="0038472A">
        <w:trPr>
          <w:trHeight w:val="298"/>
        </w:trPr>
        <w:tc>
          <w:tcPr>
            <w:tcW w:w="651" w:type="dxa"/>
            <w:tcBorders>
              <w:top w:val="nil"/>
              <w:left w:val="single" w:sz="4" w:space="0" w:color="auto"/>
              <w:bottom w:val="single" w:sz="4" w:space="0" w:color="auto"/>
              <w:right w:val="single" w:sz="4" w:space="0" w:color="auto"/>
            </w:tcBorders>
            <w:shd w:val="clear" w:color="auto" w:fill="auto"/>
            <w:noWrap/>
            <w:vAlign w:val="bottom"/>
            <w:hideMark/>
          </w:tcPr>
          <w:p w14:paraId="680EA548" w14:textId="77777777" w:rsidR="00A91679" w:rsidRPr="0038472A" w:rsidRDefault="00A91679" w:rsidP="006D687C">
            <w:pPr>
              <w:spacing w:after="0"/>
              <w:jc w:val="right"/>
              <w:rPr>
                <w:rFonts w:cs="Arial"/>
                <w:sz w:val="16"/>
                <w:szCs w:val="16"/>
                <w:lang w:eastAsia="en-AU"/>
              </w:rPr>
            </w:pPr>
            <w:r w:rsidRPr="0038472A">
              <w:rPr>
                <w:rFonts w:cs="Arial"/>
                <w:sz w:val="16"/>
                <w:szCs w:val="16"/>
                <w:lang w:eastAsia="en-AU"/>
              </w:rPr>
              <w:t>3207</w:t>
            </w:r>
          </w:p>
        </w:tc>
        <w:tc>
          <w:tcPr>
            <w:tcW w:w="728" w:type="dxa"/>
            <w:tcBorders>
              <w:top w:val="nil"/>
              <w:left w:val="nil"/>
              <w:bottom w:val="single" w:sz="4" w:space="0" w:color="auto"/>
              <w:right w:val="single" w:sz="4" w:space="0" w:color="auto"/>
            </w:tcBorders>
            <w:shd w:val="clear" w:color="auto" w:fill="auto"/>
            <w:noWrap/>
            <w:vAlign w:val="bottom"/>
            <w:hideMark/>
          </w:tcPr>
          <w:p w14:paraId="14E7A781" w14:textId="77777777" w:rsidR="00A91679" w:rsidRPr="0038472A" w:rsidRDefault="00A91679" w:rsidP="006D687C">
            <w:pPr>
              <w:spacing w:after="0"/>
              <w:jc w:val="right"/>
              <w:rPr>
                <w:rFonts w:cs="Arial"/>
                <w:sz w:val="16"/>
                <w:szCs w:val="16"/>
                <w:lang w:eastAsia="en-AU"/>
              </w:rPr>
            </w:pPr>
            <w:r w:rsidRPr="0038472A">
              <w:rPr>
                <w:rFonts w:cs="Arial"/>
                <w:sz w:val="16"/>
                <w:szCs w:val="16"/>
                <w:lang w:eastAsia="en-AU"/>
              </w:rPr>
              <w:t>33%</w:t>
            </w:r>
          </w:p>
        </w:tc>
        <w:tc>
          <w:tcPr>
            <w:tcW w:w="243" w:type="dxa"/>
            <w:tcBorders>
              <w:top w:val="nil"/>
              <w:left w:val="nil"/>
              <w:bottom w:val="single" w:sz="4" w:space="0" w:color="auto"/>
              <w:right w:val="single" w:sz="4" w:space="0" w:color="auto"/>
            </w:tcBorders>
            <w:shd w:val="clear" w:color="auto" w:fill="auto"/>
            <w:noWrap/>
            <w:vAlign w:val="bottom"/>
            <w:hideMark/>
          </w:tcPr>
          <w:p w14:paraId="1611CC5E" w14:textId="77777777" w:rsidR="00A91679" w:rsidRPr="0038472A" w:rsidRDefault="00A91679" w:rsidP="006D687C">
            <w:pPr>
              <w:spacing w:after="0"/>
              <w:jc w:val="right"/>
              <w:rPr>
                <w:rFonts w:cs="Arial"/>
                <w:sz w:val="16"/>
                <w:szCs w:val="16"/>
                <w:lang w:eastAsia="en-AU"/>
              </w:rPr>
            </w:pPr>
            <w:r w:rsidRPr="0038472A">
              <w:rPr>
                <w:rFonts w:cs="Arial"/>
                <w:sz w:val="16"/>
                <w:szCs w:val="16"/>
                <w:lang w:eastAsia="en-AU"/>
              </w:rPr>
              <w:t>5%</w:t>
            </w:r>
          </w:p>
        </w:tc>
        <w:tc>
          <w:tcPr>
            <w:tcW w:w="907" w:type="dxa"/>
            <w:tcBorders>
              <w:top w:val="nil"/>
              <w:left w:val="nil"/>
              <w:bottom w:val="single" w:sz="4" w:space="0" w:color="auto"/>
              <w:right w:val="single" w:sz="4" w:space="0" w:color="auto"/>
            </w:tcBorders>
            <w:shd w:val="clear" w:color="auto" w:fill="auto"/>
            <w:noWrap/>
            <w:vAlign w:val="bottom"/>
            <w:hideMark/>
          </w:tcPr>
          <w:p w14:paraId="43D9F715" w14:textId="77777777" w:rsidR="00A91679" w:rsidRPr="0038472A" w:rsidRDefault="00A91679" w:rsidP="006D687C">
            <w:pPr>
              <w:spacing w:after="0"/>
              <w:jc w:val="right"/>
              <w:rPr>
                <w:rFonts w:cs="Arial"/>
                <w:sz w:val="16"/>
                <w:szCs w:val="16"/>
                <w:lang w:eastAsia="en-AU"/>
              </w:rPr>
            </w:pPr>
            <w:r w:rsidRPr="0038472A">
              <w:rPr>
                <w:rFonts w:cs="Arial"/>
                <w:sz w:val="16"/>
                <w:szCs w:val="16"/>
                <w:lang w:eastAsia="en-AU"/>
              </w:rPr>
              <w:t>33%</w:t>
            </w:r>
          </w:p>
        </w:tc>
        <w:tc>
          <w:tcPr>
            <w:tcW w:w="478" w:type="dxa"/>
            <w:tcBorders>
              <w:top w:val="nil"/>
              <w:left w:val="nil"/>
              <w:bottom w:val="single" w:sz="4" w:space="0" w:color="auto"/>
              <w:right w:val="single" w:sz="4" w:space="0" w:color="auto"/>
            </w:tcBorders>
            <w:shd w:val="clear" w:color="auto" w:fill="auto"/>
            <w:noWrap/>
            <w:vAlign w:val="bottom"/>
            <w:hideMark/>
          </w:tcPr>
          <w:p w14:paraId="1BE8BEAB" w14:textId="77777777" w:rsidR="00A91679" w:rsidRPr="0038472A" w:rsidRDefault="00A91679" w:rsidP="006D687C">
            <w:pPr>
              <w:spacing w:after="0"/>
              <w:jc w:val="right"/>
              <w:rPr>
                <w:rFonts w:cs="Arial"/>
                <w:sz w:val="16"/>
                <w:szCs w:val="16"/>
                <w:lang w:eastAsia="en-AU"/>
              </w:rPr>
            </w:pPr>
            <w:r w:rsidRPr="0038472A">
              <w:rPr>
                <w:rFonts w:cs="Arial"/>
                <w:sz w:val="16"/>
                <w:szCs w:val="16"/>
                <w:lang w:eastAsia="en-AU"/>
              </w:rPr>
              <w:t>13%</w:t>
            </w:r>
          </w:p>
        </w:tc>
        <w:tc>
          <w:tcPr>
            <w:tcW w:w="663" w:type="dxa"/>
            <w:tcBorders>
              <w:top w:val="nil"/>
              <w:left w:val="nil"/>
              <w:bottom w:val="single" w:sz="4" w:space="0" w:color="auto"/>
              <w:right w:val="single" w:sz="4" w:space="0" w:color="auto"/>
            </w:tcBorders>
            <w:shd w:val="clear" w:color="auto" w:fill="auto"/>
            <w:noWrap/>
            <w:vAlign w:val="bottom"/>
            <w:hideMark/>
          </w:tcPr>
          <w:p w14:paraId="4AE75806" w14:textId="77777777" w:rsidR="00A91679" w:rsidRPr="0038472A" w:rsidRDefault="00A91679" w:rsidP="006D687C">
            <w:pPr>
              <w:spacing w:after="0"/>
              <w:jc w:val="right"/>
              <w:rPr>
                <w:rFonts w:cs="Arial"/>
                <w:sz w:val="16"/>
                <w:szCs w:val="16"/>
                <w:lang w:eastAsia="en-AU"/>
              </w:rPr>
            </w:pPr>
            <w:r w:rsidRPr="0038472A">
              <w:rPr>
                <w:rFonts w:cs="Arial"/>
                <w:sz w:val="16"/>
                <w:szCs w:val="16"/>
                <w:lang w:eastAsia="en-AU"/>
              </w:rPr>
              <w:t>9%</w:t>
            </w:r>
          </w:p>
        </w:tc>
        <w:tc>
          <w:tcPr>
            <w:tcW w:w="680" w:type="dxa"/>
            <w:tcBorders>
              <w:top w:val="nil"/>
              <w:left w:val="nil"/>
              <w:bottom w:val="single" w:sz="4" w:space="0" w:color="auto"/>
              <w:right w:val="single" w:sz="4" w:space="0" w:color="auto"/>
            </w:tcBorders>
            <w:shd w:val="clear" w:color="auto" w:fill="auto"/>
            <w:noWrap/>
            <w:vAlign w:val="bottom"/>
            <w:hideMark/>
          </w:tcPr>
          <w:p w14:paraId="2828B6F9" w14:textId="77777777" w:rsidR="00A91679" w:rsidRPr="0038472A" w:rsidRDefault="00A91679" w:rsidP="006D687C">
            <w:pPr>
              <w:spacing w:after="0"/>
              <w:jc w:val="right"/>
              <w:rPr>
                <w:rFonts w:cs="Arial"/>
                <w:sz w:val="16"/>
                <w:szCs w:val="16"/>
                <w:lang w:eastAsia="en-AU"/>
              </w:rPr>
            </w:pPr>
            <w:r w:rsidRPr="0038472A">
              <w:rPr>
                <w:rFonts w:cs="Arial"/>
                <w:sz w:val="16"/>
                <w:szCs w:val="16"/>
                <w:lang w:eastAsia="en-AU"/>
              </w:rPr>
              <w:t>7%</w:t>
            </w:r>
          </w:p>
        </w:tc>
        <w:tc>
          <w:tcPr>
            <w:tcW w:w="721" w:type="dxa"/>
            <w:tcBorders>
              <w:top w:val="nil"/>
              <w:left w:val="nil"/>
              <w:bottom w:val="single" w:sz="4" w:space="0" w:color="auto"/>
              <w:right w:val="single" w:sz="4" w:space="0" w:color="auto"/>
            </w:tcBorders>
            <w:shd w:val="clear" w:color="auto" w:fill="auto"/>
            <w:noWrap/>
            <w:vAlign w:val="bottom"/>
            <w:hideMark/>
          </w:tcPr>
          <w:p w14:paraId="3D002B4D" w14:textId="77777777" w:rsidR="00A91679" w:rsidRPr="0038472A" w:rsidRDefault="00A91679" w:rsidP="006D687C">
            <w:pPr>
              <w:spacing w:after="0"/>
              <w:jc w:val="right"/>
              <w:rPr>
                <w:rFonts w:cs="Arial"/>
                <w:sz w:val="16"/>
                <w:szCs w:val="16"/>
                <w:lang w:eastAsia="en-AU"/>
              </w:rPr>
            </w:pPr>
            <w:r w:rsidRPr="0038472A">
              <w:rPr>
                <w:rFonts w:cs="Arial"/>
                <w:sz w:val="16"/>
                <w:szCs w:val="16"/>
                <w:lang w:eastAsia="en-AU"/>
              </w:rPr>
              <w:t>0%</w:t>
            </w:r>
          </w:p>
        </w:tc>
        <w:tc>
          <w:tcPr>
            <w:tcW w:w="895" w:type="dxa"/>
            <w:tcBorders>
              <w:top w:val="nil"/>
              <w:left w:val="nil"/>
              <w:bottom w:val="single" w:sz="4" w:space="0" w:color="auto"/>
              <w:right w:val="single" w:sz="4" w:space="0" w:color="auto"/>
            </w:tcBorders>
            <w:shd w:val="clear" w:color="auto" w:fill="auto"/>
            <w:noWrap/>
            <w:vAlign w:val="bottom"/>
            <w:hideMark/>
          </w:tcPr>
          <w:p w14:paraId="4A89EF54" w14:textId="77777777" w:rsidR="00A91679" w:rsidRPr="0038472A" w:rsidRDefault="00A91679" w:rsidP="006D687C">
            <w:pPr>
              <w:spacing w:after="0"/>
              <w:jc w:val="right"/>
              <w:rPr>
                <w:rFonts w:cs="Arial"/>
                <w:sz w:val="16"/>
                <w:szCs w:val="16"/>
                <w:lang w:eastAsia="en-AU"/>
              </w:rPr>
            </w:pPr>
            <w:r w:rsidRPr="0038472A">
              <w:rPr>
                <w:rFonts w:cs="Arial"/>
                <w:sz w:val="16"/>
                <w:szCs w:val="16"/>
                <w:lang w:eastAsia="en-AU"/>
              </w:rPr>
              <w:t>0%</w:t>
            </w:r>
          </w:p>
        </w:tc>
        <w:tc>
          <w:tcPr>
            <w:tcW w:w="773" w:type="dxa"/>
            <w:tcBorders>
              <w:top w:val="nil"/>
              <w:left w:val="nil"/>
              <w:bottom w:val="single" w:sz="4" w:space="0" w:color="auto"/>
              <w:right w:val="single" w:sz="4" w:space="0" w:color="auto"/>
            </w:tcBorders>
            <w:shd w:val="clear" w:color="auto" w:fill="auto"/>
            <w:noWrap/>
            <w:vAlign w:val="bottom"/>
            <w:hideMark/>
          </w:tcPr>
          <w:p w14:paraId="28AF58DC" w14:textId="77777777" w:rsidR="00A91679" w:rsidRPr="0038472A" w:rsidRDefault="00A91679" w:rsidP="006D687C">
            <w:pPr>
              <w:spacing w:after="0"/>
              <w:jc w:val="right"/>
              <w:rPr>
                <w:rFonts w:cs="Arial"/>
                <w:sz w:val="16"/>
                <w:szCs w:val="16"/>
                <w:lang w:eastAsia="en-AU"/>
              </w:rPr>
            </w:pPr>
            <w:r w:rsidRPr="0038472A">
              <w:rPr>
                <w:rFonts w:cs="Arial"/>
                <w:sz w:val="16"/>
                <w:szCs w:val="16"/>
                <w:lang w:eastAsia="en-AU"/>
              </w:rPr>
              <w:t>0%</w:t>
            </w:r>
          </w:p>
        </w:tc>
        <w:tc>
          <w:tcPr>
            <w:tcW w:w="733" w:type="dxa"/>
            <w:tcBorders>
              <w:top w:val="nil"/>
              <w:left w:val="nil"/>
              <w:bottom w:val="single" w:sz="4" w:space="0" w:color="auto"/>
              <w:right w:val="single" w:sz="4" w:space="0" w:color="auto"/>
            </w:tcBorders>
            <w:shd w:val="clear" w:color="auto" w:fill="auto"/>
            <w:noWrap/>
            <w:vAlign w:val="bottom"/>
            <w:hideMark/>
          </w:tcPr>
          <w:p w14:paraId="69F0C69D" w14:textId="77777777" w:rsidR="00A91679" w:rsidRPr="0038472A" w:rsidRDefault="00A91679" w:rsidP="006D687C">
            <w:pPr>
              <w:spacing w:after="0"/>
              <w:jc w:val="right"/>
              <w:rPr>
                <w:rFonts w:cs="Arial"/>
                <w:sz w:val="16"/>
                <w:szCs w:val="16"/>
                <w:lang w:eastAsia="en-AU"/>
              </w:rPr>
            </w:pPr>
            <w:r w:rsidRPr="0038472A">
              <w:rPr>
                <w:rFonts w:cs="Arial"/>
                <w:sz w:val="16"/>
                <w:szCs w:val="16"/>
                <w:lang w:eastAsia="en-AU"/>
              </w:rPr>
              <w:t>0%</w:t>
            </w:r>
          </w:p>
        </w:tc>
        <w:tc>
          <w:tcPr>
            <w:tcW w:w="965" w:type="dxa"/>
            <w:tcBorders>
              <w:top w:val="nil"/>
              <w:left w:val="nil"/>
              <w:bottom w:val="single" w:sz="4" w:space="0" w:color="auto"/>
              <w:right w:val="single" w:sz="4" w:space="0" w:color="auto"/>
            </w:tcBorders>
            <w:shd w:val="clear" w:color="auto" w:fill="auto"/>
            <w:noWrap/>
            <w:vAlign w:val="bottom"/>
            <w:hideMark/>
          </w:tcPr>
          <w:p w14:paraId="550054F1" w14:textId="77777777" w:rsidR="00A91679" w:rsidRPr="0038472A" w:rsidRDefault="00A91679" w:rsidP="006D687C">
            <w:pPr>
              <w:spacing w:after="0"/>
              <w:jc w:val="right"/>
              <w:rPr>
                <w:rFonts w:cs="Arial"/>
                <w:sz w:val="16"/>
                <w:szCs w:val="16"/>
                <w:lang w:eastAsia="en-AU"/>
              </w:rPr>
            </w:pPr>
            <w:r w:rsidRPr="0038472A">
              <w:rPr>
                <w:rFonts w:cs="Arial"/>
                <w:sz w:val="16"/>
                <w:szCs w:val="16"/>
                <w:lang w:eastAsia="en-AU"/>
              </w:rPr>
              <w:t>0%</w:t>
            </w:r>
          </w:p>
        </w:tc>
        <w:tc>
          <w:tcPr>
            <w:tcW w:w="570" w:type="dxa"/>
            <w:tcBorders>
              <w:top w:val="nil"/>
              <w:left w:val="nil"/>
              <w:bottom w:val="single" w:sz="4" w:space="0" w:color="auto"/>
              <w:right w:val="single" w:sz="4" w:space="0" w:color="auto"/>
            </w:tcBorders>
            <w:shd w:val="clear" w:color="auto" w:fill="auto"/>
            <w:noWrap/>
            <w:vAlign w:val="bottom"/>
            <w:hideMark/>
          </w:tcPr>
          <w:p w14:paraId="08C78E93" w14:textId="77777777" w:rsidR="00A91679" w:rsidRPr="0038472A" w:rsidRDefault="00A91679" w:rsidP="006D687C">
            <w:pPr>
              <w:spacing w:after="0"/>
              <w:jc w:val="right"/>
              <w:rPr>
                <w:rFonts w:cs="Arial"/>
                <w:sz w:val="16"/>
                <w:szCs w:val="16"/>
                <w:lang w:eastAsia="en-AU"/>
              </w:rPr>
            </w:pPr>
            <w:r w:rsidRPr="0038472A">
              <w:rPr>
                <w:rFonts w:cs="Arial"/>
                <w:sz w:val="16"/>
                <w:szCs w:val="16"/>
                <w:lang w:eastAsia="en-AU"/>
              </w:rPr>
              <w:t>0%</w:t>
            </w:r>
          </w:p>
        </w:tc>
        <w:tc>
          <w:tcPr>
            <w:tcW w:w="767" w:type="dxa"/>
            <w:tcBorders>
              <w:top w:val="nil"/>
              <w:left w:val="nil"/>
              <w:bottom w:val="single" w:sz="4" w:space="0" w:color="auto"/>
              <w:right w:val="single" w:sz="4" w:space="0" w:color="auto"/>
            </w:tcBorders>
            <w:shd w:val="clear" w:color="auto" w:fill="auto"/>
            <w:noWrap/>
            <w:vAlign w:val="bottom"/>
            <w:hideMark/>
          </w:tcPr>
          <w:p w14:paraId="6AB55BE4" w14:textId="77777777" w:rsidR="00A91679" w:rsidRPr="0038472A" w:rsidRDefault="00A91679" w:rsidP="006D687C">
            <w:pPr>
              <w:spacing w:after="0"/>
              <w:jc w:val="right"/>
              <w:rPr>
                <w:rFonts w:cs="Arial"/>
                <w:sz w:val="16"/>
                <w:szCs w:val="16"/>
                <w:lang w:eastAsia="en-AU"/>
              </w:rPr>
            </w:pPr>
            <w:r w:rsidRPr="0038472A">
              <w:rPr>
                <w:rFonts w:cs="Arial"/>
                <w:sz w:val="16"/>
                <w:szCs w:val="16"/>
                <w:lang w:eastAsia="en-AU"/>
              </w:rPr>
              <w:t>0%</w:t>
            </w:r>
          </w:p>
        </w:tc>
      </w:tr>
    </w:tbl>
    <w:p w14:paraId="0E390011" w14:textId="77777777" w:rsidR="00A91679" w:rsidRDefault="00A91679" w:rsidP="006D687C">
      <w:pPr>
        <w:rPr>
          <w:rFonts w:ascii="Helvetica Light" w:hAnsi="Helvetica Light" w:cstheme="minorBidi"/>
          <w:szCs w:val="20"/>
        </w:rPr>
      </w:pPr>
    </w:p>
    <w:p w14:paraId="07FC0371" w14:textId="77777777" w:rsidR="006D687C" w:rsidRPr="007E394F" w:rsidRDefault="006D687C" w:rsidP="006D687C">
      <w:pPr>
        <w:rPr>
          <w:rFonts w:cs="Arial"/>
          <w:szCs w:val="20"/>
        </w:rPr>
      </w:pPr>
      <w:r w:rsidRPr="007E394F">
        <w:rPr>
          <w:rFonts w:cs="Arial"/>
          <w:szCs w:val="20"/>
        </w:rPr>
        <w:t xml:space="preserve">Return to </w:t>
      </w:r>
      <w:hyperlink w:anchor="_4.2.1_Overview" w:history="1">
        <w:r w:rsidRPr="007E394F">
          <w:rPr>
            <w:rStyle w:val="Hyperlink"/>
            <w:rFonts w:cs="Arial"/>
            <w:szCs w:val="20"/>
          </w:rPr>
          <w:t>Overview of Energy Use by Space-Use Type</w:t>
        </w:r>
      </w:hyperlink>
    </w:p>
    <w:p w14:paraId="6A32ADB2" w14:textId="42AEB828" w:rsidR="006D687C" w:rsidRPr="006D687C" w:rsidRDefault="00944E9B" w:rsidP="006D687C">
      <w:pPr>
        <w:pStyle w:val="Heading3"/>
        <w:rPr>
          <w:rFonts w:hint="eastAsia"/>
        </w:rPr>
      </w:pPr>
      <w:bookmarkStart w:id="269" w:name="_Share_of_Total"/>
      <w:bookmarkEnd w:id="269"/>
      <w:r>
        <w:t>Table A.3</w:t>
      </w:r>
      <w:r w:rsidR="00A13E20">
        <w:t>5</w:t>
      </w:r>
      <w:r>
        <w:tab/>
      </w:r>
      <w:r w:rsidR="006D687C" w:rsidRPr="00A91679">
        <w:t>Share of Total Energy Use by Fuel by Space-Use</w:t>
      </w:r>
    </w:p>
    <w:tbl>
      <w:tblPr>
        <w:tblW w:w="8364" w:type="dxa"/>
        <w:tblInd w:w="-5" w:type="dxa"/>
        <w:tblLook w:val="04A0" w:firstRow="1" w:lastRow="0" w:firstColumn="1" w:lastColumn="0" w:noHBand="0" w:noVBand="1"/>
      </w:tblPr>
      <w:tblGrid>
        <w:gridCol w:w="2515"/>
        <w:gridCol w:w="3014"/>
        <w:gridCol w:w="2835"/>
      </w:tblGrid>
      <w:tr w:rsidR="006D687C" w:rsidRPr="00832481" w14:paraId="55A10626" w14:textId="77777777" w:rsidTr="00832481">
        <w:trPr>
          <w:trHeight w:val="300"/>
        </w:trPr>
        <w:tc>
          <w:tcPr>
            <w:tcW w:w="25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C04701" w14:textId="77777777" w:rsidR="00A91679" w:rsidRPr="00832481" w:rsidRDefault="00A91679" w:rsidP="00832481">
            <w:pPr>
              <w:spacing w:after="0"/>
              <w:rPr>
                <w:rFonts w:cs="Arial"/>
                <w:b/>
                <w:bCs/>
                <w:szCs w:val="20"/>
                <w:lang w:eastAsia="en-AU"/>
              </w:rPr>
            </w:pPr>
            <w:bookmarkStart w:id="270" w:name="_Figure_36:_Share"/>
            <w:bookmarkEnd w:id="270"/>
            <w:r w:rsidRPr="00832481">
              <w:rPr>
                <w:rFonts w:cs="Arial"/>
                <w:b/>
                <w:bCs/>
                <w:szCs w:val="20"/>
                <w:lang w:eastAsia="en-AU"/>
              </w:rPr>
              <w:t>Space Use Type</w:t>
            </w:r>
          </w:p>
        </w:tc>
        <w:tc>
          <w:tcPr>
            <w:tcW w:w="3014" w:type="dxa"/>
            <w:tcBorders>
              <w:top w:val="single" w:sz="4" w:space="0" w:color="auto"/>
              <w:left w:val="nil"/>
              <w:bottom w:val="single" w:sz="4" w:space="0" w:color="auto"/>
              <w:right w:val="single" w:sz="4" w:space="0" w:color="auto"/>
            </w:tcBorders>
            <w:shd w:val="clear" w:color="auto" w:fill="auto"/>
            <w:noWrap/>
            <w:vAlign w:val="bottom"/>
            <w:hideMark/>
          </w:tcPr>
          <w:p w14:paraId="1870A118" w14:textId="77777777" w:rsidR="00A91679" w:rsidRPr="00832481" w:rsidRDefault="00A91679" w:rsidP="00832481">
            <w:pPr>
              <w:spacing w:after="0"/>
              <w:rPr>
                <w:rFonts w:cs="Arial"/>
                <w:b/>
                <w:bCs/>
                <w:szCs w:val="20"/>
                <w:lang w:eastAsia="en-AU"/>
              </w:rPr>
            </w:pPr>
            <w:r w:rsidRPr="00832481">
              <w:rPr>
                <w:rFonts w:cs="Arial"/>
                <w:b/>
                <w:bCs/>
                <w:szCs w:val="20"/>
                <w:lang w:eastAsia="en-AU"/>
              </w:rPr>
              <w:t>Electricity Consumption as a Percentage of the Total (%)</w:t>
            </w:r>
          </w:p>
        </w:tc>
        <w:tc>
          <w:tcPr>
            <w:tcW w:w="2835" w:type="dxa"/>
            <w:tcBorders>
              <w:top w:val="single" w:sz="4" w:space="0" w:color="auto"/>
              <w:left w:val="nil"/>
              <w:bottom w:val="single" w:sz="4" w:space="0" w:color="auto"/>
              <w:right w:val="single" w:sz="4" w:space="0" w:color="auto"/>
            </w:tcBorders>
            <w:shd w:val="clear" w:color="auto" w:fill="auto"/>
            <w:noWrap/>
            <w:vAlign w:val="bottom"/>
            <w:hideMark/>
          </w:tcPr>
          <w:p w14:paraId="33E0E43F" w14:textId="77777777" w:rsidR="00A91679" w:rsidRPr="00832481" w:rsidRDefault="00A91679" w:rsidP="00832481">
            <w:pPr>
              <w:spacing w:after="0"/>
              <w:rPr>
                <w:rFonts w:cs="Arial"/>
                <w:b/>
                <w:bCs/>
                <w:szCs w:val="20"/>
                <w:lang w:eastAsia="en-AU"/>
              </w:rPr>
            </w:pPr>
            <w:r w:rsidRPr="00832481">
              <w:rPr>
                <w:rFonts w:cs="Arial"/>
                <w:b/>
                <w:bCs/>
                <w:szCs w:val="20"/>
                <w:lang w:eastAsia="en-AU"/>
              </w:rPr>
              <w:t>Gas Consumption as a Percentage of the Total (%)</w:t>
            </w:r>
          </w:p>
        </w:tc>
      </w:tr>
      <w:tr w:rsidR="00832481" w:rsidRPr="00832481" w14:paraId="02674986" w14:textId="77777777" w:rsidTr="00832481">
        <w:trPr>
          <w:trHeight w:val="300"/>
        </w:trPr>
        <w:tc>
          <w:tcPr>
            <w:tcW w:w="2515" w:type="dxa"/>
            <w:tcBorders>
              <w:top w:val="nil"/>
              <w:left w:val="single" w:sz="4" w:space="0" w:color="auto"/>
              <w:bottom w:val="single" w:sz="4" w:space="0" w:color="auto"/>
              <w:right w:val="single" w:sz="4" w:space="0" w:color="auto"/>
            </w:tcBorders>
            <w:shd w:val="clear" w:color="auto" w:fill="auto"/>
            <w:noWrap/>
            <w:vAlign w:val="bottom"/>
            <w:hideMark/>
          </w:tcPr>
          <w:p w14:paraId="1D75C1AA" w14:textId="77777777" w:rsidR="00832481" w:rsidRPr="00832481" w:rsidRDefault="00832481" w:rsidP="00832481">
            <w:pPr>
              <w:spacing w:after="0"/>
              <w:rPr>
                <w:rFonts w:cs="Arial"/>
                <w:szCs w:val="20"/>
                <w:lang w:eastAsia="en-AU"/>
              </w:rPr>
            </w:pPr>
            <w:r w:rsidRPr="00832481">
              <w:rPr>
                <w:rFonts w:cs="Arial"/>
                <w:szCs w:val="20"/>
                <w:lang w:eastAsia="en-AU"/>
              </w:rPr>
              <w:t>Parking</w:t>
            </w:r>
          </w:p>
        </w:tc>
        <w:tc>
          <w:tcPr>
            <w:tcW w:w="3014" w:type="dxa"/>
            <w:tcBorders>
              <w:top w:val="nil"/>
              <w:left w:val="nil"/>
              <w:bottom w:val="single" w:sz="4" w:space="0" w:color="auto"/>
              <w:right w:val="single" w:sz="4" w:space="0" w:color="auto"/>
            </w:tcBorders>
            <w:shd w:val="clear" w:color="auto" w:fill="auto"/>
            <w:noWrap/>
            <w:vAlign w:val="bottom"/>
            <w:hideMark/>
          </w:tcPr>
          <w:p w14:paraId="499352C6" w14:textId="6DEBED8A" w:rsidR="00832481" w:rsidRPr="00832481" w:rsidRDefault="00832481" w:rsidP="00832481">
            <w:pPr>
              <w:spacing w:after="0"/>
              <w:jc w:val="right"/>
              <w:rPr>
                <w:rFonts w:cs="Arial"/>
                <w:szCs w:val="20"/>
                <w:lang w:eastAsia="en-AU"/>
              </w:rPr>
            </w:pPr>
            <w:r w:rsidRPr="00832481">
              <w:rPr>
                <w:rFonts w:cs="Arial"/>
                <w:color w:val="000000"/>
                <w:szCs w:val="20"/>
              </w:rPr>
              <w:t>100%</w:t>
            </w:r>
          </w:p>
        </w:tc>
        <w:tc>
          <w:tcPr>
            <w:tcW w:w="2835" w:type="dxa"/>
            <w:tcBorders>
              <w:top w:val="nil"/>
              <w:left w:val="nil"/>
              <w:bottom w:val="single" w:sz="4" w:space="0" w:color="auto"/>
              <w:right w:val="single" w:sz="4" w:space="0" w:color="auto"/>
            </w:tcBorders>
            <w:shd w:val="clear" w:color="auto" w:fill="auto"/>
            <w:noWrap/>
            <w:vAlign w:val="bottom"/>
            <w:hideMark/>
          </w:tcPr>
          <w:p w14:paraId="33DB62BA" w14:textId="41638DD3" w:rsidR="00832481" w:rsidRPr="00832481" w:rsidRDefault="00832481" w:rsidP="00832481">
            <w:pPr>
              <w:spacing w:after="0"/>
              <w:jc w:val="right"/>
              <w:rPr>
                <w:rFonts w:cs="Arial"/>
                <w:szCs w:val="20"/>
                <w:lang w:eastAsia="en-AU"/>
              </w:rPr>
            </w:pPr>
            <w:r w:rsidRPr="00832481">
              <w:rPr>
                <w:rFonts w:cs="Arial"/>
                <w:color w:val="000000"/>
                <w:szCs w:val="20"/>
              </w:rPr>
              <w:t>0%</w:t>
            </w:r>
          </w:p>
        </w:tc>
      </w:tr>
      <w:tr w:rsidR="00832481" w:rsidRPr="00832481" w14:paraId="3B621216" w14:textId="77777777" w:rsidTr="00832481">
        <w:trPr>
          <w:trHeight w:val="300"/>
        </w:trPr>
        <w:tc>
          <w:tcPr>
            <w:tcW w:w="2515" w:type="dxa"/>
            <w:tcBorders>
              <w:top w:val="nil"/>
              <w:left w:val="single" w:sz="4" w:space="0" w:color="auto"/>
              <w:bottom w:val="single" w:sz="4" w:space="0" w:color="auto"/>
              <w:right w:val="single" w:sz="4" w:space="0" w:color="auto"/>
            </w:tcBorders>
            <w:shd w:val="clear" w:color="auto" w:fill="auto"/>
            <w:noWrap/>
            <w:vAlign w:val="bottom"/>
            <w:hideMark/>
          </w:tcPr>
          <w:p w14:paraId="4F7C45E3" w14:textId="77777777" w:rsidR="00832481" w:rsidRPr="00832481" w:rsidRDefault="00832481" w:rsidP="00832481">
            <w:pPr>
              <w:spacing w:after="0"/>
              <w:rPr>
                <w:rFonts w:cs="Arial"/>
                <w:szCs w:val="20"/>
                <w:lang w:eastAsia="en-AU"/>
              </w:rPr>
            </w:pPr>
            <w:r w:rsidRPr="00832481">
              <w:rPr>
                <w:rFonts w:cs="Arial"/>
                <w:szCs w:val="20"/>
                <w:lang w:eastAsia="en-AU"/>
              </w:rPr>
              <w:t>Unoccupied</w:t>
            </w:r>
          </w:p>
        </w:tc>
        <w:tc>
          <w:tcPr>
            <w:tcW w:w="3014" w:type="dxa"/>
            <w:tcBorders>
              <w:top w:val="nil"/>
              <w:left w:val="nil"/>
              <w:bottom w:val="single" w:sz="4" w:space="0" w:color="auto"/>
              <w:right w:val="single" w:sz="4" w:space="0" w:color="auto"/>
            </w:tcBorders>
            <w:shd w:val="clear" w:color="auto" w:fill="auto"/>
            <w:noWrap/>
            <w:vAlign w:val="bottom"/>
            <w:hideMark/>
          </w:tcPr>
          <w:p w14:paraId="6D91F5BF" w14:textId="1E0F184D" w:rsidR="00832481" w:rsidRPr="00832481" w:rsidRDefault="00832481" w:rsidP="00832481">
            <w:pPr>
              <w:spacing w:after="0"/>
              <w:jc w:val="right"/>
              <w:rPr>
                <w:rFonts w:cs="Arial"/>
                <w:szCs w:val="20"/>
                <w:lang w:eastAsia="en-AU"/>
              </w:rPr>
            </w:pPr>
            <w:r w:rsidRPr="00832481">
              <w:rPr>
                <w:rFonts w:cs="Arial"/>
                <w:color w:val="000000"/>
                <w:szCs w:val="20"/>
              </w:rPr>
              <w:t>100%</w:t>
            </w:r>
          </w:p>
        </w:tc>
        <w:tc>
          <w:tcPr>
            <w:tcW w:w="2835" w:type="dxa"/>
            <w:tcBorders>
              <w:top w:val="nil"/>
              <w:left w:val="nil"/>
              <w:bottom w:val="single" w:sz="4" w:space="0" w:color="auto"/>
              <w:right w:val="single" w:sz="4" w:space="0" w:color="auto"/>
            </w:tcBorders>
            <w:shd w:val="clear" w:color="auto" w:fill="auto"/>
            <w:noWrap/>
            <w:vAlign w:val="bottom"/>
            <w:hideMark/>
          </w:tcPr>
          <w:p w14:paraId="138DA0E4" w14:textId="33D0DFD6" w:rsidR="00832481" w:rsidRPr="00832481" w:rsidRDefault="00832481" w:rsidP="00832481">
            <w:pPr>
              <w:spacing w:after="0"/>
              <w:jc w:val="right"/>
              <w:rPr>
                <w:rFonts w:cs="Arial"/>
                <w:szCs w:val="20"/>
                <w:lang w:eastAsia="en-AU"/>
              </w:rPr>
            </w:pPr>
            <w:r w:rsidRPr="00832481">
              <w:rPr>
                <w:rFonts w:cs="Arial"/>
                <w:color w:val="000000"/>
                <w:szCs w:val="20"/>
              </w:rPr>
              <w:t>0%</w:t>
            </w:r>
          </w:p>
        </w:tc>
      </w:tr>
      <w:tr w:rsidR="00832481" w:rsidRPr="00832481" w14:paraId="1F4467CB" w14:textId="77777777" w:rsidTr="00832481">
        <w:trPr>
          <w:trHeight w:val="300"/>
        </w:trPr>
        <w:tc>
          <w:tcPr>
            <w:tcW w:w="2515" w:type="dxa"/>
            <w:tcBorders>
              <w:top w:val="nil"/>
              <w:left w:val="single" w:sz="4" w:space="0" w:color="auto"/>
              <w:bottom w:val="single" w:sz="4" w:space="0" w:color="auto"/>
              <w:right w:val="single" w:sz="4" w:space="0" w:color="auto"/>
            </w:tcBorders>
            <w:shd w:val="clear" w:color="auto" w:fill="auto"/>
            <w:noWrap/>
            <w:vAlign w:val="bottom"/>
            <w:hideMark/>
          </w:tcPr>
          <w:p w14:paraId="3C5CA5DE" w14:textId="77777777" w:rsidR="00832481" w:rsidRPr="00832481" w:rsidRDefault="00832481" w:rsidP="00832481">
            <w:pPr>
              <w:spacing w:after="0"/>
              <w:rPr>
                <w:rFonts w:cs="Arial"/>
                <w:szCs w:val="20"/>
                <w:lang w:eastAsia="en-AU"/>
              </w:rPr>
            </w:pPr>
            <w:r w:rsidRPr="00832481">
              <w:rPr>
                <w:rFonts w:cs="Arial"/>
                <w:szCs w:val="20"/>
                <w:lang w:eastAsia="en-AU"/>
              </w:rPr>
              <w:t>Retail</w:t>
            </w:r>
          </w:p>
        </w:tc>
        <w:tc>
          <w:tcPr>
            <w:tcW w:w="3014" w:type="dxa"/>
            <w:tcBorders>
              <w:top w:val="nil"/>
              <w:left w:val="nil"/>
              <w:bottom w:val="single" w:sz="4" w:space="0" w:color="auto"/>
              <w:right w:val="single" w:sz="4" w:space="0" w:color="auto"/>
            </w:tcBorders>
            <w:shd w:val="clear" w:color="auto" w:fill="auto"/>
            <w:noWrap/>
            <w:vAlign w:val="bottom"/>
            <w:hideMark/>
          </w:tcPr>
          <w:p w14:paraId="49540140" w14:textId="691B45C2" w:rsidR="00832481" w:rsidRPr="00832481" w:rsidRDefault="00832481" w:rsidP="00832481">
            <w:pPr>
              <w:spacing w:after="0"/>
              <w:jc w:val="right"/>
              <w:rPr>
                <w:rFonts w:cs="Arial"/>
                <w:szCs w:val="20"/>
                <w:lang w:eastAsia="en-AU"/>
              </w:rPr>
            </w:pPr>
            <w:r w:rsidRPr="00832481">
              <w:rPr>
                <w:rFonts w:cs="Arial"/>
                <w:color w:val="000000"/>
                <w:szCs w:val="20"/>
              </w:rPr>
              <w:t>76%</w:t>
            </w:r>
          </w:p>
        </w:tc>
        <w:tc>
          <w:tcPr>
            <w:tcW w:w="2835" w:type="dxa"/>
            <w:tcBorders>
              <w:top w:val="nil"/>
              <w:left w:val="nil"/>
              <w:bottom w:val="single" w:sz="4" w:space="0" w:color="auto"/>
              <w:right w:val="single" w:sz="4" w:space="0" w:color="auto"/>
            </w:tcBorders>
            <w:shd w:val="clear" w:color="auto" w:fill="auto"/>
            <w:noWrap/>
            <w:vAlign w:val="bottom"/>
            <w:hideMark/>
          </w:tcPr>
          <w:p w14:paraId="36C0D8A8" w14:textId="57370CC4" w:rsidR="00832481" w:rsidRPr="00832481" w:rsidRDefault="00832481" w:rsidP="00832481">
            <w:pPr>
              <w:spacing w:after="0"/>
              <w:jc w:val="right"/>
              <w:rPr>
                <w:rFonts w:cs="Arial"/>
                <w:szCs w:val="20"/>
                <w:lang w:eastAsia="en-AU"/>
              </w:rPr>
            </w:pPr>
            <w:r w:rsidRPr="00832481">
              <w:rPr>
                <w:rFonts w:cs="Arial"/>
                <w:color w:val="000000"/>
                <w:szCs w:val="20"/>
              </w:rPr>
              <w:t>24%</w:t>
            </w:r>
          </w:p>
        </w:tc>
      </w:tr>
      <w:tr w:rsidR="00832481" w:rsidRPr="00832481" w14:paraId="70287E1A" w14:textId="77777777" w:rsidTr="00832481">
        <w:trPr>
          <w:trHeight w:val="300"/>
        </w:trPr>
        <w:tc>
          <w:tcPr>
            <w:tcW w:w="2515" w:type="dxa"/>
            <w:tcBorders>
              <w:top w:val="nil"/>
              <w:left w:val="single" w:sz="4" w:space="0" w:color="auto"/>
              <w:bottom w:val="single" w:sz="4" w:space="0" w:color="auto"/>
              <w:right w:val="single" w:sz="4" w:space="0" w:color="auto"/>
            </w:tcBorders>
            <w:shd w:val="clear" w:color="auto" w:fill="auto"/>
            <w:noWrap/>
            <w:vAlign w:val="bottom"/>
            <w:hideMark/>
          </w:tcPr>
          <w:p w14:paraId="1E4EAA85" w14:textId="77777777" w:rsidR="00832481" w:rsidRPr="00832481" w:rsidRDefault="00832481" w:rsidP="00832481">
            <w:pPr>
              <w:spacing w:after="0"/>
              <w:rPr>
                <w:rFonts w:cs="Arial"/>
                <w:szCs w:val="20"/>
                <w:lang w:eastAsia="en-AU"/>
              </w:rPr>
            </w:pPr>
            <w:r w:rsidRPr="00832481">
              <w:rPr>
                <w:rFonts w:cs="Arial"/>
                <w:szCs w:val="20"/>
                <w:lang w:eastAsia="en-AU"/>
              </w:rPr>
              <w:t>Other</w:t>
            </w:r>
          </w:p>
        </w:tc>
        <w:tc>
          <w:tcPr>
            <w:tcW w:w="3014" w:type="dxa"/>
            <w:tcBorders>
              <w:top w:val="nil"/>
              <w:left w:val="nil"/>
              <w:bottom w:val="single" w:sz="4" w:space="0" w:color="auto"/>
              <w:right w:val="single" w:sz="4" w:space="0" w:color="auto"/>
            </w:tcBorders>
            <w:shd w:val="clear" w:color="auto" w:fill="auto"/>
            <w:noWrap/>
            <w:vAlign w:val="bottom"/>
            <w:hideMark/>
          </w:tcPr>
          <w:p w14:paraId="4AF066A4" w14:textId="5359715A" w:rsidR="00832481" w:rsidRPr="00832481" w:rsidRDefault="00832481" w:rsidP="00832481">
            <w:pPr>
              <w:spacing w:after="0"/>
              <w:jc w:val="right"/>
              <w:rPr>
                <w:rFonts w:cs="Arial"/>
                <w:szCs w:val="20"/>
                <w:lang w:eastAsia="en-AU"/>
              </w:rPr>
            </w:pPr>
            <w:r w:rsidRPr="00832481">
              <w:rPr>
                <w:rFonts w:cs="Arial"/>
                <w:color w:val="000000"/>
                <w:szCs w:val="20"/>
              </w:rPr>
              <w:t>75%</w:t>
            </w:r>
          </w:p>
        </w:tc>
        <w:tc>
          <w:tcPr>
            <w:tcW w:w="2835" w:type="dxa"/>
            <w:tcBorders>
              <w:top w:val="nil"/>
              <w:left w:val="nil"/>
              <w:bottom w:val="single" w:sz="4" w:space="0" w:color="auto"/>
              <w:right w:val="single" w:sz="4" w:space="0" w:color="auto"/>
            </w:tcBorders>
            <w:shd w:val="clear" w:color="auto" w:fill="auto"/>
            <w:noWrap/>
            <w:vAlign w:val="bottom"/>
            <w:hideMark/>
          </w:tcPr>
          <w:p w14:paraId="039E6F82" w14:textId="270BBA33" w:rsidR="00832481" w:rsidRPr="00832481" w:rsidRDefault="00832481" w:rsidP="00832481">
            <w:pPr>
              <w:spacing w:after="0"/>
              <w:jc w:val="right"/>
              <w:rPr>
                <w:rFonts w:cs="Arial"/>
                <w:szCs w:val="20"/>
                <w:lang w:eastAsia="en-AU"/>
              </w:rPr>
            </w:pPr>
            <w:r w:rsidRPr="00832481">
              <w:rPr>
                <w:rFonts w:cs="Arial"/>
                <w:color w:val="000000"/>
                <w:szCs w:val="20"/>
              </w:rPr>
              <w:t>25%</w:t>
            </w:r>
          </w:p>
        </w:tc>
      </w:tr>
      <w:tr w:rsidR="00832481" w:rsidRPr="00832481" w14:paraId="0C7A10B9" w14:textId="77777777" w:rsidTr="00832481">
        <w:trPr>
          <w:trHeight w:val="300"/>
        </w:trPr>
        <w:tc>
          <w:tcPr>
            <w:tcW w:w="2515" w:type="dxa"/>
            <w:tcBorders>
              <w:top w:val="nil"/>
              <w:left w:val="single" w:sz="4" w:space="0" w:color="auto"/>
              <w:bottom w:val="single" w:sz="4" w:space="0" w:color="auto"/>
              <w:right w:val="single" w:sz="4" w:space="0" w:color="auto"/>
            </w:tcBorders>
            <w:shd w:val="clear" w:color="auto" w:fill="auto"/>
            <w:noWrap/>
            <w:vAlign w:val="bottom"/>
            <w:hideMark/>
          </w:tcPr>
          <w:p w14:paraId="5C7AAE45" w14:textId="77777777" w:rsidR="00832481" w:rsidRPr="00832481" w:rsidRDefault="00832481" w:rsidP="00832481">
            <w:pPr>
              <w:spacing w:after="0"/>
              <w:rPr>
                <w:rFonts w:cs="Arial"/>
                <w:szCs w:val="20"/>
                <w:lang w:eastAsia="en-AU"/>
              </w:rPr>
            </w:pPr>
            <w:r w:rsidRPr="00832481">
              <w:rPr>
                <w:rFonts w:cs="Arial"/>
                <w:szCs w:val="20"/>
                <w:lang w:eastAsia="en-AU"/>
              </w:rPr>
              <w:t>Entertainment/recreation</w:t>
            </w:r>
          </w:p>
        </w:tc>
        <w:tc>
          <w:tcPr>
            <w:tcW w:w="3014" w:type="dxa"/>
            <w:tcBorders>
              <w:top w:val="nil"/>
              <w:left w:val="nil"/>
              <w:bottom w:val="single" w:sz="4" w:space="0" w:color="auto"/>
              <w:right w:val="single" w:sz="4" w:space="0" w:color="auto"/>
            </w:tcBorders>
            <w:shd w:val="clear" w:color="auto" w:fill="auto"/>
            <w:noWrap/>
            <w:vAlign w:val="bottom"/>
            <w:hideMark/>
          </w:tcPr>
          <w:p w14:paraId="697C6C99" w14:textId="0FF91828" w:rsidR="00832481" w:rsidRPr="00832481" w:rsidRDefault="00832481" w:rsidP="00832481">
            <w:pPr>
              <w:spacing w:after="0"/>
              <w:jc w:val="right"/>
              <w:rPr>
                <w:rFonts w:cs="Arial"/>
                <w:szCs w:val="20"/>
                <w:lang w:eastAsia="en-AU"/>
              </w:rPr>
            </w:pPr>
            <w:r w:rsidRPr="00832481">
              <w:rPr>
                <w:rFonts w:cs="Arial"/>
                <w:color w:val="000000"/>
                <w:szCs w:val="20"/>
              </w:rPr>
              <w:t>75%</w:t>
            </w:r>
          </w:p>
        </w:tc>
        <w:tc>
          <w:tcPr>
            <w:tcW w:w="2835" w:type="dxa"/>
            <w:tcBorders>
              <w:top w:val="nil"/>
              <w:left w:val="nil"/>
              <w:bottom w:val="single" w:sz="4" w:space="0" w:color="auto"/>
              <w:right w:val="single" w:sz="4" w:space="0" w:color="auto"/>
            </w:tcBorders>
            <w:shd w:val="clear" w:color="auto" w:fill="auto"/>
            <w:noWrap/>
            <w:vAlign w:val="bottom"/>
            <w:hideMark/>
          </w:tcPr>
          <w:p w14:paraId="655F1A1F" w14:textId="0FA9AABF" w:rsidR="00832481" w:rsidRPr="00832481" w:rsidRDefault="00832481" w:rsidP="00832481">
            <w:pPr>
              <w:spacing w:after="0"/>
              <w:jc w:val="right"/>
              <w:rPr>
                <w:rFonts w:cs="Arial"/>
                <w:szCs w:val="20"/>
                <w:lang w:eastAsia="en-AU"/>
              </w:rPr>
            </w:pPr>
            <w:r w:rsidRPr="00832481">
              <w:rPr>
                <w:rFonts w:cs="Arial"/>
                <w:color w:val="000000"/>
                <w:szCs w:val="20"/>
              </w:rPr>
              <w:t>25%</w:t>
            </w:r>
          </w:p>
        </w:tc>
      </w:tr>
      <w:tr w:rsidR="00832481" w:rsidRPr="00832481" w14:paraId="6D46A0A3" w14:textId="77777777" w:rsidTr="00832481">
        <w:trPr>
          <w:trHeight w:val="300"/>
        </w:trPr>
        <w:tc>
          <w:tcPr>
            <w:tcW w:w="2515" w:type="dxa"/>
            <w:tcBorders>
              <w:top w:val="nil"/>
              <w:left w:val="single" w:sz="4" w:space="0" w:color="auto"/>
              <w:bottom w:val="single" w:sz="4" w:space="0" w:color="auto"/>
              <w:right w:val="single" w:sz="4" w:space="0" w:color="auto"/>
            </w:tcBorders>
            <w:shd w:val="clear" w:color="auto" w:fill="auto"/>
            <w:noWrap/>
            <w:vAlign w:val="bottom"/>
            <w:hideMark/>
          </w:tcPr>
          <w:p w14:paraId="41E04D8B" w14:textId="77777777" w:rsidR="00832481" w:rsidRPr="00832481" w:rsidRDefault="00832481" w:rsidP="00832481">
            <w:pPr>
              <w:spacing w:after="0"/>
              <w:rPr>
                <w:rFonts w:cs="Arial"/>
                <w:szCs w:val="20"/>
                <w:lang w:eastAsia="en-AU"/>
              </w:rPr>
            </w:pPr>
            <w:r w:rsidRPr="00832481">
              <w:rPr>
                <w:rFonts w:cs="Arial"/>
                <w:szCs w:val="20"/>
                <w:lang w:eastAsia="en-AU"/>
              </w:rPr>
              <w:lastRenderedPageBreak/>
              <w:t>Community/public use</w:t>
            </w:r>
          </w:p>
        </w:tc>
        <w:tc>
          <w:tcPr>
            <w:tcW w:w="3014" w:type="dxa"/>
            <w:tcBorders>
              <w:top w:val="nil"/>
              <w:left w:val="nil"/>
              <w:bottom w:val="single" w:sz="4" w:space="0" w:color="auto"/>
              <w:right w:val="single" w:sz="4" w:space="0" w:color="auto"/>
            </w:tcBorders>
            <w:shd w:val="clear" w:color="auto" w:fill="auto"/>
            <w:noWrap/>
            <w:vAlign w:val="bottom"/>
            <w:hideMark/>
          </w:tcPr>
          <w:p w14:paraId="550B9A26" w14:textId="036DCD6C" w:rsidR="00832481" w:rsidRPr="00832481" w:rsidRDefault="00832481" w:rsidP="00832481">
            <w:pPr>
              <w:spacing w:after="0"/>
              <w:jc w:val="right"/>
              <w:rPr>
                <w:rFonts w:cs="Arial"/>
                <w:szCs w:val="20"/>
                <w:lang w:eastAsia="en-AU"/>
              </w:rPr>
            </w:pPr>
            <w:r w:rsidRPr="00832481">
              <w:rPr>
                <w:rFonts w:cs="Arial"/>
                <w:color w:val="000000"/>
                <w:szCs w:val="20"/>
              </w:rPr>
              <w:t>75%</w:t>
            </w:r>
          </w:p>
        </w:tc>
        <w:tc>
          <w:tcPr>
            <w:tcW w:w="2835" w:type="dxa"/>
            <w:tcBorders>
              <w:top w:val="nil"/>
              <w:left w:val="nil"/>
              <w:bottom w:val="single" w:sz="4" w:space="0" w:color="auto"/>
              <w:right w:val="single" w:sz="4" w:space="0" w:color="auto"/>
            </w:tcBorders>
            <w:shd w:val="clear" w:color="auto" w:fill="auto"/>
            <w:noWrap/>
            <w:vAlign w:val="bottom"/>
            <w:hideMark/>
          </w:tcPr>
          <w:p w14:paraId="392576AD" w14:textId="729EA857" w:rsidR="00832481" w:rsidRPr="00832481" w:rsidRDefault="00832481" w:rsidP="00832481">
            <w:pPr>
              <w:spacing w:after="0"/>
              <w:jc w:val="right"/>
              <w:rPr>
                <w:rFonts w:cs="Arial"/>
                <w:szCs w:val="20"/>
                <w:lang w:eastAsia="en-AU"/>
              </w:rPr>
            </w:pPr>
            <w:r w:rsidRPr="00832481">
              <w:rPr>
                <w:rFonts w:cs="Arial"/>
                <w:color w:val="000000"/>
                <w:szCs w:val="20"/>
              </w:rPr>
              <w:t>25%</w:t>
            </w:r>
          </w:p>
        </w:tc>
      </w:tr>
      <w:tr w:rsidR="00832481" w:rsidRPr="00832481" w14:paraId="4B562476" w14:textId="77777777" w:rsidTr="00832481">
        <w:trPr>
          <w:trHeight w:val="300"/>
        </w:trPr>
        <w:tc>
          <w:tcPr>
            <w:tcW w:w="2515" w:type="dxa"/>
            <w:tcBorders>
              <w:top w:val="nil"/>
              <w:left w:val="single" w:sz="4" w:space="0" w:color="auto"/>
              <w:bottom w:val="single" w:sz="4" w:space="0" w:color="auto"/>
              <w:right w:val="single" w:sz="4" w:space="0" w:color="auto"/>
            </w:tcBorders>
            <w:shd w:val="clear" w:color="auto" w:fill="auto"/>
            <w:noWrap/>
            <w:vAlign w:val="bottom"/>
            <w:hideMark/>
          </w:tcPr>
          <w:p w14:paraId="498D8C98" w14:textId="77777777" w:rsidR="00832481" w:rsidRPr="00832481" w:rsidRDefault="00832481" w:rsidP="00832481">
            <w:pPr>
              <w:spacing w:after="0"/>
              <w:rPr>
                <w:rFonts w:cs="Arial"/>
                <w:szCs w:val="20"/>
                <w:lang w:eastAsia="en-AU"/>
              </w:rPr>
            </w:pPr>
            <w:r w:rsidRPr="00832481">
              <w:rPr>
                <w:rFonts w:cs="Arial"/>
                <w:szCs w:val="20"/>
                <w:lang w:eastAsia="en-AU"/>
              </w:rPr>
              <w:t>Manufacturing/light industrial</w:t>
            </w:r>
          </w:p>
        </w:tc>
        <w:tc>
          <w:tcPr>
            <w:tcW w:w="3014" w:type="dxa"/>
            <w:tcBorders>
              <w:top w:val="nil"/>
              <w:left w:val="nil"/>
              <w:bottom w:val="single" w:sz="4" w:space="0" w:color="auto"/>
              <w:right w:val="single" w:sz="4" w:space="0" w:color="auto"/>
            </w:tcBorders>
            <w:shd w:val="clear" w:color="auto" w:fill="auto"/>
            <w:noWrap/>
            <w:vAlign w:val="bottom"/>
            <w:hideMark/>
          </w:tcPr>
          <w:p w14:paraId="565774F7" w14:textId="456973CC" w:rsidR="00832481" w:rsidRPr="00832481" w:rsidRDefault="00832481" w:rsidP="00832481">
            <w:pPr>
              <w:spacing w:after="0"/>
              <w:jc w:val="right"/>
              <w:rPr>
                <w:rFonts w:cs="Arial"/>
                <w:szCs w:val="20"/>
                <w:lang w:eastAsia="en-AU"/>
              </w:rPr>
            </w:pPr>
            <w:r w:rsidRPr="00832481">
              <w:rPr>
                <w:rFonts w:cs="Arial"/>
                <w:color w:val="000000"/>
                <w:szCs w:val="20"/>
              </w:rPr>
              <w:t>75%</w:t>
            </w:r>
          </w:p>
        </w:tc>
        <w:tc>
          <w:tcPr>
            <w:tcW w:w="2835" w:type="dxa"/>
            <w:tcBorders>
              <w:top w:val="nil"/>
              <w:left w:val="nil"/>
              <w:bottom w:val="single" w:sz="4" w:space="0" w:color="auto"/>
              <w:right w:val="single" w:sz="4" w:space="0" w:color="auto"/>
            </w:tcBorders>
            <w:shd w:val="clear" w:color="auto" w:fill="auto"/>
            <w:noWrap/>
            <w:vAlign w:val="bottom"/>
            <w:hideMark/>
          </w:tcPr>
          <w:p w14:paraId="742F0816" w14:textId="120FCB83" w:rsidR="00832481" w:rsidRPr="00832481" w:rsidRDefault="00832481" w:rsidP="00832481">
            <w:pPr>
              <w:spacing w:after="0"/>
              <w:jc w:val="right"/>
              <w:rPr>
                <w:rFonts w:cs="Arial"/>
                <w:szCs w:val="20"/>
                <w:lang w:eastAsia="en-AU"/>
              </w:rPr>
            </w:pPr>
            <w:r w:rsidRPr="00832481">
              <w:rPr>
                <w:rFonts w:cs="Arial"/>
                <w:color w:val="000000"/>
                <w:szCs w:val="20"/>
              </w:rPr>
              <w:t>25%</w:t>
            </w:r>
          </w:p>
        </w:tc>
      </w:tr>
      <w:tr w:rsidR="00832481" w:rsidRPr="00832481" w14:paraId="3350AE3C" w14:textId="77777777" w:rsidTr="00832481">
        <w:trPr>
          <w:trHeight w:val="300"/>
        </w:trPr>
        <w:tc>
          <w:tcPr>
            <w:tcW w:w="2515" w:type="dxa"/>
            <w:tcBorders>
              <w:top w:val="nil"/>
              <w:left w:val="single" w:sz="4" w:space="0" w:color="auto"/>
              <w:bottom w:val="single" w:sz="4" w:space="0" w:color="auto"/>
              <w:right w:val="single" w:sz="4" w:space="0" w:color="auto"/>
            </w:tcBorders>
            <w:shd w:val="clear" w:color="auto" w:fill="auto"/>
            <w:noWrap/>
            <w:vAlign w:val="bottom"/>
            <w:hideMark/>
          </w:tcPr>
          <w:p w14:paraId="42C18F12" w14:textId="77777777" w:rsidR="00832481" w:rsidRPr="00832481" w:rsidRDefault="00832481" w:rsidP="00832481">
            <w:pPr>
              <w:spacing w:after="0"/>
              <w:rPr>
                <w:rFonts w:cs="Arial"/>
                <w:szCs w:val="20"/>
                <w:lang w:eastAsia="en-AU"/>
              </w:rPr>
            </w:pPr>
            <w:r w:rsidRPr="00832481">
              <w:rPr>
                <w:rFonts w:cs="Arial"/>
                <w:szCs w:val="20"/>
                <w:lang w:eastAsia="en-AU"/>
              </w:rPr>
              <w:t>Education</w:t>
            </w:r>
          </w:p>
        </w:tc>
        <w:tc>
          <w:tcPr>
            <w:tcW w:w="3014" w:type="dxa"/>
            <w:tcBorders>
              <w:top w:val="nil"/>
              <w:left w:val="nil"/>
              <w:bottom w:val="single" w:sz="4" w:space="0" w:color="auto"/>
              <w:right w:val="single" w:sz="4" w:space="0" w:color="auto"/>
            </w:tcBorders>
            <w:shd w:val="clear" w:color="auto" w:fill="auto"/>
            <w:noWrap/>
            <w:vAlign w:val="bottom"/>
            <w:hideMark/>
          </w:tcPr>
          <w:p w14:paraId="169A74F7" w14:textId="12327980" w:rsidR="00832481" w:rsidRPr="00832481" w:rsidRDefault="00832481" w:rsidP="00832481">
            <w:pPr>
              <w:spacing w:after="0"/>
              <w:jc w:val="right"/>
              <w:rPr>
                <w:rFonts w:cs="Arial"/>
                <w:szCs w:val="20"/>
                <w:lang w:eastAsia="en-AU"/>
              </w:rPr>
            </w:pPr>
            <w:r w:rsidRPr="00832481">
              <w:rPr>
                <w:rFonts w:cs="Arial"/>
                <w:color w:val="000000"/>
                <w:szCs w:val="20"/>
              </w:rPr>
              <w:t>74%</w:t>
            </w:r>
          </w:p>
        </w:tc>
        <w:tc>
          <w:tcPr>
            <w:tcW w:w="2835" w:type="dxa"/>
            <w:tcBorders>
              <w:top w:val="nil"/>
              <w:left w:val="nil"/>
              <w:bottom w:val="single" w:sz="4" w:space="0" w:color="auto"/>
              <w:right w:val="single" w:sz="4" w:space="0" w:color="auto"/>
            </w:tcBorders>
            <w:shd w:val="clear" w:color="auto" w:fill="auto"/>
            <w:noWrap/>
            <w:vAlign w:val="bottom"/>
            <w:hideMark/>
          </w:tcPr>
          <w:p w14:paraId="3E85EFE3" w14:textId="07DABE34" w:rsidR="00832481" w:rsidRPr="00832481" w:rsidRDefault="00832481" w:rsidP="00832481">
            <w:pPr>
              <w:spacing w:after="0"/>
              <w:jc w:val="right"/>
              <w:rPr>
                <w:rFonts w:cs="Arial"/>
                <w:szCs w:val="20"/>
                <w:lang w:eastAsia="en-AU"/>
              </w:rPr>
            </w:pPr>
            <w:r w:rsidRPr="00832481">
              <w:rPr>
                <w:rFonts w:cs="Arial"/>
                <w:color w:val="000000"/>
                <w:szCs w:val="20"/>
              </w:rPr>
              <w:t>26%</w:t>
            </w:r>
          </w:p>
        </w:tc>
      </w:tr>
      <w:tr w:rsidR="00832481" w:rsidRPr="00832481" w14:paraId="0D88F341" w14:textId="77777777" w:rsidTr="00832481">
        <w:trPr>
          <w:trHeight w:val="300"/>
        </w:trPr>
        <w:tc>
          <w:tcPr>
            <w:tcW w:w="2515" w:type="dxa"/>
            <w:tcBorders>
              <w:top w:val="nil"/>
              <w:left w:val="single" w:sz="4" w:space="0" w:color="auto"/>
              <w:bottom w:val="single" w:sz="4" w:space="0" w:color="auto"/>
              <w:right w:val="single" w:sz="4" w:space="0" w:color="auto"/>
            </w:tcBorders>
            <w:shd w:val="clear" w:color="auto" w:fill="auto"/>
            <w:noWrap/>
            <w:vAlign w:val="bottom"/>
            <w:hideMark/>
          </w:tcPr>
          <w:p w14:paraId="3938F450" w14:textId="77777777" w:rsidR="00832481" w:rsidRPr="00832481" w:rsidRDefault="00832481" w:rsidP="00832481">
            <w:pPr>
              <w:spacing w:after="0"/>
              <w:rPr>
                <w:rFonts w:cs="Arial"/>
                <w:szCs w:val="20"/>
                <w:lang w:eastAsia="en-AU"/>
              </w:rPr>
            </w:pPr>
            <w:r w:rsidRPr="00832481">
              <w:rPr>
                <w:rFonts w:cs="Arial"/>
                <w:szCs w:val="20"/>
                <w:lang w:eastAsia="en-AU"/>
              </w:rPr>
              <w:t>Transport</w:t>
            </w:r>
          </w:p>
        </w:tc>
        <w:tc>
          <w:tcPr>
            <w:tcW w:w="3014" w:type="dxa"/>
            <w:tcBorders>
              <w:top w:val="nil"/>
              <w:left w:val="nil"/>
              <w:bottom w:val="single" w:sz="4" w:space="0" w:color="auto"/>
              <w:right w:val="single" w:sz="4" w:space="0" w:color="auto"/>
            </w:tcBorders>
            <w:shd w:val="clear" w:color="auto" w:fill="auto"/>
            <w:noWrap/>
            <w:vAlign w:val="bottom"/>
            <w:hideMark/>
          </w:tcPr>
          <w:p w14:paraId="59016399" w14:textId="65DE8BFC" w:rsidR="00832481" w:rsidRPr="00832481" w:rsidRDefault="00832481" w:rsidP="00832481">
            <w:pPr>
              <w:spacing w:after="0"/>
              <w:jc w:val="right"/>
              <w:rPr>
                <w:rFonts w:cs="Arial"/>
                <w:szCs w:val="20"/>
                <w:lang w:eastAsia="en-AU"/>
              </w:rPr>
            </w:pPr>
            <w:r w:rsidRPr="00832481">
              <w:rPr>
                <w:rFonts w:cs="Arial"/>
                <w:color w:val="000000"/>
                <w:szCs w:val="20"/>
              </w:rPr>
              <w:t>74%</w:t>
            </w:r>
          </w:p>
        </w:tc>
        <w:tc>
          <w:tcPr>
            <w:tcW w:w="2835" w:type="dxa"/>
            <w:tcBorders>
              <w:top w:val="nil"/>
              <w:left w:val="nil"/>
              <w:bottom w:val="single" w:sz="4" w:space="0" w:color="auto"/>
              <w:right w:val="single" w:sz="4" w:space="0" w:color="auto"/>
            </w:tcBorders>
            <w:shd w:val="clear" w:color="auto" w:fill="auto"/>
            <w:noWrap/>
            <w:vAlign w:val="bottom"/>
            <w:hideMark/>
          </w:tcPr>
          <w:p w14:paraId="2556C9D0" w14:textId="7F8DF7F5" w:rsidR="00832481" w:rsidRPr="00832481" w:rsidRDefault="00832481" w:rsidP="00832481">
            <w:pPr>
              <w:spacing w:after="0"/>
              <w:jc w:val="right"/>
              <w:rPr>
                <w:rFonts w:cs="Arial"/>
                <w:szCs w:val="20"/>
                <w:lang w:eastAsia="en-AU"/>
              </w:rPr>
            </w:pPr>
            <w:r w:rsidRPr="00832481">
              <w:rPr>
                <w:rFonts w:cs="Arial"/>
                <w:color w:val="000000"/>
                <w:szCs w:val="20"/>
              </w:rPr>
              <w:t>26%</w:t>
            </w:r>
          </w:p>
        </w:tc>
      </w:tr>
      <w:tr w:rsidR="00832481" w:rsidRPr="00832481" w14:paraId="78A148C4" w14:textId="77777777" w:rsidTr="00832481">
        <w:trPr>
          <w:trHeight w:val="300"/>
        </w:trPr>
        <w:tc>
          <w:tcPr>
            <w:tcW w:w="2515" w:type="dxa"/>
            <w:tcBorders>
              <w:top w:val="nil"/>
              <w:left w:val="single" w:sz="4" w:space="0" w:color="auto"/>
              <w:bottom w:val="single" w:sz="4" w:space="0" w:color="auto"/>
              <w:right w:val="single" w:sz="4" w:space="0" w:color="auto"/>
            </w:tcBorders>
            <w:shd w:val="clear" w:color="auto" w:fill="auto"/>
            <w:noWrap/>
            <w:vAlign w:val="bottom"/>
            <w:hideMark/>
          </w:tcPr>
          <w:p w14:paraId="59E8AB0D" w14:textId="77777777" w:rsidR="00832481" w:rsidRPr="00832481" w:rsidRDefault="00832481" w:rsidP="00832481">
            <w:pPr>
              <w:spacing w:after="0"/>
              <w:rPr>
                <w:rFonts w:cs="Arial"/>
                <w:szCs w:val="20"/>
                <w:lang w:eastAsia="en-AU"/>
              </w:rPr>
            </w:pPr>
            <w:r w:rsidRPr="00832481">
              <w:rPr>
                <w:rFonts w:cs="Arial"/>
                <w:szCs w:val="20"/>
                <w:lang w:eastAsia="en-AU"/>
              </w:rPr>
              <w:t>Commercial accommodation</w:t>
            </w:r>
          </w:p>
        </w:tc>
        <w:tc>
          <w:tcPr>
            <w:tcW w:w="3014" w:type="dxa"/>
            <w:tcBorders>
              <w:top w:val="nil"/>
              <w:left w:val="nil"/>
              <w:bottom w:val="single" w:sz="4" w:space="0" w:color="auto"/>
              <w:right w:val="single" w:sz="4" w:space="0" w:color="auto"/>
            </w:tcBorders>
            <w:shd w:val="clear" w:color="auto" w:fill="auto"/>
            <w:noWrap/>
            <w:vAlign w:val="bottom"/>
            <w:hideMark/>
          </w:tcPr>
          <w:p w14:paraId="4DF6F288" w14:textId="1C202D01" w:rsidR="00832481" w:rsidRPr="00832481" w:rsidRDefault="00832481" w:rsidP="00832481">
            <w:pPr>
              <w:spacing w:after="0"/>
              <w:jc w:val="right"/>
              <w:rPr>
                <w:rFonts w:cs="Arial"/>
                <w:szCs w:val="20"/>
                <w:lang w:eastAsia="en-AU"/>
              </w:rPr>
            </w:pPr>
            <w:r w:rsidRPr="00832481">
              <w:rPr>
                <w:rFonts w:cs="Arial"/>
                <w:color w:val="000000"/>
                <w:szCs w:val="20"/>
              </w:rPr>
              <w:t>66%</w:t>
            </w:r>
          </w:p>
        </w:tc>
        <w:tc>
          <w:tcPr>
            <w:tcW w:w="2835" w:type="dxa"/>
            <w:tcBorders>
              <w:top w:val="nil"/>
              <w:left w:val="nil"/>
              <w:bottom w:val="single" w:sz="4" w:space="0" w:color="auto"/>
              <w:right w:val="single" w:sz="4" w:space="0" w:color="auto"/>
            </w:tcBorders>
            <w:shd w:val="clear" w:color="auto" w:fill="auto"/>
            <w:noWrap/>
            <w:vAlign w:val="bottom"/>
            <w:hideMark/>
          </w:tcPr>
          <w:p w14:paraId="15C318F6" w14:textId="41844887" w:rsidR="00832481" w:rsidRPr="00832481" w:rsidRDefault="00832481" w:rsidP="00832481">
            <w:pPr>
              <w:spacing w:after="0"/>
              <w:jc w:val="right"/>
              <w:rPr>
                <w:rFonts w:cs="Arial"/>
                <w:szCs w:val="20"/>
                <w:lang w:eastAsia="en-AU"/>
              </w:rPr>
            </w:pPr>
            <w:r w:rsidRPr="00832481">
              <w:rPr>
                <w:rFonts w:cs="Arial"/>
                <w:color w:val="000000"/>
                <w:szCs w:val="20"/>
              </w:rPr>
              <w:t>34%</w:t>
            </w:r>
          </w:p>
        </w:tc>
      </w:tr>
      <w:tr w:rsidR="00832481" w:rsidRPr="00832481" w14:paraId="2EF54191" w14:textId="77777777" w:rsidTr="00832481">
        <w:trPr>
          <w:trHeight w:val="300"/>
        </w:trPr>
        <w:tc>
          <w:tcPr>
            <w:tcW w:w="2515" w:type="dxa"/>
            <w:tcBorders>
              <w:top w:val="nil"/>
              <w:left w:val="single" w:sz="4" w:space="0" w:color="auto"/>
              <w:bottom w:val="single" w:sz="4" w:space="0" w:color="auto"/>
              <w:right w:val="single" w:sz="4" w:space="0" w:color="auto"/>
            </w:tcBorders>
            <w:shd w:val="clear" w:color="auto" w:fill="auto"/>
            <w:noWrap/>
            <w:vAlign w:val="bottom"/>
            <w:hideMark/>
          </w:tcPr>
          <w:p w14:paraId="5E717845" w14:textId="77777777" w:rsidR="00832481" w:rsidRPr="00832481" w:rsidRDefault="00832481" w:rsidP="00832481">
            <w:pPr>
              <w:spacing w:after="0"/>
              <w:rPr>
                <w:rFonts w:cs="Arial"/>
                <w:szCs w:val="20"/>
                <w:lang w:eastAsia="en-AU"/>
              </w:rPr>
            </w:pPr>
            <w:r w:rsidRPr="00832481">
              <w:rPr>
                <w:rFonts w:cs="Arial"/>
                <w:szCs w:val="20"/>
                <w:lang w:eastAsia="en-AU"/>
              </w:rPr>
              <w:t>Hospitals/healthcare</w:t>
            </w:r>
          </w:p>
        </w:tc>
        <w:tc>
          <w:tcPr>
            <w:tcW w:w="3014" w:type="dxa"/>
            <w:tcBorders>
              <w:top w:val="nil"/>
              <w:left w:val="nil"/>
              <w:bottom w:val="single" w:sz="4" w:space="0" w:color="auto"/>
              <w:right w:val="single" w:sz="4" w:space="0" w:color="auto"/>
            </w:tcBorders>
            <w:shd w:val="clear" w:color="auto" w:fill="auto"/>
            <w:noWrap/>
            <w:vAlign w:val="bottom"/>
            <w:hideMark/>
          </w:tcPr>
          <w:p w14:paraId="421FCCA7" w14:textId="2F217371" w:rsidR="00832481" w:rsidRPr="00832481" w:rsidRDefault="00832481" w:rsidP="00832481">
            <w:pPr>
              <w:spacing w:after="0"/>
              <w:jc w:val="right"/>
              <w:rPr>
                <w:rFonts w:cs="Arial"/>
                <w:szCs w:val="20"/>
                <w:lang w:eastAsia="en-AU"/>
              </w:rPr>
            </w:pPr>
            <w:r w:rsidRPr="00832481">
              <w:rPr>
                <w:rFonts w:cs="Arial"/>
                <w:color w:val="000000"/>
                <w:szCs w:val="20"/>
              </w:rPr>
              <w:t>61%</w:t>
            </w:r>
          </w:p>
        </w:tc>
        <w:tc>
          <w:tcPr>
            <w:tcW w:w="2835" w:type="dxa"/>
            <w:tcBorders>
              <w:top w:val="nil"/>
              <w:left w:val="nil"/>
              <w:bottom w:val="single" w:sz="4" w:space="0" w:color="auto"/>
              <w:right w:val="single" w:sz="4" w:space="0" w:color="auto"/>
            </w:tcBorders>
            <w:shd w:val="clear" w:color="auto" w:fill="auto"/>
            <w:noWrap/>
            <w:vAlign w:val="bottom"/>
            <w:hideMark/>
          </w:tcPr>
          <w:p w14:paraId="58FAF77C" w14:textId="5ED2A6E8" w:rsidR="00832481" w:rsidRPr="00832481" w:rsidRDefault="00832481" w:rsidP="00832481">
            <w:pPr>
              <w:spacing w:after="0"/>
              <w:jc w:val="right"/>
              <w:rPr>
                <w:rFonts w:cs="Arial"/>
                <w:szCs w:val="20"/>
                <w:lang w:eastAsia="en-AU"/>
              </w:rPr>
            </w:pPr>
            <w:r w:rsidRPr="00832481">
              <w:rPr>
                <w:rFonts w:cs="Arial"/>
                <w:color w:val="000000"/>
                <w:szCs w:val="20"/>
              </w:rPr>
              <w:t>39%</w:t>
            </w:r>
          </w:p>
        </w:tc>
      </w:tr>
      <w:tr w:rsidR="00832481" w:rsidRPr="00832481" w14:paraId="3EBFAEA1" w14:textId="77777777" w:rsidTr="00832481">
        <w:trPr>
          <w:trHeight w:val="300"/>
        </w:trPr>
        <w:tc>
          <w:tcPr>
            <w:tcW w:w="2515" w:type="dxa"/>
            <w:tcBorders>
              <w:top w:val="nil"/>
              <w:left w:val="single" w:sz="4" w:space="0" w:color="auto"/>
              <w:bottom w:val="single" w:sz="4" w:space="0" w:color="auto"/>
              <w:right w:val="single" w:sz="4" w:space="0" w:color="auto"/>
            </w:tcBorders>
            <w:shd w:val="clear" w:color="auto" w:fill="auto"/>
            <w:noWrap/>
            <w:vAlign w:val="bottom"/>
            <w:hideMark/>
          </w:tcPr>
          <w:p w14:paraId="11E11246" w14:textId="77777777" w:rsidR="00832481" w:rsidRPr="00832481" w:rsidRDefault="00832481" w:rsidP="00832481">
            <w:pPr>
              <w:spacing w:after="0"/>
              <w:rPr>
                <w:rFonts w:cs="Arial"/>
                <w:szCs w:val="20"/>
                <w:lang w:eastAsia="en-AU"/>
              </w:rPr>
            </w:pPr>
            <w:r w:rsidRPr="00832481">
              <w:rPr>
                <w:rFonts w:cs="Arial"/>
                <w:szCs w:val="20"/>
                <w:lang w:eastAsia="en-AU"/>
              </w:rPr>
              <w:t>Office</w:t>
            </w:r>
          </w:p>
        </w:tc>
        <w:tc>
          <w:tcPr>
            <w:tcW w:w="3014" w:type="dxa"/>
            <w:tcBorders>
              <w:top w:val="nil"/>
              <w:left w:val="nil"/>
              <w:bottom w:val="single" w:sz="4" w:space="0" w:color="auto"/>
              <w:right w:val="single" w:sz="4" w:space="0" w:color="auto"/>
            </w:tcBorders>
            <w:shd w:val="clear" w:color="auto" w:fill="auto"/>
            <w:noWrap/>
            <w:vAlign w:val="bottom"/>
            <w:hideMark/>
          </w:tcPr>
          <w:p w14:paraId="0286BC8F" w14:textId="613F765A" w:rsidR="00832481" w:rsidRPr="00832481" w:rsidRDefault="00832481" w:rsidP="00832481">
            <w:pPr>
              <w:spacing w:after="0"/>
              <w:jc w:val="right"/>
              <w:rPr>
                <w:rFonts w:cs="Arial"/>
                <w:szCs w:val="20"/>
                <w:lang w:eastAsia="en-AU"/>
              </w:rPr>
            </w:pPr>
            <w:r w:rsidRPr="00832481">
              <w:rPr>
                <w:rFonts w:cs="Arial"/>
                <w:color w:val="000000"/>
                <w:szCs w:val="20"/>
              </w:rPr>
              <w:t>60%</w:t>
            </w:r>
          </w:p>
        </w:tc>
        <w:tc>
          <w:tcPr>
            <w:tcW w:w="2835" w:type="dxa"/>
            <w:tcBorders>
              <w:top w:val="nil"/>
              <w:left w:val="nil"/>
              <w:bottom w:val="single" w:sz="4" w:space="0" w:color="auto"/>
              <w:right w:val="single" w:sz="4" w:space="0" w:color="auto"/>
            </w:tcBorders>
            <w:shd w:val="clear" w:color="auto" w:fill="auto"/>
            <w:noWrap/>
            <w:vAlign w:val="bottom"/>
            <w:hideMark/>
          </w:tcPr>
          <w:p w14:paraId="05FC651D" w14:textId="1CD54D05" w:rsidR="00832481" w:rsidRPr="00832481" w:rsidRDefault="00832481" w:rsidP="00832481">
            <w:pPr>
              <w:spacing w:after="0"/>
              <w:jc w:val="right"/>
              <w:rPr>
                <w:rFonts w:cs="Arial"/>
                <w:szCs w:val="20"/>
                <w:lang w:eastAsia="en-AU"/>
              </w:rPr>
            </w:pPr>
            <w:r w:rsidRPr="00832481">
              <w:rPr>
                <w:rFonts w:cs="Arial"/>
                <w:color w:val="000000"/>
                <w:szCs w:val="20"/>
              </w:rPr>
              <w:t>40%</w:t>
            </w:r>
          </w:p>
        </w:tc>
      </w:tr>
      <w:tr w:rsidR="00832481" w:rsidRPr="00832481" w14:paraId="6BE888D0" w14:textId="77777777" w:rsidTr="00832481">
        <w:trPr>
          <w:trHeight w:val="300"/>
        </w:trPr>
        <w:tc>
          <w:tcPr>
            <w:tcW w:w="2515" w:type="dxa"/>
            <w:tcBorders>
              <w:top w:val="nil"/>
              <w:left w:val="single" w:sz="4" w:space="0" w:color="auto"/>
              <w:bottom w:val="single" w:sz="4" w:space="0" w:color="auto"/>
              <w:right w:val="single" w:sz="4" w:space="0" w:color="auto"/>
            </w:tcBorders>
            <w:shd w:val="clear" w:color="auto" w:fill="auto"/>
            <w:noWrap/>
            <w:vAlign w:val="bottom"/>
            <w:hideMark/>
          </w:tcPr>
          <w:p w14:paraId="5A9B1D96" w14:textId="77777777" w:rsidR="00832481" w:rsidRPr="00832481" w:rsidRDefault="00832481" w:rsidP="00832481">
            <w:pPr>
              <w:spacing w:after="0"/>
              <w:rPr>
                <w:rFonts w:cs="Arial"/>
                <w:szCs w:val="20"/>
                <w:lang w:eastAsia="en-AU"/>
              </w:rPr>
            </w:pPr>
            <w:r w:rsidRPr="00832481">
              <w:rPr>
                <w:rFonts w:cs="Arial"/>
                <w:szCs w:val="20"/>
                <w:lang w:eastAsia="en-AU"/>
              </w:rPr>
              <w:t>Residential</w:t>
            </w:r>
          </w:p>
        </w:tc>
        <w:tc>
          <w:tcPr>
            <w:tcW w:w="3014" w:type="dxa"/>
            <w:tcBorders>
              <w:top w:val="nil"/>
              <w:left w:val="nil"/>
              <w:bottom w:val="single" w:sz="4" w:space="0" w:color="auto"/>
              <w:right w:val="single" w:sz="4" w:space="0" w:color="auto"/>
            </w:tcBorders>
            <w:shd w:val="clear" w:color="auto" w:fill="auto"/>
            <w:noWrap/>
            <w:vAlign w:val="bottom"/>
            <w:hideMark/>
          </w:tcPr>
          <w:p w14:paraId="0BCADC83" w14:textId="005C1408" w:rsidR="00832481" w:rsidRPr="00832481" w:rsidRDefault="00832481" w:rsidP="00832481">
            <w:pPr>
              <w:spacing w:after="0"/>
              <w:jc w:val="right"/>
              <w:rPr>
                <w:rFonts w:cs="Arial"/>
                <w:szCs w:val="20"/>
                <w:lang w:eastAsia="en-AU"/>
              </w:rPr>
            </w:pPr>
            <w:r w:rsidRPr="00832481">
              <w:rPr>
                <w:rFonts w:cs="Arial"/>
                <w:color w:val="000000"/>
                <w:szCs w:val="20"/>
              </w:rPr>
              <w:t>51%</w:t>
            </w:r>
          </w:p>
        </w:tc>
        <w:tc>
          <w:tcPr>
            <w:tcW w:w="2835" w:type="dxa"/>
            <w:tcBorders>
              <w:top w:val="nil"/>
              <w:left w:val="nil"/>
              <w:bottom w:val="single" w:sz="4" w:space="0" w:color="auto"/>
              <w:right w:val="single" w:sz="4" w:space="0" w:color="auto"/>
            </w:tcBorders>
            <w:shd w:val="clear" w:color="auto" w:fill="auto"/>
            <w:noWrap/>
            <w:vAlign w:val="bottom"/>
            <w:hideMark/>
          </w:tcPr>
          <w:p w14:paraId="007A38FA" w14:textId="2E3664F5" w:rsidR="00832481" w:rsidRPr="00832481" w:rsidRDefault="00832481" w:rsidP="00832481">
            <w:pPr>
              <w:spacing w:after="0"/>
              <w:jc w:val="right"/>
              <w:rPr>
                <w:rFonts w:cs="Arial"/>
                <w:szCs w:val="20"/>
                <w:lang w:eastAsia="en-AU"/>
              </w:rPr>
            </w:pPr>
            <w:r w:rsidRPr="00832481">
              <w:rPr>
                <w:rFonts w:cs="Arial"/>
                <w:color w:val="000000"/>
                <w:szCs w:val="20"/>
              </w:rPr>
              <w:t>49%</w:t>
            </w:r>
          </w:p>
        </w:tc>
      </w:tr>
    </w:tbl>
    <w:p w14:paraId="6DE063D1" w14:textId="77777777" w:rsidR="00817B84" w:rsidRPr="007E394F" w:rsidRDefault="00817B84" w:rsidP="00817B84">
      <w:pPr>
        <w:rPr>
          <w:rFonts w:cs="Arial"/>
          <w:szCs w:val="20"/>
        </w:rPr>
      </w:pPr>
      <w:r w:rsidRPr="007E394F">
        <w:rPr>
          <w:rFonts w:cs="Arial"/>
          <w:szCs w:val="20"/>
        </w:rPr>
        <w:t xml:space="preserve">Return to </w:t>
      </w:r>
      <w:hyperlink w:anchor="_4.2.1_Overview" w:history="1">
        <w:r w:rsidRPr="007E394F">
          <w:rPr>
            <w:rStyle w:val="Hyperlink"/>
            <w:rFonts w:cs="Arial"/>
            <w:szCs w:val="20"/>
          </w:rPr>
          <w:t>Overview of Energy Use by Space-Use Type</w:t>
        </w:r>
      </w:hyperlink>
    </w:p>
    <w:p w14:paraId="6E869610" w14:textId="5E2C7CA1" w:rsidR="007E394F" w:rsidRPr="007E394F" w:rsidRDefault="00944E9B" w:rsidP="007E394F">
      <w:pPr>
        <w:pStyle w:val="Heading3"/>
        <w:rPr>
          <w:rFonts w:hint="eastAsia"/>
        </w:rPr>
      </w:pPr>
      <w:r>
        <w:t>Table A.3</w:t>
      </w:r>
      <w:r w:rsidR="00A13E20">
        <w:t>6</w:t>
      </w:r>
      <w:r>
        <w:tab/>
      </w:r>
      <w:r w:rsidR="007E394F" w:rsidRPr="00A91679">
        <w:t>Average Energy Consumption by NABERS Star Rating, Victoria</w:t>
      </w:r>
    </w:p>
    <w:tbl>
      <w:tblPr>
        <w:tblW w:w="7371" w:type="dxa"/>
        <w:tblInd w:w="-5" w:type="dxa"/>
        <w:tblLook w:val="04A0" w:firstRow="1" w:lastRow="0" w:firstColumn="1" w:lastColumn="0" w:noHBand="0" w:noVBand="1"/>
      </w:tblPr>
      <w:tblGrid>
        <w:gridCol w:w="1283"/>
        <w:gridCol w:w="1585"/>
        <w:gridCol w:w="1701"/>
        <w:gridCol w:w="1505"/>
        <w:gridCol w:w="1505"/>
      </w:tblGrid>
      <w:tr w:rsidR="00A91679" w:rsidRPr="00A91679" w14:paraId="3047E8A3" w14:textId="77777777" w:rsidTr="007E394F">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D405BB" w14:textId="77777777" w:rsidR="00A91679" w:rsidRPr="007E394F" w:rsidRDefault="00A91679" w:rsidP="007E394F">
            <w:pPr>
              <w:spacing w:after="0"/>
              <w:rPr>
                <w:b/>
                <w:bCs/>
                <w:lang w:eastAsia="en-AU"/>
              </w:rPr>
            </w:pPr>
            <w:bookmarkStart w:id="271" w:name="_Figure_37:_Average"/>
            <w:bookmarkEnd w:id="271"/>
            <w:r w:rsidRPr="007E394F">
              <w:rPr>
                <w:b/>
                <w:bCs/>
                <w:lang w:eastAsia="en-AU"/>
              </w:rPr>
              <w:t>Star Rating</w:t>
            </w:r>
          </w:p>
        </w:tc>
        <w:tc>
          <w:tcPr>
            <w:tcW w:w="1585" w:type="dxa"/>
            <w:tcBorders>
              <w:top w:val="single" w:sz="4" w:space="0" w:color="auto"/>
              <w:left w:val="nil"/>
              <w:bottom w:val="single" w:sz="4" w:space="0" w:color="auto"/>
              <w:right w:val="single" w:sz="4" w:space="0" w:color="auto"/>
            </w:tcBorders>
            <w:shd w:val="clear" w:color="auto" w:fill="auto"/>
            <w:noWrap/>
            <w:vAlign w:val="bottom"/>
            <w:hideMark/>
          </w:tcPr>
          <w:p w14:paraId="66ECAD2D" w14:textId="77777777" w:rsidR="00A91679" w:rsidRPr="007E394F" w:rsidRDefault="00A91679" w:rsidP="007E394F">
            <w:pPr>
              <w:spacing w:after="0"/>
              <w:rPr>
                <w:b/>
                <w:bCs/>
                <w:lang w:eastAsia="en-AU"/>
              </w:rPr>
            </w:pPr>
            <w:r w:rsidRPr="007E394F">
              <w:rPr>
                <w:b/>
                <w:bCs/>
                <w:lang w:eastAsia="en-AU"/>
              </w:rPr>
              <w:t>Total Rated Floor Area (m2)</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20BC73D0" w14:textId="77777777" w:rsidR="00A91679" w:rsidRPr="007E394F" w:rsidRDefault="00A91679" w:rsidP="007E394F">
            <w:pPr>
              <w:spacing w:after="0"/>
              <w:rPr>
                <w:b/>
                <w:bCs/>
                <w:lang w:eastAsia="en-AU"/>
              </w:rPr>
            </w:pPr>
            <w:r w:rsidRPr="007E394F">
              <w:rPr>
                <w:b/>
                <w:bCs/>
                <w:lang w:eastAsia="en-AU"/>
              </w:rPr>
              <w:t>Average Electricity Consumption Intensity (MJ/m2)</w:t>
            </w:r>
          </w:p>
        </w:tc>
        <w:tc>
          <w:tcPr>
            <w:tcW w:w="1395" w:type="dxa"/>
            <w:tcBorders>
              <w:top w:val="single" w:sz="4" w:space="0" w:color="auto"/>
              <w:left w:val="nil"/>
              <w:bottom w:val="single" w:sz="4" w:space="0" w:color="auto"/>
              <w:right w:val="single" w:sz="4" w:space="0" w:color="auto"/>
            </w:tcBorders>
            <w:shd w:val="clear" w:color="auto" w:fill="auto"/>
            <w:noWrap/>
            <w:vAlign w:val="bottom"/>
            <w:hideMark/>
          </w:tcPr>
          <w:p w14:paraId="78B3AB94" w14:textId="77777777" w:rsidR="00A91679" w:rsidRPr="007E394F" w:rsidRDefault="00A91679" w:rsidP="007E394F">
            <w:pPr>
              <w:spacing w:after="0"/>
              <w:rPr>
                <w:b/>
                <w:bCs/>
                <w:lang w:eastAsia="en-AU"/>
              </w:rPr>
            </w:pPr>
            <w:r w:rsidRPr="007E394F">
              <w:rPr>
                <w:b/>
                <w:bCs/>
                <w:lang w:eastAsia="en-AU"/>
              </w:rPr>
              <w:t>Average Gas Consumption Intensity (MJ/m2)</w:t>
            </w:r>
          </w:p>
        </w:tc>
        <w:tc>
          <w:tcPr>
            <w:tcW w:w="1467" w:type="dxa"/>
            <w:tcBorders>
              <w:top w:val="single" w:sz="4" w:space="0" w:color="auto"/>
              <w:left w:val="nil"/>
              <w:bottom w:val="single" w:sz="4" w:space="0" w:color="auto"/>
              <w:right w:val="single" w:sz="4" w:space="0" w:color="auto"/>
            </w:tcBorders>
            <w:shd w:val="clear" w:color="auto" w:fill="auto"/>
            <w:noWrap/>
            <w:vAlign w:val="bottom"/>
            <w:hideMark/>
          </w:tcPr>
          <w:p w14:paraId="1FCA55BD" w14:textId="77777777" w:rsidR="00A91679" w:rsidRPr="007E394F" w:rsidRDefault="00A91679" w:rsidP="007E394F">
            <w:pPr>
              <w:spacing w:after="0"/>
              <w:rPr>
                <w:b/>
                <w:bCs/>
                <w:lang w:eastAsia="en-AU"/>
              </w:rPr>
            </w:pPr>
            <w:r w:rsidRPr="007E394F">
              <w:rPr>
                <w:b/>
                <w:bCs/>
                <w:lang w:eastAsia="en-AU"/>
              </w:rPr>
              <w:t>Total Energy Consumption Intensity (MJ/m2)</w:t>
            </w:r>
          </w:p>
        </w:tc>
      </w:tr>
      <w:tr w:rsidR="00A91679" w:rsidRPr="00A91679" w14:paraId="65730DC0" w14:textId="77777777" w:rsidTr="007E394F">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1B478CD" w14:textId="77777777" w:rsidR="00A91679" w:rsidRPr="00A91679" w:rsidRDefault="00A91679" w:rsidP="007E394F">
            <w:pPr>
              <w:spacing w:after="0"/>
              <w:jc w:val="right"/>
              <w:rPr>
                <w:lang w:eastAsia="en-AU"/>
              </w:rPr>
            </w:pPr>
            <w:r w:rsidRPr="00A91679">
              <w:rPr>
                <w:lang w:eastAsia="en-AU"/>
              </w:rPr>
              <w:t>0</w:t>
            </w:r>
          </w:p>
        </w:tc>
        <w:tc>
          <w:tcPr>
            <w:tcW w:w="1585" w:type="dxa"/>
            <w:tcBorders>
              <w:top w:val="nil"/>
              <w:left w:val="nil"/>
              <w:bottom w:val="single" w:sz="4" w:space="0" w:color="auto"/>
              <w:right w:val="single" w:sz="4" w:space="0" w:color="auto"/>
            </w:tcBorders>
            <w:shd w:val="clear" w:color="auto" w:fill="auto"/>
            <w:noWrap/>
            <w:vAlign w:val="bottom"/>
            <w:hideMark/>
          </w:tcPr>
          <w:p w14:paraId="138B242C" w14:textId="63BC850D" w:rsidR="00A91679" w:rsidRPr="00A91679" w:rsidRDefault="00A91679" w:rsidP="007E394F">
            <w:pPr>
              <w:spacing w:after="0"/>
              <w:jc w:val="right"/>
              <w:rPr>
                <w:lang w:eastAsia="en-AU"/>
              </w:rPr>
            </w:pPr>
            <w:r w:rsidRPr="00A91679">
              <w:rPr>
                <w:lang w:eastAsia="en-AU"/>
              </w:rPr>
              <w:t xml:space="preserve">29,163 </w:t>
            </w:r>
          </w:p>
        </w:tc>
        <w:tc>
          <w:tcPr>
            <w:tcW w:w="1701" w:type="dxa"/>
            <w:tcBorders>
              <w:top w:val="nil"/>
              <w:left w:val="nil"/>
              <w:bottom w:val="single" w:sz="4" w:space="0" w:color="auto"/>
              <w:right w:val="single" w:sz="4" w:space="0" w:color="auto"/>
            </w:tcBorders>
            <w:shd w:val="clear" w:color="auto" w:fill="auto"/>
            <w:noWrap/>
            <w:vAlign w:val="bottom"/>
            <w:hideMark/>
          </w:tcPr>
          <w:p w14:paraId="5BF75B56" w14:textId="77777777" w:rsidR="00A91679" w:rsidRPr="00A91679" w:rsidRDefault="00A91679" w:rsidP="007E394F">
            <w:pPr>
              <w:spacing w:after="0"/>
              <w:jc w:val="right"/>
              <w:rPr>
                <w:lang w:eastAsia="en-AU"/>
              </w:rPr>
            </w:pPr>
            <w:r w:rsidRPr="00A91679">
              <w:rPr>
                <w:lang w:eastAsia="en-AU"/>
              </w:rPr>
              <w:t>628</w:t>
            </w:r>
          </w:p>
        </w:tc>
        <w:tc>
          <w:tcPr>
            <w:tcW w:w="1395" w:type="dxa"/>
            <w:tcBorders>
              <w:top w:val="nil"/>
              <w:left w:val="nil"/>
              <w:bottom w:val="single" w:sz="4" w:space="0" w:color="auto"/>
              <w:right w:val="single" w:sz="4" w:space="0" w:color="auto"/>
            </w:tcBorders>
            <w:shd w:val="clear" w:color="auto" w:fill="auto"/>
            <w:noWrap/>
            <w:vAlign w:val="bottom"/>
            <w:hideMark/>
          </w:tcPr>
          <w:p w14:paraId="3B77EAA7" w14:textId="77777777" w:rsidR="00A91679" w:rsidRPr="00A91679" w:rsidRDefault="00A91679" w:rsidP="007E394F">
            <w:pPr>
              <w:spacing w:after="0"/>
              <w:jc w:val="right"/>
              <w:rPr>
                <w:lang w:eastAsia="en-AU"/>
              </w:rPr>
            </w:pPr>
            <w:r w:rsidRPr="00A91679">
              <w:rPr>
                <w:lang w:eastAsia="en-AU"/>
              </w:rPr>
              <w:t>568</w:t>
            </w:r>
          </w:p>
        </w:tc>
        <w:tc>
          <w:tcPr>
            <w:tcW w:w="1467" w:type="dxa"/>
            <w:tcBorders>
              <w:top w:val="nil"/>
              <w:left w:val="nil"/>
              <w:bottom w:val="single" w:sz="4" w:space="0" w:color="auto"/>
              <w:right w:val="single" w:sz="4" w:space="0" w:color="auto"/>
            </w:tcBorders>
            <w:shd w:val="clear" w:color="auto" w:fill="auto"/>
            <w:noWrap/>
            <w:vAlign w:val="bottom"/>
            <w:hideMark/>
          </w:tcPr>
          <w:p w14:paraId="0271DE8A" w14:textId="77777777" w:rsidR="00A91679" w:rsidRPr="00A91679" w:rsidRDefault="00A91679" w:rsidP="007E394F">
            <w:pPr>
              <w:spacing w:after="0"/>
              <w:jc w:val="right"/>
              <w:rPr>
                <w:lang w:eastAsia="en-AU"/>
              </w:rPr>
            </w:pPr>
            <w:r w:rsidRPr="00A91679">
              <w:rPr>
                <w:lang w:eastAsia="en-AU"/>
              </w:rPr>
              <w:t>1195</w:t>
            </w:r>
          </w:p>
        </w:tc>
      </w:tr>
      <w:tr w:rsidR="00A91679" w:rsidRPr="00A91679" w14:paraId="1C17C352" w14:textId="77777777" w:rsidTr="007E394F">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9E372BF" w14:textId="77777777" w:rsidR="00A91679" w:rsidRPr="00A91679" w:rsidRDefault="00A91679" w:rsidP="007E394F">
            <w:pPr>
              <w:spacing w:after="0"/>
              <w:jc w:val="right"/>
              <w:rPr>
                <w:lang w:eastAsia="en-AU"/>
              </w:rPr>
            </w:pPr>
            <w:r w:rsidRPr="00A91679">
              <w:rPr>
                <w:lang w:eastAsia="en-AU"/>
              </w:rPr>
              <w:t>0.5</w:t>
            </w:r>
          </w:p>
        </w:tc>
        <w:tc>
          <w:tcPr>
            <w:tcW w:w="1585" w:type="dxa"/>
            <w:tcBorders>
              <w:top w:val="nil"/>
              <w:left w:val="nil"/>
              <w:bottom w:val="single" w:sz="4" w:space="0" w:color="auto"/>
              <w:right w:val="single" w:sz="4" w:space="0" w:color="auto"/>
            </w:tcBorders>
            <w:shd w:val="clear" w:color="auto" w:fill="auto"/>
            <w:noWrap/>
            <w:vAlign w:val="bottom"/>
            <w:hideMark/>
          </w:tcPr>
          <w:p w14:paraId="75B5B465" w14:textId="54328B20" w:rsidR="00A91679" w:rsidRPr="00A91679" w:rsidRDefault="00A91679" w:rsidP="007E394F">
            <w:pPr>
              <w:spacing w:after="0"/>
              <w:jc w:val="right"/>
              <w:rPr>
                <w:lang w:eastAsia="en-AU"/>
              </w:rPr>
            </w:pPr>
            <w:r w:rsidRPr="00A91679">
              <w:rPr>
                <w:lang w:eastAsia="en-AU"/>
              </w:rPr>
              <w:t xml:space="preserve"> -   </w:t>
            </w:r>
          </w:p>
        </w:tc>
        <w:tc>
          <w:tcPr>
            <w:tcW w:w="1701" w:type="dxa"/>
            <w:tcBorders>
              <w:top w:val="nil"/>
              <w:left w:val="nil"/>
              <w:bottom w:val="single" w:sz="4" w:space="0" w:color="auto"/>
              <w:right w:val="single" w:sz="4" w:space="0" w:color="auto"/>
            </w:tcBorders>
            <w:shd w:val="clear" w:color="auto" w:fill="auto"/>
            <w:noWrap/>
            <w:vAlign w:val="bottom"/>
            <w:hideMark/>
          </w:tcPr>
          <w:p w14:paraId="56D66A92" w14:textId="77777777" w:rsidR="00A91679" w:rsidRPr="00A91679" w:rsidRDefault="00A91679" w:rsidP="007E394F">
            <w:pPr>
              <w:spacing w:after="0"/>
              <w:jc w:val="right"/>
              <w:rPr>
                <w:lang w:eastAsia="en-AU"/>
              </w:rPr>
            </w:pPr>
            <w:r w:rsidRPr="00A91679">
              <w:rPr>
                <w:lang w:eastAsia="en-AU"/>
              </w:rPr>
              <w:t>398</w:t>
            </w:r>
          </w:p>
        </w:tc>
        <w:tc>
          <w:tcPr>
            <w:tcW w:w="1395" w:type="dxa"/>
            <w:tcBorders>
              <w:top w:val="nil"/>
              <w:left w:val="nil"/>
              <w:bottom w:val="single" w:sz="4" w:space="0" w:color="auto"/>
              <w:right w:val="single" w:sz="4" w:space="0" w:color="auto"/>
            </w:tcBorders>
            <w:shd w:val="clear" w:color="auto" w:fill="auto"/>
            <w:noWrap/>
            <w:vAlign w:val="bottom"/>
            <w:hideMark/>
          </w:tcPr>
          <w:p w14:paraId="7AC341D2" w14:textId="77777777" w:rsidR="00A91679" w:rsidRPr="00A91679" w:rsidRDefault="00A91679" w:rsidP="007E394F">
            <w:pPr>
              <w:spacing w:after="0"/>
              <w:jc w:val="right"/>
              <w:rPr>
                <w:lang w:eastAsia="en-AU"/>
              </w:rPr>
            </w:pPr>
            <w:r w:rsidRPr="00A91679">
              <w:rPr>
                <w:lang w:eastAsia="en-AU"/>
              </w:rPr>
              <w:t>536</w:t>
            </w:r>
          </w:p>
        </w:tc>
        <w:tc>
          <w:tcPr>
            <w:tcW w:w="1467" w:type="dxa"/>
            <w:tcBorders>
              <w:top w:val="nil"/>
              <w:left w:val="nil"/>
              <w:bottom w:val="single" w:sz="4" w:space="0" w:color="auto"/>
              <w:right w:val="single" w:sz="4" w:space="0" w:color="auto"/>
            </w:tcBorders>
            <w:shd w:val="clear" w:color="auto" w:fill="auto"/>
            <w:noWrap/>
            <w:vAlign w:val="bottom"/>
            <w:hideMark/>
          </w:tcPr>
          <w:p w14:paraId="2FC10CE0" w14:textId="77777777" w:rsidR="00A91679" w:rsidRPr="00A91679" w:rsidRDefault="00A91679" w:rsidP="007E394F">
            <w:pPr>
              <w:spacing w:after="0"/>
              <w:jc w:val="right"/>
              <w:rPr>
                <w:lang w:eastAsia="en-AU"/>
              </w:rPr>
            </w:pPr>
            <w:r w:rsidRPr="00A91679">
              <w:rPr>
                <w:lang w:eastAsia="en-AU"/>
              </w:rPr>
              <w:t>934</w:t>
            </w:r>
          </w:p>
        </w:tc>
      </w:tr>
      <w:tr w:rsidR="00A91679" w:rsidRPr="00A91679" w14:paraId="0F5E24BD" w14:textId="77777777" w:rsidTr="007E394F">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6ACE160" w14:textId="77777777" w:rsidR="00A91679" w:rsidRPr="00A91679" w:rsidRDefault="00A91679" w:rsidP="007E394F">
            <w:pPr>
              <w:spacing w:after="0"/>
              <w:jc w:val="right"/>
              <w:rPr>
                <w:lang w:eastAsia="en-AU"/>
              </w:rPr>
            </w:pPr>
            <w:r w:rsidRPr="00A91679">
              <w:rPr>
                <w:lang w:eastAsia="en-AU"/>
              </w:rPr>
              <w:t>1</w:t>
            </w:r>
          </w:p>
        </w:tc>
        <w:tc>
          <w:tcPr>
            <w:tcW w:w="1585" w:type="dxa"/>
            <w:tcBorders>
              <w:top w:val="nil"/>
              <w:left w:val="nil"/>
              <w:bottom w:val="single" w:sz="4" w:space="0" w:color="auto"/>
              <w:right w:val="single" w:sz="4" w:space="0" w:color="auto"/>
            </w:tcBorders>
            <w:shd w:val="clear" w:color="auto" w:fill="auto"/>
            <w:noWrap/>
            <w:vAlign w:val="bottom"/>
            <w:hideMark/>
          </w:tcPr>
          <w:p w14:paraId="414F0FBE" w14:textId="13492413" w:rsidR="00A91679" w:rsidRPr="00A91679" w:rsidRDefault="00A91679" w:rsidP="007E394F">
            <w:pPr>
              <w:spacing w:after="0"/>
              <w:jc w:val="right"/>
              <w:rPr>
                <w:lang w:eastAsia="en-AU"/>
              </w:rPr>
            </w:pPr>
            <w:r w:rsidRPr="00A91679">
              <w:rPr>
                <w:lang w:eastAsia="en-AU"/>
              </w:rPr>
              <w:t xml:space="preserve">21,268 </w:t>
            </w:r>
          </w:p>
        </w:tc>
        <w:tc>
          <w:tcPr>
            <w:tcW w:w="1701" w:type="dxa"/>
            <w:tcBorders>
              <w:top w:val="nil"/>
              <w:left w:val="nil"/>
              <w:bottom w:val="single" w:sz="4" w:space="0" w:color="auto"/>
              <w:right w:val="single" w:sz="4" w:space="0" w:color="auto"/>
            </w:tcBorders>
            <w:shd w:val="clear" w:color="auto" w:fill="auto"/>
            <w:noWrap/>
            <w:vAlign w:val="bottom"/>
            <w:hideMark/>
          </w:tcPr>
          <w:p w14:paraId="111BCD22" w14:textId="77777777" w:rsidR="00A91679" w:rsidRPr="00A91679" w:rsidRDefault="00A91679" w:rsidP="007E394F">
            <w:pPr>
              <w:spacing w:after="0"/>
              <w:jc w:val="right"/>
              <w:rPr>
                <w:lang w:eastAsia="en-AU"/>
              </w:rPr>
            </w:pPr>
            <w:r w:rsidRPr="00A91679">
              <w:rPr>
                <w:lang w:eastAsia="en-AU"/>
              </w:rPr>
              <w:t>169</w:t>
            </w:r>
          </w:p>
        </w:tc>
        <w:tc>
          <w:tcPr>
            <w:tcW w:w="1395" w:type="dxa"/>
            <w:tcBorders>
              <w:top w:val="nil"/>
              <w:left w:val="nil"/>
              <w:bottom w:val="single" w:sz="4" w:space="0" w:color="auto"/>
              <w:right w:val="single" w:sz="4" w:space="0" w:color="auto"/>
            </w:tcBorders>
            <w:shd w:val="clear" w:color="auto" w:fill="auto"/>
            <w:noWrap/>
            <w:vAlign w:val="bottom"/>
            <w:hideMark/>
          </w:tcPr>
          <w:p w14:paraId="72995469" w14:textId="77777777" w:rsidR="00A91679" w:rsidRPr="00A91679" w:rsidRDefault="00A91679" w:rsidP="007E394F">
            <w:pPr>
              <w:spacing w:after="0"/>
              <w:jc w:val="right"/>
              <w:rPr>
                <w:lang w:eastAsia="en-AU"/>
              </w:rPr>
            </w:pPr>
            <w:r w:rsidRPr="00A91679">
              <w:rPr>
                <w:lang w:eastAsia="en-AU"/>
              </w:rPr>
              <w:t>503</w:t>
            </w:r>
          </w:p>
        </w:tc>
        <w:tc>
          <w:tcPr>
            <w:tcW w:w="1467" w:type="dxa"/>
            <w:tcBorders>
              <w:top w:val="nil"/>
              <w:left w:val="nil"/>
              <w:bottom w:val="single" w:sz="4" w:space="0" w:color="auto"/>
              <w:right w:val="single" w:sz="4" w:space="0" w:color="auto"/>
            </w:tcBorders>
            <w:shd w:val="clear" w:color="auto" w:fill="auto"/>
            <w:noWrap/>
            <w:vAlign w:val="bottom"/>
            <w:hideMark/>
          </w:tcPr>
          <w:p w14:paraId="7F482FC9" w14:textId="77777777" w:rsidR="00A91679" w:rsidRPr="00A91679" w:rsidRDefault="00A91679" w:rsidP="007E394F">
            <w:pPr>
              <w:spacing w:after="0"/>
              <w:jc w:val="right"/>
              <w:rPr>
                <w:lang w:eastAsia="en-AU"/>
              </w:rPr>
            </w:pPr>
            <w:r w:rsidRPr="00A91679">
              <w:rPr>
                <w:lang w:eastAsia="en-AU"/>
              </w:rPr>
              <w:t>672</w:t>
            </w:r>
          </w:p>
        </w:tc>
      </w:tr>
      <w:tr w:rsidR="00A91679" w:rsidRPr="00A91679" w14:paraId="6486D0CE" w14:textId="77777777" w:rsidTr="007E394F">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9B41DBC" w14:textId="77777777" w:rsidR="00A91679" w:rsidRPr="00A91679" w:rsidRDefault="00A91679" w:rsidP="007E394F">
            <w:pPr>
              <w:spacing w:after="0"/>
              <w:jc w:val="right"/>
              <w:rPr>
                <w:lang w:eastAsia="en-AU"/>
              </w:rPr>
            </w:pPr>
            <w:r w:rsidRPr="00A91679">
              <w:rPr>
                <w:lang w:eastAsia="en-AU"/>
              </w:rPr>
              <w:t>1.5</w:t>
            </w:r>
          </w:p>
        </w:tc>
        <w:tc>
          <w:tcPr>
            <w:tcW w:w="1585" w:type="dxa"/>
            <w:tcBorders>
              <w:top w:val="nil"/>
              <w:left w:val="nil"/>
              <w:bottom w:val="single" w:sz="4" w:space="0" w:color="auto"/>
              <w:right w:val="single" w:sz="4" w:space="0" w:color="auto"/>
            </w:tcBorders>
            <w:shd w:val="clear" w:color="auto" w:fill="auto"/>
            <w:noWrap/>
            <w:vAlign w:val="bottom"/>
            <w:hideMark/>
          </w:tcPr>
          <w:p w14:paraId="7DE57C2D" w14:textId="154906CA" w:rsidR="00A91679" w:rsidRPr="00A91679" w:rsidRDefault="00A91679" w:rsidP="007E394F">
            <w:pPr>
              <w:spacing w:after="0"/>
              <w:jc w:val="right"/>
              <w:rPr>
                <w:lang w:eastAsia="en-AU"/>
              </w:rPr>
            </w:pPr>
            <w:r w:rsidRPr="00A91679">
              <w:rPr>
                <w:lang w:eastAsia="en-AU"/>
              </w:rPr>
              <w:t xml:space="preserve">11,151 </w:t>
            </w:r>
          </w:p>
        </w:tc>
        <w:tc>
          <w:tcPr>
            <w:tcW w:w="1701" w:type="dxa"/>
            <w:tcBorders>
              <w:top w:val="nil"/>
              <w:left w:val="nil"/>
              <w:bottom w:val="single" w:sz="4" w:space="0" w:color="auto"/>
              <w:right w:val="single" w:sz="4" w:space="0" w:color="auto"/>
            </w:tcBorders>
            <w:shd w:val="clear" w:color="auto" w:fill="auto"/>
            <w:noWrap/>
            <w:vAlign w:val="bottom"/>
            <w:hideMark/>
          </w:tcPr>
          <w:p w14:paraId="67D9C41B" w14:textId="77777777" w:rsidR="00A91679" w:rsidRPr="00A91679" w:rsidRDefault="00A91679" w:rsidP="007E394F">
            <w:pPr>
              <w:spacing w:after="0"/>
              <w:jc w:val="right"/>
              <w:rPr>
                <w:lang w:eastAsia="en-AU"/>
              </w:rPr>
            </w:pPr>
            <w:r w:rsidRPr="00A91679">
              <w:rPr>
                <w:lang w:eastAsia="en-AU"/>
              </w:rPr>
              <w:t>160</w:t>
            </w:r>
          </w:p>
        </w:tc>
        <w:tc>
          <w:tcPr>
            <w:tcW w:w="1395" w:type="dxa"/>
            <w:tcBorders>
              <w:top w:val="nil"/>
              <w:left w:val="nil"/>
              <w:bottom w:val="single" w:sz="4" w:space="0" w:color="auto"/>
              <w:right w:val="single" w:sz="4" w:space="0" w:color="auto"/>
            </w:tcBorders>
            <w:shd w:val="clear" w:color="auto" w:fill="auto"/>
            <w:noWrap/>
            <w:vAlign w:val="bottom"/>
            <w:hideMark/>
          </w:tcPr>
          <w:p w14:paraId="28452018" w14:textId="77777777" w:rsidR="00A91679" w:rsidRPr="00A91679" w:rsidRDefault="00A91679" w:rsidP="007E394F">
            <w:pPr>
              <w:spacing w:after="0"/>
              <w:jc w:val="right"/>
              <w:rPr>
                <w:lang w:eastAsia="en-AU"/>
              </w:rPr>
            </w:pPr>
            <w:r w:rsidRPr="00A91679">
              <w:rPr>
                <w:lang w:eastAsia="en-AU"/>
              </w:rPr>
              <w:t>472</w:t>
            </w:r>
          </w:p>
        </w:tc>
        <w:tc>
          <w:tcPr>
            <w:tcW w:w="1467" w:type="dxa"/>
            <w:tcBorders>
              <w:top w:val="nil"/>
              <w:left w:val="nil"/>
              <w:bottom w:val="single" w:sz="4" w:space="0" w:color="auto"/>
              <w:right w:val="single" w:sz="4" w:space="0" w:color="auto"/>
            </w:tcBorders>
            <w:shd w:val="clear" w:color="auto" w:fill="auto"/>
            <w:noWrap/>
            <w:vAlign w:val="bottom"/>
            <w:hideMark/>
          </w:tcPr>
          <w:p w14:paraId="7EECFBDA" w14:textId="77777777" w:rsidR="00A91679" w:rsidRPr="00A91679" w:rsidRDefault="00A91679" w:rsidP="007E394F">
            <w:pPr>
              <w:spacing w:after="0"/>
              <w:jc w:val="right"/>
              <w:rPr>
                <w:lang w:eastAsia="en-AU"/>
              </w:rPr>
            </w:pPr>
            <w:r w:rsidRPr="00A91679">
              <w:rPr>
                <w:lang w:eastAsia="en-AU"/>
              </w:rPr>
              <w:t>632</w:t>
            </w:r>
          </w:p>
        </w:tc>
      </w:tr>
      <w:tr w:rsidR="00A91679" w:rsidRPr="00A91679" w14:paraId="0B756B59" w14:textId="77777777" w:rsidTr="007E394F">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3055D5B" w14:textId="77777777" w:rsidR="00A91679" w:rsidRPr="00A91679" w:rsidRDefault="00A91679" w:rsidP="007E394F">
            <w:pPr>
              <w:spacing w:after="0"/>
              <w:jc w:val="right"/>
              <w:rPr>
                <w:lang w:eastAsia="en-AU"/>
              </w:rPr>
            </w:pPr>
            <w:r w:rsidRPr="00A91679">
              <w:rPr>
                <w:lang w:eastAsia="en-AU"/>
              </w:rPr>
              <w:t>2</w:t>
            </w:r>
          </w:p>
        </w:tc>
        <w:tc>
          <w:tcPr>
            <w:tcW w:w="1585" w:type="dxa"/>
            <w:tcBorders>
              <w:top w:val="nil"/>
              <w:left w:val="nil"/>
              <w:bottom w:val="single" w:sz="4" w:space="0" w:color="auto"/>
              <w:right w:val="single" w:sz="4" w:space="0" w:color="auto"/>
            </w:tcBorders>
            <w:shd w:val="clear" w:color="auto" w:fill="auto"/>
            <w:noWrap/>
            <w:vAlign w:val="bottom"/>
            <w:hideMark/>
          </w:tcPr>
          <w:p w14:paraId="1FDB42D4" w14:textId="26EF6434" w:rsidR="00A91679" w:rsidRPr="00A91679" w:rsidRDefault="00A91679" w:rsidP="007E394F">
            <w:pPr>
              <w:spacing w:after="0"/>
              <w:jc w:val="right"/>
              <w:rPr>
                <w:lang w:eastAsia="en-AU"/>
              </w:rPr>
            </w:pPr>
            <w:r w:rsidRPr="00A91679">
              <w:rPr>
                <w:lang w:eastAsia="en-AU"/>
              </w:rPr>
              <w:t xml:space="preserve">25,370 </w:t>
            </w:r>
          </w:p>
        </w:tc>
        <w:tc>
          <w:tcPr>
            <w:tcW w:w="1701" w:type="dxa"/>
            <w:tcBorders>
              <w:top w:val="nil"/>
              <w:left w:val="nil"/>
              <w:bottom w:val="single" w:sz="4" w:space="0" w:color="auto"/>
              <w:right w:val="single" w:sz="4" w:space="0" w:color="auto"/>
            </w:tcBorders>
            <w:shd w:val="clear" w:color="auto" w:fill="auto"/>
            <w:noWrap/>
            <w:vAlign w:val="bottom"/>
            <w:hideMark/>
          </w:tcPr>
          <w:p w14:paraId="399F7F88" w14:textId="77777777" w:rsidR="00A91679" w:rsidRPr="00A91679" w:rsidRDefault="00A91679" w:rsidP="007E394F">
            <w:pPr>
              <w:spacing w:after="0"/>
              <w:jc w:val="right"/>
              <w:rPr>
                <w:lang w:eastAsia="en-AU"/>
              </w:rPr>
            </w:pPr>
            <w:r w:rsidRPr="00A91679">
              <w:rPr>
                <w:lang w:eastAsia="en-AU"/>
              </w:rPr>
              <w:t>137</w:t>
            </w:r>
          </w:p>
        </w:tc>
        <w:tc>
          <w:tcPr>
            <w:tcW w:w="1395" w:type="dxa"/>
            <w:tcBorders>
              <w:top w:val="nil"/>
              <w:left w:val="nil"/>
              <w:bottom w:val="single" w:sz="4" w:space="0" w:color="auto"/>
              <w:right w:val="single" w:sz="4" w:space="0" w:color="auto"/>
            </w:tcBorders>
            <w:shd w:val="clear" w:color="auto" w:fill="auto"/>
            <w:noWrap/>
            <w:vAlign w:val="bottom"/>
            <w:hideMark/>
          </w:tcPr>
          <w:p w14:paraId="36EC46F2" w14:textId="77777777" w:rsidR="00A91679" w:rsidRPr="00A91679" w:rsidRDefault="00A91679" w:rsidP="007E394F">
            <w:pPr>
              <w:spacing w:after="0"/>
              <w:jc w:val="right"/>
              <w:rPr>
                <w:lang w:eastAsia="en-AU"/>
              </w:rPr>
            </w:pPr>
            <w:r w:rsidRPr="00A91679">
              <w:rPr>
                <w:lang w:eastAsia="en-AU"/>
              </w:rPr>
              <w:t>441</w:t>
            </w:r>
          </w:p>
        </w:tc>
        <w:tc>
          <w:tcPr>
            <w:tcW w:w="1467" w:type="dxa"/>
            <w:tcBorders>
              <w:top w:val="nil"/>
              <w:left w:val="nil"/>
              <w:bottom w:val="single" w:sz="4" w:space="0" w:color="auto"/>
              <w:right w:val="single" w:sz="4" w:space="0" w:color="auto"/>
            </w:tcBorders>
            <w:shd w:val="clear" w:color="auto" w:fill="auto"/>
            <w:noWrap/>
            <w:vAlign w:val="bottom"/>
            <w:hideMark/>
          </w:tcPr>
          <w:p w14:paraId="216A70C8" w14:textId="77777777" w:rsidR="00A91679" w:rsidRPr="00A91679" w:rsidRDefault="00A91679" w:rsidP="007E394F">
            <w:pPr>
              <w:spacing w:after="0"/>
              <w:jc w:val="right"/>
              <w:rPr>
                <w:lang w:eastAsia="en-AU"/>
              </w:rPr>
            </w:pPr>
            <w:r w:rsidRPr="00A91679">
              <w:rPr>
                <w:lang w:eastAsia="en-AU"/>
              </w:rPr>
              <w:t>578</w:t>
            </w:r>
          </w:p>
        </w:tc>
      </w:tr>
      <w:tr w:rsidR="00A91679" w:rsidRPr="00A91679" w14:paraId="344306EC" w14:textId="77777777" w:rsidTr="007E394F">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2A3DBC5" w14:textId="77777777" w:rsidR="00A91679" w:rsidRPr="00A91679" w:rsidRDefault="00A91679" w:rsidP="007E394F">
            <w:pPr>
              <w:spacing w:after="0"/>
              <w:jc w:val="right"/>
              <w:rPr>
                <w:lang w:eastAsia="en-AU"/>
              </w:rPr>
            </w:pPr>
            <w:r w:rsidRPr="00A91679">
              <w:rPr>
                <w:lang w:eastAsia="en-AU"/>
              </w:rPr>
              <w:t>2.5</w:t>
            </w:r>
          </w:p>
        </w:tc>
        <w:tc>
          <w:tcPr>
            <w:tcW w:w="1585" w:type="dxa"/>
            <w:tcBorders>
              <w:top w:val="nil"/>
              <w:left w:val="nil"/>
              <w:bottom w:val="single" w:sz="4" w:space="0" w:color="auto"/>
              <w:right w:val="single" w:sz="4" w:space="0" w:color="auto"/>
            </w:tcBorders>
            <w:shd w:val="clear" w:color="auto" w:fill="auto"/>
            <w:noWrap/>
            <w:vAlign w:val="bottom"/>
            <w:hideMark/>
          </w:tcPr>
          <w:p w14:paraId="5332F55F" w14:textId="67BC69CD" w:rsidR="00A91679" w:rsidRPr="00A91679" w:rsidRDefault="00A91679" w:rsidP="007E394F">
            <w:pPr>
              <w:spacing w:after="0"/>
              <w:jc w:val="right"/>
              <w:rPr>
                <w:lang w:eastAsia="en-AU"/>
              </w:rPr>
            </w:pPr>
            <w:r w:rsidRPr="00A91679">
              <w:rPr>
                <w:lang w:eastAsia="en-AU"/>
              </w:rPr>
              <w:t xml:space="preserve">61,484 </w:t>
            </w:r>
          </w:p>
        </w:tc>
        <w:tc>
          <w:tcPr>
            <w:tcW w:w="1701" w:type="dxa"/>
            <w:tcBorders>
              <w:top w:val="nil"/>
              <w:left w:val="nil"/>
              <w:bottom w:val="single" w:sz="4" w:space="0" w:color="auto"/>
              <w:right w:val="single" w:sz="4" w:space="0" w:color="auto"/>
            </w:tcBorders>
            <w:shd w:val="clear" w:color="auto" w:fill="auto"/>
            <w:noWrap/>
            <w:vAlign w:val="bottom"/>
            <w:hideMark/>
          </w:tcPr>
          <w:p w14:paraId="64FC316D" w14:textId="77777777" w:rsidR="00A91679" w:rsidRPr="00A91679" w:rsidRDefault="00A91679" w:rsidP="007E394F">
            <w:pPr>
              <w:spacing w:after="0"/>
              <w:jc w:val="right"/>
              <w:rPr>
                <w:lang w:eastAsia="en-AU"/>
              </w:rPr>
            </w:pPr>
            <w:r w:rsidRPr="00A91679">
              <w:rPr>
                <w:lang w:eastAsia="en-AU"/>
              </w:rPr>
              <w:t>127</w:t>
            </w:r>
          </w:p>
        </w:tc>
        <w:tc>
          <w:tcPr>
            <w:tcW w:w="1395" w:type="dxa"/>
            <w:tcBorders>
              <w:top w:val="nil"/>
              <w:left w:val="nil"/>
              <w:bottom w:val="single" w:sz="4" w:space="0" w:color="auto"/>
              <w:right w:val="single" w:sz="4" w:space="0" w:color="auto"/>
            </w:tcBorders>
            <w:shd w:val="clear" w:color="auto" w:fill="auto"/>
            <w:noWrap/>
            <w:vAlign w:val="bottom"/>
            <w:hideMark/>
          </w:tcPr>
          <w:p w14:paraId="3A00FC5D" w14:textId="77777777" w:rsidR="00A91679" w:rsidRPr="00A91679" w:rsidRDefault="00A91679" w:rsidP="007E394F">
            <w:pPr>
              <w:spacing w:after="0"/>
              <w:jc w:val="right"/>
              <w:rPr>
                <w:lang w:eastAsia="en-AU"/>
              </w:rPr>
            </w:pPr>
            <w:r w:rsidRPr="00A91679">
              <w:rPr>
                <w:lang w:eastAsia="en-AU"/>
              </w:rPr>
              <w:t>353</w:t>
            </w:r>
          </w:p>
        </w:tc>
        <w:tc>
          <w:tcPr>
            <w:tcW w:w="1467" w:type="dxa"/>
            <w:tcBorders>
              <w:top w:val="nil"/>
              <w:left w:val="nil"/>
              <w:bottom w:val="single" w:sz="4" w:space="0" w:color="auto"/>
              <w:right w:val="single" w:sz="4" w:space="0" w:color="auto"/>
            </w:tcBorders>
            <w:shd w:val="clear" w:color="auto" w:fill="auto"/>
            <w:noWrap/>
            <w:vAlign w:val="bottom"/>
            <w:hideMark/>
          </w:tcPr>
          <w:p w14:paraId="52DE467D" w14:textId="77777777" w:rsidR="00A91679" w:rsidRPr="00A91679" w:rsidRDefault="00A91679" w:rsidP="007E394F">
            <w:pPr>
              <w:spacing w:after="0"/>
              <w:jc w:val="right"/>
              <w:rPr>
                <w:lang w:eastAsia="en-AU"/>
              </w:rPr>
            </w:pPr>
            <w:r w:rsidRPr="00A91679">
              <w:rPr>
                <w:lang w:eastAsia="en-AU"/>
              </w:rPr>
              <w:t>480</w:t>
            </w:r>
          </w:p>
        </w:tc>
      </w:tr>
      <w:tr w:rsidR="00A91679" w:rsidRPr="00A91679" w14:paraId="783B2110" w14:textId="77777777" w:rsidTr="007E394F">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A6D5997" w14:textId="77777777" w:rsidR="00A91679" w:rsidRPr="00A91679" w:rsidRDefault="00A91679" w:rsidP="007E394F">
            <w:pPr>
              <w:spacing w:after="0"/>
              <w:jc w:val="right"/>
              <w:rPr>
                <w:lang w:eastAsia="en-AU"/>
              </w:rPr>
            </w:pPr>
            <w:r w:rsidRPr="00A91679">
              <w:rPr>
                <w:lang w:eastAsia="en-AU"/>
              </w:rPr>
              <w:t>3</w:t>
            </w:r>
          </w:p>
        </w:tc>
        <w:tc>
          <w:tcPr>
            <w:tcW w:w="1585" w:type="dxa"/>
            <w:tcBorders>
              <w:top w:val="nil"/>
              <w:left w:val="nil"/>
              <w:bottom w:val="single" w:sz="4" w:space="0" w:color="auto"/>
              <w:right w:val="single" w:sz="4" w:space="0" w:color="auto"/>
            </w:tcBorders>
            <w:shd w:val="clear" w:color="auto" w:fill="auto"/>
            <w:noWrap/>
            <w:vAlign w:val="bottom"/>
            <w:hideMark/>
          </w:tcPr>
          <w:p w14:paraId="20129EC5" w14:textId="7809620C" w:rsidR="00A91679" w:rsidRPr="00A91679" w:rsidRDefault="00A91679" w:rsidP="007E394F">
            <w:pPr>
              <w:spacing w:after="0"/>
              <w:jc w:val="right"/>
              <w:rPr>
                <w:lang w:eastAsia="en-AU"/>
              </w:rPr>
            </w:pPr>
            <w:r w:rsidRPr="00A91679">
              <w:rPr>
                <w:lang w:eastAsia="en-AU"/>
              </w:rPr>
              <w:t xml:space="preserve">142,509 </w:t>
            </w:r>
          </w:p>
        </w:tc>
        <w:tc>
          <w:tcPr>
            <w:tcW w:w="1701" w:type="dxa"/>
            <w:tcBorders>
              <w:top w:val="nil"/>
              <w:left w:val="nil"/>
              <w:bottom w:val="single" w:sz="4" w:space="0" w:color="auto"/>
              <w:right w:val="single" w:sz="4" w:space="0" w:color="auto"/>
            </w:tcBorders>
            <w:shd w:val="clear" w:color="auto" w:fill="auto"/>
            <w:noWrap/>
            <w:vAlign w:val="bottom"/>
            <w:hideMark/>
          </w:tcPr>
          <w:p w14:paraId="0561A5CA" w14:textId="77777777" w:rsidR="00A91679" w:rsidRPr="00A91679" w:rsidRDefault="00A91679" w:rsidP="007E394F">
            <w:pPr>
              <w:spacing w:after="0"/>
              <w:jc w:val="right"/>
              <w:rPr>
                <w:lang w:eastAsia="en-AU"/>
              </w:rPr>
            </w:pPr>
            <w:r w:rsidRPr="00A91679">
              <w:rPr>
                <w:lang w:eastAsia="en-AU"/>
              </w:rPr>
              <w:t>103</w:t>
            </w:r>
          </w:p>
        </w:tc>
        <w:tc>
          <w:tcPr>
            <w:tcW w:w="1395" w:type="dxa"/>
            <w:tcBorders>
              <w:top w:val="nil"/>
              <w:left w:val="nil"/>
              <w:bottom w:val="single" w:sz="4" w:space="0" w:color="auto"/>
              <w:right w:val="single" w:sz="4" w:space="0" w:color="auto"/>
            </w:tcBorders>
            <w:shd w:val="clear" w:color="auto" w:fill="auto"/>
            <w:noWrap/>
            <w:vAlign w:val="bottom"/>
            <w:hideMark/>
          </w:tcPr>
          <w:p w14:paraId="0E21EF08" w14:textId="77777777" w:rsidR="00A91679" w:rsidRPr="00A91679" w:rsidRDefault="00A91679" w:rsidP="007E394F">
            <w:pPr>
              <w:spacing w:after="0"/>
              <w:jc w:val="right"/>
              <w:rPr>
                <w:lang w:eastAsia="en-AU"/>
              </w:rPr>
            </w:pPr>
            <w:r w:rsidRPr="00A91679">
              <w:rPr>
                <w:lang w:eastAsia="en-AU"/>
              </w:rPr>
              <w:t>369</w:t>
            </w:r>
          </w:p>
        </w:tc>
        <w:tc>
          <w:tcPr>
            <w:tcW w:w="1467" w:type="dxa"/>
            <w:tcBorders>
              <w:top w:val="nil"/>
              <w:left w:val="nil"/>
              <w:bottom w:val="single" w:sz="4" w:space="0" w:color="auto"/>
              <w:right w:val="single" w:sz="4" w:space="0" w:color="auto"/>
            </w:tcBorders>
            <w:shd w:val="clear" w:color="auto" w:fill="auto"/>
            <w:noWrap/>
            <w:vAlign w:val="bottom"/>
            <w:hideMark/>
          </w:tcPr>
          <w:p w14:paraId="46DBC5AC" w14:textId="77777777" w:rsidR="00A91679" w:rsidRPr="00A91679" w:rsidRDefault="00A91679" w:rsidP="007E394F">
            <w:pPr>
              <w:spacing w:after="0"/>
              <w:jc w:val="right"/>
              <w:rPr>
                <w:lang w:eastAsia="en-AU"/>
              </w:rPr>
            </w:pPr>
            <w:r w:rsidRPr="00A91679">
              <w:rPr>
                <w:lang w:eastAsia="en-AU"/>
              </w:rPr>
              <w:t>473</w:t>
            </w:r>
          </w:p>
        </w:tc>
      </w:tr>
      <w:tr w:rsidR="00A91679" w:rsidRPr="00A91679" w14:paraId="77D73F33" w14:textId="77777777" w:rsidTr="007E394F">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F704AE4" w14:textId="77777777" w:rsidR="00A91679" w:rsidRPr="00A91679" w:rsidRDefault="00A91679" w:rsidP="007E394F">
            <w:pPr>
              <w:spacing w:after="0"/>
              <w:jc w:val="right"/>
              <w:rPr>
                <w:lang w:eastAsia="en-AU"/>
              </w:rPr>
            </w:pPr>
            <w:r w:rsidRPr="00A91679">
              <w:rPr>
                <w:lang w:eastAsia="en-AU"/>
              </w:rPr>
              <w:t>3.5</w:t>
            </w:r>
          </w:p>
        </w:tc>
        <w:tc>
          <w:tcPr>
            <w:tcW w:w="1585" w:type="dxa"/>
            <w:tcBorders>
              <w:top w:val="nil"/>
              <w:left w:val="nil"/>
              <w:bottom w:val="single" w:sz="4" w:space="0" w:color="auto"/>
              <w:right w:val="single" w:sz="4" w:space="0" w:color="auto"/>
            </w:tcBorders>
            <w:shd w:val="clear" w:color="auto" w:fill="auto"/>
            <w:noWrap/>
            <w:vAlign w:val="bottom"/>
            <w:hideMark/>
          </w:tcPr>
          <w:p w14:paraId="61F5CBD7" w14:textId="60F4BB8D" w:rsidR="00A91679" w:rsidRPr="00A91679" w:rsidRDefault="00A91679" w:rsidP="007E394F">
            <w:pPr>
              <w:spacing w:after="0"/>
              <w:jc w:val="right"/>
              <w:rPr>
                <w:lang w:eastAsia="en-AU"/>
              </w:rPr>
            </w:pPr>
            <w:r w:rsidRPr="00A91679">
              <w:rPr>
                <w:lang w:eastAsia="en-AU"/>
              </w:rPr>
              <w:t xml:space="preserve">186,082 </w:t>
            </w:r>
          </w:p>
        </w:tc>
        <w:tc>
          <w:tcPr>
            <w:tcW w:w="1701" w:type="dxa"/>
            <w:tcBorders>
              <w:top w:val="nil"/>
              <w:left w:val="nil"/>
              <w:bottom w:val="single" w:sz="4" w:space="0" w:color="auto"/>
              <w:right w:val="single" w:sz="4" w:space="0" w:color="auto"/>
            </w:tcBorders>
            <w:shd w:val="clear" w:color="auto" w:fill="auto"/>
            <w:noWrap/>
            <w:vAlign w:val="bottom"/>
            <w:hideMark/>
          </w:tcPr>
          <w:p w14:paraId="2D99EE18" w14:textId="77777777" w:rsidR="00A91679" w:rsidRPr="00A91679" w:rsidRDefault="00A91679" w:rsidP="007E394F">
            <w:pPr>
              <w:spacing w:after="0"/>
              <w:jc w:val="right"/>
              <w:rPr>
                <w:lang w:eastAsia="en-AU"/>
              </w:rPr>
            </w:pPr>
            <w:r w:rsidRPr="00A91679">
              <w:rPr>
                <w:lang w:eastAsia="en-AU"/>
              </w:rPr>
              <w:t>82</w:t>
            </w:r>
          </w:p>
        </w:tc>
        <w:tc>
          <w:tcPr>
            <w:tcW w:w="1395" w:type="dxa"/>
            <w:tcBorders>
              <w:top w:val="nil"/>
              <w:left w:val="nil"/>
              <w:bottom w:val="single" w:sz="4" w:space="0" w:color="auto"/>
              <w:right w:val="single" w:sz="4" w:space="0" w:color="auto"/>
            </w:tcBorders>
            <w:shd w:val="clear" w:color="auto" w:fill="auto"/>
            <w:noWrap/>
            <w:vAlign w:val="bottom"/>
            <w:hideMark/>
          </w:tcPr>
          <w:p w14:paraId="054FD348" w14:textId="77777777" w:rsidR="00A91679" w:rsidRPr="00A91679" w:rsidRDefault="00A91679" w:rsidP="007E394F">
            <w:pPr>
              <w:spacing w:after="0"/>
              <w:jc w:val="right"/>
              <w:rPr>
                <w:lang w:eastAsia="en-AU"/>
              </w:rPr>
            </w:pPr>
            <w:r w:rsidRPr="00A91679">
              <w:rPr>
                <w:lang w:eastAsia="en-AU"/>
              </w:rPr>
              <w:t>285</w:t>
            </w:r>
          </w:p>
        </w:tc>
        <w:tc>
          <w:tcPr>
            <w:tcW w:w="1467" w:type="dxa"/>
            <w:tcBorders>
              <w:top w:val="nil"/>
              <w:left w:val="nil"/>
              <w:bottom w:val="single" w:sz="4" w:space="0" w:color="auto"/>
              <w:right w:val="single" w:sz="4" w:space="0" w:color="auto"/>
            </w:tcBorders>
            <w:shd w:val="clear" w:color="auto" w:fill="auto"/>
            <w:noWrap/>
            <w:vAlign w:val="bottom"/>
            <w:hideMark/>
          </w:tcPr>
          <w:p w14:paraId="62692C59" w14:textId="77777777" w:rsidR="00A91679" w:rsidRPr="00A91679" w:rsidRDefault="00A91679" w:rsidP="007E394F">
            <w:pPr>
              <w:spacing w:after="0"/>
              <w:jc w:val="right"/>
              <w:rPr>
                <w:lang w:eastAsia="en-AU"/>
              </w:rPr>
            </w:pPr>
            <w:r w:rsidRPr="00A91679">
              <w:rPr>
                <w:lang w:eastAsia="en-AU"/>
              </w:rPr>
              <w:t>367</w:t>
            </w:r>
          </w:p>
        </w:tc>
      </w:tr>
      <w:tr w:rsidR="00A91679" w:rsidRPr="00A91679" w14:paraId="552CBFC6" w14:textId="77777777" w:rsidTr="007E394F">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7A084CF" w14:textId="77777777" w:rsidR="00A91679" w:rsidRPr="00A91679" w:rsidRDefault="00A91679" w:rsidP="007E394F">
            <w:pPr>
              <w:spacing w:after="0"/>
              <w:jc w:val="right"/>
              <w:rPr>
                <w:lang w:eastAsia="en-AU"/>
              </w:rPr>
            </w:pPr>
            <w:r w:rsidRPr="00A91679">
              <w:rPr>
                <w:lang w:eastAsia="en-AU"/>
              </w:rPr>
              <w:t>4</w:t>
            </w:r>
          </w:p>
        </w:tc>
        <w:tc>
          <w:tcPr>
            <w:tcW w:w="1585" w:type="dxa"/>
            <w:tcBorders>
              <w:top w:val="nil"/>
              <w:left w:val="nil"/>
              <w:bottom w:val="single" w:sz="4" w:space="0" w:color="auto"/>
              <w:right w:val="single" w:sz="4" w:space="0" w:color="auto"/>
            </w:tcBorders>
            <w:shd w:val="clear" w:color="auto" w:fill="auto"/>
            <w:noWrap/>
            <w:vAlign w:val="bottom"/>
            <w:hideMark/>
          </w:tcPr>
          <w:p w14:paraId="0413C7A7" w14:textId="01421054" w:rsidR="00A91679" w:rsidRPr="00A91679" w:rsidRDefault="00A91679" w:rsidP="007E394F">
            <w:pPr>
              <w:spacing w:after="0"/>
              <w:jc w:val="right"/>
              <w:rPr>
                <w:lang w:eastAsia="en-AU"/>
              </w:rPr>
            </w:pPr>
            <w:r w:rsidRPr="00A91679">
              <w:rPr>
                <w:lang w:eastAsia="en-AU"/>
              </w:rPr>
              <w:t xml:space="preserve">827,439 </w:t>
            </w:r>
          </w:p>
        </w:tc>
        <w:tc>
          <w:tcPr>
            <w:tcW w:w="1701" w:type="dxa"/>
            <w:tcBorders>
              <w:top w:val="nil"/>
              <w:left w:val="nil"/>
              <w:bottom w:val="single" w:sz="4" w:space="0" w:color="auto"/>
              <w:right w:val="single" w:sz="4" w:space="0" w:color="auto"/>
            </w:tcBorders>
            <w:shd w:val="clear" w:color="auto" w:fill="auto"/>
            <w:noWrap/>
            <w:vAlign w:val="bottom"/>
            <w:hideMark/>
          </w:tcPr>
          <w:p w14:paraId="05DF0BF7" w14:textId="77777777" w:rsidR="00A91679" w:rsidRPr="00A91679" w:rsidRDefault="00A91679" w:rsidP="007E394F">
            <w:pPr>
              <w:spacing w:after="0"/>
              <w:jc w:val="right"/>
              <w:rPr>
                <w:lang w:eastAsia="en-AU"/>
              </w:rPr>
            </w:pPr>
            <w:r w:rsidRPr="00A91679">
              <w:rPr>
                <w:lang w:eastAsia="en-AU"/>
              </w:rPr>
              <w:t>71</w:t>
            </w:r>
          </w:p>
        </w:tc>
        <w:tc>
          <w:tcPr>
            <w:tcW w:w="1395" w:type="dxa"/>
            <w:tcBorders>
              <w:top w:val="nil"/>
              <w:left w:val="nil"/>
              <w:bottom w:val="single" w:sz="4" w:space="0" w:color="auto"/>
              <w:right w:val="single" w:sz="4" w:space="0" w:color="auto"/>
            </w:tcBorders>
            <w:shd w:val="clear" w:color="auto" w:fill="auto"/>
            <w:noWrap/>
            <w:vAlign w:val="bottom"/>
            <w:hideMark/>
          </w:tcPr>
          <w:p w14:paraId="58DAC258" w14:textId="77777777" w:rsidR="00A91679" w:rsidRPr="00A91679" w:rsidRDefault="00A91679" w:rsidP="007E394F">
            <w:pPr>
              <w:spacing w:after="0"/>
              <w:jc w:val="right"/>
              <w:rPr>
                <w:lang w:eastAsia="en-AU"/>
              </w:rPr>
            </w:pPr>
            <w:r w:rsidRPr="00A91679">
              <w:rPr>
                <w:lang w:eastAsia="en-AU"/>
              </w:rPr>
              <w:t>196</w:t>
            </w:r>
          </w:p>
        </w:tc>
        <w:tc>
          <w:tcPr>
            <w:tcW w:w="1467" w:type="dxa"/>
            <w:tcBorders>
              <w:top w:val="nil"/>
              <w:left w:val="nil"/>
              <w:bottom w:val="single" w:sz="4" w:space="0" w:color="auto"/>
              <w:right w:val="single" w:sz="4" w:space="0" w:color="auto"/>
            </w:tcBorders>
            <w:shd w:val="clear" w:color="auto" w:fill="auto"/>
            <w:noWrap/>
            <w:vAlign w:val="bottom"/>
            <w:hideMark/>
          </w:tcPr>
          <w:p w14:paraId="5B5E8BF9" w14:textId="77777777" w:rsidR="00A91679" w:rsidRPr="00A91679" w:rsidRDefault="00A91679" w:rsidP="007E394F">
            <w:pPr>
              <w:spacing w:after="0"/>
              <w:jc w:val="right"/>
              <w:rPr>
                <w:lang w:eastAsia="en-AU"/>
              </w:rPr>
            </w:pPr>
            <w:r w:rsidRPr="00A91679">
              <w:rPr>
                <w:lang w:eastAsia="en-AU"/>
              </w:rPr>
              <w:t>267</w:t>
            </w:r>
          </w:p>
        </w:tc>
      </w:tr>
      <w:tr w:rsidR="00A91679" w:rsidRPr="00A91679" w14:paraId="078A7F02" w14:textId="77777777" w:rsidTr="007E394F">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0C5F37C" w14:textId="77777777" w:rsidR="00A91679" w:rsidRPr="00A91679" w:rsidRDefault="00A91679" w:rsidP="007E394F">
            <w:pPr>
              <w:spacing w:after="0"/>
              <w:jc w:val="right"/>
              <w:rPr>
                <w:lang w:eastAsia="en-AU"/>
              </w:rPr>
            </w:pPr>
            <w:r w:rsidRPr="00A91679">
              <w:rPr>
                <w:lang w:eastAsia="en-AU"/>
              </w:rPr>
              <w:t>4.5</w:t>
            </w:r>
          </w:p>
        </w:tc>
        <w:tc>
          <w:tcPr>
            <w:tcW w:w="1585" w:type="dxa"/>
            <w:tcBorders>
              <w:top w:val="nil"/>
              <w:left w:val="nil"/>
              <w:bottom w:val="single" w:sz="4" w:space="0" w:color="auto"/>
              <w:right w:val="single" w:sz="4" w:space="0" w:color="auto"/>
            </w:tcBorders>
            <w:shd w:val="clear" w:color="auto" w:fill="auto"/>
            <w:noWrap/>
            <w:vAlign w:val="bottom"/>
            <w:hideMark/>
          </w:tcPr>
          <w:p w14:paraId="351AACBF" w14:textId="386940E2" w:rsidR="00A91679" w:rsidRPr="00A91679" w:rsidRDefault="00A91679" w:rsidP="007E394F">
            <w:pPr>
              <w:spacing w:after="0"/>
              <w:jc w:val="right"/>
              <w:rPr>
                <w:lang w:eastAsia="en-AU"/>
              </w:rPr>
            </w:pPr>
            <w:r w:rsidRPr="00A91679">
              <w:rPr>
                <w:lang w:eastAsia="en-AU"/>
              </w:rPr>
              <w:t xml:space="preserve">1,089,595 </w:t>
            </w:r>
          </w:p>
        </w:tc>
        <w:tc>
          <w:tcPr>
            <w:tcW w:w="1701" w:type="dxa"/>
            <w:tcBorders>
              <w:top w:val="nil"/>
              <w:left w:val="nil"/>
              <w:bottom w:val="single" w:sz="4" w:space="0" w:color="auto"/>
              <w:right w:val="single" w:sz="4" w:space="0" w:color="auto"/>
            </w:tcBorders>
            <w:shd w:val="clear" w:color="auto" w:fill="auto"/>
            <w:noWrap/>
            <w:vAlign w:val="bottom"/>
            <w:hideMark/>
          </w:tcPr>
          <w:p w14:paraId="5B61E6EA" w14:textId="77777777" w:rsidR="00A91679" w:rsidRPr="00A91679" w:rsidRDefault="00A91679" w:rsidP="007E394F">
            <w:pPr>
              <w:spacing w:after="0"/>
              <w:jc w:val="right"/>
              <w:rPr>
                <w:lang w:eastAsia="en-AU"/>
              </w:rPr>
            </w:pPr>
            <w:r w:rsidRPr="00A91679">
              <w:rPr>
                <w:lang w:eastAsia="en-AU"/>
              </w:rPr>
              <w:t>62</w:t>
            </w:r>
          </w:p>
        </w:tc>
        <w:tc>
          <w:tcPr>
            <w:tcW w:w="1395" w:type="dxa"/>
            <w:tcBorders>
              <w:top w:val="nil"/>
              <w:left w:val="nil"/>
              <w:bottom w:val="single" w:sz="4" w:space="0" w:color="auto"/>
              <w:right w:val="single" w:sz="4" w:space="0" w:color="auto"/>
            </w:tcBorders>
            <w:shd w:val="clear" w:color="auto" w:fill="auto"/>
            <w:noWrap/>
            <w:vAlign w:val="bottom"/>
            <w:hideMark/>
          </w:tcPr>
          <w:p w14:paraId="55E47C71" w14:textId="77777777" w:rsidR="00A91679" w:rsidRPr="00A91679" w:rsidRDefault="00A91679" w:rsidP="007E394F">
            <w:pPr>
              <w:spacing w:after="0"/>
              <w:jc w:val="right"/>
              <w:rPr>
                <w:lang w:eastAsia="en-AU"/>
              </w:rPr>
            </w:pPr>
            <w:r w:rsidRPr="00A91679">
              <w:rPr>
                <w:lang w:eastAsia="en-AU"/>
              </w:rPr>
              <w:t>156</w:t>
            </w:r>
          </w:p>
        </w:tc>
        <w:tc>
          <w:tcPr>
            <w:tcW w:w="1467" w:type="dxa"/>
            <w:tcBorders>
              <w:top w:val="nil"/>
              <w:left w:val="nil"/>
              <w:bottom w:val="single" w:sz="4" w:space="0" w:color="auto"/>
              <w:right w:val="single" w:sz="4" w:space="0" w:color="auto"/>
            </w:tcBorders>
            <w:shd w:val="clear" w:color="auto" w:fill="auto"/>
            <w:noWrap/>
            <w:vAlign w:val="bottom"/>
            <w:hideMark/>
          </w:tcPr>
          <w:p w14:paraId="3986E84C" w14:textId="77777777" w:rsidR="00A91679" w:rsidRPr="00A91679" w:rsidRDefault="00A91679" w:rsidP="007E394F">
            <w:pPr>
              <w:spacing w:after="0"/>
              <w:jc w:val="right"/>
              <w:rPr>
                <w:lang w:eastAsia="en-AU"/>
              </w:rPr>
            </w:pPr>
            <w:r w:rsidRPr="00A91679">
              <w:rPr>
                <w:lang w:eastAsia="en-AU"/>
              </w:rPr>
              <w:t>219</w:t>
            </w:r>
          </w:p>
        </w:tc>
      </w:tr>
      <w:tr w:rsidR="00A91679" w:rsidRPr="00A91679" w14:paraId="1490D324" w14:textId="77777777" w:rsidTr="007E394F">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7372992" w14:textId="77777777" w:rsidR="00A91679" w:rsidRPr="00A91679" w:rsidRDefault="00A91679" w:rsidP="007E394F">
            <w:pPr>
              <w:spacing w:after="0"/>
              <w:jc w:val="right"/>
              <w:rPr>
                <w:lang w:eastAsia="en-AU"/>
              </w:rPr>
            </w:pPr>
            <w:r w:rsidRPr="00A91679">
              <w:rPr>
                <w:lang w:eastAsia="en-AU"/>
              </w:rPr>
              <w:t>5</w:t>
            </w:r>
          </w:p>
        </w:tc>
        <w:tc>
          <w:tcPr>
            <w:tcW w:w="1585" w:type="dxa"/>
            <w:tcBorders>
              <w:top w:val="nil"/>
              <w:left w:val="nil"/>
              <w:bottom w:val="single" w:sz="4" w:space="0" w:color="auto"/>
              <w:right w:val="single" w:sz="4" w:space="0" w:color="auto"/>
            </w:tcBorders>
            <w:shd w:val="clear" w:color="auto" w:fill="auto"/>
            <w:noWrap/>
            <w:vAlign w:val="bottom"/>
            <w:hideMark/>
          </w:tcPr>
          <w:p w14:paraId="4A42A892" w14:textId="4EBD4B81" w:rsidR="00A91679" w:rsidRPr="00A91679" w:rsidRDefault="00A91679" w:rsidP="007E394F">
            <w:pPr>
              <w:spacing w:after="0"/>
              <w:jc w:val="right"/>
              <w:rPr>
                <w:lang w:eastAsia="en-AU"/>
              </w:rPr>
            </w:pPr>
            <w:r w:rsidRPr="00A91679">
              <w:rPr>
                <w:lang w:eastAsia="en-AU"/>
              </w:rPr>
              <w:t xml:space="preserve">1,390,825 </w:t>
            </w:r>
          </w:p>
        </w:tc>
        <w:tc>
          <w:tcPr>
            <w:tcW w:w="1701" w:type="dxa"/>
            <w:tcBorders>
              <w:top w:val="nil"/>
              <w:left w:val="nil"/>
              <w:bottom w:val="single" w:sz="4" w:space="0" w:color="auto"/>
              <w:right w:val="single" w:sz="4" w:space="0" w:color="auto"/>
            </w:tcBorders>
            <w:shd w:val="clear" w:color="auto" w:fill="auto"/>
            <w:noWrap/>
            <w:vAlign w:val="bottom"/>
            <w:hideMark/>
          </w:tcPr>
          <w:p w14:paraId="7A49BD68" w14:textId="77777777" w:rsidR="00A91679" w:rsidRPr="00A91679" w:rsidRDefault="00A91679" w:rsidP="007E394F">
            <w:pPr>
              <w:spacing w:after="0"/>
              <w:jc w:val="right"/>
              <w:rPr>
                <w:lang w:eastAsia="en-AU"/>
              </w:rPr>
            </w:pPr>
            <w:r w:rsidRPr="00A91679">
              <w:rPr>
                <w:lang w:eastAsia="en-AU"/>
              </w:rPr>
              <w:t>52</w:t>
            </w:r>
          </w:p>
        </w:tc>
        <w:tc>
          <w:tcPr>
            <w:tcW w:w="1395" w:type="dxa"/>
            <w:tcBorders>
              <w:top w:val="nil"/>
              <w:left w:val="nil"/>
              <w:bottom w:val="single" w:sz="4" w:space="0" w:color="auto"/>
              <w:right w:val="single" w:sz="4" w:space="0" w:color="auto"/>
            </w:tcBorders>
            <w:shd w:val="clear" w:color="auto" w:fill="auto"/>
            <w:noWrap/>
            <w:vAlign w:val="bottom"/>
            <w:hideMark/>
          </w:tcPr>
          <w:p w14:paraId="79F42CD9" w14:textId="77777777" w:rsidR="00A91679" w:rsidRPr="00A91679" w:rsidRDefault="00A91679" w:rsidP="007E394F">
            <w:pPr>
              <w:spacing w:after="0"/>
              <w:jc w:val="right"/>
              <w:rPr>
                <w:lang w:eastAsia="en-AU"/>
              </w:rPr>
            </w:pPr>
            <w:r w:rsidRPr="00A91679">
              <w:rPr>
                <w:lang w:eastAsia="en-AU"/>
              </w:rPr>
              <w:t>106</w:t>
            </w:r>
          </w:p>
        </w:tc>
        <w:tc>
          <w:tcPr>
            <w:tcW w:w="1467" w:type="dxa"/>
            <w:tcBorders>
              <w:top w:val="nil"/>
              <w:left w:val="nil"/>
              <w:bottom w:val="single" w:sz="4" w:space="0" w:color="auto"/>
              <w:right w:val="single" w:sz="4" w:space="0" w:color="auto"/>
            </w:tcBorders>
            <w:shd w:val="clear" w:color="auto" w:fill="auto"/>
            <w:noWrap/>
            <w:vAlign w:val="bottom"/>
            <w:hideMark/>
          </w:tcPr>
          <w:p w14:paraId="27697A98" w14:textId="77777777" w:rsidR="00A91679" w:rsidRPr="00A91679" w:rsidRDefault="00A91679" w:rsidP="007E394F">
            <w:pPr>
              <w:spacing w:after="0"/>
              <w:jc w:val="right"/>
              <w:rPr>
                <w:lang w:eastAsia="en-AU"/>
              </w:rPr>
            </w:pPr>
            <w:r w:rsidRPr="00A91679">
              <w:rPr>
                <w:lang w:eastAsia="en-AU"/>
              </w:rPr>
              <w:t>158</w:t>
            </w:r>
          </w:p>
        </w:tc>
      </w:tr>
      <w:tr w:rsidR="00A91679" w:rsidRPr="00A91679" w14:paraId="5DBA32E9" w14:textId="77777777" w:rsidTr="007E394F">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300CF38" w14:textId="77777777" w:rsidR="00A91679" w:rsidRPr="00A91679" w:rsidRDefault="00A91679" w:rsidP="007E394F">
            <w:pPr>
              <w:spacing w:after="0"/>
              <w:jc w:val="right"/>
              <w:rPr>
                <w:lang w:eastAsia="en-AU"/>
              </w:rPr>
            </w:pPr>
            <w:r w:rsidRPr="00A91679">
              <w:rPr>
                <w:lang w:eastAsia="en-AU"/>
              </w:rPr>
              <w:t>5.5</w:t>
            </w:r>
          </w:p>
        </w:tc>
        <w:tc>
          <w:tcPr>
            <w:tcW w:w="1585" w:type="dxa"/>
            <w:tcBorders>
              <w:top w:val="nil"/>
              <w:left w:val="nil"/>
              <w:bottom w:val="single" w:sz="4" w:space="0" w:color="auto"/>
              <w:right w:val="single" w:sz="4" w:space="0" w:color="auto"/>
            </w:tcBorders>
            <w:shd w:val="clear" w:color="auto" w:fill="auto"/>
            <w:noWrap/>
            <w:vAlign w:val="bottom"/>
            <w:hideMark/>
          </w:tcPr>
          <w:p w14:paraId="211A413B" w14:textId="64CED8FB" w:rsidR="00A91679" w:rsidRPr="00A91679" w:rsidRDefault="00A91679" w:rsidP="007E394F">
            <w:pPr>
              <w:spacing w:after="0"/>
              <w:jc w:val="right"/>
              <w:rPr>
                <w:lang w:eastAsia="en-AU"/>
              </w:rPr>
            </w:pPr>
            <w:r w:rsidRPr="00A91679">
              <w:rPr>
                <w:lang w:eastAsia="en-AU"/>
              </w:rPr>
              <w:t xml:space="preserve">1,839,744 </w:t>
            </w:r>
          </w:p>
        </w:tc>
        <w:tc>
          <w:tcPr>
            <w:tcW w:w="1701" w:type="dxa"/>
            <w:tcBorders>
              <w:top w:val="nil"/>
              <w:left w:val="nil"/>
              <w:bottom w:val="single" w:sz="4" w:space="0" w:color="auto"/>
              <w:right w:val="single" w:sz="4" w:space="0" w:color="auto"/>
            </w:tcBorders>
            <w:shd w:val="clear" w:color="auto" w:fill="auto"/>
            <w:noWrap/>
            <w:vAlign w:val="bottom"/>
            <w:hideMark/>
          </w:tcPr>
          <w:p w14:paraId="07453C85" w14:textId="77777777" w:rsidR="00A91679" w:rsidRPr="00A91679" w:rsidRDefault="00A91679" w:rsidP="007E394F">
            <w:pPr>
              <w:spacing w:after="0"/>
              <w:jc w:val="right"/>
              <w:rPr>
                <w:lang w:eastAsia="en-AU"/>
              </w:rPr>
            </w:pPr>
            <w:r w:rsidRPr="00A91679">
              <w:rPr>
                <w:lang w:eastAsia="en-AU"/>
              </w:rPr>
              <w:t>35</w:t>
            </w:r>
          </w:p>
        </w:tc>
        <w:tc>
          <w:tcPr>
            <w:tcW w:w="1395" w:type="dxa"/>
            <w:tcBorders>
              <w:top w:val="nil"/>
              <w:left w:val="nil"/>
              <w:bottom w:val="single" w:sz="4" w:space="0" w:color="auto"/>
              <w:right w:val="single" w:sz="4" w:space="0" w:color="auto"/>
            </w:tcBorders>
            <w:shd w:val="clear" w:color="auto" w:fill="auto"/>
            <w:noWrap/>
            <w:vAlign w:val="bottom"/>
            <w:hideMark/>
          </w:tcPr>
          <w:p w14:paraId="062F63C1" w14:textId="77777777" w:rsidR="00A91679" w:rsidRPr="00A91679" w:rsidRDefault="00A91679" w:rsidP="007E394F">
            <w:pPr>
              <w:spacing w:after="0"/>
              <w:jc w:val="right"/>
              <w:rPr>
                <w:lang w:eastAsia="en-AU"/>
              </w:rPr>
            </w:pPr>
            <w:r w:rsidRPr="00A91679">
              <w:rPr>
                <w:lang w:eastAsia="en-AU"/>
              </w:rPr>
              <w:t>112</w:t>
            </w:r>
          </w:p>
        </w:tc>
        <w:tc>
          <w:tcPr>
            <w:tcW w:w="1467" w:type="dxa"/>
            <w:tcBorders>
              <w:top w:val="nil"/>
              <w:left w:val="nil"/>
              <w:bottom w:val="single" w:sz="4" w:space="0" w:color="auto"/>
              <w:right w:val="single" w:sz="4" w:space="0" w:color="auto"/>
            </w:tcBorders>
            <w:shd w:val="clear" w:color="auto" w:fill="auto"/>
            <w:noWrap/>
            <w:vAlign w:val="bottom"/>
            <w:hideMark/>
          </w:tcPr>
          <w:p w14:paraId="6312A7BF" w14:textId="77777777" w:rsidR="00A91679" w:rsidRPr="00A91679" w:rsidRDefault="00A91679" w:rsidP="007E394F">
            <w:pPr>
              <w:spacing w:after="0"/>
              <w:jc w:val="right"/>
              <w:rPr>
                <w:lang w:eastAsia="en-AU"/>
              </w:rPr>
            </w:pPr>
            <w:r w:rsidRPr="00A91679">
              <w:rPr>
                <w:lang w:eastAsia="en-AU"/>
              </w:rPr>
              <w:t>147</w:t>
            </w:r>
          </w:p>
        </w:tc>
      </w:tr>
      <w:tr w:rsidR="00A91679" w:rsidRPr="00A91679" w14:paraId="5674D02F" w14:textId="77777777" w:rsidTr="007E394F">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B3FFD65" w14:textId="77777777" w:rsidR="00A91679" w:rsidRPr="00A91679" w:rsidRDefault="00A91679" w:rsidP="007E394F">
            <w:pPr>
              <w:spacing w:after="0"/>
              <w:jc w:val="right"/>
              <w:rPr>
                <w:lang w:eastAsia="en-AU"/>
              </w:rPr>
            </w:pPr>
            <w:r w:rsidRPr="00A91679">
              <w:rPr>
                <w:lang w:eastAsia="en-AU"/>
              </w:rPr>
              <w:t>6</w:t>
            </w:r>
          </w:p>
        </w:tc>
        <w:tc>
          <w:tcPr>
            <w:tcW w:w="1585" w:type="dxa"/>
            <w:tcBorders>
              <w:top w:val="nil"/>
              <w:left w:val="nil"/>
              <w:bottom w:val="single" w:sz="4" w:space="0" w:color="auto"/>
              <w:right w:val="single" w:sz="4" w:space="0" w:color="auto"/>
            </w:tcBorders>
            <w:shd w:val="clear" w:color="auto" w:fill="auto"/>
            <w:noWrap/>
            <w:vAlign w:val="bottom"/>
            <w:hideMark/>
          </w:tcPr>
          <w:p w14:paraId="70E8E2FB" w14:textId="2B9967D3" w:rsidR="00A91679" w:rsidRPr="00A91679" w:rsidRDefault="00A91679" w:rsidP="007E394F">
            <w:pPr>
              <w:spacing w:after="0"/>
              <w:jc w:val="right"/>
              <w:rPr>
                <w:lang w:eastAsia="en-AU"/>
              </w:rPr>
            </w:pPr>
            <w:r w:rsidRPr="00A91679">
              <w:rPr>
                <w:lang w:eastAsia="en-AU"/>
              </w:rPr>
              <w:t xml:space="preserve">195,057 </w:t>
            </w:r>
          </w:p>
        </w:tc>
        <w:tc>
          <w:tcPr>
            <w:tcW w:w="1701" w:type="dxa"/>
            <w:tcBorders>
              <w:top w:val="nil"/>
              <w:left w:val="nil"/>
              <w:bottom w:val="single" w:sz="4" w:space="0" w:color="auto"/>
              <w:right w:val="single" w:sz="4" w:space="0" w:color="auto"/>
            </w:tcBorders>
            <w:shd w:val="clear" w:color="auto" w:fill="auto"/>
            <w:noWrap/>
            <w:vAlign w:val="bottom"/>
            <w:hideMark/>
          </w:tcPr>
          <w:p w14:paraId="3158A87A" w14:textId="77777777" w:rsidR="00A91679" w:rsidRPr="00A91679" w:rsidRDefault="00A91679" w:rsidP="007E394F">
            <w:pPr>
              <w:spacing w:after="0"/>
              <w:jc w:val="right"/>
              <w:rPr>
                <w:lang w:eastAsia="en-AU"/>
              </w:rPr>
            </w:pPr>
            <w:r w:rsidRPr="00A91679">
              <w:rPr>
                <w:lang w:eastAsia="en-AU"/>
              </w:rPr>
              <w:t>23</w:t>
            </w:r>
          </w:p>
        </w:tc>
        <w:tc>
          <w:tcPr>
            <w:tcW w:w="1395" w:type="dxa"/>
            <w:tcBorders>
              <w:top w:val="nil"/>
              <w:left w:val="nil"/>
              <w:bottom w:val="single" w:sz="4" w:space="0" w:color="auto"/>
              <w:right w:val="single" w:sz="4" w:space="0" w:color="auto"/>
            </w:tcBorders>
            <w:shd w:val="clear" w:color="auto" w:fill="auto"/>
            <w:noWrap/>
            <w:vAlign w:val="bottom"/>
            <w:hideMark/>
          </w:tcPr>
          <w:p w14:paraId="31441C60" w14:textId="77777777" w:rsidR="00A91679" w:rsidRPr="00A91679" w:rsidRDefault="00A91679" w:rsidP="007E394F">
            <w:pPr>
              <w:spacing w:after="0"/>
              <w:jc w:val="right"/>
              <w:rPr>
                <w:lang w:eastAsia="en-AU"/>
              </w:rPr>
            </w:pPr>
            <w:r w:rsidRPr="00A91679">
              <w:rPr>
                <w:lang w:eastAsia="en-AU"/>
              </w:rPr>
              <w:t>72</w:t>
            </w:r>
          </w:p>
        </w:tc>
        <w:tc>
          <w:tcPr>
            <w:tcW w:w="1467" w:type="dxa"/>
            <w:tcBorders>
              <w:top w:val="nil"/>
              <w:left w:val="nil"/>
              <w:bottom w:val="single" w:sz="4" w:space="0" w:color="auto"/>
              <w:right w:val="single" w:sz="4" w:space="0" w:color="auto"/>
            </w:tcBorders>
            <w:shd w:val="clear" w:color="auto" w:fill="auto"/>
            <w:noWrap/>
            <w:vAlign w:val="bottom"/>
            <w:hideMark/>
          </w:tcPr>
          <w:p w14:paraId="1D01505D" w14:textId="77777777" w:rsidR="00A91679" w:rsidRPr="00A91679" w:rsidRDefault="00A91679" w:rsidP="007E394F">
            <w:pPr>
              <w:spacing w:after="0"/>
              <w:jc w:val="right"/>
              <w:rPr>
                <w:lang w:eastAsia="en-AU"/>
              </w:rPr>
            </w:pPr>
            <w:r w:rsidRPr="00A91679">
              <w:rPr>
                <w:lang w:eastAsia="en-AU"/>
              </w:rPr>
              <w:t>95</w:t>
            </w:r>
          </w:p>
        </w:tc>
      </w:tr>
    </w:tbl>
    <w:p w14:paraId="7DC9E4BC" w14:textId="77777777" w:rsidR="00A91679" w:rsidRDefault="00A91679" w:rsidP="007E394F">
      <w:pPr>
        <w:rPr>
          <w:rFonts w:ascii="Helvetica Light" w:hAnsi="Helvetica Light" w:cstheme="minorBidi"/>
          <w:szCs w:val="20"/>
        </w:rPr>
      </w:pPr>
    </w:p>
    <w:p w14:paraId="51AA0628" w14:textId="77777777" w:rsidR="007E394F" w:rsidRPr="007E394F" w:rsidRDefault="007E394F" w:rsidP="007E394F">
      <w:pPr>
        <w:rPr>
          <w:rFonts w:cs="Arial"/>
          <w:szCs w:val="20"/>
        </w:rPr>
      </w:pPr>
      <w:r w:rsidRPr="007E394F">
        <w:rPr>
          <w:rFonts w:cs="Arial"/>
          <w:szCs w:val="20"/>
        </w:rPr>
        <w:t xml:space="preserve">Return to </w:t>
      </w:r>
      <w:hyperlink w:anchor="_4.2.2_Office_Energy" w:history="1">
        <w:r w:rsidRPr="007E394F">
          <w:rPr>
            <w:rStyle w:val="Hyperlink"/>
            <w:rFonts w:cs="Arial"/>
            <w:szCs w:val="20"/>
          </w:rPr>
          <w:t>Office Energy Consumption</w:t>
        </w:r>
      </w:hyperlink>
    </w:p>
    <w:p w14:paraId="78E32B00" w14:textId="4522A7E4" w:rsidR="007E394F" w:rsidRPr="007E394F" w:rsidRDefault="00944E9B" w:rsidP="00944E9B">
      <w:pPr>
        <w:pStyle w:val="Heading3"/>
        <w:ind w:left="1440" w:hanging="1440"/>
        <w:rPr>
          <w:rFonts w:hint="eastAsia"/>
        </w:rPr>
      </w:pPr>
      <w:r>
        <w:t>Table A.3</w:t>
      </w:r>
      <w:r w:rsidR="00A13E20">
        <w:t>7</w:t>
      </w:r>
      <w:r>
        <w:tab/>
      </w:r>
      <w:r w:rsidR="007E394F" w:rsidRPr="005E5406">
        <w:t>Energy Consumption in Relation to Average Office Floor Area by Postcode (excl. postcodes with &lt;20,000 m2 of office space)</w:t>
      </w:r>
    </w:p>
    <w:tbl>
      <w:tblPr>
        <w:tblW w:w="7371" w:type="dxa"/>
        <w:tblInd w:w="-5" w:type="dxa"/>
        <w:tblLook w:val="04A0" w:firstRow="1" w:lastRow="0" w:firstColumn="1" w:lastColumn="0" w:noHBand="0" w:noVBand="1"/>
      </w:tblPr>
      <w:tblGrid>
        <w:gridCol w:w="1117"/>
        <w:gridCol w:w="3419"/>
        <w:gridCol w:w="2835"/>
      </w:tblGrid>
      <w:tr w:rsidR="005E5406" w:rsidRPr="005E5406" w14:paraId="371CE67A" w14:textId="77777777" w:rsidTr="007E394F">
        <w:trPr>
          <w:trHeight w:val="300"/>
        </w:trPr>
        <w:tc>
          <w:tcPr>
            <w:tcW w:w="11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FEF74E" w14:textId="77777777" w:rsidR="005E5406" w:rsidRPr="007E394F" w:rsidRDefault="005E5406" w:rsidP="007E394F">
            <w:pPr>
              <w:spacing w:after="0"/>
              <w:rPr>
                <w:b/>
                <w:bCs/>
                <w:lang w:eastAsia="en-AU"/>
              </w:rPr>
            </w:pPr>
            <w:bookmarkStart w:id="272" w:name="_Figure_38:_Energy"/>
            <w:bookmarkEnd w:id="272"/>
            <w:r w:rsidRPr="007E394F">
              <w:rPr>
                <w:b/>
                <w:bCs/>
                <w:lang w:eastAsia="en-AU"/>
              </w:rPr>
              <w:t>Postcode</w:t>
            </w:r>
          </w:p>
        </w:tc>
        <w:tc>
          <w:tcPr>
            <w:tcW w:w="3419" w:type="dxa"/>
            <w:tcBorders>
              <w:top w:val="single" w:sz="4" w:space="0" w:color="auto"/>
              <w:left w:val="nil"/>
              <w:bottom w:val="single" w:sz="4" w:space="0" w:color="auto"/>
              <w:right w:val="single" w:sz="4" w:space="0" w:color="auto"/>
            </w:tcBorders>
            <w:shd w:val="clear" w:color="auto" w:fill="auto"/>
            <w:noWrap/>
            <w:vAlign w:val="bottom"/>
            <w:hideMark/>
          </w:tcPr>
          <w:p w14:paraId="1B624BD9" w14:textId="77777777" w:rsidR="005E5406" w:rsidRPr="007E394F" w:rsidRDefault="005E5406" w:rsidP="007E394F">
            <w:pPr>
              <w:spacing w:after="0"/>
              <w:rPr>
                <w:b/>
                <w:bCs/>
                <w:lang w:eastAsia="en-AU"/>
              </w:rPr>
            </w:pPr>
            <w:r w:rsidRPr="007E394F">
              <w:rPr>
                <w:b/>
                <w:bCs/>
                <w:lang w:eastAsia="en-AU"/>
              </w:rPr>
              <w:t>Energy Consumption Intensity (MJ/m2)</w:t>
            </w:r>
          </w:p>
        </w:tc>
        <w:tc>
          <w:tcPr>
            <w:tcW w:w="2835" w:type="dxa"/>
            <w:tcBorders>
              <w:top w:val="single" w:sz="4" w:space="0" w:color="auto"/>
              <w:left w:val="nil"/>
              <w:bottom w:val="single" w:sz="4" w:space="0" w:color="auto"/>
              <w:right w:val="single" w:sz="4" w:space="0" w:color="auto"/>
            </w:tcBorders>
            <w:shd w:val="clear" w:color="auto" w:fill="auto"/>
            <w:noWrap/>
            <w:vAlign w:val="bottom"/>
            <w:hideMark/>
          </w:tcPr>
          <w:p w14:paraId="25047583" w14:textId="77777777" w:rsidR="005E5406" w:rsidRPr="007E394F" w:rsidRDefault="005E5406" w:rsidP="007E394F">
            <w:pPr>
              <w:spacing w:after="0"/>
              <w:rPr>
                <w:b/>
                <w:bCs/>
                <w:lang w:eastAsia="en-AU"/>
              </w:rPr>
            </w:pPr>
            <w:r w:rsidRPr="007E394F">
              <w:rPr>
                <w:b/>
                <w:bCs/>
                <w:lang w:eastAsia="en-AU"/>
              </w:rPr>
              <w:t>Average Office Floor Area (m2)</w:t>
            </w:r>
          </w:p>
        </w:tc>
      </w:tr>
      <w:tr w:rsidR="005E5406" w:rsidRPr="005E5406" w14:paraId="47382763" w14:textId="77777777" w:rsidTr="007E394F">
        <w:trPr>
          <w:trHeight w:val="300"/>
        </w:trPr>
        <w:tc>
          <w:tcPr>
            <w:tcW w:w="1117" w:type="dxa"/>
            <w:tcBorders>
              <w:top w:val="nil"/>
              <w:left w:val="single" w:sz="4" w:space="0" w:color="auto"/>
              <w:bottom w:val="single" w:sz="4" w:space="0" w:color="auto"/>
              <w:right w:val="single" w:sz="4" w:space="0" w:color="auto"/>
            </w:tcBorders>
            <w:shd w:val="clear" w:color="auto" w:fill="auto"/>
            <w:noWrap/>
            <w:vAlign w:val="bottom"/>
            <w:hideMark/>
          </w:tcPr>
          <w:p w14:paraId="6AC29F86" w14:textId="77777777" w:rsidR="005E5406" w:rsidRPr="005E5406" w:rsidRDefault="005E5406" w:rsidP="005077FB">
            <w:pPr>
              <w:spacing w:after="0"/>
              <w:jc w:val="right"/>
              <w:rPr>
                <w:lang w:eastAsia="en-AU"/>
              </w:rPr>
            </w:pPr>
            <w:r w:rsidRPr="005E5406">
              <w:rPr>
                <w:lang w:eastAsia="en-AU"/>
              </w:rPr>
              <w:t>3008</w:t>
            </w:r>
          </w:p>
        </w:tc>
        <w:tc>
          <w:tcPr>
            <w:tcW w:w="3419" w:type="dxa"/>
            <w:tcBorders>
              <w:top w:val="nil"/>
              <w:left w:val="nil"/>
              <w:bottom w:val="single" w:sz="4" w:space="0" w:color="auto"/>
              <w:right w:val="single" w:sz="4" w:space="0" w:color="auto"/>
            </w:tcBorders>
            <w:shd w:val="clear" w:color="auto" w:fill="auto"/>
            <w:noWrap/>
            <w:vAlign w:val="bottom"/>
            <w:hideMark/>
          </w:tcPr>
          <w:p w14:paraId="476EC347" w14:textId="77777777" w:rsidR="005E5406" w:rsidRPr="005E5406" w:rsidRDefault="005E5406" w:rsidP="007E394F">
            <w:pPr>
              <w:spacing w:after="0"/>
              <w:rPr>
                <w:lang w:eastAsia="en-AU"/>
              </w:rPr>
            </w:pPr>
            <w:r w:rsidRPr="005E5406">
              <w:rPr>
                <w:lang w:eastAsia="en-AU"/>
              </w:rPr>
              <w:t xml:space="preserve">                                                515 </w:t>
            </w:r>
          </w:p>
        </w:tc>
        <w:tc>
          <w:tcPr>
            <w:tcW w:w="2835" w:type="dxa"/>
            <w:tcBorders>
              <w:top w:val="nil"/>
              <w:left w:val="nil"/>
              <w:bottom w:val="single" w:sz="4" w:space="0" w:color="auto"/>
              <w:right w:val="single" w:sz="4" w:space="0" w:color="auto"/>
            </w:tcBorders>
            <w:shd w:val="clear" w:color="auto" w:fill="auto"/>
            <w:noWrap/>
            <w:vAlign w:val="bottom"/>
            <w:hideMark/>
          </w:tcPr>
          <w:p w14:paraId="7F464E56" w14:textId="77777777" w:rsidR="005E5406" w:rsidRPr="005E5406" w:rsidRDefault="005E5406" w:rsidP="007E394F">
            <w:pPr>
              <w:spacing w:after="0"/>
              <w:rPr>
                <w:lang w:eastAsia="en-AU"/>
              </w:rPr>
            </w:pPr>
            <w:r w:rsidRPr="005E5406">
              <w:rPr>
                <w:lang w:eastAsia="en-AU"/>
              </w:rPr>
              <w:t xml:space="preserve">                               19,858 </w:t>
            </w:r>
          </w:p>
        </w:tc>
      </w:tr>
      <w:tr w:rsidR="005E5406" w:rsidRPr="005E5406" w14:paraId="44C5F33F" w14:textId="77777777" w:rsidTr="007E394F">
        <w:trPr>
          <w:trHeight w:val="300"/>
        </w:trPr>
        <w:tc>
          <w:tcPr>
            <w:tcW w:w="1117" w:type="dxa"/>
            <w:tcBorders>
              <w:top w:val="nil"/>
              <w:left w:val="single" w:sz="4" w:space="0" w:color="auto"/>
              <w:bottom w:val="single" w:sz="4" w:space="0" w:color="auto"/>
              <w:right w:val="single" w:sz="4" w:space="0" w:color="auto"/>
            </w:tcBorders>
            <w:shd w:val="clear" w:color="auto" w:fill="auto"/>
            <w:noWrap/>
            <w:vAlign w:val="bottom"/>
            <w:hideMark/>
          </w:tcPr>
          <w:p w14:paraId="504BDB67" w14:textId="77777777" w:rsidR="005E5406" w:rsidRPr="005E5406" w:rsidRDefault="005E5406" w:rsidP="005077FB">
            <w:pPr>
              <w:spacing w:after="0"/>
              <w:jc w:val="right"/>
              <w:rPr>
                <w:lang w:eastAsia="en-AU"/>
              </w:rPr>
            </w:pPr>
            <w:r w:rsidRPr="005E5406">
              <w:rPr>
                <w:lang w:eastAsia="en-AU"/>
              </w:rPr>
              <w:t>3000</w:t>
            </w:r>
          </w:p>
        </w:tc>
        <w:tc>
          <w:tcPr>
            <w:tcW w:w="3419" w:type="dxa"/>
            <w:tcBorders>
              <w:top w:val="nil"/>
              <w:left w:val="nil"/>
              <w:bottom w:val="single" w:sz="4" w:space="0" w:color="auto"/>
              <w:right w:val="single" w:sz="4" w:space="0" w:color="auto"/>
            </w:tcBorders>
            <w:shd w:val="clear" w:color="auto" w:fill="auto"/>
            <w:noWrap/>
            <w:vAlign w:val="bottom"/>
            <w:hideMark/>
          </w:tcPr>
          <w:p w14:paraId="092CE17A" w14:textId="77777777" w:rsidR="005E5406" w:rsidRPr="005E5406" w:rsidRDefault="005E5406" w:rsidP="007E394F">
            <w:pPr>
              <w:spacing w:after="0"/>
              <w:rPr>
                <w:lang w:eastAsia="en-AU"/>
              </w:rPr>
            </w:pPr>
            <w:r w:rsidRPr="005E5406">
              <w:rPr>
                <w:lang w:eastAsia="en-AU"/>
              </w:rPr>
              <w:t xml:space="preserve">                                                607 </w:t>
            </w:r>
          </w:p>
        </w:tc>
        <w:tc>
          <w:tcPr>
            <w:tcW w:w="2835" w:type="dxa"/>
            <w:tcBorders>
              <w:top w:val="nil"/>
              <w:left w:val="nil"/>
              <w:bottom w:val="single" w:sz="4" w:space="0" w:color="auto"/>
              <w:right w:val="single" w:sz="4" w:space="0" w:color="auto"/>
            </w:tcBorders>
            <w:shd w:val="clear" w:color="auto" w:fill="auto"/>
            <w:noWrap/>
            <w:vAlign w:val="bottom"/>
            <w:hideMark/>
          </w:tcPr>
          <w:p w14:paraId="19D2BDBE" w14:textId="77777777" w:rsidR="005E5406" w:rsidRPr="005E5406" w:rsidRDefault="005E5406" w:rsidP="007E394F">
            <w:pPr>
              <w:spacing w:after="0"/>
              <w:rPr>
                <w:lang w:eastAsia="en-AU"/>
              </w:rPr>
            </w:pPr>
            <w:r w:rsidRPr="005E5406">
              <w:rPr>
                <w:lang w:eastAsia="en-AU"/>
              </w:rPr>
              <w:t xml:space="preserve">                                 7,580 </w:t>
            </w:r>
          </w:p>
        </w:tc>
      </w:tr>
      <w:tr w:rsidR="005E5406" w:rsidRPr="005E5406" w14:paraId="1631D96F" w14:textId="77777777" w:rsidTr="007E394F">
        <w:trPr>
          <w:trHeight w:val="300"/>
        </w:trPr>
        <w:tc>
          <w:tcPr>
            <w:tcW w:w="1117" w:type="dxa"/>
            <w:tcBorders>
              <w:top w:val="nil"/>
              <w:left w:val="single" w:sz="4" w:space="0" w:color="auto"/>
              <w:bottom w:val="single" w:sz="4" w:space="0" w:color="auto"/>
              <w:right w:val="single" w:sz="4" w:space="0" w:color="auto"/>
            </w:tcBorders>
            <w:shd w:val="clear" w:color="auto" w:fill="auto"/>
            <w:noWrap/>
            <w:vAlign w:val="bottom"/>
            <w:hideMark/>
          </w:tcPr>
          <w:p w14:paraId="79118DD4" w14:textId="77777777" w:rsidR="005E5406" w:rsidRPr="005E5406" w:rsidRDefault="005E5406" w:rsidP="005077FB">
            <w:pPr>
              <w:spacing w:after="0"/>
              <w:jc w:val="right"/>
              <w:rPr>
                <w:lang w:eastAsia="en-AU"/>
              </w:rPr>
            </w:pPr>
            <w:r w:rsidRPr="005E5406">
              <w:rPr>
                <w:lang w:eastAsia="en-AU"/>
              </w:rPr>
              <w:t>3006</w:t>
            </w:r>
          </w:p>
        </w:tc>
        <w:tc>
          <w:tcPr>
            <w:tcW w:w="3419" w:type="dxa"/>
            <w:tcBorders>
              <w:top w:val="nil"/>
              <w:left w:val="nil"/>
              <w:bottom w:val="single" w:sz="4" w:space="0" w:color="auto"/>
              <w:right w:val="single" w:sz="4" w:space="0" w:color="auto"/>
            </w:tcBorders>
            <w:shd w:val="clear" w:color="auto" w:fill="auto"/>
            <w:noWrap/>
            <w:vAlign w:val="bottom"/>
            <w:hideMark/>
          </w:tcPr>
          <w:p w14:paraId="317AE4F8" w14:textId="77777777" w:rsidR="005E5406" w:rsidRPr="005E5406" w:rsidRDefault="005E5406" w:rsidP="007E394F">
            <w:pPr>
              <w:spacing w:after="0"/>
              <w:rPr>
                <w:lang w:eastAsia="en-AU"/>
              </w:rPr>
            </w:pPr>
            <w:r w:rsidRPr="005E5406">
              <w:rPr>
                <w:lang w:eastAsia="en-AU"/>
              </w:rPr>
              <w:t xml:space="preserve">                                                683 </w:t>
            </w:r>
          </w:p>
        </w:tc>
        <w:tc>
          <w:tcPr>
            <w:tcW w:w="2835" w:type="dxa"/>
            <w:tcBorders>
              <w:top w:val="nil"/>
              <w:left w:val="nil"/>
              <w:bottom w:val="single" w:sz="4" w:space="0" w:color="auto"/>
              <w:right w:val="single" w:sz="4" w:space="0" w:color="auto"/>
            </w:tcBorders>
            <w:shd w:val="clear" w:color="auto" w:fill="auto"/>
            <w:noWrap/>
            <w:vAlign w:val="bottom"/>
            <w:hideMark/>
          </w:tcPr>
          <w:p w14:paraId="52AEC7BF" w14:textId="77777777" w:rsidR="005E5406" w:rsidRPr="005E5406" w:rsidRDefault="005E5406" w:rsidP="007E394F">
            <w:pPr>
              <w:spacing w:after="0"/>
              <w:rPr>
                <w:lang w:eastAsia="en-AU"/>
              </w:rPr>
            </w:pPr>
            <w:r w:rsidRPr="005E5406">
              <w:rPr>
                <w:lang w:eastAsia="en-AU"/>
              </w:rPr>
              <w:t xml:space="preserve">                                 6,832 </w:t>
            </w:r>
          </w:p>
        </w:tc>
      </w:tr>
      <w:tr w:rsidR="005E5406" w:rsidRPr="005E5406" w14:paraId="2CF6ED8D" w14:textId="77777777" w:rsidTr="007E394F">
        <w:trPr>
          <w:trHeight w:val="300"/>
        </w:trPr>
        <w:tc>
          <w:tcPr>
            <w:tcW w:w="1117" w:type="dxa"/>
            <w:tcBorders>
              <w:top w:val="nil"/>
              <w:left w:val="single" w:sz="4" w:space="0" w:color="auto"/>
              <w:bottom w:val="single" w:sz="4" w:space="0" w:color="auto"/>
              <w:right w:val="single" w:sz="4" w:space="0" w:color="auto"/>
            </w:tcBorders>
            <w:shd w:val="clear" w:color="auto" w:fill="auto"/>
            <w:noWrap/>
            <w:vAlign w:val="bottom"/>
            <w:hideMark/>
          </w:tcPr>
          <w:p w14:paraId="116F3225" w14:textId="77777777" w:rsidR="005E5406" w:rsidRPr="005E5406" w:rsidRDefault="005E5406" w:rsidP="005077FB">
            <w:pPr>
              <w:spacing w:after="0"/>
              <w:jc w:val="right"/>
              <w:rPr>
                <w:lang w:eastAsia="en-AU"/>
              </w:rPr>
            </w:pPr>
            <w:r w:rsidRPr="005E5406">
              <w:rPr>
                <w:lang w:eastAsia="en-AU"/>
              </w:rPr>
              <w:t>3004</w:t>
            </w:r>
          </w:p>
        </w:tc>
        <w:tc>
          <w:tcPr>
            <w:tcW w:w="3419" w:type="dxa"/>
            <w:tcBorders>
              <w:top w:val="nil"/>
              <w:left w:val="nil"/>
              <w:bottom w:val="single" w:sz="4" w:space="0" w:color="auto"/>
              <w:right w:val="single" w:sz="4" w:space="0" w:color="auto"/>
            </w:tcBorders>
            <w:shd w:val="clear" w:color="auto" w:fill="auto"/>
            <w:noWrap/>
            <w:vAlign w:val="bottom"/>
            <w:hideMark/>
          </w:tcPr>
          <w:p w14:paraId="71E37F78" w14:textId="77777777" w:rsidR="005E5406" w:rsidRPr="005E5406" w:rsidRDefault="005E5406" w:rsidP="007E394F">
            <w:pPr>
              <w:spacing w:after="0"/>
              <w:rPr>
                <w:lang w:eastAsia="en-AU"/>
              </w:rPr>
            </w:pPr>
            <w:r w:rsidRPr="005E5406">
              <w:rPr>
                <w:lang w:eastAsia="en-AU"/>
              </w:rPr>
              <w:t xml:space="preserve">                                                749 </w:t>
            </w:r>
          </w:p>
        </w:tc>
        <w:tc>
          <w:tcPr>
            <w:tcW w:w="2835" w:type="dxa"/>
            <w:tcBorders>
              <w:top w:val="nil"/>
              <w:left w:val="nil"/>
              <w:bottom w:val="single" w:sz="4" w:space="0" w:color="auto"/>
              <w:right w:val="single" w:sz="4" w:space="0" w:color="auto"/>
            </w:tcBorders>
            <w:shd w:val="clear" w:color="auto" w:fill="auto"/>
            <w:noWrap/>
            <w:vAlign w:val="bottom"/>
            <w:hideMark/>
          </w:tcPr>
          <w:p w14:paraId="3F9E0A1E" w14:textId="77777777" w:rsidR="005E5406" w:rsidRPr="005E5406" w:rsidRDefault="005E5406" w:rsidP="007E394F">
            <w:pPr>
              <w:spacing w:after="0"/>
              <w:rPr>
                <w:lang w:eastAsia="en-AU"/>
              </w:rPr>
            </w:pPr>
            <w:r w:rsidRPr="005E5406">
              <w:rPr>
                <w:lang w:eastAsia="en-AU"/>
              </w:rPr>
              <w:t xml:space="preserve">                                 8,312 </w:t>
            </w:r>
          </w:p>
        </w:tc>
      </w:tr>
      <w:tr w:rsidR="005E5406" w:rsidRPr="005E5406" w14:paraId="1464FD0F" w14:textId="77777777" w:rsidTr="007E394F">
        <w:trPr>
          <w:trHeight w:val="300"/>
        </w:trPr>
        <w:tc>
          <w:tcPr>
            <w:tcW w:w="1117" w:type="dxa"/>
            <w:tcBorders>
              <w:top w:val="nil"/>
              <w:left w:val="single" w:sz="4" w:space="0" w:color="auto"/>
              <w:bottom w:val="single" w:sz="4" w:space="0" w:color="auto"/>
              <w:right w:val="single" w:sz="4" w:space="0" w:color="auto"/>
            </w:tcBorders>
            <w:shd w:val="clear" w:color="auto" w:fill="auto"/>
            <w:noWrap/>
            <w:vAlign w:val="bottom"/>
            <w:hideMark/>
          </w:tcPr>
          <w:p w14:paraId="18040D19" w14:textId="77777777" w:rsidR="005E5406" w:rsidRPr="005E5406" w:rsidRDefault="005E5406" w:rsidP="005077FB">
            <w:pPr>
              <w:spacing w:after="0"/>
              <w:jc w:val="right"/>
              <w:rPr>
                <w:lang w:eastAsia="en-AU"/>
              </w:rPr>
            </w:pPr>
            <w:r w:rsidRPr="005E5406">
              <w:rPr>
                <w:lang w:eastAsia="en-AU"/>
              </w:rPr>
              <w:t>3207</w:t>
            </w:r>
          </w:p>
        </w:tc>
        <w:tc>
          <w:tcPr>
            <w:tcW w:w="3419" w:type="dxa"/>
            <w:tcBorders>
              <w:top w:val="nil"/>
              <w:left w:val="nil"/>
              <w:bottom w:val="single" w:sz="4" w:space="0" w:color="auto"/>
              <w:right w:val="single" w:sz="4" w:space="0" w:color="auto"/>
            </w:tcBorders>
            <w:shd w:val="clear" w:color="auto" w:fill="auto"/>
            <w:noWrap/>
            <w:vAlign w:val="bottom"/>
            <w:hideMark/>
          </w:tcPr>
          <w:p w14:paraId="6E772782" w14:textId="77777777" w:rsidR="005E5406" w:rsidRPr="005E5406" w:rsidRDefault="005E5406" w:rsidP="007E394F">
            <w:pPr>
              <w:spacing w:after="0"/>
              <w:rPr>
                <w:lang w:eastAsia="en-AU"/>
              </w:rPr>
            </w:pPr>
            <w:r w:rsidRPr="005E5406">
              <w:rPr>
                <w:lang w:eastAsia="en-AU"/>
              </w:rPr>
              <w:t xml:space="preserve">                                                758 </w:t>
            </w:r>
          </w:p>
        </w:tc>
        <w:tc>
          <w:tcPr>
            <w:tcW w:w="2835" w:type="dxa"/>
            <w:tcBorders>
              <w:top w:val="nil"/>
              <w:left w:val="nil"/>
              <w:bottom w:val="single" w:sz="4" w:space="0" w:color="auto"/>
              <w:right w:val="single" w:sz="4" w:space="0" w:color="auto"/>
            </w:tcBorders>
            <w:shd w:val="clear" w:color="auto" w:fill="auto"/>
            <w:noWrap/>
            <w:vAlign w:val="bottom"/>
            <w:hideMark/>
          </w:tcPr>
          <w:p w14:paraId="6C33A59A" w14:textId="77777777" w:rsidR="005E5406" w:rsidRPr="005E5406" w:rsidRDefault="005E5406" w:rsidP="007E394F">
            <w:pPr>
              <w:spacing w:after="0"/>
              <w:rPr>
                <w:lang w:eastAsia="en-AU"/>
              </w:rPr>
            </w:pPr>
            <w:r w:rsidRPr="005E5406">
              <w:rPr>
                <w:lang w:eastAsia="en-AU"/>
              </w:rPr>
              <w:t xml:space="preserve">                                 2,675 </w:t>
            </w:r>
          </w:p>
        </w:tc>
      </w:tr>
      <w:tr w:rsidR="005E5406" w:rsidRPr="005E5406" w14:paraId="6B114CAF" w14:textId="77777777" w:rsidTr="007E394F">
        <w:trPr>
          <w:trHeight w:val="300"/>
        </w:trPr>
        <w:tc>
          <w:tcPr>
            <w:tcW w:w="1117" w:type="dxa"/>
            <w:tcBorders>
              <w:top w:val="nil"/>
              <w:left w:val="single" w:sz="4" w:space="0" w:color="auto"/>
              <w:bottom w:val="single" w:sz="4" w:space="0" w:color="auto"/>
              <w:right w:val="single" w:sz="4" w:space="0" w:color="auto"/>
            </w:tcBorders>
            <w:shd w:val="clear" w:color="auto" w:fill="auto"/>
            <w:noWrap/>
            <w:vAlign w:val="bottom"/>
            <w:hideMark/>
          </w:tcPr>
          <w:p w14:paraId="014CE286" w14:textId="77777777" w:rsidR="005E5406" w:rsidRPr="005E5406" w:rsidRDefault="005E5406" w:rsidP="005077FB">
            <w:pPr>
              <w:spacing w:after="0"/>
              <w:jc w:val="right"/>
              <w:rPr>
                <w:lang w:eastAsia="en-AU"/>
              </w:rPr>
            </w:pPr>
            <w:r w:rsidRPr="005E5406">
              <w:rPr>
                <w:lang w:eastAsia="en-AU"/>
              </w:rPr>
              <w:t>3002</w:t>
            </w:r>
          </w:p>
        </w:tc>
        <w:tc>
          <w:tcPr>
            <w:tcW w:w="3419" w:type="dxa"/>
            <w:tcBorders>
              <w:top w:val="nil"/>
              <w:left w:val="nil"/>
              <w:bottom w:val="single" w:sz="4" w:space="0" w:color="auto"/>
              <w:right w:val="single" w:sz="4" w:space="0" w:color="auto"/>
            </w:tcBorders>
            <w:shd w:val="clear" w:color="auto" w:fill="auto"/>
            <w:noWrap/>
            <w:vAlign w:val="bottom"/>
            <w:hideMark/>
          </w:tcPr>
          <w:p w14:paraId="7D9AD963" w14:textId="77777777" w:rsidR="005E5406" w:rsidRPr="005E5406" w:rsidRDefault="005E5406" w:rsidP="007E394F">
            <w:pPr>
              <w:spacing w:after="0"/>
              <w:rPr>
                <w:lang w:eastAsia="en-AU"/>
              </w:rPr>
            </w:pPr>
            <w:r w:rsidRPr="005E5406">
              <w:rPr>
                <w:lang w:eastAsia="en-AU"/>
              </w:rPr>
              <w:t xml:space="preserve">                                                813 </w:t>
            </w:r>
          </w:p>
        </w:tc>
        <w:tc>
          <w:tcPr>
            <w:tcW w:w="2835" w:type="dxa"/>
            <w:tcBorders>
              <w:top w:val="nil"/>
              <w:left w:val="nil"/>
              <w:bottom w:val="single" w:sz="4" w:space="0" w:color="auto"/>
              <w:right w:val="single" w:sz="4" w:space="0" w:color="auto"/>
            </w:tcBorders>
            <w:shd w:val="clear" w:color="auto" w:fill="auto"/>
            <w:noWrap/>
            <w:vAlign w:val="bottom"/>
            <w:hideMark/>
          </w:tcPr>
          <w:p w14:paraId="38929956" w14:textId="77777777" w:rsidR="005E5406" w:rsidRPr="005E5406" w:rsidRDefault="005E5406" w:rsidP="007E394F">
            <w:pPr>
              <w:spacing w:after="0"/>
              <w:rPr>
                <w:lang w:eastAsia="en-AU"/>
              </w:rPr>
            </w:pPr>
            <w:r w:rsidRPr="005E5406">
              <w:rPr>
                <w:lang w:eastAsia="en-AU"/>
              </w:rPr>
              <w:t xml:space="preserve">                                 3,730 </w:t>
            </w:r>
          </w:p>
        </w:tc>
      </w:tr>
      <w:tr w:rsidR="005E5406" w:rsidRPr="005E5406" w14:paraId="45EF060E" w14:textId="77777777" w:rsidTr="007E394F">
        <w:trPr>
          <w:trHeight w:val="300"/>
        </w:trPr>
        <w:tc>
          <w:tcPr>
            <w:tcW w:w="1117" w:type="dxa"/>
            <w:tcBorders>
              <w:top w:val="nil"/>
              <w:left w:val="single" w:sz="4" w:space="0" w:color="auto"/>
              <w:bottom w:val="single" w:sz="4" w:space="0" w:color="auto"/>
              <w:right w:val="single" w:sz="4" w:space="0" w:color="auto"/>
            </w:tcBorders>
            <w:shd w:val="clear" w:color="auto" w:fill="auto"/>
            <w:noWrap/>
            <w:vAlign w:val="bottom"/>
            <w:hideMark/>
          </w:tcPr>
          <w:p w14:paraId="11B7CA9E" w14:textId="77777777" w:rsidR="005E5406" w:rsidRPr="005E5406" w:rsidRDefault="005E5406" w:rsidP="005077FB">
            <w:pPr>
              <w:spacing w:after="0"/>
              <w:jc w:val="right"/>
              <w:rPr>
                <w:lang w:eastAsia="en-AU"/>
              </w:rPr>
            </w:pPr>
            <w:r w:rsidRPr="005E5406">
              <w:rPr>
                <w:lang w:eastAsia="en-AU"/>
              </w:rPr>
              <w:t>3010</w:t>
            </w:r>
          </w:p>
        </w:tc>
        <w:tc>
          <w:tcPr>
            <w:tcW w:w="3419" w:type="dxa"/>
            <w:tcBorders>
              <w:top w:val="nil"/>
              <w:left w:val="nil"/>
              <w:bottom w:val="single" w:sz="4" w:space="0" w:color="auto"/>
              <w:right w:val="single" w:sz="4" w:space="0" w:color="auto"/>
            </w:tcBorders>
            <w:shd w:val="clear" w:color="auto" w:fill="auto"/>
            <w:noWrap/>
            <w:vAlign w:val="bottom"/>
            <w:hideMark/>
          </w:tcPr>
          <w:p w14:paraId="52E4B862" w14:textId="77777777" w:rsidR="005E5406" w:rsidRPr="005E5406" w:rsidRDefault="005E5406" w:rsidP="007E394F">
            <w:pPr>
              <w:spacing w:after="0"/>
              <w:rPr>
                <w:lang w:eastAsia="en-AU"/>
              </w:rPr>
            </w:pPr>
            <w:r w:rsidRPr="005E5406">
              <w:rPr>
                <w:lang w:eastAsia="en-AU"/>
              </w:rPr>
              <w:t xml:space="preserve">                                                919 </w:t>
            </w:r>
          </w:p>
        </w:tc>
        <w:tc>
          <w:tcPr>
            <w:tcW w:w="2835" w:type="dxa"/>
            <w:tcBorders>
              <w:top w:val="nil"/>
              <w:left w:val="nil"/>
              <w:bottom w:val="single" w:sz="4" w:space="0" w:color="auto"/>
              <w:right w:val="single" w:sz="4" w:space="0" w:color="auto"/>
            </w:tcBorders>
            <w:shd w:val="clear" w:color="auto" w:fill="auto"/>
            <w:noWrap/>
            <w:vAlign w:val="bottom"/>
            <w:hideMark/>
          </w:tcPr>
          <w:p w14:paraId="2B826F27" w14:textId="77777777" w:rsidR="005E5406" w:rsidRPr="005E5406" w:rsidRDefault="005E5406" w:rsidP="007E394F">
            <w:pPr>
              <w:spacing w:after="0"/>
              <w:rPr>
                <w:lang w:eastAsia="en-AU"/>
              </w:rPr>
            </w:pPr>
            <w:r w:rsidRPr="005E5406">
              <w:rPr>
                <w:lang w:eastAsia="en-AU"/>
              </w:rPr>
              <w:t xml:space="preserve">                                 3,060 </w:t>
            </w:r>
          </w:p>
        </w:tc>
      </w:tr>
      <w:tr w:rsidR="005E5406" w:rsidRPr="005E5406" w14:paraId="1189DA5F" w14:textId="77777777" w:rsidTr="007E394F">
        <w:trPr>
          <w:trHeight w:val="300"/>
        </w:trPr>
        <w:tc>
          <w:tcPr>
            <w:tcW w:w="1117" w:type="dxa"/>
            <w:tcBorders>
              <w:top w:val="nil"/>
              <w:left w:val="single" w:sz="4" w:space="0" w:color="auto"/>
              <w:bottom w:val="single" w:sz="4" w:space="0" w:color="auto"/>
              <w:right w:val="single" w:sz="4" w:space="0" w:color="auto"/>
            </w:tcBorders>
            <w:shd w:val="clear" w:color="auto" w:fill="auto"/>
            <w:noWrap/>
            <w:vAlign w:val="bottom"/>
            <w:hideMark/>
          </w:tcPr>
          <w:p w14:paraId="7DC82D96" w14:textId="77777777" w:rsidR="005E5406" w:rsidRPr="005E5406" w:rsidRDefault="005E5406" w:rsidP="005077FB">
            <w:pPr>
              <w:spacing w:after="0"/>
              <w:jc w:val="right"/>
              <w:rPr>
                <w:lang w:eastAsia="en-AU"/>
              </w:rPr>
            </w:pPr>
            <w:r w:rsidRPr="005E5406">
              <w:rPr>
                <w:lang w:eastAsia="en-AU"/>
              </w:rPr>
              <w:lastRenderedPageBreak/>
              <w:t>3053</w:t>
            </w:r>
          </w:p>
        </w:tc>
        <w:tc>
          <w:tcPr>
            <w:tcW w:w="3419" w:type="dxa"/>
            <w:tcBorders>
              <w:top w:val="nil"/>
              <w:left w:val="nil"/>
              <w:bottom w:val="single" w:sz="4" w:space="0" w:color="auto"/>
              <w:right w:val="single" w:sz="4" w:space="0" w:color="auto"/>
            </w:tcBorders>
            <w:shd w:val="clear" w:color="auto" w:fill="auto"/>
            <w:noWrap/>
            <w:vAlign w:val="bottom"/>
            <w:hideMark/>
          </w:tcPr>
          <w:p w14:paraId="0389BFEB" w14:textId="77777777" w:rsidR="005E5406" w:rsidRPr="005E5406" w:rsidRDefault="005E5406" w:rsidP="007E394F">
            <w:pPr>
              <w:spacing w:after="0"/>
              <w:rPr>
                <w:lang w:eastAsia="en-AU"/>
              </w:rPr>
            </w:pPr>
            <w:r w:rsidRPr="005E5406">
              <w:rPr>
                <w:lang w:eastAsia="en-AU"/>
              </w:rPr>
              <w:t xml:space="preserve">                                                933 </w:t>
            </w:r>
          </w:p>
        </w:tc>
        <w:tc>
          <w:tcPr>
            <w:tcW w:w="2835" w:type="dxa"/>
            <w:tcBorders>
              <w:top w:val="nil"/>
              <w:left w:val="nil"/>
              <w:bottom w:val="single" w:sz="4" w:space="0" w:color="auto"/>
              <w:right w:val="single" w:sz="4" w:space="0" w:color="auto"/>
            </w:tcBorders>
            <w:shd w:val="clear" w:color="auto" w:fill="auto"/>
            <w:noWrap/>
            <w:vAlign w:val="bottom"/>
            <w:hideMark/>
          </w:tcPr>
          <w:p w14:paraId="5694478D" w14:textId="77777777" w:rsidR="005E5406" w:rsidRPr="005E5406" w:rsidRDefault="005E5406" w:rsidP="007E394F">
            <w:pPr>
              <w:spacing w:after="0"/>
              <w:rPr>
                <w:lang w:eastAsia="en-AU"/>
              </w:rPr>
            </w:pPr>
            <w:r w:rsidRPr="005E5406">
              <w:rPr>
                <w:lang w:eastAsia="en-AU"/>
              </w:rPr>
              <w:t xml:space="preserve">                                 1,193 </w:t>
            </w:r>
          </w:p>
        </w:tc>
      </w:tr>
      <w:tr w:rsidR="005E5406" w:rsidRPr="005E5406" w14:paraId="2EC36EC2" w14:textId="77777777" w:rsidTr="007E394F">
        <w:trPr>
          <w:trHeight w:val="300"/>
        </w:trPr>
        <w:tc>
          <w:tcPr>
            <w:tcW w:w="1117" w:type="dxa"/>
            <w:tcBorders>
              <w:top w:val="nil"/>
              <w:left w:val="single" w:sz="4" w:space="0" w:color="auto"/>
              <w:bottom w:val="single" w:sz="4" w:space="0" w:color="auto"/>
              <w:right w:val="single" w:sz="4" w:space="0" w:color="auto"/>
            </w:tcBorders>
            <w:shd w:val="clear" w:color="auto" w:fill="auto"/>
            <w:noWrap/>
            <w:vAlign w:val="bottom"/>
            <w:hideMark/>
          </w:tcPr>
          <w:p w14:paraId="708B226F" w14:textId="77777777" w:rsidR="005E5406" w:rsidRPr="005E5406" w:rsidRDefault="005E5406" w:rsidP="005077FB">
            <w:pPr>
              <w:spacing w:after="0"/>
              <w:jc w:val="right"/>
              <w:rPr>
                <w:lang w:eastAsia="en-AU"/>
              </w:rPr>
            </w:pPr>
            <w:r w:rsidRPr="005E5406">
              <w:rPr>
                <w:lang w:eastAsia="en-AU"/>
              </w:rPr>
              <w:t>3052</w:t>
            </w:r>
          </w:p>
        </w:tc>
        <w:tc>
          <w:tcPr>
            <w:tcW w:w="3419" w:type="dxa"/>
            <w:tcBorders>
              <w:top w:val="nil"/>
              <w:left w:val="nil"/>
              <w:bottom w:val="single" w:sz="4" w:space="0" w:color="auto"/>
              <w:right w:val="single" w:sz="4" w:space="0" w:color="auto"/>
            </w:tcBorders>
            <w:shd w:val="clear" w:color="auto" w:fill="auto"/>
            <w:noWrap/>
            <w:vAlign w:val="bottom"/>
            <w:hideMark/>
          </w:tcPr>
          <w:p w14:paraId="24B4F7CF" w14:textId="77777777" w:rsidR="005E5406" w:rsidRPr="005E5406" w:rsidRDefault="005E5406" w:rsidP="007E394F">
            <w:pPr>
              <w:spacing w:after="0"/>
              <w:rPr>
                <w:lang w:eastAsia="en-AU"/>
              </w:rPr>
            </w:pPr>
            <w:r w:rsidRPr="005E5406">
              <w:rPr>
                <w:lang w:eastAsia="en-AU"/>
              </w:rPr>
              <w:t xml:space="preserve">                                                941 </w:t>
            </w:r>
          </w:p>
        </w:tc>
        <w:tc>
          <w:tcPr>
            <w:tcW w:w="2835" w:type="dxa"/>
            <w:tcBorders>
              <w:top w:val="nil"/>
              <w:left w:val="nil"/>
              <w:bottom w:val="single" w:sz="4" w:space="0" w:color="auto"/>
              <w:right w:val="single" w:sz="4" w:space="0" w:color="auto"/>
            </w:tcBorders>
            <w:shd w:val="clear" w:color="auto" w:fill="auto"/>
            <w:noWrap/>
            <w:vAlign w:val="bottom"/>
            <w:hideMark/>
          </w:tcPr>
          <w:p w14:paraId="4D9380DD" w14:textId="77777777" w:rsidR="005E5406" w:rsidRPr="005E5406" w:rsidRDefault="005E5406" w:rsidP="007E394F">
            <w:pPr>
              <w:spacing w:after="0"/>
              <w:rPr>
                <w:lang w:eastAsia="en-AU"/>
              </w:rPr>
            </w:pPr>
            <w:r w:rsidRPr="005E5406">
              <w:rPr>
                <w:lang w:eastAsia="en-AU"/>
              </w:rPr>
              <w:t xml:space="preserve">                                 2,166 </w:t>
            </w:r>
          </w:p>
        </w:tc>
      </w:tr>
      <w:tr w:rsidR="005E5406" w:rsidRPr="005E5406" w14:paraId="4AB517B3" w14:textId="77777777" w:rsidTr="007E394F">
        <w:trPr>
          <w:trHeight w:val="300"/>
        </w:trPr>
        <w:tc>
          <w:tcPr>
            <w:tcW w:w="1117" w:type="dxa"/>
            <w:tcBorders>
              <w:top w:val="nil"/>
              <w:left w:val="single" w:sz="4" w:space="0" w:color="auto"/>
              <w:bottom w:val="single" w:sz="4" w:space="0" w:color="auto"/>
              <w:right w:val="single" w:sz="4" w:space="0" w:color="auto"/>
            </w:tcBorders>
            <w:shd w:val="clear" w:color="auto" w:fill="auto"/>
            <w:noWrap/>
            <w:vAlign w:val="bottom"/>
            <w:hideMark/>
          </w:tcPr>
          <w:p w14:paraId="1A7CE577" w14:textId="77777777" w:rsidR="005E5406" w:rsidRPr="005E5406" w:rsidRDefault="005E5406" w:rsidP="005077FB">
            <w:pPr>
              <w:spacing w:after="0"/>
              <w:jc w:val="right"/>
              <w:rPr>
                <w:lang w:eastAsia="en-AU"/>
              </w:rPr>
            </w:pPr>
            <w:r w:rsidRPr="005E5406">
              <w:rPr>
                <w:lang w:eastAsia="en-AU"/>
              </w:rPr>
              <w:t>3003</w:t>
            </w:r>
          </w:p>
        </w:tc>
        <w:tc>
          <w:tcPr>
            <w:tcW w:w="3419" w:type="dxa"/>
            <w:tcBorders>
              <w:top w:val="nil"/>
              <w:left w:val="nil"/>
              <w:bottom w:val="single" w:sz="4" w:space="0" w:color="auto"/>
              <w:right w:val="single" w:sz="4" w:space="0" w:color="auto"/>
            </w:tcBorders>
            <w:shd w:val="clear" w:color="auto" w:fill="auto"/>
            <w:noWrap/>
            <w:vAlign w:val="bottom"/>
            <w:hideMark/>
          </w:tcPr>
          <w:p w14:paraId="447BC9AA" w14:textId="77777777" w:rsidR="005E5406" w:rsidRPr="005E5406" w:rsidRDefault="005E5406" w:rsidP="007E394F">
            <w:pPr>
              <w:spacing w:after="0"/>
              <w:rPr>
                <w:lang w:eastAsia="en-AU"/>
              </w:rPr>
            </w:pPr>
            <w:r w:rsidRPr="005E5406">
              <w:rPr>
                <w:lang w:eastAsia="en-AU"/>
              </w:rPr>
              <w:t xml:space="preserve">                                                961 </w:t>
            </w:r>
          </w:p>
        </w:tc>
        <w:tc>
          <w:tcPr>
            <w:tcW w:w="2835" w:type="dxa"/>
            <w:tcBorders>
              <w:top w:val="nil"/>
              <w:left w:val="nil"/>
              <w:bottom w:val="single" w:sz="4" w:space="0" w:color="auto"/>
              <w:right w:val="single" w:sz="4" w:space="0" w:color="auto"/>
            </w:tcBorders>
            <w:shd w:val="clear" w:color="auto" w:fill="auto"/>
            <w:noWrap/>
            <w:vAlign w:val="bottom"/>
            <w:hideMark/>
          </w:tcPr>
          <w:p w14:paraId="5BF46AE1" w14:textId="77777777" w:rsidR="005E5406" w:rsidRPr="005E5406" w:rsidRDefault="005E5406" w:rsidP="007E394F">
            <w:pPr>
              <w:spacing w:after="0"/>
              <w:rPr>
                <w:lang w:eastAsia="en-AU"/>
              </w:rPr>
            </w:pPr>
            <w:r w:rsidRPr="005E5406">
              <w:rPr>
                <w:lang w:eastAsia="en-AU"/>
              </w:rPr>
              <w:t xml:space="preserve">                                     848 </w:t>
            </w:r>
          </w:p>
        </w:tc>
      </w:tr>
      <w:tr w:rsidR="005E5406" w:rsidRPr="005E5406" w14:paraId="02181BD3" w14:textId="77777777" w:rsidTr="007E394F">
        <w:trPr>
          <w:trHeight w:val="300"/>
        </w:trPr>
        <w:tc>
          <w:tcPr>
            <w:tcW w:w="1117" w:type="dxa"/>
            <w:tcBorders>
              <w:top w:val="nil"/>
              <w:left w:val="single" w:sz="4" w:space="0" w:color="auto"/>
              <w:bottom w:val="single" w:sz="4" w:space="0" w:color="auto"/>
              <w:right w:val="single" w:sz="4" w:space="0" w:color="auto"/>
            </w:tcBorders>
            <w:shd w:val="clear" w:color="auto" w:fill="auto"/>
            <w:noWrap/>
            <w:vAlign w:val="bottom"/>
            <w:hideMark/>
          </w:tcPr>
          <w:p w14:paraId="205AFF54" w14:textId="77777777" w:rsidR="005E5406" w:rsidRPr="005E5406" w:rsidRDefault="005E5406" w:rsidP="005077FB">
            <w:pPr>
              <w:spacing w:after="0"/>
              <w:jc w:val="right"/>
              <w:rPr>
                <w:lang w:eastAsia="en-AU"/>
              </w:rPr>
            </w:pPr>
            <w:r w:rsidRPr="005E5406">
              <w:rPr>
                <w:lang w:eastAsia="en-AU"/>
              </w:rPr>
              <w:t>3031</w:t>
            </w:r>
          </w:p>
        </w:tc>
        <w:tc>
          <w:tcPr>
            <w:tcW w:w="3419" w:type="dxa"/>
            <w:tcBorders>
              <w:top w:val="nil"/>
              <w:left w:val="nil"/>
              <w:bottom w:val="single" w:sz="4" w:space="0" w:color="auto"/>
              <w:right w:val="single" w:sz="4" w:space="0" w:color="auto"/>
            </w:tcBorders>
            <w:shd w:val="clear" w:color="auto" w:fill="auto"/>
            <w:noWrap/>
            <w:vAlign w:val="bottom"/>
            <w:hideMark/>
          </w:tcPr>
          <w:p w14:paraId="5E01F010" w14:textId="77777777" w:rsidR="005E5406" w:rsidRPr="005E5406" w:rsidRDefault="005E5406" w:rsidP="007E394F">
            <w:pPr>
              <w:spacing w:after="0"/>
              <w:rPr>
                <w:lang w:eastAsia="en-AU"/>
              </w:rPr>
            </w:pPr>
            <w:r w:rsidRPr="005E5406">
              <w:rPr>
                <w:lang w:eastAsia="en-AU"/>
              </w:rPr>
              <w:t xml:space="preserve">                                                966 </w:t>
            </w:r>
          </w:p>
        </w:tc>
        <w:tc>
          <w:tcPr>
            <w:tcW w:w="2835" w:type="dxa"/>
            <w:tcBorders>
              <w:top w:val="nil"/>
              <w:left w:val="nil"/>
              <w:bottom w:val="single" w:sz="4" w:space="0" w:color="auto"/>
              <w:right w:val="single" w:sz="4" w:space="0" w:color="auto"/>
            </w:tcBorders>
            <w:shd w:val="clear" w:color="auto" w:fill="auto"/>
            <w:noWrap/>
            <w:vAlign w:val="bottom"/>
            <w:hideMark/>
          </w:tcPr>
          <w:p w14:paraId="0B6378A5" w14:textId="77777777" w:rsidR="005E5406" w:rsidRPr="005E5406" w:rsidRDefault="005E5406" w:rsidP="007E394F">
            <w:pPr>
              <w:spacing w:after="0"/>
              <w:rPr>
                <w:lang w:eastAsia="en-AU"/>
              </w:rPr>
            </w:pPr>
            <w:r w:rsidRPr="005E5406">
              <w:rPr>
                <w:lang w:eastAsia="en-AU"/>
              </w:rPr>
              <w:t xml:space="preserve">                                     570 </w:t>
            </w:r>
          </w:p>
        </w:tc>
      </w:tr>
      <w:tr w:rsidR="005E5406" w:rsidRPr="005E5406" w14:paraId="2C4FAB8D" w14:textId="77777777" w:rsidTr="007E394F">
        <w:trPr>
          <w:trHeight w:val="300"/>
        </w:trPr>
        <w:tc>
          <w:tcPr>
            <w:tcW w:w="1117" w:type="dxa"/>
            <w:tcBorders>
              <w:top w:val="nil"/>
              <w:left w:val="single" w:sz="4" w:space="0" w:color="auto"/>
              <w:bottom w:val="single" w:sz="4" w:space="0" w:color="auto"/>
              <w:right w:val="single" w:sz="4" w:space="0" w:color="auto"/>
            </w:tcBorders>
            <w:shd w:val="clear" w:color="auto" w:fill="auto"/>
            <w:noWrap/>
            <w:vAlign w:val="bottom"/>
            <w:hideMark/>
          </w:tcPr>
          <w:p w14:paraId="71F024DF" w14:textId="77777777" w:rsidR="005E5406" w:rsidRPr="005E5406" w:rsidRDefault="005E5406" w:rsidP="005077FB">
            <w:pPr>
              <w:spacing w:after="0"/>
              <w:jc w:val="right"/>
              <w:rPr>
                <w:lang w:eastAsia="en-AU"/>
              </w:rPr>
            </w:pPr>
            <w:r w:rsidRPr="005E5406">
              <w:rPr>
                <w:lang w:eastAsia="en-AU"/>
              </w:rPr>
              <w:t>3051</w:t>
            </w:r>
          </w:p>
        </w:tc>
        <w:tc>
          <w:tcPr>
            <w:tcW w:w="3419" w:type="dxa"/>
            <w:tcBorders>
              <w:top w:val="nil"/>
              <w:left w:val="nil"/>
              <w:bottom w:val="single" w:sz="4" w:space="0" w:color="auto"/>
              <w:right w:val="single" w:sz="4" w:space="0" w:color="auto"/>
            </w:tcBorders>
            <w:shd w:val="clear" w:color="auto" w:fill="auto"/>
            <w:noWrap/>
            <w:vAlign w:val="bottom"/>
            <w:hideMark/>
          </w:tcPr>
          <w:p w14:paraId="24C37A33" w14:textId="77777777" w:rsidR="005E5406" w:rsidRPr="005E5406" w:rsidRDefault="005E5406" w:rsidP="007E394F">
            <w:pPr>
              <w:spacing w:after="0"/>
              <w:rPr>
                <w:lang w:eastAsia="en-AU"/>
              </w:rPr>
            </w:pPr>
            <w:r w:rsidRPr="005E5406">
              <w:rPr>
                <w:lang w:eastAsia="en-AU"/>
              </w:rPr>
              <w:t xml:space="preserve">                                             1,003 </w:t>
            </w:r>
          </w:p>
        </w:tc>
        <w:tc>
          <w:tcPr>
            <w:tcW w:w="2835" w:type="dxa"/>
            <w:tcBorders>
              <w:top w:val="nil"/>
              <w:left w:val="nil"/>
              <w:bottom w:val="single" w:sz="4" w:space="0" w:color="auto"/>
              <w:right w:val="single" w:sz="4" w:space="0" w:color="auto"/>
            </w:tcBorders>
            <w:shd w:val="clear" w:color="auto" w:fill="auto"/>
            <w:noWrap/>
            <w:vAlign w:val="bottom"/>
            <w:hideMark/>
          </w:tcPr>
          <w:p w14:paraId="7A33B264" w14:textId="77777777" w:rsidR="005E5406" w:rsidRPr="005E5406" w:rsidRDefault="005E5406" w:rsidP="007E394F">
            <w:pPr>
              <w:spacing w:after="0"/>
              <w:rPr>
                <w:lang w:eastAsia="en-AU"/>
              </w:rPr>
            </w:pPr>
            <w:r w:rsidRPr="005E5406">
              <w:rPr>
                <w:lang w:eastAsia="en-AU"/>
              </w:rPr>
              <w:t xml:space="preserve">                                     690 </w:t>
            </w:r>
          </w:p>
        </w:tc>
      </w:tr>
    </w:tbl>
    <w:p w14:paraId="2A778CF0" w14:textId="77777777" w:rsidR="00A91679" w:rsidRDefault="00A91679" w:rsidP="005077FB">
      <w:pPr>
        <w:rPr>
          <w:rFonts w:ascii="Helvetica Light" w:hAnsi="Helvetica Light" w:cstheme="minorBidi"/>
          <w:szCs w:val="20"/>
        </w:rPr>
      </w:pPr>
    </w:p>
    <w:p w14:paraId="3587029B" w14:textId="77777777" w:rsidR="005077FB" w:rsidRPr="007E394F" w:rsidRDefault="005077FB" w:rsidP="005077FB">
      <w:pPr>
        <w:rPr>
          <w:rFonts w:cs="Arial"/>
          <w:szCs w:val="20"/>
        </w:rPr>
      </w:pPr>
      <w:r w:rsidRPr="007E394F">
        <w:rPr>
          <w:rFonts w:cs="Arial"/>
          <w:szCs w:val="20"/>
        </w:rPr>
        <w:t xml:space="preserve">Return to </w:t>
      </w:r>
      <w:hyperlink w:anchor="_4.2.2_Office_Energy" w:history="1">
        <w:r w:rsidRPr="007E394F">
          <w:rPr>
            <w:rStyle w:val="Hyperlink"/>
            <w:rFonts w:cs="Arial"/>
            <w:szCs w:val="20"/>
          </w:rPr>
          <w:t>Office Energy Consumption</w:t>
        </w:r>
      </w:hyperlink>
    </w:p>
    <w:p w14:paraId="2C8313BF" w14:textId="69A123D4" w:rsidR="005077FB" w:rsidRPr="005077FB" w:rsidRDefault="00944E9B" w:rsidP="005077FB">
      <w:pPr>
        <w:pStyle w:val="Heading3"/>
        <w:rPr>
          <w:rFonts w:hint="eastAsia"/>
        </w:rPr>
      </w:pPr>
      <w:r>
        <w:t>Table A.3</w:t>
      </w:r>
      <w:r w:rsidR="00A13E20">
        <w:t>8</w:t>
      </w:r>
      <w:r>
        <w:tab/>
      </w:r>
      <w:r w:rsidR="005077FB" w:rsidRPr="005E5406">
        <w:t>Total Energy Consumption by Office Floor Area Size Class</w:t>
      </w:r>
    </w:p>
    <w:tbl>
      <w:tblPr>
        <w:tblW w:w="8080" w:type="dxa"/>
        <w:tblInd w:w="-5" w:type="dxa"/>
        <w:tblLook w:val="04A0" w:firstRow="1" w:lastRow="0" w:firstColumn="1" w:lastColumn="0" w:noHBand="0" w:noVBand="1"/>
      </w:tblPr>
      <w:tblGrid>
        <w:gridCol w:w="1701"/>
        <w:gridCol w:w="1985"/>
        <w:gridCol w:w="1984"/>
        <w:gridCol w:w="2410"/>
      </w:tblGrid>
      <w:tr w:rsidR="005E5406" w:rsidRPr="005E5406" w14:paraId="15D78D45" w14:textId="77777777" w:rsidTr="00C85F2D">
        <w:trPr>
          <w:trHeight w:val="300"/>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B7514D" w14:textId="77777777" w:rsidR="005E5406" w:rsidRPr="005077FB" w:rsidRDefault="005E5406" w:rsidP="005077FB">
            <w:pPr>
              <w:spacing w:after="0"/>
              <w:rPr>
                <w:b/>
                <w:bCs/>
                <w:lang w:eastAsia="en-AU"/>
              </w:rPr>
            </w:pPr>
            <w:bookmarkStart w:id="273" w:name="_Figure_39:_Total"/>
            <w:bookmarkEnd w:id="273"/>
            <w:r w:rsidRPr="005077FB">
              <w:rPr>
                <w:b/>
                <w:bCs/>
                <w:lang w:eastAsia="en-AU"/>
              </w:rPr>
              <w:t>Building Office Floor Area (m²)</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14:paraId="3CB6DBC0" w14:textId="77777777" w:rsidR="005E5406" w:rsidRPr="005077FB" w:rsidRDefault="005E5406" w:rsidP="005077FB">
            <w:pPr>
              <w:spacing w:after="0"/>
              <w:rPr>
                <w:b/>
                <w:bCs/>
                <w:lang w:eastAsia="en-AU"/>
              </w:rPr>
            </w:pPr>
            <w:r w:rsidRPr="005077FB">
              <w:rPr>
                <w:b/>
                <w:bCs/>
                <w:lang w:eastAsia="en-AU"/>
              </w:rPr>
              <w:t>Electricity Consumption (TJ)</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4E193A5A" w14:textId="77777777" w:rsidR="005E5406" w:rsidRPr="005077FB" w:rsidRDefault="005E5406" w:rsidP="005077FB">
            <w:pPr>
              <w:spacing w:after="0"/>
              <w:rPr>
                <w:b/>
                <w:bCs/>
                <w:lang w:eastAsia="en-AU"/>
              </w:rPr>
            </w:pPr>
            <w:r w:rsidRPr="005077FB">
              <w:rPr>
                <w:b/>
                <w:bCs/>
                <w:lang w:eastAsia="en-AU"/>
              </w:rPr>
              <w:t>Gas Consumption (TJ)</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14:paraId="38E07439" w14:textId="77777777" w:rsidR="005E5406" w:rsidRPr="005077FB" w:rsidRDefault="005E5406" w:rsidP="005077FB">
            <w:pPr>
              <w:spacing w:after="0"/>
              <w:rPr>
                <w:b/>
                <w:bCs/>
                <w:lang w:eastAsia="en-AU"/>
              </w:rPr>
            </w:pPr>
            <w:r w:rsidRPr="005077FB">
              <w:rPr>
                <w:b/>
                <w:bCs/>
                <w:lang w:eastAsia="en-AU"/>
              </w:rPr>
              <w:t>Percentage of Total Office Floor Space (%)</w:t>
            </w:r>
          </w:p>
        </w:tc>
      </w:tr>
      <w:tr w:rsidR="005E5406" w:rsidRPr="005E5406" w14:paraId="0A7EA5B9" w14:textId="77777777" w:rsidTr="00C85F2D">
        <w:trPr>
          <w:trHeight w:val="300"/>
        </w:trPr>
        <w:tc>
          <w:tcPr>
            <w:tcW w:w="1701" w:type="dxa"/>
            <w:tcBorders>
              <w:top w:val="nil"/>
              <w:left w:val="single" w:sz="4" w:space="0" w:color="auto"/>
              <w:bottom w:val="single" w:sz="4" w:space="0" w:color="auto"/>
              <w:right w:val="single" w:sz="4" w:space="0" w:color="auto"/>
            </w:tcBorders>
            <w:shd w:val="clear" w:color="auto" w:fill="auto"/>
            <w:vAlign w:val="center"/>
            <w:hideMark/>
          </w:tcPr>
          <w:p w14:paraId="09534C63" w14:textId="77777777" w:rsidR="005E5406" w:rsidRPr="005E5406" w:rsidRDefault="005E5406" w:rsidP="005077FB">
            <w:pPr>
              <w:spacing w:after="0"/>
              <w:jc w:val="right"/>
              <w:rPr>
                <w:lang w:eastAsia="en-AU"/>
              </w:rPr>
            </w:pPr>
            <w:r w:rsidRPr="005E5406">
              <w:rPr>
                <w:lang w:eastAsia="en-AU"/>
              </w:rPr>
              <w:t>0 - 1,000</w:t>
            </w:r>
          </w:p>
        </w:tc>
        <w:tc>
          <w:tcPr>
            <w:tcW w:w="1985" w:type="dxa"/>
            <w:tcBorders>
              <w:top w:val="nil"/>
              <w:left w:val="nil"/>
              <w:bottom w:val="single" w:sz="4" w:space="0" w:color="auto"/>
              <w:right w:val="single" w:sz="4" w:space="0" w:color="auto"/>
            </w:tcBorders>
            <w:shd w:val="clear" w:color="auto" w:fill="auto"/>
            <w:vAlign w:val="center"/>
            <w:hideMark/>
          </w:tcPr>
          <w:p w14:paraId="5BA62DE8" w14:textId="77777777" w:rsidR="005E5406" w:rsidRPr="005E5406" w:rsidRDefault="005E5406" w:rsidP="005077FB">
            <w:pPr>
              <w:spacing w:after="0"/>
              <w:jc w:val="right"/>
              <w:rPr>
                <w:lang w:eastAsia="en-AU"/>
              </w:rPr>
            </w:pPr>
            <w:r w:rsidRPr="005E5406">
              <w:rPr>
                <w:lang w:eastAsia="en-AU"/>
              </w:rPr>
              <w:t>214.37</w:t>
            </w:r>
          </w:p>
        </w:tc>
        <w:tc>
          <w:tcPr>
            <w:tcW w:w="1984" w:type="dxa"/>
            <w:tcBorders>
              <w:top w:val="nil"/>
              <w:left w:val="nil"/>
              <w:bottom w:val="single" w:sz="4" w:space="0" w:color="auto"/>
              <w:right w:val="single" w:sz="4" w:space="0" w:color="auto"/>
            </w:tcBorders>
            <w:shd w:val="clear" w:color="auto" w:fill="auto"/>
            <w:vAlign w:val="center"/>
            <w:hideMark/>
          </w:tcPr>
          <w:p w14:paraId="113C031D" w14:textId="77777777" w:rsidR="005E5406" w:rsidRPr="005E5406" w:rsidRDefault="005E5406" w:rsidP="005077FB">
            <w:pPr>
              <w:spacing w:after="0"/>
              <w:jc w:val="right"/>
              <w:rPr>
                <w:lang w:eastAsia="en-AU"/>
              </w:rPr>
            </w:pPr>
            <w:r w:rsidRPr="005E5406">
              <w:rPr>
                <w:lang w:eastAsia="en-AU"/>
              </w:rPr>
              <w:t>111.03</w:t>
            </w:r>
          </w:p>
        </w:tc>
        <w:tc>
          <w:tcPr>
            <w:tcW w:w="2410" w:type="dxa"/>
            <w:tcBorders>
              <w:top w:val="nil"/>
              <w:left w:val="nil"/>
              <w:bottom w:val="single" w:sz="4" w:space="0" w:color="auto"/>
              <w:right w:val="single" w:sz="4" w:space="0" w:color="auto"/>
            </w:tcBorders>
            <w:shd w:val="clear" w:color="auto" w:fill="auto"/>
            <w:vAlign w:val="center"/>
            <w:hideMark/>
          </w:tcPr>
          <w:p w14:paraId="46501D3E" w14:textId="77777777" w:rsidR="005E5406" w:rsidRPr="005E5406" w:rsidRDefault="005E5406" w:rsidP="005077FB">
            <w:pPr>
              <w:spacing w:after="0"/>
              <w:jc w:val="right"/>
              <w:rPr>
                <w:lang w:eastAsia="en-AU"/>
              </w:rPr>
            </w:pPr>
            <w:r w:rsidRPr="005E5406">
              <w:rPr>
                <w:lang w:eastAsia="en-AU"/>
              </w:rPr>
              <w:t>4%</w:t>
            </w:r>
          </w:p>
        </w:tc>
      </w:tr>
      <w:tr w:rsidR="005E5406" w:rsidRPr="005E5406" w14:paraId="356A17B9" w14:textId="77777777" w:rsidTr="00C85F2D">
        <w:trPr>
          <w:trHeight w:val="300"/>
        </w:trPr>
        <w:tc>
          <w:tcPr>
            <w:tcW w:w="1701" w:type="dxa"/>
            <w:tcBorders>
              <w:top w:val="nil"/>
              <w:left w:val="single" w:sz="4" w:space="0" w:color="auto"/>
              <w:bottom w:val="single" w:sz="4" w:space="0" w:color="auto"/>
              <w:right w:val="single" w:sz="4" w:space="0" w:color="auto"/>
            </w:tcBorders>
            <w:shd w:val="clear" w:color="auto" w:fill="auto"/>
            <w:vAlign w:val="center"/>
            <w:hideMark/>
          </w:tcPr>
          <w:p w14:paraId="37A867A6" w14:textId="77777777" w:rsidR="005E5406" w:rsidRPr="005E5406" w:rsidRDefault="005E5406" w:rsidP="005077FB">
            <w:pPr>
              <w:spacing w:after="0"/>
              <w:jc w:val="right"/>
              <w:rPr>
                <w:lang w:eastAsia="en-AU"/>
              </w:rPr>
            </w:pPr>
            <w:r w:rsidRPr="005E5406">
              <w:rPr>
                <w:lang w:eastAsia="en-AU"/>
              </w:rPr>
              <w:t>1,000 - 5,000</w:t>
            </w:r>
          </w:p>
        </w:tc>
        <w:tc>
          <w:tcPr>
            <w:tcW w:w="1985" w:type="dxa"/>
            <w:tcBorders>
              <w:top w:val="nil"/>
              <w:left w:val="nil"/>
              <w:bottom w:val="single" w:sz="4" w:space="0" w:color="auto"/>
              <w:right w:val="single" w:sz="4" w:space="0" w:color="auto"/>
            </w:tcBorders>
            <w:shd w:val="clear" w:color="auto" w:fill="auto"/>
            <w:vAlign w:val="center"/>
            <w:hideMark/>
          </w:tcPr>
          <w:p w14:paraId="529D230B" w14:textId="77777777" w:rsidR="005E5406" w:rsidRPr="005E5406" w:rsidRDefault="005E5406" w:rsidP="005077FB">
            <w:pPr>
              <w:spacing w:after="0"/>
              <w:jc w:val="right"/>
              <w:rPr>
                <w:lang w:eastAsia="en-AU"/>
              </w:rPr>
            </w:pPr>
            <w:r w:rsidRPr="005E5406">
              <w:rPr>
                <w:lang w:eastAsia="en-AU"/>
              </w:rPr>
              <w:t>556.65</w:t>
            </w:r>
          </w:p>
        </w:tc>
        <w:tc>
          <w:tcPr>
            <w:tcW w:w="1984" w:type="dxa"/>
            <w:tcBorders>
              <w:top w:val="nil"/>
              <w:left w:val="nil"/>
              <w:bottom w:val="single" w:sz="4" w:space="0" w:color="auto"/>
              <w:right w:val="single" w:sz="4" w:space="0" w:color="auto"/>
            </w:tcBorders>
            <w:shd w:val="clear" w:color="auto" w:fill="auto"/>
            <w:vAlign w:val="center"/>
            <w:hideMark/>
          </w:tcPr>
          <w:p w14:paraId="715651BB" w14:textId="77777777" w:rsidR="005E5406" w:rsidRPr="005E5406" w:rsidRDefault="005E5406" w:rsidP="005077FB">
            <w:pPr>
              <w:spacing w:after="0"/>
              <w:jc w:val="right"/>
              <w:rPr>
                <w:lang w:eastAsia="en-AU"/>
              </w:rPr>
            </w:pPr>
            <w:r w:rsidRPr="005E5406">
              <w:rPr>
                <w:lang w:eastAsia="en-AU"/>
              </w:rPr>
              <w:t>275.75</w:t>
            </w:r>
          </w:p>
        </w:tc>
        <w:tc>
          <w:tcPr>
            <w:tcW w:w="2410" w:type="dxa"/>
            <w:tcBorders>
              <w:top w:val="nil"/>
              <w:left w:val="nil"/>
              <w:bottom w:val="single" w:sz="4" w:space="0" w:color="auto"/>
              <w:right w:val="single" w:sz="4" w:space="0" w:color="auto"/>
            </w:tcBorders>
            <w:shd w:val="clear" w:color="auto" w:fill="auto"/>
            <w:vAlign w:val="center"/>
            <w:hideMark/>
          </w:tcPr>
          <w:p w14:paraId="178A72FD" w14:textId="77777777" w:rsidR="005E5406" w:rsidRPr="005E5406" w:rsidRDefault="005E5406" w:rsidP="005077FB">
            <w:pPr>
              <w:spacing w:after="0"/>
              <w:jc w:val="right"/>
              <w:rPr>
                <w:lang w:eastAsia="en-AU"/>
              </w:rPr>
            </w:pPr>
            <w:r w:rsidRPr="005E5406">
              <w:rPr>
                <w:lang w:eastAsia="en-AU"/>
              </w:rPr>
              <w:t>10%</w:t>
            </w:r>
          </w:p>
        </w:tc>
      </w:tr>
      <w:tr w:rsidR="005E5406" w:rsidRPr="005E5406" w14:paraId="7D507942" w14:textId="77777777" w:rsidTr="00C85F2D">
        <w:trPr>
          <w:trHeight w:val="300"/>
        </w:trPr>
        <w:tc>
          <w:tcPr>
            <w:tcW w:w="1701" w:type="dxa"/>
            <w:tcBorders>
              <w:top w:val="nil"/>
              <w:left w:val="single" w:sz="4" w:space="0" w:color="auto"/>
              <w:bottom w:val="single" w:sz="4" w:space="0" w:color="auto"/>
              <w:right w:val="single" w:sz="4" w:space="0" w:color="auto"/>
            </w:tcBorders>
            <w:shd w:val="clear" w:color="auto" w:fill="auto"/>
            <w:vAlign w:val="center"/>
            <w:hideMark/>
          </w:tcPr>
          <w:p w14:paraId="421CD672" w14:textId="77777777" w:rsidR="005E5406" w:rsidRPr="005E5406" w:rsidRDefault="005E5406" w:rsidP="005077FB">
            <w:pPr>
              <w:spacing w:after="0"/>
              <w:jc w:val="right"/>
              <w:rPr>
                <w:lang w:eastAsia="en-AU"/>
              </w:rPr>
            </w:pPr>
            <w:r w:rsidRPr="005E5406">
              <w:rPr>
                <w:lang w:eastAsia="en-AU"/>
              </w:rPr>
              <w:t>5,000 - 10,000</w:t>
            </w:r>
          </w:p>
        </w:tc>
        <w:tc>
          <w:tcPr>
            <w:tcW w:w="1985" w:type="dxa"/>
            <w:tcBorders>
              <w:top w:val="nil"/>
              <w:left w:val="nil"/>
              <w:bottom w:val="single" w:sz="4" w:space="0" w:color="auto"/>
              <w:right w:val="single" w:sz="4" w:space="0" w:color="auto"/>
            </w:tcBorders>
            <w:shd w:val="clear" w:color="auto" w:fill="auto"/>
            <w:vAlign w:val="center"/>
            <w:hideMark/>
          </w:tcPr>
          <w:p w14:paraId="675B9CC4" w14:textId="77777777" w:rsidR="005E5406" w:rsidRPr="005E5406" w:rsidRDefault="005E5406" w:rsidP="005077FB">
            <w:pPr>
              <w:spacing w:after="0"/>
              <w:jc w:val="right"/>
              <w:rPr>
                <w:lang w:eastAsia="en-AU"/>
              </w:rPr>
            </w:pPr>
            <w:r w:rsidRPr="005E5406">
              <w:rPr>
                <w:lang w:eastAsia="en-AU"/>
              </w:rPr>
              <w:t>395.39</w:t>
            </w:r>
          </w:p>
        </w:tc>
        <w:tc>
          <w:tcPr>
            <w:tcW w:w="1984" w:type="dxa"/>
            <w:tcBorders>
              <w:top w:val="nil"/>
              <w:left w:val="nil"/>
              <w:bottom w:val="single" w:sz="4" w:space="0" w:color="auto"/>
              <w:right w:val="single" w:sz="4" w:space="0" w:color="auto"/>
            </w:tcBorders>
            <w:shd w:val="clear" w:color="auto" w:fill="auto"/>
            <w:vAlign w:val="center"/>
            <w:hideMark/>
          </w:tcPr>
          <w:p w14:paraId="409A04BD" w14:textId="77777777" w:rsidR="005E5406" w:rsidRPr="005E5406" w:rsidRDefault="005E5406" w:rsidP="005077FB">
            <w:pPr>
              <w:spacing w:after="0"/>
              <w:jc w:val="right"/>
              <w:rPr>
                <w:lang w:eastAsia="en-AU"/>
              </w:rPr>
            </w:pPr>
            <w:r w:rsidRPr="005E5406">
              <w:rPr>
                <w:lang w:eastAsia="en-AU"/>
              </w:rPr>
              <w:t>226.52</w:t>
            </w:r>
          </w:p>
        </w:tc>
        <w:tc>
          <w:tcPr>
            <w:tcW w:w="2410" w:type="dxa"/>
            <w:tcBorders>
              <w:top w:val="nil"/>
              <w:left w:val="nil"/>
              <w:bottom w:val="single" w:sz="4" w:space="0" w:color="auto"/>
              <w:right w:val="single" w:sz="4" w:space="0" w:color="auto"/>
            </w:tcBorders>
            <w:shd w:val="clear" w:color="auto" w:fill="auto"/>
            <w:vAlign w:val="center"/>
            <w:hideMark/>
          </w:tcPr>
          <w:p w14:paraId="6FB491F6" w14:textId="77777777" w:rsidR="005E5406" w:rsidRPr="005E5406" w:rsidRDefault="005E5406" w:rsidP="005077FB">
            <w:pPr>
              <w:spacing w:after="0"/>
              <w:jc w:val="right"/>
              <w:rPr>
                <w:lang w:eastAsia="en-AU"/>
              </w:rPr>
            </w:pPr>
            <w:r w:rsidRPr="005E5406">
              <w:rPr>
                <w:lang w:eastAsia="en-AU"/>
              </w:rPr>
              <w:t>9%</w:t>
            </w:r>
          </w:p>
        </w:tc>
      </w:tr>
      <w:tr w:rsidR="005E5406" w:rsidRPr="005E5406" w14:paraId="76F726B9" w14:textId="77777777" w:rsidTr="00C85F2D">
        <w:trPr>
          <w:trHeight w:val="300"/>
        </w:trPr>
        <w:tc>
          <w:tcPr>
            <w:tcW w:w="1701" w:type="dxa"/>
            <w:tcBorders>
              <w:top w:val="nil"/>
              <w:left w:val="single" w:sz="4" w:space="0" w:color="auto"/>
              <w:bottom w:val="single" w:sz="4" w:space="0" w:color="auto"/>
              <w:right w:val="single" w:sz="4" w:space="0" w:color="auto"/>
            </w:tcBorders>
            <w:shd w:val="clear" w:color="auto" w:fill="auto"/>
            <w:vAlign w:val="center"/>
            <w:hideMark/>
          </w:tcPr>
          <w:p w14:paraId="1348D297" w14:textId="77777777" w:rsidR="005E5406" w:rsidRPr="005E5406" w:rsidRDefault="005E5406" w:rsidP="005077FB">
            <w:pPr>
              <w:spacing w:after="0"/>
              <w:jc w:val="right"/>
              <w:rPr>
                <w:lang w:eastAsia="en-AU"/>
              </w:rPr>
            </w:pPr>
            <w:r w:rsidRPr="005E5406">
              <w:rPr>
                <w:lang w:eastAsia="en-AU"/>
              </w:rPr>
              <w:t>10,000 - 20,000</w:t>
            </w:r>
          </w:p>
        </w:tc>
        <w:tc>
          <w:tcPr>
            <w:tcW w:w="1985" w:type="dxa"/>
            <w:tcBorders>
              <w:top w:val="nil"/>
              <w:left w:val="nil"/>
              <w:bottom w:val="single" w:sz="4" w:space="0" w:color="auto"/>
              <w:right w:val="single" w:sz="4" w:space="0" w:color="auto"/>
            </w:tcBorders>
            <w:shd w:val="clear" w:color="auto" w:fill="auto"/>
            <w:vAlign w:val="center"/>
            <w:hideMark/>
          </w:tcPr>
          <w:p w14:paraId="6BC396D6" w14:textId="77777777" w:rsidR="005E5406" w:rsidRPr="005E5406" w:rsidRDefault="005E5406" w:rsidP="005077FB">
            <w:pPr>
              <w:spacing w:after="0"/>
              <w:jc w:val="right"/>
              <w:rPr>
                <w:lang w:eastAsia="en-AU"/>
              </w:rPr>
            </w:pPr>
            <w:r w:rsidRPr="005E5406">
              <w:rPr>
                <w:lang w:eastAsia="en-AU"/>
              </w:rPr>
              <w:t>439.65</w:t>
            </w:r>
          </w:p>
        </w:tc>
        <w:tc>
          <w:tcPr>
            <w:tcW w:w="1984" w:type="dxa"/>
            <w:tcBorders>
              <w:top w:val="nil"/>
              <w:left w:val="nil"/>
              <w:bottom w:val="single" w:sz="4" w:space="0" w:color="auto"/>
              <w:right w:val="single" w:sz="4" w:space="0" w:color="auto"/>
            </w:tcBorders>
            <w:shd w:val="clear" w:color="auto" w:fill="auto"/>
            <w:vAlign w:val="center"/>
            <w:hideMark/>
          </w:tcPr>
          <w:p w14:paraId="497E817C" w14:textId="77777777" w:rsidR="005E5406" w:rsidRPr="005E5406" w:rsidRDefault="005E5406" w:rsidP="005077FB">
            <w:pPr>
              <w:spacing w:after="0"/>
              <w:jc w:val="right"/>
              <w:rPr>
                <w:lang w:eastAsia="en-AU"/>
              </w:rPr>
            </w:pPr>
            <w:r w:rsidRPr="005E5406">
              <w:rPr>
                <w:lang w:eastAsia="en-AU"/>
              </w:rPr>
              <w:t>303.83</w:t>
            </w:r>
          </w:p>
        </w:tc>
        <w:tc>
          <w:tcPr>
            <w:tcW w:w="2410" w:type="dxa"/>
            <w:tcBorders>
              <w:top w:val="nil"/>
              <w:left w:val="nil"/>
              <w:bottom w:val="single" w:sz="4" w:space="0" w:color="auto"/>
              <w:right w:val="single" w:sz="4" w:space="0" w:color="auto"/>
            </w:tcBorders>
            <w:shd w:val="clear" w:color="auto" w:fill="auto"/>
            <w:vAlign w:val="center"/>
            <w:hideMark/>
          </w:tcPr>
          <w:p w14:paraId="153A41B3" w14:textId="77777777" w:rsidR="005E5406" w:rsidRPr="005E5406" w:rsidRDefault="005E5406" w:rsidP="005077FB">
            <w:pPr>
              <w:spacing w:after="0"/>
              <w:jc w:val="right"/>
              <w:rPr>
                <w:lang w:eastAsia="en-AU"/>
              </w:rPr>
            </w:pPr>
            <w:r w:rsidRPr="005E5406">
              <w:rPr>
                <w:lang w:eastAsia="en-AU"/>
              </w:rPr>
              <w:t>12%</w:t>
            </w:r>
          </w:p>
        </w:tc>
      </w:tr>
      <w:tr w:rsidR="005E5406" w:rsidRPr="005E5406" w14:paraId="10D494E9" w14:textId="77777777" w:rsidTr="00C85F2D">
        <w:trPr>
          <w:trHeight w:val="300"/>
        </w:trPr>
        <w:tc>
          <w:tcPr>
            <w:tcW w:w="1701" w:type="dxa"/>
            <w:tcBorders>
              <w:top w:val="nil"/>
              <w:left w:val="single" w:sz="4" w:space="0" w:color="auto"/>
              <w:bottom w:val="single" w:sz="4" w:space="0" w:color="auto"/>
              <w:right w:val="single" w:sz="4" w:space="0" w:color="auto"/>
            </w:tcBorders>
            <w:shd w:val="clear" w:color="auto" w:fill="auto"/>
            <w:vAlign w:val="center"/>
            <w:hideMark/>
          </w:tcPr>
          <w:p w14:paraId="029577FA" w14:textId="77777777" w:rsidR="005E5406" w:rsidRPr="005E5406" w:rsidRDefault="005E5406" w:rsidP="005077FB">
            <w:pPr>
              <w:spacing w:after="0"/>
              <w:jc w:val="right"/>
              <w:rPr>
                <w:lang w:eastAsia="en-AU"/>
              </w:rPr>
            </w:pPr>
            <w:r w:rsidRPr="005E5406">
              <w:rPr>
                <w:lang w:eastAsia="en-AU"/>
              </w:rPr>
              <w:t>20,000 - 40,000</w:t>
            </w:r>
          </w:p>
        </w:tc>
        <w:tc>
          <w:tcPr>
            <w:tcW w:w="1985" w:type="dxa"/>
            <w:tcBorders>
              <w:top w:val="nil"/>
              <w:left w:val="nil"/>
              <w:bottom w:val="single" w:sz="4" w:space="0" w:color="auto"/>
              <w:right w:val="single" w:sz="4" w:space="0" w:color="auto"/>
            </w:tcBorders>
            <w:shd w:val="clear" w:color="auto" w:fill="auto"/>
            <w:vAlign w:val="center"/>
            <w:hideMark/>
          </w:tcPr>
          <w:p w14:paraId="3B287388" w14:textId="77777777" w:rsidR="005E5406" w:rsidRPr="005E5406" w:rsidRDefault="005E5406" w:rsidP="005077FB">
            <w:pPr>
              <w:spacing w:after="0"/>
              <w:jc w:val="right"/>
              <w:rPr>
                <w:lang w:eastAsia="en-AU"/>
              </w:rPr>
            </w:pPr>
            <w:r w:rsidRPr="005E5406">
              <w:rPr>
                <w:lang w:eastAsia="en-AU"/>
              </w:rPr>
              <w:t>436.08</w:t>
            </w:r>
          </w:p>
        </w:tc>
        <w:tc>
          <w:tcPr>
            <w:tcW w:w="1984" w:type="dxa"/>
            <w:tcBorders>
              <w:top w:val="nil"/>
              <w:left w:val="nil"/>
              <w:bottom w:val="single" w:sz="4" w:space="0" w:color="auto"/>
              <w:right w:val="single" w:sz="4" w:space="0" w:color="auto"/>
            </w:tcBorders>
            <w:shd w:val="clear" w:color="auto" w:fill="auto"/>
            <w:vAlign w:val="center"/>
            <w:hideMark/>
          </w:tcPr>
          <w:p w14:paraId="19E50DB7" w14:textId="77777777" w:rsidR="005E5406" w:rsidRPr="005E5406" w:rsidRDefault="005E5406" w:rsidP="005077FB">
            <w:pPr>
              <w:spacing w:after="0"/>
              <w:jc w:val="right"/>
              <w:rPr>
                <w:lang w:eastAsia="en-AU"/>
              </w:rPr>
            </w:pPr>
            <w:r w:rsidRPr="005E5406">
              <w:rPr>
                <w:lang w:eastAsia="en-AU"/>
              </w:rPr>
              <w:t>324.28</w:t>
            </w:r>
          </w:p>
        </w:tc>
        <w:tc>
          <w:tcPr>
            <w:tcW w:w="2410" w:type="dxa"/>
            <w:tcBorders>
              <w:top w:val="nil"/>
              <w:left w:val="nil"/>
              <w:bottom w:val="single" w:sz="4" w:space="0" w:color="auto"/>
              <w:right w:val="single" w:sz="4" w:space="0" w:color="auto"/>
            </w:tcBorders>
            <w:shd w:val="clear" w:color="auto" w:fill="auto"/>
            <w:vAlign w:val="center"/>
            <w:hideMark/>
          </w:tcPr>
          <w:p w14:paraId="034BDFC7" w14:textId="77777777" w:rsidR="005E5406" w:rsidRPr="005E5406" w:rsidRDefault="005E5406" w:rsidP="005077FB">
            <w:pPr>
              <w:spacing w:after="0"/>
              <w:jc w:val="right"/>
              <w:rPr>
                <w:lang w:eastAsia="en-AU"/>
              </w:rPr>
            </w:pPr>
            <w:r w:rsidRPr="005E5406">
              <w:rPr>
                <w:lang w:eastAsia="en-AU"/>
              </w:rPr>
              <w:t>16%</w:t>
            </w:r>
          </w:p>
        </w:tc>
      </w:tr>
      <w:tr w:rsidR="005E5406" w:rsidRPr="005E5406" w14:paraId="46AFC47A" w14:textId="77777777" w:rsidTr="00C85F2D">
        <w:trPr>
          <w:trHeight w:val="300"/>
        </w:trPr>
        <w:tc>
          <w:tcPr>
            <w:tcW w:w="1701" w:type="dxa"/>
            <w:tcBorders>
              <w:top w:val="nil"/>
              <w:left w:val="single" w:sz="4" w:space="0" w:color="auto"/>
              <w:bottom w:val="single" w:sz="4" w:space="0" w:color="auto"/>
              <w:right w:val="single" w:sz="4" w:space="0" w:color="auto"/>
            </w:tcBorders>
            <w:shd w:val="clear" w:color="auto" w:fill="auto"/>
            <w:vAlign w:val="center"/>
            <w:hideMark/>
          </w:tcPr>
          <w:p w14:paraId="46616A4A" w14:textId="77777777" w:rsidR="005E5406" w:rsidRPr="005E5406" w:rsidRDefault="005E5406" w:rsidP="005077FB">
            <w:pPr>
              <w:spacing w:after="0"/>
              <w:jc w:val="right"/>
              <w:rPr>
                <w:lang w:eastAsia="en-AU"/>
              </w:rPr>
            </w:pPr>
            <w:r w:rsidRPr="005E5406">
              <w:rPr>
                <w:lang w:eastAsia="en-AU"/>
              </w:rPr>
              <w:t>40,000 - 60,000</w:t>
            </w:r>
          </w:p>
        </w:tc>
        <w:tc>
          <w:tcPr>
            <w:tcW w:w="1985" w:type="dxa"/>
            <w:tcBorders>
              <w:top w:val="nil"/>
              <w:left w:val="nil"/>
              <w:bottom w:val="single" w:sz="4" w:space="0" w:color="auto"/>
              <w:right w:val="single" w:sz="4" w:space="0" w:color="auto"/>
            </w:tcBorders>
            <w:shd w:val="clear" w:color="auto" w:fill="auto"/>
            <w:vAlign w:val="center"/>
            <w:hideMark/>
          </w:tcPr>
          <w:p w14:paraId="223779D8" w14:textId="77777777" w:rsidR="005E5406" w:rsidRPr="005E5406" w:rsidRDefault="005E5406" w:rsidP="005077FB">
            <w:pPr>
              <w:spacing w:after="0"/>
              <w:jc w:val="right"/>
              <w:rPr>
                <w:lang w:eastAsia="en-AU"/>
              </w:rPr>
            </w:pPr>
            <w:r w:rsidRPr="005E5406">
              <w:rPr>
                <w:lang w:eastAsia="en-AU"/>
              </w:rPr>
              <w:t>428.4</w:t>
            </w:r>
          </w:p>
        </w:tc>
        <w:tc>
          <w:tcPr>
            <w:tcW w:w="1984" w:type="dxa"/>
            <w:tcBorders>
              <w:top w:val="nil"/>
              <w:left w:val="nil"/>
              <w:bottom w:val="single" w:sz="4" w:space="0" w:color="auto"/>
              <w:right w:val="single" w:sz="4" w:space="0" w:color="auto"/>
            </w:tcBorders>
            <w:shd w:val="clear" w:color="auto" w:fill="auto"/>
            <w:vAlign w:val="center"/>
            <w:hideMark/>
          </w:tcPr>
          <w:p w14:paraId="454A0898" w14:textId="77777777" w:rsidR="005E5406" w:rsidRPr="005E5406" w:rsidRDefault="005E5406" w:rsidP="005077FB">
            <w:pPr>
              <w:spacing w:after="0"/>
              <w:jc w:val="right"/>
              <w:rPr>
                <w:lang w:eastAsia="en-AU"/>
              </w:rPr>
            </w:pPr>
            <w:r w:rsidRPr="005E5406">
              <w:rPr>
                <w:lang w:eastAsia="en-AU"/>
              </w:rPr>
              <w:t>314.48</w:t>
            </w:r>
          </w:p>
        </w:tc>
        <w:tc>
          <w:tcPr>
            <w:tcW w:w="2410" w:type="dxa"/>
            <w:tcBorders>
              <w:top w:val="nil"/>
              <w:left w:val="nil"/>
              <w:bottom w:val="single" w:sz="4" w:space="0" w:color="auto"/>
              <w:right w:val="single" w:sz="4" w:space="0" w:color="auto"/>
            </w:tcBorders>
            <w:shd w:val="clear" w:color="auto" w:fill="auto"/>
            <w:vAlign w:val="center"/>
            <w:hideMark/>
          </w:tcPr>
          <w:p w14:paraId="443880BE" w14:textId="77777777" w:rsidR="005E5406" w:rsidRPr="005E5406" w:rsidRDefault="005E5406" w:rsidP="005077FB">
            <w:pPr>
              <w:spacing w:after="0"/>
              <w:jc w:val="right"/>
              <w:rPr>
                <w:lang w:eastAsia="en-AU"/>
              </w:rPr>
            </w:pPr>
            <w:r w:rsidRPr="005E5406">
              <w:rPr>
                <w:lang w:eastAsia="en-AU"/>
              </w:rPr>
              <w:t>19%</w:t>
            </w:r>
          </w:p>
        </w:tc>
      </w:tr>
      <w:tr w:rsidR="005E5406" w:rsidRPr="005E5406" w14:paraId="0F804992" w14:textId="77777777" w:rsidTr="00C85F2D">
        <w:trPr>
          <w:trHeight w:val="300"/>
        </w:trPr>
        <w:tc>
          <w:tcPr>
            <w:tcW w:w="1701" w:type="dxa"/>
            <w:tcBorders>
              <w:top w:val="nil"/>
              <w:left w:val="single" w:sz="4" w:space="0" w:color="auto"/>
              <w:bottom w:val="single" w:sz="4" w:space="0" w:color="auto"/>
              <w:right w:val="single" w:sz="4" w:space="0" w:color="auto"/>
            </w:tcBorders>
            <w:shd w:val="clear" w:color="auto" w:fill="auto"/>
            <w:vAlign w:val="center"/>
            <w:hideMark/>
          </w:tcPr>
          <w:p w14:paraId="601152C9" w14:textId="77777777" w:rsidR="005E5406" w:rsidRPr="005E5406" w:rsidRDefault="005E5406" w:rsidP="005077FB">
            <w:pPr>
              <w:spacing w:after="0"/>
              <w:jc w:val="right"/>
              <w:rPr>
                <w:lang w:eastAsia="en-AU"/>
              </w:rPr>
            </w:pPr>
            <w:r w:rsidRPr="005E5406">
              <w:rPr>
                <w:lang w:eastAsia="en-AU"/>
              </w:rPr>
              <w:t>60,000+</w:t>
            </w:r>
          </w:p>
        </w:tc>
        <w:tc>
          <w:tcPr>
            <w:tcW w:w="1985" w:type="dxa"/>
            <w:tcBorders>
              <w:top w:val="nil"/>
              <w:left w:val="nil"/>
              <w:bottom w:val="single" w:sz="4" w:space="0" w:color="auto"/>
              <w:right w:val="single" w:sz="4" w:space="0" w:color="auto"/>
            </w:tcBorders>
            <w:shd w:val="clear" w:color="auto" w:fill="auto"/>
            <w:vAlign w:val="center"/>
            <w:hideMark/>
          </w:tcPr>
          <w:p w14:paraId="13A1DA64" w14:textId="77777777" w:rsidR="005E5406" w:rsidRPr="005E5406" w:rsidRDefault="005E5406" w:rsidP="005077FB">
            <w:pPr>
              <w:spacing w:after="0"/>
              <w:jc w:val="right"/>
              <w:rPr>
                <w:lang w:eastAsia="en-AU"/>
              </w:rPr>
            </w:pPr>
            <w:r w:rsidRPr="005E5406">
              <w:rPr>
                <w:lang w:eastAsia="en-AU"/>
              </w:rPr>
              <w:t>615.52</w:t>
            </w:r>
          </w:p>
        </w:tc>
        <w:tc>
          <w:tcPr>
            <w:tcW w:w="1984" w:type="dxa"/>
            <w:tcBorders>
              <w:top w:val="nil"/>
              <w:left w:val="nil"/>
              <w:bottom w:val="single" w:sz="4" w:space="0" w:color="auto"/>
              <w:right w:val="single" w:sz="4" w:space="0" w:color="auto"/>
            </w:tcBorders>
            <w:shd w:val="clear" w:color="auto" w:fill="auto"/>
            <w:vAlign w:val="center"/>
            <w:hideMark/>
          </w:tcPr>
          <w:p w14:paraId="4343DAFC" w14:textId="77777777" w:rsidR="005E5406" w:rsidRPr="005E5406" w:rsidRDefault="005E5406" w:rsidP="005077FB">
            <w:pPr>
              <w:spacing w:after="0"/>
              <w:jc w:val="right"/>
              <w:rPr>
                <w:lang w:eastAsia="en-AU"/>
              </w:rPr>
            </w:pPr>
            <w:r w:rsidRPr="005E5406">
              <w:rPr>
                <w:lang w:eastAsia="en-AU"/>
              </w:rPr>
              <w:t>457.3</w:t>
            </w:r>
          </w:p>
        </w:tc>
        <w:tc>
          <w:tcPr>
            <w:tcW w:w="2410" w:type="dxa"/>
            <w:tcBorders>
              <w:top w:val="nil"/>
              <w:left w:val="nil"/>
              <w:bottom w:val="single" w:sz="4" w:space="0" w:color="auto"/>
              <w:right w:val="single" w:sz="4" w:space="0" w:color="auto"/>
            </w:tcBorders>
            <w:shd w:val="clear" w:color="auto" w:fill="auto"/>
            <w:vAlign w:val="center"/>
            <w:hideMark/>
          </w:tcPr>
          <w:p w14:paraId="1D34D947" w14:textId="77777777" w:rsidR="005E5406" w:rsidRPr="005E5406" w:rsidRDefault="005E5406" w:rsidP="005077FB">
            <w:pPr>
              <w:spacing w:after="0"/>
              <w:jc w:val="right"/>
              <w:rPr>
                <w:lang w:eastAsia="en-AU"/>
              </w:rPr>
            </w:pPr>
            <w:r w:rsidRPr="005E5406">
              <w:rPr>
                <w:lang w:eastAsia="en-AU"/>
              </w:rPr>
              <w:t>30%</w:t>
            </w:r>
          </w:p>
        </w:tc>
      </w:tr>
    </w:tbl>
    <w:p w14:paraId="206311BC" w14:textId="77777777" w:rsidR="005E5406" w:rsidRDefault="005E5406" w:rsidP="007F68F3">
      <w:pPr>
        <w:rPr>
          <w:rFonts w:ascii="Helvetica Light" w:hAnsi="Helvetica Light" w:cstheme="minorBidi"/>
          <w:szCs w:val="20"/>
        </w:rPr>
      </w:pPr>
    </w:p>
    <w:p w14:paraId="7DE6EC0C" w14:textId="77777777" w:rsidR="007F68F3" w:rsidRPr="007E394F" w:rsidRDefault="007F68F3" w:rsidP="007F68F3">
      <w:pPr>
        <w:rPr>
          <w:rFonts w:cs="Arial"/>
          <w:szCs w:val="20"/>
        </w:rPr>
      </w:pPr>
      <w:r w:rsidRPr="007E394F">
        <w:rPr>
          <w:rFonts w:cs="Arial"/>
          <w:szCs w:val="20"/>
        </w:rPr>
        <w:t xml:space="preserve">Return to </w:t>
      </w:r>
      <w:hyperlink w:anchor="_4.2.2_Office_Energy" w:history="1">
        <w:r w:rsidRPr="007E394F">
          <w:rPr>
            <w:rStyle w:val="Hyperlink"/>
            <w:rFonts w:cs="Arial"/>
            <w:szCs w:val="20"/>
          </w:rPr>
          <w:t>Office Energy Consumption</w:t>
        </w:r>
      </w:hyperlink>
    </w:p>
    <w:p w14:paraId="245E7CA8" w14:textId="219F1147" w:rsidR="007F68F3" w:rsidRPr="007F68F3" w:rsidRDefault="00944E9B" w:rsidP="00944E9B">
      <w:pPr>
        <w:pStyle w:val="Heading3"/>
        <w:ind w:left="1440" w:hanging="1440"/>
        <w:rPr>
          <w:rFonts w:hint="eastAsia"/>
        </w:rPr>
      </w:pPr>
      <w:bookmarkStart w:id="274" w:name="_Total_Residential_Energy"/>
      <w:bookmarkEnd w:id="274"/>
      <w:r>
        <w:t>Table A.3</w:t>
      </w:r>
      <w:r w:rsidR="00A13E20">
        <w:t>9</w:t>
      </w:r>
      <w:r>
        <w:tab/>
      </w:r>
      <w:r w:rsidR="007F68F3" w:rsidRPr="005E5406">
        <w:t>Total Residential Energy Consumption by Fuel, Original and Modelled, City of Melbourne, 2022</w:t>
      </w:r>
    </w:p>
    <w:tbl>
      <w:tblPr>
        <w:tblW w:w="6663" w:type="dxa"/>
        <w:tblInd w:w="-5" w:type="dxa"/>
        <w:tblLook w:val="04A0" w:firstRow="1" w:lastRow="0" w:firstColumn="1" w:lastColumn="0" w:noHBand="0" w:noVBand="1"/>
      </w:tblPr>
      <w:tblGrid>
        <w:gridCol w:w="2127"/>
        <w:gridCol w:w="2268"/>
        <w:gridCol w:w="2268"/>
      </w:tblGrid>
      <w:tr w:rsidR="005E5406" w:rsidRPr="005E5406" w14:paraId="0EAFC09C" w14:textId="77777777" w:rsidTr="007F68F3">
        <w:trPr>
          <w:trHeight w:val="300"/>
        </w:trPr>
        <w:tc>
          <w:tcPr>
            <w:tcW w:w="21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4C3050" w14:textId="77777777" w:rsidR="005E5406" w:rsidRPr="007F68F3" w:rsidRDefault="005E5406" w:rsidP="007F68F3">
            <w:pPr>
              <w:spacing w:after="0"/>
              <w:rPr>
                <w:b/>
                <w:bCs/>
                <w:lang w:eastAsia="en-AU"/>
              </w:rPr>
            </w:pPr>
            <w:bookmarkStart w:id="275" w:name="_Figure_40:_Total"/>
            <w:bookmarkEnd w:id="275"/>
            <w:r w:rsidRPr="007F68F3">
              <w:rPr>
                <w:b/>
                <w:bCs/>
                <w:lang w:eastAsia="en-AU"/>
              </w:rPr>
              <w:t>Energy Use Type</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14:paraId="41E6579C" w14:textId="77777777" w:rsidR="005E5406" w:rsidRPr="007F68F3" w:rsidRDefault="005E5406" w:rsidP="007F68F3">
            <w:pPr>
              <w:spacing w:after="0"/>
              <w:rPr>
                <w:b/>
                <w:bCs/>
                <w:lang w:eastAsia="en-AU"/>
              </w:rPr>
            </w:pPr>
            <w:r w:rsidRPr="007F68F3">
              <w:rPr>
                <w:b/>
                <w:bCs/>
                <w:lang w:eastAsia="en-AU"/>
              </w:rPr>
              <w:t>Distributor Data (TJ)</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14:paraId="3CBBE0E7" w14:textId="77777777" w:rsidR="005E5406" w:rsidRPr="007F68F3" w:rsidRDefault="005E5406" w:rsidP="007F68F3">
            <w:pPr>
              <w:spacing w:after="0"/>
              <w:rPr>
                <w:b/>
                <w:bCs/>
                <w:lang w:eastAsia="en-AU"/>
              </w:rPr>
            </w:pPr>
            <w:r w:rsidRPr="007F68F3">
              <w:rPr>
                <w:b/>
                <w:bCs/>
                <w:lang w:eastAsia="en-AU"/>
              </w:rPr>
              <w:t>Modelled Data (TJ)</w:t>
            </w:r>
          </w:p>
        </w:tc>
      </w:tr>
      <w:tr w:rsidR="005E5406" w:rsidRPr="005E5406" w14:paraId="66CE8D0F" w14:textId="77777777" w:rsidTr="007F68F3">
        <w:trPr>
          <w:trHeight w:val="300"/>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077CC71D" w14:textId="77777777" w:rsidR="005E5406" w:rsidRPr="005E5406" w:rsidRDefault="005E5406" w:rsidP="007F68F3">
            <w:pPr>
              <w:spacing w:after="0"/>
              <w:rPr>
                <w:lang w:eastAsia="en-AU"/>
              </w:rPr>
            </w:pPr>
            <w:r w:rsidRPr="005E5406">
              <w:rPr>
                <w:lang w:eastAsia="en-AU"/>
              </w:rPr>
              <w:t>Gas</w:t>
            </w:r>
          </w:p>
        </w:tc>
        <w:tc>
          <w:tcPr>
            <w:tcW w:w="2268" w:type="dxa"/>
            <w:tcBorders>
              <w:top w:val="nil"/>
              <w:left w:val="nil"/>
              <w:bottom w:val="single" w:sz="4" w:space="0" w:color="auto"/>
              <w:right w:val="single" w:sz="4" w:space="0" w:color="auto"/>
            </w:tcBorders>
            <w:shd w:val="clear" w:color="auto" w:fill="auto"/>
            <w:vAlign w:val="center"/>
            <w:hideMark/>
          </w:tcPr>
          <w:p w14:paraId="58EF5DFA" w14:textId="6FA87E51" w:rsidR="005E5406" w:rsidRPr="005E5406" w:rsidRDefault="005E5406" w:rsidP="008E1EF1">
            <w:pPr>
              <w:spacing w:after="0"/>
              <w:jc w:val="right"/>
              <w:rPr>
                <w:lang w:eastAsia="en-AU"/>
              </w:rPr>
            </w:pPr>
            <w:r w:rsidRPr="005E5406">
              <w:rPr>
                <w:lang w:eastAsia="en-AU"/>
              </w:rPr>
              <w:t xml:space="preserve">543 </w:t>
            </w:r>
          </w:p>
        </w:tc>
        <w:tc>
          <w:tcPr>
            <w:tcW w:w="2268" w:type="dxa"/>
            <w:tcBorders>
              <w:top w:val="nil"/>
              <w:left w:val="nil"/>
              <w:bottom w:val="single" w:sz="4" w:space="0" w:color="auto"/>
              <w:right w:val="single" w:sz="4" w:space="0" w:color="auto"/>
            </w:tcBorders>
            <w:shd w:val="clear" w:color="auto" w:fill="auto"/>
            <w:vAlign w:val="center"/>
            <w:hideMark/>
          </w:tcPr>
          <w:p w14:paraId="71F533BB" w14:textId="48F3FA3C" w:rsidR="005E5406" w:rsidRPr="005E5406" w:rsidRDefault="005E5406" w:rsidP="008E1EF1">
            <w:pPr>
              <w:spacing w:after="0"/>
              <w:jc w:val="right"/>
              <w:rPr>
                <w:lang w:eastAsia="en-AU"/>
              </w:rPr>
            </w:pPr>
            <w:r w:rsidRPr="005E5406">
              <w:rPr>
                <w:lang w:eastAsia="en-AU"/>
              </w:rPr>
              <w:t xml:space="preserve">2,468 </w:t>
            </w:r>
          </w:p>
        </w:tc>
      </w:tr>
      <w:tr w:rsidR="005E5406" w:rsidRPr="005E5406" w14:paraId="2796664F" w14:textId="77777777" w:rsidTr="007F68F3">
        <w:trPr>
          <w:trHeight w:val="300"/>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1D0669AB" w14:textId="77777777" w:rsidR="005E5406" w:rsidRPr="005E5406" w:rsidRDefault="005E5406" w:rsidP="007F68F3">
            <w:pPr>
              <w:spacing w:after="0"/>
              <w:rPr>
                <w:lang w:eastAsia="en-AU"/>
              </w:rPr>
            </w:pPr>
            <w:r w:rsidRPr="005E5406">
              <w:rPr>
                <w:lang w:eastAsia="en-AU"/>
              </w:rPr>
              <w:t>Electricity</w:t>
            </w:r>
          </w:p>
        </w:tc>
        <w:tc>
          <w:tcPr>
            <w:tcW w:w="2268" w:type="dxa"/>
            <w:tcBorders>
              <w:top w:val="nil"/>
              <w:left w:val="nil"/>
              <w:bottom w:val="single" w:sz="4" w:space="0" w:color="auto"/>
              <w:right w:val="single" w:sz="4" w:space="0" w:color="auto"/>
            </w:tcBorders>
            <w:shd w:val="clear" w:color="auto" w:fill="auto"/>
            <w:vAlign w:val="center"/>
            <w:hideMark/>
          </w:tcPr>
          <w:p w14:paraId="1A108A35" w14:textId="16A1B073" w:rsidR="005E5406" w:rsidRPr="005E5406" w:rsidRDefault="005E5406" w:rsidP="008E1EF1">
            <w:pPr>
              <w:spacing w:after="0"/>
              <w:jc w:val="right"/>
              <w:rPr>
                <w:lang w:eastAsia="en-AU"/>
              </w:rPr>
            </w:pPr>
            <w:r w:rsidRPr="005E5406">
              <w:rPr>
                <w:lang w:eastAsia="en-AU"/>
              </w:rPr>
              <w:t xml:space="preserve">899 </w:t>
            </w:r>
          </w:p>
        </w:tc>
        <w:tc>
          <w:tcPr>
            <w:tcW w:w="2268" w:type="dxa"/>
            <w:tcBorders>
              <w:top w:val="nil"/>
              <w:left w:val="nil"/>
              <w:bottom w:val="single" w:sz="4" w:space="0" w:color="auto"/>
              <w:right w:val="single" w:sz="4" w:space="0" w:color="auto"/>
            </w:tcBorders>
            <w:shd w:val="clear" w:color="auto" w:fill="auto"/>
            <w:vAlign w:val="center"/>
            <w:hideMark/>
          </w:tcPr>
          <w:p w14:paraId="0792D8DE" w14:textId="20C0A314" w:rsidR="005E5406" w:rsidRPr="005E5406" w:rsidRDefault="005E5406" w:rsidP="008E1EF1">
            <w:pPr>
              <w:spacing w:after="0"/>
              <w:jc w:val="right"/>
              <w:rPr>
                <w:lang w:eastAsia="en-AU"/>
              </w:rPr>
            </w:pPr>
            <w:r w:rsidRPr="005E5406">
              <w:rPr>
                <w:lang w:eastAsia="en-AU"/>
              </w:rPr>
              <w:t xml:space="preserve">2,140 </w:t>
            </w:r>
          </w:p>
        </w:tc>
      </w:tr>
    </w:tbl>
    <w:p w14:paraId="43C773BD" w14:textId="77777777" w:rsidR="00A91679" w:rsidRDefault="00A91679" w:rsidP="007F68F3">
      <w:pPr>
        <w:rPr>
          <w:rFonts w:ascii="Helvetica Light" w:hAnsi="Helvetica Light" w:cstheme="minorBidi"/>
          <w:szCs w:val="20"/>
        </w:rPr>
      </w:pPr>
    </w:p>
    <w:p w14:paraId="065E4EED" w14:textId="70C7442E" w:rsidR="007F68F3" w:rsidRPr="007E394F" w:rsidRDefault="007F68F3" w:rsidP="007F68F3">
      <w:pPr>
        <w:rPr>
          <w:rFonts w:cs="Arial"/>
          <w:szCs w:val="20"/>
        </w:rPr>
      </w:pPr>
      <w:r w:rsidRPr="007E394F">
        <w:rPr>
          <w:rFonts w:cs="Arial"/>
          <w:szCs w:val="20"/>
        </w:rPr>
        <w:t xml:space="preserve">Return to </w:t>
      </w:r>
      <w:hyperlink w:anchor="_4.2.3_Residential_Energy" w:history="1">
        <w:r>
          <w:rPr>
            <w:rStyle w:val="Hyperlink"/>
            <w:rFonts w:cs="Arial"/>
            <w:szCs w:val="20"/>
          </w:rPr>
          <w:t>Residential</w:t>
        </w:r>
        <w:r w:rsidRPr="007E394F">
          <w:rPr>
            <w:rStyle w:val="Hyperlink"/>
            <w:rFonts w:cs="Arial"/>
            <w:szCs w:val="20"/>
          </w:rPr>
          <w:t xml:space="preserve"> Energy Consumption</w:t>
        </w:r>
      </w:hyperlink>
    </w:p>
    <w:p w14:paraId="52E02D24" w14:textId="37C2FDB5" w:rsidR="007F68F3" w:rsidRPr="007F68F3" w:rsidRDefault="00944E9B" w:rsidP="007F68F3">
      <w:pPr>
        <w:pStyle w:val="Heading3"/>
        <w:rPr>
          <w:rFonts w:hint="eastAsia"/>
        </w:rPr>
      </w:pPr>
      <w:bookmarkStart w:id="276" w:name="_Breakdown_of_Total"/>
      <w:bookmarkEnd w:id="276"/>
      <w:r>
        <w:t>Table A.</w:t>
      </w:r>
      <w:r w:rsidR="00A13E20">
        <w:t>40</w:t>
      </w:r>
      <w:r>
        <w:tab/>
      </w:r>
      <w:r w:rsidR="007F68F3" w:rsidRPr="005E5406">
        <w:t>Breakdown of Total Energy Use by Fuel by Residential Space-Use Type</w:t>
      </w:r>
    </w:p>
    <w:tbl>
      <w:tblPr>
        <w:tblW w:w="7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2127"/>
        <w:gridCol w:w="2126"/>
      </w:tblGrid>
      <w:tr w:rsidR="007F68F3" w:rsidRPr="005E5406" w14:paraId="37F2BD1E" w14:textId="77777777" w:rsidTr="007F68F3">
        <w:trPr>
          <w:trHeight w:val="225"/>
        </w:trPr>
        <w:tc>
          <w:tcPr>
            <w:tcW w:w="2835" w:type="dxa"/>
            <w:shd w:val="clear" w:color="auto" w:fill="auto"/>
            <w:noWrap/>
            <w:vAlign w:val="bottom"/>
            <w:hideMark/>
          </w:tcPr>
          <w:p w14:paraId="7CF6D067" w14:textId="77777777" w:rsidR="005E5406" w:rsidRPr="007F68F3" w:rsidRDefault="005E5406" w:rsidP="007F68F3">
            <w:pPr>
              <w:spacing w:after="0"/>
              <w:rPr>
                <w:b/>
                <w:bCs/>
                <w:lang w:eastAsia="en-AU"/>
              </w:rPr>
            </w:pPr>
            <w:bookmarkStart w:id="277" w:name="_Figure_41:_Breakdown"/>
            <w:bookmarkEnd w:id="277"/>
            <w:r w:rsidRPr="007F68F3">
              <w:rPr>
                <w:b/>
                <w:bCs/>
                <w:lang w:eastAsia="en-AU"/>
              </w:rPr>
              <w:t>Residential Space Use Type</w:t>
            </w:r>
          </w:p>
        </w:tc>
        <w:tc>
          <w:tcPr>
            <w:tcW w:w="2127" w:type="dxa"/>
            <w:shd w:val="clear" w:color="auto" w:fill="auto"/>
            <w:noWrap/>
            <w:vAlign w:val="bottom"/>
            <w:hideMark/>
          </w:tcPr>
          <w:p w14:paraId="23A5ECAA" w14:textId="77777777" w:rsidR="005E5406" w:rsidRPr="007F68F3" w:rsidRDefault="005E5406" w:rsidP="007F68F3">
            <w:pPr>
              <w:spacing w:after="0"/>
              <w:rPr>
                <w:b/>
                <w:bCs/>
                <w:lang w:eastAsia="en-AU"/>
              </w:rPr>
            </w:pPr>
            <w:r w:rsidRPr="007F68F3">
              <w:rPr>
                <w:b/>
                <w:bCs/>
                <w:lang w:eastAsia="en-AU"/>
              </w:rPr>
              <w:t>Electricity Use (TJ)</w:t>
            </w:r>
          </w:p>
        </w:tc>
        <w:tc>
          <w:tcPr>
            <w:tcW w:w="2126" w:type="dxa"/>
            <w:shd w:val="clear" w:color="auto" w:fill="auto"/>
            <w:noWrap/>
            <w:vAlign w:val="bottom"/>
            <w:hideMark/>
          </w:tcPr>
          <w:p w14:paraId="2F75094E" w14:textId="77777777" w:rsidR="005E5406" w:rsidRPr="007F68F3" w:rsidRDefault="005E5406" w:rsidP="007F68F3">
            <w:pPr>
              <w:spacing w:after="0"/>
              <w:rPr>
                <w:b/>
                <w:bCs/>
                <w:lang w:eastAsia="en-AU"/>
              </w:rPr>
            </w:pPr>
            <w:r w:rsidRPr="007F68F3">
              <w:rPr>
                <w:b/>
                <w:bCs/>
                <w:lang w:eastAsia="en-AU"/>
              </w:rPr>
              <w:t>Gas Use (TJ)</w:t>
            </w:r>
          </w:p>
        </w:tc>
      </w:tr>
      <w:tr w:rsidR="007F68F3" w:rsidRPr="005E5406" w14:paraId="759FCD81" w14:textId="77777777" w:rsidTr="007F68F3">
        <w:trPr>
          <w:trHeight w:val="107"/>
        </w:trPr>
        <w:tc>
          <w:tcPr>
            <w:tcW w:w="2835" w:type="dxa"/>
            <w:shd w:val="clear" w:color="auto" w:fill="auto"/>
            <w:noWrap/>
            <w:vAlign w:val="bottom"/>
            <w:hideMark/>
          </w:tcPr>
          <w:p w14:paraId="764E022F" w14:textId="77777777" w:rsidR="005E5406" w:rsidRPr="005E5406" w:rsidRDefault="005E5406" w:rsidP="007F68F3">
            <w:pPr>
              <w:spacing w:after="0"/>
              <w:rPr>
                <w:lang w:eastAsia="en-AU"/>
              </w:rPr>
            </w:pPr>
            <w:r w:rsidRPr="005E5406">
              <w:rPr>
                <w:lang w:eastAsia="en-AU"/>
              </w:rPr>
              <w:t>High-rise apartment</w:t>
            </w:r>
          </w:p>
        </w:tc>
        <w:tc>
          <w:tcPr>
            <w:tcW w:w="2127" w:type="dxa"/>
            <w:shd w:val="clear" w:color="auto" w:fill="auto"/>
            <w:noWrap/>
            <w:vAlign w:val="bottom"/>
            <w:hideMark/>
          </w:tcPr>
          <w:p w14:paraId="29B6C08F" w14:textId="5FBC7627" w:rsidR="005E5406" w:rsidRPr="005E5406" w:rsidRDefault="005E5406" w:rsidP="007F68F3">
            <w:pPr>
              <w:spacing w:after="0"/>
              <w:jc w:val="right"/>
              <w:rPr>
                <w:lang w:eastAsia="en-AU"/>
              </w:rPr>
            </w:pPr>
            <w:r w:rsidRPr="005E5406">
              <w:rPr>
                <w:lang w:eastAsia="en-AU"/>
              </w:rPr>
              <w:t xml:space="preserve">1,418 </w:t>
            </w:r>
          </w:p>
        </w:tc>
        <w:tc>
          <w:tcPr>
            <w:tcW w:w="2126" w:type="dxa"/>
            <w:shd w:val="clear" w:color="auto" w:fill="auto"/>
            <w:noWrap/>
            <w:vAlign w:val="bottom"/>
            <w:hideMark/>
          </w:tcPr>
          <w:p w14:paraId="6305EE9C" w14:textId="2D5DD43C" w:rsidR="005E5406" w:rsidRPr="005E5406" w:rsidRDefault="005E5406" w:rsidP="007F68F3">
            <w:pPr>
              <w:spacing w:after="0"/>
              <w:jc w:val="right"/>
              <w:rPr>
                <w:lang w:eastAsia="en-AU"/>
              </w:rPr>
            </w:pPr>
            <w:r w:rsidRPr="005E5406">
              <w:rPr>
                <w:lang w:eastAsia="en-AU"/>
              </w:rPr>
              <w:t>1,207</w:t>
            </w:r>
          </w:p>
        </w:tc>
      </w:tr>
      <w:tr w:rsidR="007F68F3" w:rsidRPr="005E5406" w14:paraId="75041C56" w14:textId="77777777" w:rsidTr="007F68F3">
        <w:trPr>
          <w:trHeight w:val="225"/>
        </w:trPr>
        <w:tc>
          <w:tcPr>
            <w:tcW w:w="2835" w:type="dxa"/>
            <w:shd w:val="clear" w:color="auto" w:fill="auto"/>
            <w:noWrap/>
            <w:vAlign w:val="bottom"/>
            <w:hideMark/>
          </w:tcPr>
          <w:p w14:paraId="0E9BD137" w14:textId="77777777" w:rsidR="005E5406" w:rsidRPr="005E5406" w:rsidRDefault="005E5406" w:rsidP="007F68F3">
            <w:pPr>
              <w:spacing w:after="0"/>
              <w:rPr>
                <w:lang w:eastAsia="en-AU"/>
              </w:rPr>
            </w:pPr>
            <w:r w:rsidRPr="005E5406">
              <w:rPr>
                <w:lang w:eastAsia="en-AU"/>
              </w:rPr>
              <w:t>Townhouse/terrace</w:t>
            </w:r>
          </w:p>
        </w:tc>
        <w:tc>
          <w:tcPr>
            <w:tcW w:w="2127" w:type="dxa"/>
            <w:shd w:val="clear" w:color="auto" w:fill="auto"/>
            <w:noWrap/>
            <w:vAlign w:val="bottom"/>
            <w:hideMark/>
          </w:tcPr>
          <w:p w14:paraId="0AB5EE7F" w14:textId="48107755" w:rsidR="005E5406" w:rsidRPr="005E5406" w:rsidRDefault="007F68F3" w:rsidP="007F68F3">
            <w:pPr>
              <w:spacing w:after="0"/>
              <w:jc w:val="right"/>
              <w:rPr>
                <w:lang w:eastAsia="en-AU"/>
              </w:rPr>
            </w:pPr>
            <w:r>
              <w:rPr>
                <w:lang w:eastAsia="en-AU"/>
              </w:rPr>
              <w:t>1</w:t>
            </w:r>
            <w:r w:rsidR="005E5406" w:rsidRPr="005E5406">
              <w:rPr>
                <w:lang w:eastAsia="en-AU"/>
              </w:rPr>
              <w:t xml:space="preserve">76 </w:t>
            </w:r>
          </w:p>
        </w:tc>
        <w:tc>
          <w:tcPr>
            <w:tcW w:w="2126" w:type="dxa"/>
            <w:shd w:val="clear" w:color="auto" w:fill="auto"/>
            <w:noWrap/>
            <w:vAlign w:val="bottom"/>
            <w:hideMark/>
          </w:tcPr>
          <w:p w14:paraId="008B2481" w14:textId="4C492BD8" w:rsidR="005E5406" w:rsidRPr="005E5406" w:rsidRDefault="005E5406" w:rsidP="007F68F3">
            <w:pPr>
              <w:spacing w:after="0"/>
              <w:jc w:val="right"/>
              <w:rPr>
                <w:lang w:eastAsia="en-AU"/>
              </w:rPr>
            </w:pPr>
            <w:r w:rsidRPr="005E5406">
              <w:rPr>
                <w:lang w:eastAsia="en-AU"/>
              </w:rPr>
              <w:t xml:space="preserve">  347 </w:t>
            </w:r>
          </w:p>
        </w:tc>
      </w:tr>
      <w:tr w:rsidR="007F68F3" w:rsidRPr="005E5406" w14:paraId="04D225E4" w14:textId="77777777" w:rsidTr="007F68F3">
        <w:trPr>
          <w:trHeight w:val="225"/>
        </w:trPr>
        <w:tc>
          <w:tcPr>
            <w:tcW w:w="2835" w:type="dxa"/>
            <w:shd w:val="clear" w:color="auto" w:fill="auto"/>
            <w:noWrap/>
            <w:vAlign w:val="bottom"/>
            <w:hideMark/>
          </w:tcPr>
          <w:p w14:paraId="39C00747" w14:textId="77777777" w:rsidR="005E5406" w:rsidRPr="005E5406" w:rsidRDefault="005E5406" w:rsidP="007F68F3">
            <w:pPr>
              <w:spacing w:after="0"/>
              <w:rPr>
                <w:lang w:eastAsia="en-AU"/>
              </w:rPr>
            </w:pPr>
            <w:r w:rsidRPr="005E5406">
              <w:rPr>
                <w:lang w:eastAsia="en-AU"/>
              </w:rPr>
              <w:t>Low-rise apartment</w:t>
            </w:r>
          </w:p>
        </w:tc>
        <w:tc>
          <w:tcPr>
            <w:tcW w:w="2127" w:type="dxa"/>
            <w:shd w:val="clear" w:color="auto" w:fill="auto"/>
            <w:noWrap/>
            <w:vAlign w:val="bottom"/>
            <w:hideMark/>
          </w:tcPr>
          <w:p w14:paraId="16E413B9" w14:textId="6895D3B5" w:rsidR="005E5406" w:rsidRPr="005E5406" w:rsidRDefault="007F68F3" w:rsidP="007F68F3">
            <w:pPr>
              <w:spacing w:after="0"/>
              <w:jc w:val="right"/>
              <w:rPr>
                <w:lang w:eastAsia="en-AU"/>
              </w:rPr>
            </w:pPr>
            <w:r>
              <w:rPr>
                <w:lang w:eastAsia="en-AU"/>
              </w:rPr>
              <w:t>1</w:t>
            </w:r>
            <w:r w:rsidR="005E5406" w:rsidRPr="005E5406">
              <w:rPr>
                <w:lang w:eastAsia="en-AU"/>
              </w:rPr>
              <w:t xml:space="preserve">61 </w:t>
            </w:r>
          </w:p>
        </w:tc>
        <w:tc>
          <w:tcPr>
            <w:tcW w:w="2126" w:type="dxa"/>
            <w:shd w:val="clear" w:color="auto" w:fill="auto"/>
            <w:noWrap/>
            <w:vAlign w:val="bottom"/>
            <w:hideMark/>
          </w:tcPr>
          <w:p w14:paraId="46D56D62" w14:textId="419ECBB6" w:rsidR="005E5406" w:rsidRPr="005E5406" w:rsidRDefault="005E5406" w:rsidP="007F68F3">
            <w:pPr>
              <w:spacing w:after="0"/>
              <w:jc w:val="right"/>
              <w:rPr>
                <w:lang w:eastAsia="en-AU"/>
              </w:rPr>
            </w:pPr>
            <w:r w:rsidRPr="005E5406">
              <w:rPr>
                <w:lang w:eastAsia="en-AU"/>
              </w:rPr>
              <w:t xml:space="preserve">291 </w:t>
            </w:r>
          </w:p>
        </w:tc>
      </w:tr>
      <w:tr w:rsidR="007F68F3" w:rsidRPr="005E5406" w14:paraId="6B449713" w14:textId="77777777" w:rsidTr="007F68F3">
        <w:trPr>
          <w:trHeight w:val="52"/>
        </w:trPr>
        <w:tc>
          <w:tcPr>
            <w:tcW w:w="2835" w:type="dxa"/>
            <w:shd w:val="clear" w:color="auto" w:fill="auto"/>
            <w:noWrap/>
            <w:vAlign w:val="bottom"/>
            <w:hideMark/>
          </w:tcPr>
          <w:p w14:paraId="0D0454C7" w14:textId="77777777" w:rsidR="005E5406" w:rsidRPr="005E5406" w:rsidRDefault="005E5406" w:rsidP="007F68F3">
            <w:pPr>
              <w:spacing w:after="0"/>
              <w:rPr>
                <w:lang w:eastAsia="en-AU"/>
              </w:rPr>
            </w:pPr>
            <w:r w:rsidRPr="005E5406">
              <w:rPr>
                <w:lang w:eastAsia="en-AU"/>
              </w:rPr>
              <w:t>Mid-rise apartment</w:t>
            </w:r>
          </w:p>
        </w:tc>
        <w:tc>
          <w:tcPr>
            <w:tcW w:w="2127" w:type="dxa"/>
            <w:shd w:val="clear" w:color="auto" w:fill="auto"/>
            <w:noWrap/>
            <w:vAlign w:val="bottom"/>
            <w:hideMark/>
          </w:tcPr>
          <w:p w14:paraId="7A350B90" w14:textId="7733D048" w:rsidR="005E5406" w:rsidRPr="005E5406" w:rsidRDefault="005E5406" w:rsidP="007F68F3">
            <w:pPr>
              <w:spacing w:after="0"/>
              <w:jc w:val="right"/>
              <w:rPr>
                <w:lang w:eastAsia="en-AU"/>
              </w:rPr>
            </w:pPr>
            <w:r w:rsidRPr="005E5406">
              <w:rPr>
                <w:lang w:eastAsia="en-AU"/>
              </w:rPr>
              <w:t>188</w:t>
            </w:r>
          </w:p>
        </w:tc>
        <w:tc>
          <w:tcPr>
            <w:tcW w:w="2126" w:type="dxa"/>
            <w:shd w:val="clear" w:color="auto" w:fill="auto"/>
            <w:noWrap/>
            <w:vAlign w:val="bottom"/>
            <w:hideMark/>
          </w:tcPr>
          <w:p w14:paraId="60099922" w14:textId="4EF6AF8C" w:rsidR="005E5406" w:rsidRPr="005E5406" w:rsidRDefault="005E5406" w:rsidP="007F68F3">
            <w:pPr>
              <w:spacing w:after="0"/>
              <w:jc w:val="right"/>
              <w:rPr>
                <w:lang w:eastAsia="en-AU"/>
              </w:rPr>
            </w:pPr>
            <w:r w:rsidRPr="005E5406">
              <w:rPr>
                <w:lang w:eastAsia="en-AU"/>
              </w:rPr>
              <w:t>264</w:t>
            </w:r>
          </w:p>
        </w:tc>
      </w:tr>
      <w:tr w:rsidR="007F68F3" w:rsidRPr="005E5406" w14:paraId="360A92B6" w14:textId="77777777" w:rsidTr="007F68F3">
        <w:trPr>
          <w:trHeight w:val="225"/>
        </w:trPr>
        <w:tc>
          <w:tcPr>
            <w:tcW w:w="2835" w:type="dxa"/>
            <w:shd w:val="clear" w:color="auto" w:fill="auto"/>
            <w:noWrap/>
            <w:vAlign w:val="bottom"/>
            <w:hideMark/>
          </w:tcPr>
          <w:p w14:paraId="4164990E" w14:textId="449E1703" w:rsidR="005E5406" w:rsidRPr="005E5406" w:rsidRDefault="005E5406" w:rsidP="007F68F3">
            <w:pPr>
              <w:spacing w:after="0"/>
              <w:rPr>
                <w:lang w:eastAsia="en-AU"/>
              </w:rPr>
            </w:pPr>
            <w:r w:rsidRPr="005E5406">
              <w:rPr>
                <w:lang w:eastAsia="en-AU"/>
              </w:rPr>
              <w:t xml:space="preserve">Student </w:t>
            </w:r>
            <w:r w:rsidR="007F68F3">
              <w:rPr>
                <w:lang w:eastAsia="en-AU"/>
              </w:rPr>
              <w:t>a</w:t>
            </w:r>
            <w:r w:rsidR="007F68F3" w:rsidRPr="005E5406">
              <w:rPr>
                <w:lang w:eastAsia="en-AU"/>
              </w:rPr>
              <w:t>ccommodation</w:t>
            </w:r>
          </w:p>
        </w:tc>
        <w:tc>
          <w:tcPr>
            <w:tcW w:w="2127" w:type="dxa"/>
            <w:shd w:val="clear" w:color="auto" w:fill="auto"/>
            <w:noWrap/>
            <w:vAlign w:val="bottom"/>
            <w:hideMark/>
          </w:tcPr>
          <w:p w14:paraId="4B509051" w14:textId="1B7454E0" w:rsidR="005E5406" w:rsidRPr="005E5406" w:rsidRDefault="007F68F3" w:rsidP="007F68F3">
            <w:pPr>
              <w:spacing w:after="0"/>
              <w:jc w:val="right"/>
              <w:rPr>
                <w:lang w:eastAsia="en-AU"/>
              </w:rPr>
            </w:pPr>
            <w:r>
              <w:rPr>
                <w:lang w:eastAsia="en-AU"/>
              </w:rPr>
              <w:t>9</w:t>
            </w:r>
            <w:r w:rsidR="005E5406" w:rsidRPr="005E5406">
              <w:rPr>
                <w:lang w:eastAsia="en-AU"/>
              </w:rPr>
              <w:t>3</w:t>
            </w:r>
          </w:p>
        </w:tc>
        <w:tc>
          <w:tcPr>
            <w:tcW w:w="2126" w:type="dxa"/>
            <w:shd w:val="clear" w:color="auto" w:fill="auto"/>
            <w:noWrap/>
            <w:vAlign w:val="bottom"/>
            <w:hideMark/>
          </w:tcPr>
          <w:p w14:paraId="6CBD5248" w14:textId="58E8D6A3" w:rsidR="005E5406" w:rsidRPr="005E5406" w:rsidRDefault="005E5406" w:rsidP="007F68F3">
            <w:pPr>
              <w:spacing w:after="0"/>
              <w:jc w:val="right"/>
              <w:rPr>
                <w:lang w:eastAsia="en-AU"/>
              </w:rPr>
            </w:pPr>
            <w:r w:rsidRPr="005E5406">
              <w:rPr>
                <w:lang w:eastAsia="en-AU"/>
              </w:rPr>
              <w:t xml:space="preserve">168 </w:t>
            </w:r>
          </w:p>
        </w:tc>
      </w:tr>
      <w:tr w:rsidR="007F68F3" w:rsidRPr="005E5406" w14:paraId="4BA23FE4" w14:textId="77777777" w:rsidTr="007F68F3">
        <w:trPr>
          <w:trHeight w:val="225"/>
        </w:trPr>
        <w:tc>
          <w:tcPr>
            <w:tcW w:w="2835" w:type="dxa"/>
            <w:shd w:val="clear" w:color="auto" w:fill="auto"/>
            <w:noWrap/>
            <w:vAlign w:val="bottom"/>
            <w:hideMark/>
          </w:tcPr>
          <w:p w14:paraId="4EAB2203" w14:textId="77777777" w:rsidR="005E5406" w:rsidRPr="005E5406" w:rsidRDefault="005E5406" w:rsidP="007F68F3">
            <w:pPr>
              <w:spacing w:after="0"/>
              <w:rPr>
                <w:lang w:eastAsia="en-AU"/>
              </w:rPr>
            </w:pPr>
            <w:r w:rsidRPr="005E5406">
              <w:rPr>
                <w:lang w:eastAsia="en-AU"/>
              </w:rPr>
              <w:t>Standalone house</w:t>
            </w:r>
          </w:p>
        </w:tc>
        <w:tc>
          <w:tcPr>
            <w:tcW w:w="2127" w:type="dxa"/>
            <w:shd w:val="clear" w:color="auto" w:fill="auto"/>
            <w:noWrap/>
            <w:vAlign w:val="bottom"/>
            <w:hideMark/>
          </w:tcPr>
          <w:p w14:paraId="1644BB63" w14:textId="637A7F48" w:rsidR="005E5406" w:rsidRPr="005E5406" w:rsidRDefault="005E5406" w:rsidP="007F68F3">
            <w:pPr>
              <w:spacing w:after="0"/>
              <w:jc w:val="right"/>
              <w:rPr>
                <w:lang w:eastAsia="en-AU"/>
              </w:rPr>
            </w:pPr>
            <w:r w:rsidRPr="005E5406">
              <w:rPr>
                <w:lang w:eastAsia="en-AU"/>
              </w:rPr>
              <w:t xml:space="preserve">88 </w:t>
            </w:r>
          </w:p>
        </w:tc>
        <w:tc>
          <w:tcPr>
            <w:tcW w:w="2126" w:type="dxa"/>
            <w:shd w:val="clear" w:color="auto" w:fill="auto"/>
            <w:noWrap/>
            <w:vAlign w:val="bottom"/>
            <w:hideMark/>
          </w:tcPr>
          <w:p w14:paraId="65D586D3" w14:textId="777F0D11" w:rsidR="005E5406" w:rsidRPr="005E5406" w:rsidRDefault="005E5406" w:rsidP="007F68F3">
            <w:pPr>
              <w:spacing w:after="0"/>
              <w:jc w:val="right"/>
              <w:rPr>
                <w:lang w:eastAsia="en-AU"/>
              </w:rPr>
            </w:pPr>
            <w:r w:rsidRPr="005E5406">
              <w:rPr>
                <w:lang w:eastAsia="en-AU"/>
              </w:rPr>
              <w:t xml:space="preserve">                 162 </w:t>
            </w:r>
          </w:p>
        </w:tc>
      </w:tr>
      <w:tr w:rsidR="007F68F3" w:rsidRPr="005E5406" w14:paraId="42EF9FA8" w14:textId="77777777" w:rsidTr="007F68F3">
        <w:trPr>
          <w:trHeight w:val="70"/>
        </w:trPr>
        <w:tc>
          <w:tcPr>
            <w:tcW w:w="2835" w:type="dxa"/>
            <w:shd w:val="clear" w:color="auto" w:fill="auto"/>
            <w:noWrap/>
            <w:vAlign w:val="bottom"/>
            <w:hideMark/>
          </w:tcPr>
          <w:p w14:paraId="2A79F59B" w14:textId="5DBAE37D" w:rsidR="005E5406" w:rsidRPr="005E5406" w:rsidRDefault="005E5406" w:rsidP="007F68F3">
            <w:pPr>
              <w:spacing w:after="0"/>
              <w:rPr>
                <w:lang w:eastAsia="en-AU"/>
              </w:rPr>
            </w:pPr>
            <w:r w:rsidRPr="005E5406">
              <w:rPr>
                <w:lang w:eastAsia="en-AU"/>
              </w:rPr>
              <w:t xml:space="preserve">Institutional </w:t>
            </w:r>
            <w:r w:rsidR="007F68F3" w:rsidRPr="005E5406">
              <w:rPr>
                <w:lang w:eastAsia="en-AU"/>
              </w:rPr>
              <w:t>accommodation</w:t>
            </w:r>
          </w:p>
        </w:tc>
        <w:tc>
          <w:tcPr>
            <w:tcW w:w="2127" w:type="dxa"/>
            <w:shd w:val="clear" w:color="auto" w:fill="auto"/>
            <w:noWrap/>
            <w:vAlign w:val="bottom"/>
            <w:hideMark/>
          </w:tcPr>
          <w:p w14:paraId="23D004BE" w14:textId="10AE4E70" w:rsidR="005E5406" w:rsidRPr="005E5406" w:rsidRDefault="005E5406" w:rsidP="007F68F3">
            <w:pPr>
              <w:spacing w:after="0"/>
              <w:jc w:val="right"/>
              <w:rPr>
                <w:lang w:eastAsia="en-AU"/>
              </w:rPr>
            </w:pPr>
            <w:r w:rsidRPr="005E5406">
              <w:rPr>
                <w:lang w:eastAsia="en-AU"/>
              </w:rPr>
              <w:t xml:space="preserve">16 </w:t>
            </w:r>
          </w:p>
        </w:tc>
        <w:tc>
          <w:tcPr>
            <w:tcW w:w="2126" w:type="dxa"/>
            <w:shd w:val="clear" w:color="auto" w:fill="auto"/>
            <w:noWrap/>
            <w:vAlign w:val="bottom"/>
            <w:hideMark/>
          </w:tcPr>
          <w:p w14:paraId="7E52A0CC" w14:textId="60254DEB" w:rsidR="005E5406" w:rsidRPr="005E5406" w:rsidRDefault="005E5406" w:rsidP="007F68F3">
            <w:pPr>
              <w:spacing w:after="0"/>
              <w:jc w:val="right"/>
              <w:rPr>
                <w:lang w:eastAsia="en-AU"/>
              </w:rPr>
            </w:pPr>
            <w:r w:rsidRPr="005E5406">
              <w:rPr>
                <w:lang w:eastAsia="en-AU"/>
              </w:rPr>
              <w:t xml:space="preserve">   28 </w:t>
            </w:r>
          </w:p>
        </w:tc>
      </w:tr>
    </w:tbl>
    <w:p w14:paraId="6EC347F5" w14:textId="77777777" w:rsidR="005E5406" w:rsidRDefault="005E5406" w:rsidP="00206D3D">
      <w:pPr>
        <w:rPr>
          <w:rFonts w:ascii="Helvetica Light" w:hAnsi="Helvetica Light" w:cstheme="minorBidi"/>
          <w:szCs w:val="20"/>
        </w:rPr>
      </w:pPr>
    </w:p>
    <w:p w14:paraId="1B7E0868" w14:textId="77777777" w:rsidR="00206D3D" w:rsidRDefault="00206D3D" w:rsidP="00206D3D">
      <w:pPr>
        <w:rPr>
          <w:rStyle w:val="Hyperlink"/>
          <w:rFonts w:cs="Arial"/>
          <w:szCs w:val="20"/>
        </w:rPr>
      </w:pPr>
      <w:r w:rsidRPr="007E394F">
        <w:rPr>
          <w:rFonts w:cs="Arial"/>
          <w:szCs w:val="20"/>
        </w:rPr>
        <w:t xml:space="preserve">Return to </w:t>
      </w:r>
      <w:hyperlink w:anchor="_4.2.3_Residential_Energy" w:history="1">
        <w:r>
          <w:rPr>
            <w:rStyle w:val="Hyperlink"/>
            <w:rFonts w:cs="Arial"/>
            <w:szCs w:val="20"/>
          </w:rPr>
          <w:t>Residential</w:t>
        </w:r>
        <w:r w:rsidRPr="007E394F">
          <w:rPr>
            <w:rStyle w:val="Hyperlink"/>
            <w:rFonts w:cs="Arial"/>
            <w:szCs w:val="20"/>
          </w:rPr>
          <w:t xml:space="preserve"> Energy Consumption</w:t>
        </w:r>
      </w:hyperlink>
    </w:p>
    <w:p w14:paraId="754BA74E" w14:textId="77777777" w:rsidR="00944E9B" w:rsidRDefault="00944E9B" w:rsidP="00206D3D">
      <w:pPr>
        <w:pStyle w:val="Heading3"/>
        <w:rPr>
          <w:rFonts w:hint="eastAsia"/>
        </w:rPr>
      </w:pPr>
      <w:bookmarkStart w:id="278" w:name="_Use_of_Solar"/>
      <w:bookmarkEnd w:id="278"/>
    </w:p>
    <w:p w14:paraId="688D8EE8" w14:textId="63FCFB5E" w:rsidR="00206D3D" w:rsidRPr="00206D3D" w:rsidRDefault="00944E9B" w:rsidP="00206D3D">
      <w:pPr>
        <w:pStyle w:val="Heading3"/>
        <w:rPr>
          <w:rFonts w:hint="eastAsia"/>
        </w:rPr>
      </w:pPr>
      <w:r>
        <w:lastRenderedPageBreak/>
        <w:t>Table A.4</w:t>
      </w:r>
      <w:r w:rsidR="00A13E20">
        <w:t>1</w:t>
      </w:r>
      <w:r>
        <w:tab/>
      </w:r>
      <w:r w:rsidR="00206D3D" w:rsidRPr="005E5406">
        <w:t>Use of Solar Generation</w:t>
      </w:r>
    </w:p>
    <w:tbl>
      <w:tblPr>
        <w:tblW w:w="5670" w:type="dxa"/>
        <w:tblInd w:w="-5" w:type="dxa"/>
        <w:tblLook w:val="04A0" w:firstRow="1" w:lastRow="0" w:firstColumn="1" w:lastColumn="0" w:noHBand="0" w:noVBand="1"/>
      </w:tblPr>
      <w:tblGrid>
        <w:gridCol w:w="3119"/>
        <w:gridCol w:w="2551"/>
      </w:tblGrid>
      <w:tr w:rsidR="005E5406" w:rsidRPr="005E5406" w14:paraId="43DF9CE2" w14:textId="77777777" w:rsidTr="00206D3D">
        <w:trPr>
          <w:trHeight w:val="300"/>
        </w:trPr>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158786" w14:textId="77777777" w:rsidR="005E5406" w:rsidRPr="00206D3D" w:rsidRDefault="005E5406" w:rsidP="00206D3D">
            <w:pPr>
              <w:spacing w:after="0"/>
              <w:rPr>
                <w:b/>
                <w:bCs/>
                <w:lang w:eastAsia="en-AU"/>
              </w:rPr>
            </w:pPr>
            <w:bookmarkStart w:id="279" w:name="_Figure_42:_Use"/>
            <w:bookmarkEnd w:id="279"/>
            <w:r w:rsidRPr="00206D3D">
              <w:rPr>
                <w:b/>
                <w:bCs/>
                <w:lang w:eastAsia="en-AU"/>
              </w:rPr>
              <w:t>Solar Generation Type</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14:paraId="77FD1A1C" w14:textId="77777777" w:rsidR="005E5406" w:rsidRPr="00206D3D" w:rsidRDefault="005E5406" w:rsidP="00206D3D">
            <w:pPr>
              <w:spacing w:after="0"/>
              <w:rPr>
                <w:b/>
                <w:bCs/>
                <w:lang w:eastAsia="en-AU"/>
              </w:rPr>
            </w:pPr>
            <w:r w:rsidRPr="00206D3D">
              <w:rPr>
                <w:b/>
                <w:bCs/>
                <w:lang w:eastAsia="en-AU"/>
              </w:rPr>
              <w:t>Solar Generation (TJ)</w:t>
            </w:r>
          </w:p>
        </w:tc>
      </w:tr>
      <w:tr w:rsidR="005E5406" w:rsidRPr="005E5406" w14:paraId="018D873E" w14:textId="77777777" w:rsidTr="00206D3D">
        <w:trPr>
          <w:trHeight w:val="300"/>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14:paraId="7492558D" w14:textId="77777777" w:rsidR="005E5406" w:rsidRPr="005E5406" w:rsidRDefault="005E5406" w:rsidP="00206D3D">
            <w:pPr>
              <w:spacing w:after="0"/>
              <w:rPr>
                <w:lang w:eastAsia="en-AU"/>
              </w:rPr>
            </w:pPr>
            <w:r w:rsidRPr="005E5406">
              <w:rPr>
                <w:lang w:eastAsia="en-AU"/>
              </w:rPr>
              <w:t>Consumed behind the meter</w:t>
            </w:r>
          </w:p>
        </w:tc>
        <w:tc>
          <w:tcPr>
            <w:tcW w:w="2551" w:type="dxa"/>
            <w:tcBorders>
              <w:top w:val="nil"/>
              <w:left w:val="nil"/>
              <w:bottom w:val="single" w:sz="4" w:space="0" w:color="auto"/>
              <w:right w:val="single" w:sz="4" w:space="0" w:color="auto"/>
            </w:tcBorders>
            <w:shd w:val="clear" w:color="auto" w:fill="auto"/>
            <w:noWrap/>
            <w:vAlign w:val="bottom"/>
            <w:hideMark/>
          </w:tcPr>
          <w:p w14:paraId="2CE8FF0E" w14:textId="77777777" w:rsidR="005E5406" w:rsidRPr="005E5406" w:rsidRDefault="005E5406" w:rsidP="00206D3D">
            <w:pPr>
              <w:spacing w:after="0"/>
              <w:jc w:val="right"/>
              <w:rPr>
                <w:lang w:eastAsia="en-AU"/>
              </w:rPr>
            </w:pPr>
            <w:r w:rsidRPr="005E5406">
              <w:rPr>
                <w:lang w:eastAsia="en-AU"/>
              </w:rPr>
              <w:t>76</w:t>
            </w:r>
          </w:p>
        </w:tc>
      </w:tr>
      <w:tr w:rsidR="005E5406" w:rsidRPr="005E5406" w14:paraId="22FBF4FE" w14:textId="77777777" w:rsidTr="00206D3D">
        <w:trPr>
          <w:trHeight w:val="300"/>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14:paraId="2D8A101E" w14:textId="77777777" w:rsidR="005E5406" w:rsidRPr="005E5406" w:rsidRDefault="005E5406" w:rsidP="00206D3D">
            <w:pPr>
              <w:spacing w:after="0"/>
              <w:rPr>
                <w:lang w:eastAsia="en-AU"/>
              </w:rPr>
            </w:pPr>
            <w:r w:rsidRPr="005E5406">
              <w:rPr>
                <w:lang w:eastAsia="en-AU"/>
              </w:rPr>
              <w:t>Exported</w:t>
            </w:r>
          </w:p>
        </w:tc>
        <w:tc>
          <w:tcPr>
            <w:tcW w:w="2551" w:type="dxa"/>
            <w:tcBorders>
              <w:top w:val="nil"/>
              <w:left w:val="nil"/>
              <w:bottom w:val="single" w:sz="4" w:space="0" w:color="auto"/>
              <w:right w:val="single" w:sz="4" w:space="0" w:color="auto"/>
            </w:tcBorders>
            <w:shd w:val="clear" w:color="auto" w:fill="auto"/>
            <w:noWrap/>
            <w:vAlign w:val="bottom"/>
            <w:hideMark/>
          </w:tcPr>
          <w:p w14:paraId="24992A64" w14:textId="77777777" w:rsidR="005E5406" w:rsidRPr="005E5406" w:rsidRDefault="005E5406" w:rsidP="00206D3D">
            <w:pPr>
              <w:spacing w:after="0"/>
              <w:jc w:val="right"/>
              <w:rPr>
                <w:lang w:eastAsia="en-AU"/>
              </w:rPr>
            </w:pPr>
            <w:r w:rsidRPr="005E5406">
              <w:rPr>
                <w:lang w:eastAsia="en-AU"/>
              </w:rPr>
              <w:t>22</w:t>
            </w:r>
          </w:p>
        </w:tc>
      </w:tr>
    </w:tbl>
    <w:p w14:paraId="26CA94FD" w14:textId="77777777" w:rsidR="005E5406" w:rsidRDefault="005E5406" w:rsidP="00206D3D">
      <w:pPr>
        <w:rPr>
          <w:rFonts w:ascii="Helvetica Light" w:hAnsi="Helvetica Light" w:cstheme="minorBidi"/>
          <w:szCs w:val="20"/>
        </w:rPr>
      </w:pPr>
    </w:p>
    <w:p w14:paraId="5309B394" w14:textId="6E774696" w:rsidR="00206D3D" w:rsidRPr="007E394F" w:rsidRDefault="00206D3D" w:rsidP="00206D3D">
      <w:pPr>
        <w:rPr>
          <w:rFonts w:cs="Arial"/>
          <w:szCs w:val="20"/>
        </w:rPr>
      </w:pPr>
      <w:r w:rsidRPr="007E394F">
        <w:rPr>
          <w:rFonts w:cs="Arial"/>
          <w:szCs w:val="20"/>
        </w:rPr>
        <w:t xml:space="preserve">Return to </w:t>
      </w:r>
      <w:hyperlink w:anchor="_4.2.4_Solar_Generation" w:history="1">
        <w:r w:rsidRPr="00206D3D">
          <w:rPr>
            <w:rStyle w:val="Hyperlink"/>
            <w:rFonts w:cs="Arial"/>
            <w:szCs w:val="20"/>
          </w:rPr>
          <w:t>Solar Generation</w:t>
        </w:r>
      </w:hyperlink>
    </w:p>
    <w:p w14:paraId="6A6E1242" w14:textId="02E9591B" w:rsidR="00206D3D" w:rsidRDefault="00944E9B" w:rsidP="00206D3D">
      <w:pPr>
        <w:pStyle w:val="Heading3"/>
        <w:rPr>
          <w:rFonts w:hint="eastAsia"/>
        </w:rPr>
      </w:pPr>
      <w:bookmarkStart w:id="280" w:name="_Solar_Generation_by"/>
      <w:bookmarkEnd w:id="280"/>
      <w:r>
        <w:t>Table A.4</w:t>
      </w:r>
      <w:r w:rsidR="00A13E20">
        <w:t>2</w:t>
      </w:r>
      <w:r>
        <w:tab/>
      </w:r>
      <w:r w:rsidR="00206D3D" w:rsidRPr="005E5406">
        <w:t>Solar Generation by Installation Size</w:t>
      </w:r>
    </w:p>
    <w:tbl>
      <w:tblPr>
        <w:tblW w:w="5245" w:type="dxa"/>
        <w:tblInd w:w="-5" w:type="dxa"/>
        <w:tblLook w:val="04A0" w:firstRow="1" w:lastRow="0" w:firstColumn="1" w:lastColumn="0" w:noHBand="0" w:noVBand="1"/>
      </w:tblPr>
      <w:tblGrid>
        <w:gridCol w:w="2835"/>
        <w:gridCol w:w="2410"/>
      </w:tblGrid>
      <w:tr w:rsidR="005E5406" w:rsidRPr="005E5406" w14:paraId="48B21A78" w14:textId="77777777" w:rsidTr="00206D3D">
        <w:trPr>
          <w:trHeight w:val="300"/>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7623B9" w14:textId="77777777" w:rsidR="005E5406" w:rsidRPr="00206D3D" w:rsidRDefault="005E5406" w:rsidP="00206D3D">
            <w:pPr>
              <w:spacing w:after="0"/>
              <w:rPr>
                <w:b/>
                <w:bCs/>
                <w:lang w:eastAsia="en-AU"/>
              </w:rPr>
            </w:pPr>
            <w:bookmarkStart w:id="281" w:name="_Figure_43:_Solar"/>
            <w:bookmarkEnd w:id="281"/>
            <w:r w:rsidRPr="00206D3D">
              <w:rPr>
                <w:b/>
                <w:bCs/>
                <w:lang w:eastAsia="en-AU"/>
              </w:rPr>
              <w:t>Solar Installation Size (kW)</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14:paraId="47454D45" w14:textId="77777777" w:rsidR="005E5406" w:rsidRPr="00206D3D" w:rsidRDefault="005E5406" w:rsidP="00206D3D">
            <w:pPr>
              <w:spacing w:after="0"/>
              <w:rPr>
                <w:b/>
                <w:bCs/>
                <w:lang w:eastAsia="en-AU"/>
              </w:rPr>
            </w:pPr>
            <w:r w:rsidRPr="00206D3D">
              <w:rPr>
                <w:b/>
                <w:bCs/>
                <w:lang w:eastAsia="en-AU"/>
              </w:rPr>
              <w:t>Solar Generation (TJ)</w:t>
            </w:r>
          </w:p>
        </w:tc>
      </w:tr>
      <w:tr w:rsidR="005E5406" w:rsidRPr="005E5406" w14:paraId="3534C370" w14:textId="77777777" w:rsidTr="00206D3D">
        <w:trPr>
          <w:trHeight w:val="300"/>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14:paraId="73AE5597" w14:textId="77777777" w:rsidR="005E5406" w:rsidRPr="005E5406" w:rsidRDefault="005E5406" w:rsidP="00206D3D">
            <w:pPr>
              <w:spacing w:after="0"/>
              <w:jc w:val="right"/>
              <w:rPr>
                <w:lang w:eastAsia="en-AU"/>
              </w:rPr>
            </w:pPr>
            <w:r w:rsidRPr="005E5406">
              <w:rPr>
                <w:lang w:eastAsia="en-AU"/>
              </w:rPr>
              <w:t>&lt;10</w:t>
            </w:r>
          </w:p>
        </w:tc>
        <w:tc>
          <w:tcPr>
            <w:tcW w:w="2410" w:type="dxa"/>
            <w:tcBorders>
              <w:top w:val="nil"/>
              <w:left w:val="nil"/>
              <w:bottom w:val="single" w:sz="4" w:space="0" w:color="auto"/>
              <w:right w:val="single" w:sz="4" w:space="0" w:color="auto"/>
            </w:tcBorders>
            <w:shd w:val="clear" w:color="auto" w:fill="auto"/>
            <w:noWrap/>
            <w:vAlign w:val="bottom"/>
            <w:hideMark/>
          </w:tcPr>
          <w:p w14:paraId="0216868F" w14:textId="77777777" w:rsidR="005E5406" w:rsidRPr="005E5406" w:rsidRDefault="005E5406" w:rsidP="00206D3D">
            <w:pPr>
              <w:spacing w:after="0"/>
              <w:jc w:val="right"/>
              <w:rPr>
                <w:lang w:eastAsia="en-AU"/>
              </w:rPr>
            </w:pPr>
            <w:r w:rsidRPr="005E5406">
              <w:rPr>
                <w:lang w:eastAsia="en-AU"/>
              </w:rPr>
              <w:t>23</w:t>
            </w:r>
          </w:p>
        </w:tc>
      </w:tr>
      <w:tr w:rsidR="005E5406" w:rsidRPr="005E5406" w14:paraId="28D9C896" w14:textId="77777777" w:rsidTr="00206D3D">
        <w:trPr>
          <w:trHeight w:val="300"/>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14:paraId="443A6EF7" w14:textId="77777777" w:rsidR="005E5406" w:rsidRPr="005E5406" w:rsidRDefault="005E5406" w:rsidP="00206D3D">
            <w:pPr>
              <w:spacing w:after="0"/>
              <w:jc w:val="right"/>
              <w:rPr>
                <w:lang w:eastAsia="en-AU"/>
              </w:rPr>
            </w:pPr>
            <w:r w:rsidRPr="005E5406">
              <w:rPr>
                <w:lang w:eastAsia="en-AU"/>
              </w:rPr>
              <w:t>10-100</w:t>
            </w:r>
          </w:p>
        </w:tc>
        <w:tc>
          <w:tcPr>
            <w:tcW w:w="2410" w:type="dxa"/>
            <w:tcBorders>
              <w:top w:val="nil"/>
              <w:left w:val="nil"/>
              <w:bottom w:val="single" w:sz="4" w:space="0" w:color="auto"/>
              <w:right w:val="single" w:sz="4" w:space="0" w:color="auto"/>
            </w:tcBorders>
            <w:shd w:val="clear" w:color="auto" w:fill="auto"/>
            <w:noWrap/>
            <w:vAlign w:val="bottom"/>
            <w:hideMark/>
          </w:tcPr>
          <w:p w14:paraId="10BFCAF5" w14:textId="77777777" w:rsidR="005E5406" w:rsidRPr="005E5406" w:rsidRDefault="005E5406" w:rsidP="00206D3D">
            <w:pPr>
              <w:spacing w:after="0"/>
              <w:jc w:val="right"/>
              <w:rPr>
                <w:lang w:eastAsia="en-AU"/>
              </w:rPr>
            </w:pPr>
            <w:r w:rsidRPr="005E5406">
              <w:rPr>
                <w:lang w:eastAsia="en-AU"/>
              </w:rPr>
              <w:t>59</w:t>
            </w:r>
          </w:p>
        </w:tc>
      </w:tr>
      <w:tr w:rsidR="005E5406" w:rsidRPr="005E5406" w14:paraId="6C0F0775" w14:textId="77777777" w:rsidTr="00206D3D">
        <w:trPr>
          <w:trHeight w:val="300"/>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14:paraId="45F0E315" w14:textId="77777777" w:rsidR="005E5406" w:rsidRPr="005E5406" w:rsidRDefault="005E5406" w:rsidP="00206D3D">
            <w:pPr>
              <w:spacing w:after="0"/>
              <w:jc w:val="right"/>
              <w:rPr>
                <w:lang w:eastAsia="en-AU"/>
              </w:rPr>
            </w:pPr>
            <w:r w:rsidRPr="005E5406">
              <w:rPr>
                <w:lang w:eastAsia="en-AU"/>
              </w:rPr>
              <w:t>&gt;100</w:t>
            </w:r>
          </w:p>
        </w:tc>
        <w:tc>
          <w:tcPr>
            <w:tcW w:w="2410" w:type="dxa"/>
            <w:tcBorders>
              <w:top w:val="nil"/>
              <w:left w:val="nil"/>
              <w:bottom w:val="single" w:sz="4" w:space="0" w:color="auto"/>
              <w:right w:val="single" w:sz="4" w:space="0" w:color="auto"/>
            </w:tcBorders>
            <w:shd w:val="clear" w:color="auto" w:fill="auto"/>
            <w:noWrap/>
            <w:vAlign w:val="bottom"/>
            <w:hideMark/>
          </w:tcPr>
          <w:p w14:paraId="45446622" w14:textId="77777777" w:rsidR="005E5406" w:rsidRPr="005E5406" w:rsidRDefault="005E5406" w:rsidP="00206D3D">
            <w:pPr>
              <w:spacing w:after="0"/>
              <w:jc w:val="right"/>
              <w:rPr>
                <w:lang w:eastAsia="en-AU"/>
              </w:rPr>
            </w:pPr>
            <w:r w:rsidRPr="005E5406">
              <w:rPr>
                <w:lang w:eastAsia="en-AU"/>
              </w:rPr>
              <w:t>16</w:t>
            </w:r>
          </w:p>
        </w:tc>
      </w:tr>
    </w:tbl>
    <w:p w14:paraId="10E9906B" w14:textId="77777777" w:rsidR="005E5406" w:rsidRDefault="005E5406" w:rsidP="00190FC7">
      <w:pPr>
        <w:rPr>
          <w:rFonts w:ascii="Helvetica Light" w:hAnsi="Helvetica Light" w:cstheme="minorBidi"/>
          <w:szCs w:val="20"/>
        </w:rPr>
      </w:pPr>
    </w:p>
    <w:p w14:paraId="364ABD4B" w14:textId="77777777" w:rsidR="00190FC7" w:rsidRPr="007E394F" w:rsidRDefault="00190FC7" w:rsidP="00190FC7">
      <w:pPr>
        <w:rPr>
          <w:rFonts w:cs="Arial"/>
          <w:szCs w:val="20"/>
        </w:rPr>
      </w:pPr>
      <w:r w:rsidRPr="007E394F">
        <w:rPr>
          <w:rFonts w:cs="Arial"/>
          <w:szCs w:val="20"/>
        </w:rPr>
        <w:t xml:space="preserve">Return to </w:t>
      </w:r>
      <w:hyperlink w:anchor="_4.2.4_Solar_Generation" w:history="1">
        <w:r w:rsidRPr="00206D3D">
          <w:rPr>
            <w:rStyle w:val="Hyperlink"/>
            <w:rFonts w:cs="Arial"/>
            <w:szCs w:val="20"/>
          </w:rPr>
          <w:t>Solar Generation</w:t>
        </w:r>
      </w:hyperlink>
    </w:p>
    <w:p w14:paraId="71E3B8BD" w14:textId="658F6DE1" w:rsidR="00190FC7" w:rsidRPr="00190FC7" w:rsidRDefault="00944E9B" w:rsidP="00190FC7">
      <w:pPr>
        <w:pStyle w:val="Heading3"/>
        <w:rPr>
          <w:rFonts w:hint="eastAsia"/>
        </w:rPr>
      </w:pPr>
      <w:bookmarkStart w:id="282" w:name="_Solar_Generation_by_1"/>
      <w:bookmarkEnd w:id="282"/>
      <w:r>
        <w:t>Table A.4</w:t>
      </w:r>
      <w:r w:rsidR="00A13E20">
        <w:t>3</w:t>
      </w:r>
      <w:r>
        <w:tab/>
      </w:r>
      <w:r w:rsidR="00190FC7" w:rsidRPr="005E5406">
        <w:t>Solar Generation by Postcode</w:t>
      </w:r>
    </w:p>
    <w:tbl>
      <w:tblPr>
        <w:tblW w:w="4111" w:type="dxa"/>
        <w:tblInd w:w="-5" w:type="dxa"/>
        <w:tblLook w:val="04A0" w:firstRow="1" w:lastRow="0" w:firstColumn="1" w:lastColumn="0" w:noHBand="0" w:noVBand="1"/>
      </w:tblPr>
      <w:tblGrid>
        <w:gridCol w:w="1418"/>
        <w:gridCol w:w="2693"/>
      </w:tblGrid>
      <w:tr w:rsidR="005E5406" w:rsidRPr="00190FC7" w14:paraId="6BD1F657" w14:textId="77777777" w:rsidTr="008E1EF1">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B15780" w14:textId="77777777" w:rsidR="005E5406" w:rsidRPr="00190FC7" w:rsidRDefault="005E5406" w:rsidP="005E5406">
            <w:pPr>
              <w:spacing w:after="0" w:line="240" w:lineRule="auto"/>
              <w:rPr>
                <w:rFonts w:eastAsia="Times New Roman" w:cs="Arial"/>
                <w:b/>
                <w:bCs/>
                <w:color w:val="000000"/>
                <w:szCs w:val="20"/>
                <w:lang w:eastAsia="en-AU"/>
              </w:rPr>
            </w:pPr>
            <w:bookmarkStart w:id="283" w:name="_Figure_44:_Solar"/>
            <w:bookmarkEnd w:id="283"/>
            <w:r w:rsidRPr="00190FC7">
              <w:rPr>
                <w:rFonts w:eastAsia="Times New Roman" w:cs="Arial"/>
                <w:b/>
                <w:bCs/>
                <w:color w:val="000000"/>
                <w:szCs w:val="20"/>
                <w:lang w:eastAsia="en-AU"/>
              </w:rPr>
              <w:t xml:space="preserve">Postcode </w:t>
            </w:r>
          </w:p>
        </w:tc>
        <w:tc>
          <w:tcPr>
            <w:tcW w:w="2693" w:type="dxa"/>
            <w:tcBorders>
              <w:top w:val="single" w:sz="4" w:space="0" w:color="auto"/>
              <w:left w:val="nil"/>
              <w:bottom w:val="single" w:sz="4" w:space="0" w:color="auto"/>
              <w:right w:val="single" w:sz="4" w:space="0" w:color="auto"/>
            </w:tcBorders>
            <w:shd w:val="clear" w:color="auto" w:fill="auto"/>
            <w:noWrap/>
            <w:vAlign w:val="bottom"/>
            <w:hideMark/>
          </w:tcPr>
          <w:p w14:paraId="3376B386" w14:textId="77777777" w:rsidR="005E5406" w:rsidRPr="00190FC7" w:rsidRDefault="005E5406" w:rsidP="005E5406">
            <w:pPr>
              <w:spacing w:after="0" w:line="240" w:lineRule="auto"/>
              <w:rPr>
                <w:rFonts w:eastAsia="Times New Roman" w:cs="Arial"/>
                <w:b/>
                <w:bCs/>
                <w:color w:val="000000"/>
                <w:szCs w:val="20"/>
                <w:lang w:eastAsia="en-AU"/>
              </w:rPr>
            </w:pPr>
            <w:r w:rsidRPr="00190FC7">
              <w:rPr>
                <w:rFonts w:eastAsia="Times New Roman" w:cs="Arial"/>
                <w:b/>
                <w:bCs/>
                <w:color w:val="000000"/>
                <w:szCs w:val="20"/>
                <w:lang w:eastAsia="en-AU"/>
              </w:rPr>
              <w:t>Solar Generation (kWh)</w:t>
            </w:r>
          </w:p>
        </w:tc>
      </w:tr>
      <w:tr w:rsidR="005E5406" w:rsidRPr="00190FC7" w14:paraId="36004160" w14:textId="77777777" w:rsidTr="008E1EF1">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14:paraId="70E45F90" w14:textId="77777777" w:rsidR="005E5406" w:rsidRPr="00190FC7" w:rsidRDefault="005E5406" w:rsidP="008E1EF1">
            <w:pPr>
              <w:spacing w:after="0" w:line="240" w:lineRule="auto"/>
              <w:jc w:val="right"/>
              <w:rPr>
                <w:rFonts w:eastAsia="Times New Roman" w:cs="Arial"/>
                <w:color w:val="000000"/>
                <w:szCs w:val="20"/>
                <w:lang w:eastAsia="en-AU"/>
              </w:rPr>
            </w:pPr>
            <w:r w:rsidRPr="00190FC7">
              <w:rPr>
                <w:rFonts w:eastAsia="Times New Roman" w:cs="Arial"/>
                <w:color w:val="000000"/>
                <w:szCs w:val="20"/>
                <w:lang w:eastAsia="en-AU"/>
              </w:rPr>
              <w:t>3207</w:t>
            </w:r>
          </w:p>
        </w:tc>
        <w:tc>
          <w:tcPr>
            <w:tcW w:w="2693" w:type="dxa"/>
            <w:tcBorders>
              <w:top w:val="nil"/>
              <w:left w:val="nil"/>
              <w:bottom w:val="single" w:sz="4" w:space="0" w:color="auto"/>
              <w:right w:val="single" w:sz="4" w:space="0" w:color="auto"/>
            </w:tcBorders>
            <w:shd w:val="clear" w:color="auto" w:fill="auto"/>
            <w:noWrap/>
            <w:vAlign w:val="bottom"/>
            <w:hideMark/>
          </w:tcPr>
          <w:p w14:paraId="0433102D" w14:textId="75704E8F" w:rsidR="005E5406" w:rsidRPr="00190FC7" w:rsidRDefault="005E5406" w:rsidP="008E1EF1">
            <w:pPr>
              <w:spacing w:after="0" w:line="240" w:lineRule="auto"/>
              <w:jc w:val="right"/>
              <w:rPr>
                <w:rFonts w:eastAsia="Times New Roman" w:cs="Arial"/>
                <w:color w:val="000000"/>
                <w:szCs w:val="20"/>
                <w:lang w:eastAsia="en-AU"/>
              </w:rPr>
            </w:pPr>
            <w:r w:rsidRPr="00190FC7">
              <w:rPr>
                <w:rFonts w:eastAsia="Times New Roman" w:cs="Arial"/>
                <w:color w:val="000000"/>
                <w:szCs w:val="20"/>
                <w:lang w:eastAsia="en-AU"/>
              </w:rPr>
              <w:t xml:space="preserve">3,310,002 </w:t>
            </w:r>
          </w:p>
        </w:tc>
      </w:tr>
      <w:tr w:rsidR="005E5406" w:rsidRPr="00190FC7" w14:paraId="28BA7B82" w14:textId="77777777" w:rsidTr="008E1EF1">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14:paraId="42D8CE1A" w14:textId="77777777" w:rsidR="005E5406" w:rsidRPr="00190FC7" w:rsidRDefault="005E5406" w:rsidP="008E1EF1">
            <w:pPr>
              <w:spacing w:after="0" w:line="240" w:lineRule="auto"/>
              <w:jc w:val="right"/>
              <w:rPr>
                <w:rFonts w:eastAsia="Times New Roman" w:cs="Arial"/>
                <w:color w:val="000000"/>
                <w:szCs w:val="20"/>
                <w:lang w:eastAsia="en-AU"/>
              </w:rPr>
            </w:pPr>
            <w:r w:rsidRPr="00190FC7">
              <w:rPr>
                <w:rFonts w:eastAsia="Times New Roman" w:cs="Arial"/>
                <w:color w:val="000000"/>
                <w:szCs w:val="20"/>
                <w:lang w:eastAsia="en-AU"/>
              </w:rPr>
              <w:t>3008</w:t>
            </w:r>
          </w:p>
        </w:tc>
        <w:tc>
          <w:tcPr>
            <w:tcW w:w="2693" w:type="dxa"/>
            <w:tcBorders>
              <w:top w:val="nil"/>
              <w:left w:val="nil"/>
              <w:bottom w:val="single" w:sz="4" w:space="0" w:color="auto"/>
              <w:right w:val="single" w:sz="4" w:space="0" w:color="auto"/>
            </w:tcBorders>
            <w:shd w:val="clear" w:color="auto" w:fill="auto"/>
            <w:noWrap/>
            <w:vAlign w:val="bottom"/>
            <w:hideMark/>
          </w:tcPr>
          <w:p w14:paraId="12678733" w14:textId="4E462E70" w:rsidR="005E5406" w:rsidRPr="00190FC7" w:rsidRDefault="005E5406" w:rsidP="008E1EF1">
            <w:pPr>
              <w:spacing w:after="0" w:line="240" w:lineRule="auto"/>
              <w:jc w:val="right"/>
              <w:rPr>
                <w:rFonts w:eastAsia="Times New Roman" w:cs="Arial"/>
                <w:color w:val="000000"/>
                <w:szCs w:val="20"/>
                <w:lang w:eastAsia="en-AU"/>
              </w:rPr>
            </w:pPr>
            <w:r w:rsidRPr="00190FC7">
              <w:rPr>
                <w:rFonts w:eastAsia="Times New Roman" w:cs="Arial"/>
                <w:color w:val="000000"/>
                <w:szCs w:val="20"/>
                <w:lang w:eastAsia="en-AU"/>
              </w:rPr>
              <w:t xml:space="preserve">3,094,470 </w:t>
            </w:r>
          </w:p>
        </w:tc>
      </w:tr>
      <w:tr w:rsidR="005E5406" w:rsidRPr="00190FC7" w14:paraId="1B7764ED" w14:textId="77777777" w:rsidTr="008E1EF1">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14:paraId="1520E4C0" w14:textId="77777777" w:rsidR="005E5406" w:rsidRPr="00190FC7" w:rsidRDefault="005E5406" w:rsidP="008E1EF1">
            <w:pPr>
              <w:spacing w:after="0" w:line="240" w:lineRule="auto"/>
              <w:jc w:val="right"/>
              <w:rPr>
                <w:rFonts w:eastAsia="Times New Roman" w:cs="Arial"/>
                <w:color w:val="000000"/>
                <w:szCs w:val="20"/>
                <w:lang w:eastAsia="en-AU"/>
              </w:rPr>
            </w:pPr>
            <w:r w:rsidRPr="00190FC7">
              <w:rPr>
                <w:rFonts w:eastAsia="Times New Roman" w:cs="Arial"/>
                <w:color w:val="000000"/>
                <w:szCs w:val="20"/>
                <w:lang w:eastAsia="en-AU"/>
              </w:rPr>
              <w:t>3000</w:t>
            </w:r>
          </w:p>
        </w:tc>
        <w:tc>
          <w:tcPr>
            <w:tcW w:w="2693" w:type="dxa"/>
            <w:tcBorders>
              <w:top w:val="nil"/>
              <w:left w:val="nil"/>
              <w:bottom w:val="single" w:sz="4" w:space="0" w:color="auto"/>
              <w:right w:val="single" w:sz="4" w:space="0" w:color="auto"/>
            </w:tcBorders>
            <w:shd w:val="clear" w:color="auto" w:fill="auto"/>
            <w:noWrap/>
            <w:vAlign w:val="bottom"/>
            <w:hideMark/>
          </w:tcPr>
          <w:p w14:paraId="29F447E8" w14:textId="1301EA0F" w:rsidR="005E5406" w:rsidRPr="00190FC7" w:rsidRDefault="005E5406" w:rsidP="008E1EF1">
            <w:pPr>
              <w:spacing w:after="0" w:line="240" w:lineRule="auto"/>
              <w:jc w:val="right"/>
              <w:rPr>
                <w:rFonts w:eastAsia="Times New Roman" w:cs="Arial"/>
                <w:color w:val="000000"/>
                <w:szCs w:val="20"/>
                <w:lang w:eastAsia="en-AU"/>
              </w:rPr>
            </w:pPr>
            <w:r w:rsidRPr="00190FC7">
              <w:rPr>
                <w:rFonts w:eastAsia="Times New Roman" w:cs="Arial"/>
                <w:color w:val="000000"/>
                <w:szCs w:val="20"/>
                <w:lang w:eastAsia="en-AU"/>
              </w:rPr>
              <w:t xml:space="preserve">2,984,094 </w:t>
            </w:r>
          </w:p>
        </w:tc>
      </w:tr>
      <w:tr w:rsidR="005E5406" w:rsidRPr="00190FC7" w14:paraId="097DF5DB" w14:textId="77777777" w:rsidTr="008E1EF1">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14:paraId="4E67A32D" w14:textId="77777777" w:rsidR="005E5406" w:rsidRPr="00190FC7" w:rsidRDefault="005E5406" w:rsidP="008E1EF1">
            <w:pPr>
              <w:spacing w:after="0" w:line="240" w:lineRule="auto"/>
              <w:jc w:val="right"/>
              <w:rPr>
                <w:rFonts w:eastAsia="Times New Roman" w:cs="Arial"/>
                <w:color w:val="000000"/>
                <w:szCs w:val="20"/>
                <w:lang w:eastAsia="en-AU"/>
              </w:rPr>
            </w:pPr>
            <w:r w:rsidRPr="00190FC7">
              <w:rPr>
                <w:rFonts w:eastAsia="Times New Roman" w:cs="Arial"/>
                <w:color w:val="000000"/>
                <w:szCs w:val="20"/>
                <w:lang w:eastAsia="en-AU"/>
              </w:rPr>
              <w:t>3006</w:t>
            </w:r>
          </w:p>
        </w:tc>
        <w:tc>
          <w:tcPr>
            <w:tcW w:w="2693" w:type="dxa"/>
            <w:tcBorders>
              <w:top w:val="nil"/>
              <w:left w:val="nil"/>
              <w:bottom w:val="single" w:sz="4" w:space="0" w:color="auto"/>
              <w:right w:val="single" w:sz="4" w:space="0" w:color="auto"/>
            </w:tcBorders>
            <w:shd w:val="clear" w:color="auto" w:fill="auto"/>
            <w:noWrap/>
            <w:vAlign w:val="bottom"/>
            <w:hideMark/>
          </w:tcPr>
          <w:p w14:paraId="78EBCF55" w14:textId="4D4F3E27" w:rsidR="005E5406" w:rsidRPr="00190FC7" w:rsidRDefault="005E5406" w:rsidP="008E1EF1">
            <w:pPr>
              <w:spacing w:after="0" w:line="240" w:lineRule="auto"/>
              <w:jc w:val="right"/>
              <w:rPr>
                <w:rFonts w:eastAsia="Times New Roman" w:cs="Arial"/>
                <w:color w:val="000000"/>
                <w:szCs w:val="20"/>
                <w:lang w:eastAsia="en-AU"/>
              </w:rPr>
            </w:pPr>
            <w:r w:rsidRPr="00190FC7">
              <w:rPr>
                <w:rFonts w:eastAsia="Times New Roman" w:cs="Arial"/>
                <w:color w:val="000000"/>
                <w:szCs w:val="20"/>
                <w:lang w:eastAsia="en-AU"/>
              </w:rPr>
              <w:t xml:space="preserve">2,940,222 </w:t>
            </w:r>
          </w:p>
        </w:tc>
      </w:tr>
      <w:tr w:rsidR="005E5406" w:rsidRPr="00190FC7" w14:paraId="447673A0" w14:textId="77777777" w:rsidTr="008E1EF1">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14:paraId="404D7D58" w14:textId="77777777" w:rsidR="005E5406" w:rsidRPr="00190FC7" w:rsidRDefault="005E5406" w:rsidP="008E1EF1">
            <w:pPr>
              <w:spacing w:after="0" w:line="240" w:lineRule="auto"/>
              <w:jc w:val="right"/>
              <w:rPr>
                <w:rFonts w:eastAsia="Times New Roman" w:cs="Arial"/>
                <w:color w:val="000000"/>
                <w:szCs w:val="20"/>
                <w:lang w:eastAsia="en-AU"/>
              </w:rPr>
            </w:pPr>
            <w:r w:rsidRPr="00190FC7">
              <w:rPr>
                <w:rFonts w:eastAsia="Times New Roman" w:cs="Arial"/>
                <w:color w:val="000000"/>
                <w:szCs w:val="20"/>
                <w:lang w:eastAsia="en-AU"/>
              </w:rPr>
              <w:t>3031</w:t>
            </w:r>
          </w:p>
        </w:tc>
        <w:tc>
          <w:tcPr>
            <w:tcW w:w="2693" w:type="dxa"/>
            <w:tcBorders>
              <w:top w:val="nil"/>
              <w:left w:val="nil"/>
              <w:bottom w:val="single" w:sz="4" w:space="0" w:color="auto"/>
              <w:right w:val="single" w:sz="4" w:space="0" w:color="auto"/>
            </w:tcBorders>
            <w:shd w:val="clear" w:color="auto" w:fill="auto"/>
            <w:noWrap/>
            <w:vAlign w:val="bottom"/>
            <w:hideMark/>
          </w:tcPr>
          <w:p w14:paraId="77CE67F1" w14:textId="5DE2CD69" w:rsidR="005E5406" w:rsidRPr="00190FC7" w:rsidRDefault="005E5406" w:rsidP="008E1EF1">
            <w:pPr>
              <w:spacing w:after="0" w:line="240" w:lineRule="auto"/>
              <w:jc w:val="right"/>
              <w:rPr>
                <w:rFonts w:eastAsia="Times New Roman" w:cs="Arial"/>
                <w:color w:val="000000"/>
                <w:szCs w:val="20"/>
                <w:lang w:eastAsia="en-AU"/>
              </w:rPr>
            </w:pPr>
            <w:r w:rsidRPr="00190FC7">
              <w:rPr>
                <w:rFonts w:eastAsia="Times New Roman" w:cs="Arial"/>
                <w:color w:val="000000"/>
                <w:szCs w:val="20"/>
                <w:lang w:eastAsia="en-AU"/>
              </w:rPr>
              <w:t xml:space="preserve">2,915,577 </w:t>
            </w:r>
          </w:p>
        </w:tc>
      </w:tr>
      <w:tr w:rsidR="005E5406" w:rsidRPr="00190FC7" w14:paraId="569DC014" w14:textId="77777777" w:rsidTr="008E1EF1">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14:paraId="0F3E8A55" w14:textId="77777777" w:rsidR="005E5406" w:rsidRPr="00190FC7" w:rsidRDefault="005E5406" w:rsidP="008E1EF1">
            <w:pPr>
              <w:spacing w:after="0" w:line="240" w:lineRule="auto"/>
              <w:jc w:val="right"/>
              <w:rPr>
                <w:rFonts w:eastAsia="Times New Roman" w:cs="Arial"/>
                <w:color w:val="000000"/>
                <w:szCs w:val="20"/>
                <w:lang w:eastAsia="en-AU"/>
              </w:rPr>
            </w:pPr>
            <w:r w:rsidRPr="00190FC7">
              <w:rPr>
                <w:rFonts w:eastAsia="Times New Roman" w:cs="Arial"/>
                <w:color w:val="000000"/>
                <w:szCs w:val="20"/>
                <w:lang w:eastAsia="en-AU"/>
              </w:rPr>
              <w:t>3052</w:t>
            </w:r>
          </w:p>
        </w:tc>
        <w:tc>
          <w:tcPr>
            <w:tcW w:w="2693" w:type="dxa"/>
            <w:tcBorders>
              <w:top w:val="nil"/>
              <w:left w:val="nil"/>
              <w:bottom w:val="single" w:sz="4" w:space="0" w:color="auto"/>
              <w:right w:val="single" w:sz="4" w:space="0" w:color="auto"/>
            </w:tcBorders>
            <w:shd w:val="clear" w:color="auto" w:fill="auto"/>
            <w:noWrap/>
            <w:vAlign w:val="bottom"/>
            <w:hideMark/>
          </w:tcPr>
          <w:p w14:paraId="6D4DA41C" w14:textId="2F75CD2E" w:rsidR="005E5406" w:rsidRPr="00190FC7" w:rsidRDefault="005E5406" w:rsidP="008E1EF1">
            <w:pPr>
              <w:spacing w:after="0" w:line="240" w:lineRule="auto"/>
              <w:jc w:val="right"/>
              <w:rPr>
                <w:rFonts w:eastAsia="Times New Roman" w:cs="Arial"/>
                <w:color w:val="000000"/>
                <w:szCs w:val="20"/>
                <w:lang w:eastAsia="en-AU"/>
              </w:rPr>
            </w:pPr>
            <w:r w:rsidRPr="00190FC7">
              <w:rPr>
                <w:rFonts w:eastAsia="Times New Roman" w:cs="Arial"/>
                <w:color w:val="000000"/>
                <w:szCs w:val="20"/>
                <w:lang w:eastAsia="en-AU"/>
              </w:rPr>
              <w:t xml:space="preserve">2,755,457 </w:t>
            </w:r>
          </w:p>
        </w:tc>
      </w:tr>
      <w:tr w:rsidR="005E5406" w:rsidRPr="00190FC7" w14:paraId="2499347C" w14:textId="77777777" w:rsidTr="008E1EF1">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14:paraId="7CDEAD7B" w14:textId="77777777" w:rsidR="005E5406" w:rsidRPr="00190FC7" w:rsidRDefault="005E5406" w:rsidP="008E1EF1">
            <w:pPr>
              <w:spacing w:after="0" w:line="240" w:lineRule="auto"/>
              <w:jc w:val="right"/>
              <w:rPr>
                <w:rFonts w:eastAsia="Times New Roman" w:cs="Arial"/>
                <w:color w:val="000000"/>
                <w:szCs w:val="20"/>
                <w:lang w:eastAsia="en-AU"/>
              </w:rPr>
            </w:pPr>
            <w:r w:rsidRPr="00190FC7">
              <w:rPr>
                <w:rFonts w:eastAsia="Times New Roman" w:cs="Arial"/>
                <w:color w:val="000000"/>
                <w:szCs w:val="20"/>
                <w:lang w:eastAsia="en-AU"/>
              </w:rPr>
              <w:t>3053</w:t>
            </w:r>
          </w:p>
        </w:tc>
        <w:tc>
          <w:tcPr>
            <w:tcW w:w="2693" w:type="dxa"/>
            <w:tcBorders>
              <w:top w:val="nil"/>
              <w:left w:val="nil"/>
              <w:bottom w:val="single" w:sz="4" w:space="0" w:color="auto"/>
              <w:right w:val="single" w:sz="4" w:space="0" w:color="auto"/>
            </w:tcBorders>
            <w:shd w:val="clear" w:color="auto" w:fill="auto"/>
            <w:noWrap/>
            <w:vAlign w:val="bottom"/>
            <w:hideMark/>
          </w:tcPr>
          <w:p w14:paraId="05B24F4F" w14:textId="03700730" w:rsidR="005E5406" w:rsidRPr="00190FC7" w:rsidRDefault="005E5406" w:rsidP="008E1EF1">
            <w:pPr>
              <w:spacing w:after="0" w:line="240" w:lineRule="auto"/>
              <w:jc w:val="right"/>
              <w:rPr>
                <w:rFonts w:eastAsia="Times New Roman" w:cs="Arial"/>
                <w:color w:val="000000"/>
                <w:szCs w:val="20"/>
                <w:lang w:eastAsia="en-AU"/>
              </w:rPr>
            </w:pPr>
            <w:r w:rsidRPr="00190FC7">
              <w:rPr>
                <w:rFonts w:eastAsia="Times New Roman" w:cs="Arial"/>
                <w:color w:val="000000"/>
                <w:szCs w:val="20"/>
                <w:lang w:eastAsia="en-AU"/>
              </w:rPr>
              <w:t xml:space="preserve">2,579,382 </w:t>
            </w:r>
          </w:p>
        </w:tc>
      </w:tr>
      <w:tr w:rsidR="005E5406" w:rsidRPr="00190FC7" w14:paraId="4E793DF5" w14:textId="77777777" w:rsidTr="008E1EF1">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14:paraId="247F4806" w14:textId="77777777" w:rsidR="005E5406" w:rsidRPr="00190FC7" w:rsidRDefault="005E5406" w:rsidP="008E1EF1">
            <w:pPr>
              <w:spacing w:after="0" w:line="240" w:lineRule="auto"/>
              <w:jc w:val="right"/>
              <w:rPr>
                <w:rFonts w:eastAsia="Times New Roman" w:cs="Arial"/>
                <w:color w:val="000000"/>
                <w:szCs w:val="20"/>
                <w:lang w:eastAsia="en-AU"/>
              </w:rPr>
            </w:pPr>
            <w:r w:rsidRPr="00190FC7">
              <w:rPr>
                <w:rFonts w:eastAsia="Times New Roman" w:cs="Arial"/>
                <w:color w:val="000000"/>
                <w:szCs w:val="20"/>
                <w:lang w:eastAsia="en-AU"/>
              </w:rPr>
              <w:t>3003</w:t>
            </w:r>
          </w:p>
        </w:tc>
        <w:tc>
          <w:tcPr>
            <w:tcW w:w="2693" w:type="dxa"/>
            <w:tcBorders>
              <w:top w:val="nil"/>
              <w:left w:val="nil"/>
              <w:bottom w:val="single" w:sz="4" w:space="0" w:color="auto"/>
              <w:right w:val="single" w:sz="4" w:space="0" w:color="auto"/>
            </w:tcBorders>
            <w:shd w:val="clear" w:color="auto" w:fill="auto"/>
            <w:noWrap/>
            <w:vAlign w:val="bottom"/>
            <w:hideMark/>
          </w:tcPr>
          <w:p w14:paraId="41FAD2E4" w14:textId="3FFEFEEC" w:rsidR="005E5406" w:rsidRPr="00190FC7" w:rsidRDefault="005E5406" w:rsidP="008E1EF1">
            <w:pPr>
              <w:spacing w:after="0" w:line="240" w:lineRule="auto"/>
              <w:jc w:val="right"/>
              <w:rPr>
                <w:rFonts w:eastAsia="Times New Roman" w:cs="Arial"/>
                <w:color w:val="000000"/>
                <w:szCs w:val="20"/>
                <w:lang w:eastAsia="en-AU"/>
              </w:rPr>
            </w:pPr>
            <w:r w:rsidRPr="00190FC7">
              <w:rPr>
                <w:rFonts w:eastAsia="Times New Roman" w:cs="Arial"/>
                <w:color w:val="000000"/>
                <w:szCs w:val="20"/>
                <w:lang w:eastAsia="en-AU"/>
              </w:rPr>
              <w:t xml:space="preserve">2,420,388 </w:t>
            </w:r>
          </w:p>
        </w:tc>
      </w:tr>
      <w:tr w:rsidR="005E5406" w:rsidRPr="00190FC7" w14:paraId="1F787FBA" w14:textId="77777777" w:rsidTr="008E1EF1">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14:paraId="1C4AC4A3" w14:textId="77777777" w:rsidR="005E5406" w:rsidRPr="00190FC7" w:rsidRDefault="005E5406" w:rsidP="008E1EF1">
            <w:pPr>
              <w:spacing w:after="0" w:line="240" w:lineRule="auto"/>
              <w:jc w:val="right"/>
              <w:rPr>
                <w:rFonts w:eastAsia="Times New Roman" w:cs="Arial"/>
                <w:color w:val="000000"/>
                <w:szCs w:val="20"/>
                <w:lang w:eastAsia="en-AU"/>
              </w:rPr>
            </w:pPr>
            <w:r w:rsidRPr="00190FC7">
              <w:rPr>
                <w:rFonts w:eastAsia="Times New Roman" w:cs="Arial"/>
                <w:color w:val="000000"/>
                <w:szCs w:val="20"/>
                <w:lang w:eastAsia="en-AU"/>
              </w:rPr>
              <w:t>3051</w:t>
            </w:r>
          </w:p>
        </w:tc>
        <w:tc>
          <w:tcPr>
            <w:tcW w:w="2693" w:type="dxa"/>
            <w:tcBorders>
              <w:top w:val="nil"/>
              <w:left w:val="nil"/>
              <w:bottom w:val="single" w:sz="4" w:space="0" w:color="auto"/>
              <w:right w:val="single" w:sz="4" w:space="0" w:color="auto"/>
            </w:tcBorders>
            <w:shd w:val="clear" w:color="auto" w:fill="auto"/>
            <w:noWrap/>
            <w:vAlign w:val="bottom"/>
            <w:hideMark/>
          </w:tcPr>
          <w:p w14:paraId="7B665284" w14:textId="154B9250" w:rsidR="005E5406" w:rsidRPr="00190FC7" w:rsidRDefault="005E5406" w:rsidP="008E1EF1">
            <w:pPr>
              <w:spacing w:after="0" w:line="240" w:lineRule="auto"/>
              <w:jc w:val="right"/>
              <w:rPr>
                <w:rFonts w:eastAsia="Times New Roman" w:cs="Arial"/>
                <w:color w:val="000000"/>
                <w:szCs w:val="20"/>
                <w:lang w:eastAsia="en-AU"/>
              </w:rPr>
            </w:pPr>
            <w:r w:rsidRPr="00190FC7">
              <w:rPr>
                <w:rFonts w:eastAsia="Times New Roman" w:cs="Arial"/>
                <w:color w:val="000000"/>
                <w:szCs w:val="20"/>
                <w:lang w:eastAsia="en-AU"/>
              </w:rPr>
              <w:t xml:space="preserve">2,308,698 </w:t>
            </w:r>
          </w:p>
        </w:tc>
      </w:tr>
      <w:tr w:rsidR="005E5406" w:rsidRPr="00190FC7" w14:paraId="3FA0AE64" w14:textId="77777777" w:rsidTr="008E1EF1">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14:paraId="6CC8BA17" w14:textId="77777777" w:rsidR="005E5406" w:rsidRPr="00190FC7" w:rsidRDefault="005E5406" w:rsidP="008E1EF1">
            <w:pPr>
              <w:spacing w:after="0" w:line="240" w:lineRule="auto"/>
              <w:jc w:val="right"/>
              <w:rPr>
                <w:rFonts w:eastAsia="Times New Roman" w:cs="Arial"/>
                <w:color w:val="000000"/>
                <w:szCs w:val="20"/>
                <w:lang w:eastAsia="en-AU"/>
              </w:rPr>
            </w:pPr>
            <w:r w:rsidRPr="00190FC7">
              <w:rPr>
                <w:rFonts w:eastAsia="Times New Roman" w:cs="Arial"/>
                <w:color w:val="000000"/>
                <w:szCs w:val="20"/>
                <w:lang w:eastAsia="en-AU"/>
              </w:rPr>
              <w:t>3002</w:t>
            </w:r>
          </w:p>
        </w:tc>
        <w:tc>
          <w:tcPr>
            <w:tcW w:w="2693" w:type="dxa"/>
            <w:tcBorders>
              <w:top w:val="nil"/>
              <w:left w:val="nil"/>
              <w:bottom w:val="single" w:sz="4" w:space="0" w:color="auto"/>
              <w:right w:val="single" w:sz="4" w:space="0" w:color="auto"/>
            </w:tcBorders>
            <w:shd w:val="clear" w:color="auto" w:fill="auto"/>
            <w:noWrap/>
            <w:vAlign w:val="bottom"/>
            <w:hideMark/>
          </w:tcPr>
          <w:p w14:paraId="6B97F50C" w14:textId="2E691BD9" w:rsidR="005E5406" w:rsidRPr="00190FC7" w:rsidRDefault="005E5406" w:rsidP="008E1EF1">
            <w:pPr>
              <w:spacing w:after="0" w:line="240" w:lineRule="auto"/>
              <w:jc w:val="right"/>
              <w:rPr>
                <w:rFonts w:eastAsia="Times New Roman" w:cs="Arial"/>
                <w:color w:val="000000"/>
                <w:szCs w:val="20"/>
                <w:lang w:eastAsia="en-AU"/>
              </w:rPr>
            </w:pPr>
            <w:r w:rsidRPr="00190FC7">
              <w:rPr>
                <w:rFonts w:eastAsia="Times New Roman" w:cs="Arial"/>
                <w:color w:val="000000"/>
                <w:szCs w:val="20"/>
                <w:lang w:eastAsia="en-AU"/>
              </w:rPr>
              <w:t xml:space="preserve">1,006,524 </w:t>
            </w:r>
          </w:p>
        </w:tc>
      </w:tr>
      <w:tr w:rsidR="005E5406" w:rsidRPr="00190FC7" w14:paraId="74DDD4F3" w14:textId="77777777" w:rsidTr="008E1EF1">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14:paraId="124F14DD" w14:textId="77777777" w:rsidR="005E5406" w:rsidRPr="00190FC7" w:rsidRDefault="005E5406" w:rsidP="008E1EF1">
            <w:pPr>
              <w:spacing w:after="0" w:line="240" w:lineRule="auto"/>
              <w:jc w:val="right"/>
              <w:rPr>
                <w:rFonts w:eastAsia="Times New Roman" w:cs="Arial"/>
                <w:color w:val="000000"/>
                <w:szCs w:val="20"/>
                <w:lang w:eastAsia="en-AU"/>
              </w:rPr>
            </w:pPr>
            <w:r w:rsidRPr="00190FC7">
              <w:rPr>
                <w:rFonts w:eastAsia="Times New Roman" w:cs="Arial"/>
                <w:color w:val="000000"/>
                <w:szCs w:val="20"/>
                <w:lang w:eastAsia="en-AU"/>
              </w:rPr>
              <w:t>3141</w:t>
            </w:r>
          </w:p>
        </w:tc>
        <w:tc>
          <w:tcPr>
            <w:tcW w:w="2693" w:type="dxa"/>
            <w:tcBorders>
              <w:top w:val="nil"/>
              <w:left w:val="nil"/>
              <w:bottom w:val="single" w:sz="4" w:space="0" w:color="auto"/>
              <w:right w:val="single" w:sz="4" w:space="0" w:color="auto"/>
            </w:tcBorders>
            <w:shd w:val="clear" w:color="auto" w:fill="auto"/>
            <w:noWrap/>
            <w:vAlign w:val="bottom"/>
            <w:hideMark/>
          </w:tcPr>
          <w:p w14:paraId="7EE0104A" w14:textId="6C3C6254" w:rsidR="005E5406" w:rsidRPr="00190FC7" w:rsidRDefault="005E5406" w:rsidP="008E1EF1">
            <w:pPr>
              <w:spacing w:after="0" w:line="240" w:lineRule="auto"/>
              <w:jc w:val="right"/>
              <w:rPr>
                <w:rFonts w:eastAsia="Times New Roman" w:cs="Arial"/>
                <w:color w:val="000000"/>
                <w:szCs w:val="20"/>
                <w:lang w:eastAsia="en-AU"/>
              </w:rPr>
            </w:pPr>
            <w:r w:rsidRPr="00190FC7">
              <w:rPr>
                <w:rFonts w:eastAsia="Times New Roman" w:cs="Arial"/>
                <w:color w:val="000000"/>
                <w:szCs w:val="20"/>
                <w:lang w:eastAsia="en-AU"/>
              </w:rPr>
              <w:t xml:space="preserve">504,941 </w:t>
            </w:r>
          </w:p>
        </w:tc>
      </w:tr>
      <w:tr w:rsidR="005E5406" w:rsidRPr="00190FC7" w14:paraId="4A5367CC" w14:textId="77777777" w:rsidTr="008E1EF1">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14:paraId="7D3F6808" w14:textId="77777777" w:rsidR="005E5406" w:rsidRPr="00190FC7" w:rsidRDefault="005E5406" w:rsidP="008E1EF1">
            <w:pPr>
              <w:spacing w:after="0" w:line="240" w:lineRule="auto"/>
              <w:jc w:val="right"/>
              <w:rPr>
                <w:rFonts w:eastAsia="Times New Roman" w:cs="Arial"/>
                <w:color w:val="000000"/>
                <w:szCs w:val="20"/>
                <w:lang w:eastAsia="en-AU"/>
              </w:rPr>
            </w:pPr>
            <w:r w:rsidRPr="00190FC7">
              <w:rPr>
                <w:rFonts w:eastAsia="Times New Roman" w:cs="Arial"/>
                <w:color w:val="000000"/>
                <w:szCs w:val="20"/>
                <w:lang w:eastAsia="en-AU"/>
              </w:rPr>
              <w:t>3004</w:t>
            </w:r>
          </w:p>
        </w:tc>
        <w:tc>
          <w:tcPr>
            <w:tcW w:w="2693" w:type="dxa"/>
            <w:tcBorders>
              <w:top w:val="nil"/>
              <w:left w:val="nil"/>
              <w:bottom w:val="single" w:sz="4" w:space="0" w:color="auto"/>
              <w:right w:val="single" w:sz="4" w:space="0" w:color="auto"/>
            </w:tcBorders>
            <w:shd w:val="clear" w:color="auto" w:fill="auto"/>
            <w:noWrap/>
            <w:vAlign w:val="bottom"/>
            <w:hideMark/>
          </w:tcPr>
          <w:p w14:paraId="0487018E" w14:textId="4A673782" w:rsidR="005E5406" w:rsidRPr="00190FC7" w:rsidRDefault="005E5406" w:rsidP="008E1EF1">
            <w:pPr>
              <w:spacing w:after="0" w:line="240" w:lineRule="auto"/>
              <w:jc w:val="right"/>
              <w:rPr>
                <w:rFonts w:eastAsia="Times New Roman" w:cs="Arial"/>
                <w:color w:val="000000"/>
                <w:szCs w:val="20"/>
                <w:lang w:eastAsia="en-AU"/>
              </w:rPr>
            </w:pPr>
            <w:r w:rsidRPr="00190FC7">
              <w:rPr>
                <w:rFonts w:eastAsia="Times New Roman" w:cs="Arial"/>
                <w:color w:val="000000"/>
                <w:szCs w:val="20"/>
                <w:lang w:eastAsia="en-AU"/>
              </w:rPr>
              <w:t xml:space="preserve">257,551 </w:t>
            </w:r>
          </w:p>
        </w:tc>
      </w:tr>
      <w:tr w:rsidR="005E5406" w:rsidRPr="00190FC7" w14:paraId="70643E91" w14:textId="77777777" w:rsidTr="008E1EF1">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14:paraId="7CC1D453" w14:textId="77777777" w:rsidR="005E5406" w:rsidRPr="00190FC7" w:rsidRDefault="005E5406" w:rsidP="008E1EF1">
            <w:pPr>
              <w:spacing w:after="0" w:line="240" w:lineRule="auto"/>
              <w:jc w:val="right"/>
              <w:rPr>
                <w:rFonts w:eastAsia="Times New Roman" w:cs="Arial"/>
                <w:color w:val="000000"/>
                <w:szCs w:val="20"/>
                <w:lang w:eastAsia="en-AU"/>
              </w:rPr>
            </w:pPr>
            <w:r w:rsidRPr="00190FC7">
              <w:rPr>
                <w:rFonts w:eastAsia="Times New Roman" w:cs="Arial"/>
                <w:color w:val="000000"/>
                <w:szCs w:val="20"/>
                <w:lang w:eastAsia="en-AU"/>
              </w:rPr>
              <w:t>3054</w:t>
            </w:r>
          </w:p>
        </w:tc>
        <w:tc>
          <w:tcPr>
            <w:tcW w:w="2693" w:type="dxa"/>
            <w:tcBorders>
              <w:top w:val="nil"/>
              <w:left w:val="nil"/>
              <w:bottom w:val="single" w:sz="4" w:space="0" w:color="auto"/>
              <w:right w:val="single" w:sz="4" w:space="0" w:color="auto"/>
            </w:tcBorders>
            <w:shd w:val="clear" w:color="auto" w:fill="auto"/>
            <w:noWrap/>
            <w:vAlign w:val="bottom"/>
            <w:hideMark/>
          </w:tcPr>
          <w:p w14:paraId="32FB5E7A" w14:textId="18874C6A" w:rsidR="005E5406" w:rsidRPr="00190FC7" w:rsidRDefault="005E5406" w:rsidP="008E1EF1">
            <w:pPr>
              <w:spacing w:after="0" w:line="240" w:lineRule="auto"/>
              <w:jc w:val="right"/>
              <w:rPr>
                <w:rFonts w:eastAsia="Times New Roman" w:cs="Arial"/>
                <w:color w:val="000000"/>
                <w:szCs w:val="20"/>
                <w:lang w:eastAsia="en-AU"/>
              </w:rPr>
            </w:pPr>
            <w:r w:rsidRPr="00190FC7">
              <w:rPr>
                <w:rFonts w:eastAsia="Times New Roman" w:cs="Arial"/>
                <w:color w:val="000000"/>
                <w:szCs w:val="20"/>
                <w:lang w:eastAsia="en-AU"/>
              </w:rPr>
              <w:t xml:space="preserve">204,334 </w:t>
            </w:r>
          </w:p>
        </w:tc>
      </w:tr>
      <w:tr w:rsidR="005E5406" w:rsidRPr="00190FC7" w14:paraId="202B5231" w14:textId="77777777" w:rsidTr="008E1EF1">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14:paraId="50C12F1F" w14:textId="77777777" w:rsidR="005E5406" w:rsidRPr="00190FC7" w:rsidRDefault="005E5406" w:rsidP="008E1EF1">
            <w:pPr>
              <w:spacing w:after="0" w:line="240" w:lineRule="auto"/>
              <w:jc w:val="right"/>
              <w:rPr>
                <w:rFonts w:eastAsia="Times New Roman" w:cs="Arial"/>
                <w:color w:val="000000"/>
                <w:szCs w:val="20"/>
                <w:lang w:eastAsia="en-AU"/>
              </w:rPr>
            </w:pPr>
            <w:r w:rsidRPr="00190FC7">
              <w:rPr>
                <w:rFonts w:eastAsia="Times New Roman" w:cs="Arial"/>
                <w:color w:val="000000"/>
                <w:szCs w:val="20"/>
                <w:lang w:eastAsia="en-AU"/>
              </w:rPr>
              <w:t>3005</w:t>
            </w:r>
          </w:p>
        </w:tc>
        <w:tc>
          <w:tcPr>
            <w:tcW w:w="2693" w:type="dxa"/>
            <w:tcBorders>
              <w:top w:val="nil"/>
              <w:left w:val="nil"/>
              <w:bottom w:val="single" w:sz="4" w:space="0" w:color="auto"/>
              <w:right w:val="single" w:sz="4" w:space="0" w:color="auto"/>
            </w:tcBorders>
            <w:shd w:val="clear" w:color="auto" w:fill="auto"/>
            <w:noWrap/>
            <w:vAlign w:val="bottom"/>
            <w:hideMark/>
          </w:tcPr>
          <w:p w14:paraId="1E398836" w14:textId="292F9E84" w:rsidR="005E5406" w:rsidRPr="00190FC7" w:rsidRDefault="005E5406" w:rsidP="008E1EF1">
            <w:pPr>
              <w:spacing w:after="0" w:line="240" w:lineRule="auto"/>
              <w:jc w:val="right"/>
              <w:rPr>
                <w:rFonts w:eastAsia="Times New Roman" w:cs="Arial"/>
                <w:color w:val="000000"/>
                <w:szCs w:val="20"/>
                <w:lang w:eastAsia="en-AU"/>
              </w:rPr>
            </w:pPr>
            <w:r w:rsidRPr="00190FC7">
              <w:rPr>
                <w:rFonts w:eastAsia="Times New Roman" w:cs="Arial"/>
                <w:color w:val="000000"/>
                <w:szCs w:val="20"/>
                <w:lang w:eastAsia="en-AU"/>
              </w:rPr>
              <w:t xml:space="preserve">-   </w:t>
            </w:r>
          </w:p>
        </w:tc>
      </w:tr>
    </w:tbl>
    <w:p w14:paraId="02709F5D" w14:textId="77777777" w:rsidR="005E5406" w:rsidRDefault="005E5406" w:rsidP="00190FC7">
      <w:pPr>
        <w:rPr>
          <w:rFonts w:ascii="Helvetica Light" w:hAnsi="Helvetica Light" w:cstheme="minorBidi"/>
          <w:szCs w:val="20"/>
        </w:rPr>
      </w:pPr>
    </w:p>
    <w:p w14:paraId="7ADAF338" w14:textId="77777777" w:rsidR="00190FC7" w:rsidRPr="007E394F" w:rsidRDefault="00190FC7" w:rsidP="00190FC7">
      <w:pPr>
        <w:rPr>
          <w:rFonts w:cs="Arial"/>
          <w:szCs w:val="20"/>
        </w:rPr>
      </w:pPr>
      <w:r w:rsidRPr="007E394F">
        <w:rPr>
          <w:rFonts w:cs="Arial"/>
          <w:szCs w:val="20"/>
        </w:rPr>
        <w:t xml:space="preserve">Return to </w:t>
      </w:r>
      <w:hyperlink w:anchor="_4.2.4_Solar_Generation" w:history="1">
        <w:r w:rsidRPr="00206D3D">
          <w:rPr>
            <w:rStyle w:val="Hyperlink"/>
            <w:rFonts w:cs="Arial"/>
            <w:szCs w:val="20"/>
          </w:rPr>
          <w:t>Solar Generation</w:t>
        </w:r>
      </w:hyperlink>
    </w:p>
    <w:p w14:paraId="17BB4F3E" w14:textId="5AEB0771" w:rsidR="00190FC7" w:rsidRPr="00190FC7" w:rsidRDefault="00944E9B" w:rsidP="00190FC7">
      <w:pPr>
        <w:pStyle w:val="Heading3"/>
        <w:rPr>
          <w:rFonts w:hint="eastAsia"/>
        </w:rPr>
      </w:pPr>
      <w:bookmarkStart w:id="284" w:name="_Change_in_Gas"/>
      <w:bookmarkEnd w:id="284"/>
      <w:r>
        <w:t>Table A.4</w:t>
      </w:r>
      <w:r w:rsidR="00A13E20">
        <w:t>4</w:t>
      </w:r>
      <w:r>
        <w:tab/>
      </w:r>
      <w:r w:rsidR="00190FC7" w:rsidRPr="005E5406">
        <w:t>Change in Gas Connections by Customer Type (Victoria, FY2011 baseline)</w:t>
      </w:r>
    </w:p>
    <w:tbl>
      <w:tblPr>
        <w:tblW w:w="7655" w:type="dxa"/>
        <w:tblInd w:w="-5" w:type="dxa"/>
        <w:tblLook w:val="04A0" w:firstRow="1" w:lastRow="0" w:firstColumn="1" w:lastColumn="0" w:noHBand="0" w:noVBand="1"/>
      </w:tblPr>
      <w:tblGrid>
        <w:gridCol w:w="661"/>
        <w:gridCol w:w="1891"/>
        <w:gridCol w:w="1843"/>
        <w:gridCol w:w="1842"/>
        <w:gridCol w:w="1418"/>
      </w:tblGrid>
      <w:tr w:rsidR="005E5406" w:rsidRPr="00190FC7" w14:paraId="531E22F9" w14:textId="77777777" w:rsidTr="008E1EF1">
        <w:trPr>
          <w:trHeight w:val="300"/>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C130A8" w14:textId="77777777" w:rsidR="005E5406" w:rsidRPr="00190FC7" w:rsidRDefault="005E5406" w:rsidP="00190FC7">
            <w:pPr>
              <w:spacing w:after="0"/>
              <w:rPr>
                <w:rFonts w:cs="Arial"/>
                <w:b/>
                <w:bCs/>
                <w:szCs w:val="20"/>
                <w:lang w:eastAsia="en-AU"/>
              </w:rPr>
            </w:pPr>
            <w:bookmarkStart w:id="285" w:name="_Figure_45:_Change"/>
            <w:bookmarkEnd w:id="285"/>
            <w:r w:rsidRPr="00190FC7">
              <w:rPr>
                <w:rFonts w:cs="Arial"/>
                <w:b/>
                <w:bCs/>
                <w:szCs w:val="20"/>
                <w:lang w:eastAsia="en-AU"/>
              </w:rPr>
              <w:t>Year</w:t>
            </w:r>
          </w:p>
        </w:tc>
        <w:tc>
          <w:tcPr>
            <w:tcW w:w="1891" w:type="dxa"/>
            <w:tcBorders>
              <w:top w:val="single" w:sz="4" w:space="0" w:color="auto"/>
              <w:left w:val="nil"/>
              <w:bottom w:val="single" w:sz="4" w:space="0" w:color="auto"/>
              <w:right w:val="single" w:sz="4" w:space="0" w:color="auto"/>
            </w:tcBorders>
            <w:shd w:val="clear" w:color="auto" w:fill="auto"/>
            <w:noWrap/>
            <w:vAlign w:val="bottom"/>
            <w:hideMark/>
          </w:tcPr>
          <w:p w14:paraId="51746303" w14:textId="77777777" w:rsidR="005E5406" w:rsidRPr="00190FC7" w:rsidRDefault="005E5406" w:rsidP="00190FC7">
            <w:pPr>
              <w:spacing w:after="0"/>
              <w:rPr>
                <w:rFonts w:cs="Arial"/>
                <w:b/>
                <w:bCs/>
                <w:szCs w:val="20"/>
                <w:lang w:eastAsia="en-AU"/>
              </w:rPr>
            </w:pPr>
            <w:r w:rsidRPr="00190FC7">
              <w:rPr>
                <w:rFonts w:cs="Arial"/>
                <w:b/>
                <w:bCs/>
                <w:szCs w:val="20"/>
                <w:lang w:eastAsia="en-AU"/>
              </w:rPr>
              <w:t>Residential Change in Gas Connections (%)</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14:paraId="79075CF4" w14:textId="77777777" w:rsidR="005E5406" w:rsidRPr="00190FC7" w:rsidRDefault="005E5406" w:rsidP="00190FC7">
            <w:pPr>
              <w:spacing w:after="0"/>
              <w:rPr>
                <w:rFonts w:cs="Arial"/>
                <w:b/>
                <w:bCs/>
                <w:szCs w:val="20"/>
                <w:lang w:eastAsia="en-AU"/>
              </w:rPr>
            </w:pPr>
            <w:r w:rsidRPr="00190FC7">
              <w:rPr>
                <w:rFonts w:cs="Arial"/>
                <w:b/>
                <w:bCs/>
                <w:szCs w:val="20"/>
                <w:lang w:eastAsia="en-AU"/>
              </w:rPr>
              <w:t>Commercial Change in Gas Connections (%)</w:t>
            </w:r>
          </w:p>
        </w:tc>
        <w:tc>
          <w:tcPr>
            <w:tcW w:w="1842" w:type="dxa"/>
            <w:tcBorders>
              <w:top w:val="single" w:sz="4" w:space="0" w:color="auto"/>
              <w:left w:val="nil"/>
              <w:bottom w:val="single" w:sz="4" w:space="0" w:color="auto"/>
              <w:right w:val="single" w:sz="4" w:space="0" w:color="auto"/>
            </w:tcBorders>
            <w:shd w:val="clear" w:color="auto" w:fill="auto"/>
            <w:noWrap/>
            <w:vAlign w:val="bottom"/>
            <w:hideMark/>
          </w:tcPr>
          <w:p w14:paraId="2A85E7F1" w14:textId="77777777" w:rsidR="005E5406" w:rsidRPr="00190FC7" w:rsidRDefault="005E5406" w:rsidP="00190FC7">
            <w:pPr>
              <w:spacing w:after="0"/>
              <w:rPr>
                <w:rFonts w:cs="Arial"/>
                <w:b/>
                <w:bCs/>
                <w:szCs w:val="20"/>
                <w:lang w:eastAsia="en-AU"/>
              </w:rPr>
            </w:pPr>
            <w:r w:rsidRPr="00190FC7">
              <w:rPr>
                <w:rFonts w:cs="Arial"/>
                <w:b/>
                <w:bCs/>
                <w:szCs w:val="20"/>
                <w:lang w:eastAsia="en-AU"/>
              </w:rPr>
              <w:t>Industrial Change in Gas Connections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6E1FC038" w14:textId="28900DF2" w:rsidR="005E5406" w:rsidRPr="00190FC7" w:rsidRDefault="005E5406" w:rsidP="00190FC7">
            <w:pPr>
              <w:spacing w:after="0"/>
              <w:rPr>
                <w:rFonts w:cs="Arial"/>
                <w:b/>
                <w:bCs/>
                <w:szCs w:val="20"/>
                <w:lang w:eastAsia="en-AU"/>
              </w:rPr>
            </w:pPr>
            <w:r w:rsidRPr="00190FC7">
              <w:rPr>
                <w:rFonts w:cs="Arial"/>
                <w:b/>
                <w:bCs/>
                <w:szCs w:val="20"/>
                <w:lang w:eastAsia="en-AU"/>
              </w:rPr>
              <w:t>Population Change</w:t>
            </w:r>
            <w:r w:rsidR="00190FC7" w:rsidRPr="00190FC7">
              <w:rPr>
                <w:rFonts w:cs="Arial"/>
                <w:b/>
                <w:bCs/>
                <w:szCs w:val="20"/>
                <w:lang w:eastAsia="en-AU"/>
              </w:rPr>
              <w:t xml:space="preserve"> </w:t>
            </w:r>
            <w:r w:rsidRPr="00190FC7">
              <w:rPr>
                <w:rFonts w:cs="Arial"/>
                <w:b/>
                <w:bCs/>
                <w:szCs w:val="20"/>
                <w:lang w:eastAsia="en-AU"/>
              </w:rPr>
              <w:t>(%)</w:t>
            </w:r>
          </w:p>
        </w:tc>
      </w:tr>
      <w:tr w:rsidR="005E5406" w:rsidRPr="00190FC7" w14:paraId="4C4B1C7C" w14:textId="77777777" w:rsidTr="008E1EF1">
        <w:trPr>
          <w:trHeight w:val="300"/>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14:paraId="46308366" w14:textId="77777777" w:rsidR="005E5406" w:rsidRPr="00190FC7" w:rsidRDefault="005E5406" w:rsidP="00190FC7">
            <w:pPr>
              <w:spacing w:after="0"/>
              <w:jc w:val="right"/>
              <w:rPr>
                <w:rFonts w:cs="Arial"/>
                <w:szCs w:val="20"/>
                <w:lang w:eastAsia="en-AU"/>
              </w:rPr>
            </w:pPr>
            <w:r w:rsidRPr="00190FC7">
              <w:rPr>
                <w:rFonts w:cs="Arial"/>
                <w:szCs w:val="20"/>
                <w:lang w:eastAsia="en-AU"/>
              </w:rPr>
              <w:t>2011</w:t>
            </w:r>
          </w:p>
        </w:tc>
        <w:tc>
          <w:tcPr>
            <w:tcW w:w="1891" w:type="dxa"/>
            <w:tcBorders>
              <w:top w:val="nil"/>
              <w:left w:val="nil"/>
              <w:bottom w:val="single" w:sz="4" w:space="0" w:color="auto"/>
              <w:right w:val="single" w:sz="4" w:space="0" w:color="auto"/>
            </w:tcBorders>
            <w:shd w:val="clear" w:color="auto" w:fill="auto"/>
            <w:noWrap/>
            <w:vAlign w:val="bottom"/>
            <w:hideMark/>
          </w:tcPr>
          <w:p w14:paraId="4E2DAAD5" w14:textId="77777777" w:rsidR="005E5406" w:rsidRPr="00190FC7" w:rsidRDefault="005E5406" w:rsidP="00190FC7">
            <w:pPr>
              <w:spacing w:after="0"/>
              <w:jc w:val="right"/>
              <w:rPr>
                <w:rFonts w:cs="Arial"/>
                <w:szCs w:val="20"/>
                <w:lang w:eastAsia="en-AU"/>
              </w:rPr>
            </w:pPr>
            <w:r w:rsidRPr="00190FC7">
              <w:rPr>
                <w:rFonts w:cs="Arial"/>
                <w:szCs w:val="20"/>
                <w:lang w:eastAsia="en-AU"/>
              </w:rPr>
              <w:t>0%</w:t>
            </w:r>
          </w:p>
        </w:tc>
        <w:tc>
          <w:tcPr>
            <w:tcW w:w="1843" w:type="dxa"/>
            <w:tcBorders>
              <w:top w:val="nil"/>
              <w:left w:val="nil"/>
              <w:bottom w:val="single" w:sz="4" w:space="0" w:color="auto"/>
              <w:right w:val="single" w:sz="4" w:space="0" w:color="auto"/>
            </w:tcBorders>
            <w:shd w:val="clear" w:color="auto" w:fill="auto"/>
            <w:noWrap/>
            <w:vAlign w:val="bottom"/>
            <w:hideMark/>
          </w:tcPr>
          <w:p w14:paraId="48FF91DC" w14:textId="77777777" w:rsidR="005E5406" w:rsidRPr="00190FC7" w:rsidRDefault="005E5406" w:rsidP="00190FC7">
            <w:pPr>
              <w:spacing w:after="0"/>
              <w:jc w:val="right"/>
              <w:rPr>
                <w:rFonts w:cs="Arial"/>
                <w:szCs w:val="20"/>
                <w:lang w:eastAsia="en-AU"/>
              </w:rPr>
            </w:pPr>
            <w:r w:rsidRPr="00190FC7">
              <w:rPr>
                <w:rFonts w:cs="Arial"/>
                <w:szCs w:val="20"/>
                <w:lang w:eastAsia="en-AU"/>
              </w:rPr>
              <w:t>0%</w:t>
            </w:r>
          </w:p>
        </w:tc>
        <w:tc>
          <w:tcPr>
            <w:tcW w:w="1842" w:type="dxa"/>
            <w:tcBorders>
              <w:top w:val="nil"/>
              <w:left w:val="nil"/>
              <w:bottom w:val="single" w:sz="4" w:space="0" w:color="auto"/>
              <w:right w:val="single" w:sz="4" w:space="0" w:color="auto"/>
            </w:tcBorders>
            <w:shd w:val="clear" w:color="auto" w:fill="auto"/>
            <w:noWrap/>
            <w:vAlign w:val="bottom"/>
            <w:hideMark/>
          </w:tcPr>
          <w:p w14:paraId="0F8B6EA8" w14:textId="77777777" w:rsidR="005E5406" w:rsidRPr="00190FC7" w:rsidRDefault="005E5406" w:rsidP="00190FC7">
            <w:pPr>
              <w:spacing w:after="0"/>
              <w:jc w:val="right"/>
              <w:rPr>
                <w:rFonts w:cs="Arial"/>
                <w:szCs w:val="20"/>
                <w:lang w:eastAsia="en-AU"/>
              </w:rPr>
            </w:pPr>
            <w:r w:rsidRPr="00190FC7">
              <w:rPr>
                <w:rFonts w:cs="Arial"/>
                <w:szCs w:val="20"/>
                <w:lang w:eastAsia="en-AU"/>
              </w:rPr>
              <w:t>0%</w:t>
            </w:r>
          </w:p>
        </w:tc>
        <w:tc>
          <w:tcPr>
            <w:tcW w:w="1418" w:type="dxa"/>
            <w:tcBorders>
              <w:top w:val="nil"/>
              <w:left w:val="nil"/>
              <w:bottom w:val="single" w:sz="4" w:space="0" w:color="auto"/>
              <w:right w:val="single" w:sz="4" w:space="0" w:color="auto"/>
            </w:tcBorders>
            <w:shd w:val="clear" w:color="auto" w:fill="auto"/>
            <w:noWrap/>
            <w:vAlign w:val="bottom"/>
            <w:hideMark/>
          </w:tcPr>
          <w:p w14:paraId="7320CC50" w14:textId="77777777" w:rsidR="005E5406" w:rsidRPr="00190FC7" w:rsidRDefault="005E5406" w:rsidP="00190FC7">
            <w:pPr>
              <w:spacing w:after="0"/>
              <w:jc w:val="right"/>
              <w:rPr>
                <w:rFonts w:cs="Arial"/>
                <w:szCs w:val="20"/>
                <w:lang w:eastAsia="en-AU"/>
              </w:rPr>
            </w:pPr>
            <w:r w:rsidRPr="00190FC7">
              <w:rPr>
                <w:rFonts w:cs="Arial"/>
                <w:szCs w:val="20"/>
                <w:lang w:eastAsia="en-AU"/>
              </w:rPr>
              <w:t>0%</w:t>
            </w:r>
          </w:p>
        </w:tc>
      </w:tr>
      <w:tr w:rsidR="005E5406" w:rsidRPr="00190FC7" w14:paraId="37EAEC90" w14:textId="77777777" w:rsidTr="008E1EF1">
        <w:trPr>
          <w:trHeight w:val="300"/>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14:paraId="7890B1F6" w14:textId="77777777" w:rsidR="005E5406" w:rsidRPr="00190FC7" w:rsidRDefault="005E5406" w:rsidP="00190FC7">
            <w:pPr>
              <w:spacing w:after="0"/>
              <w:jc w:val="right"/>
              <w:rPr>
                <w:rFonts w:cs="Arial"/>
                <w:szCs w:val="20"/>
                <w:lang w:eastAsia="en-AU"/>
              </w:rPr>
            </w:pPr>
            <w:r w:rsidRPr="00190FC7">
              <w:rPr>
                <w:rFonts w:cs="Arial"/>
                <w:szCs w:val="20"/>
                <w:lang w:eastAsia="en-AU"/>
              </w:rPr>
              <w:t>2012</w:t>
            </w:r>
          </w:p>
        </w:tc>
        <w:tc>
          <w:tcPr>
            <w:tcW w:w="1891" w:type="dxa"/>
            <w:tcBorders>
              <w:top w:val="nil"/>
              <w:left w:val="nil"/>
              <w:bottom w:val="single" w:sz="4" w:space="0" w:color="auto"/>
              <w:right w:val="single" w:sz="4" w:space="0" w:color="auto"/>
            </w:tcBorders>
            <w:shd w:val="clear" w:color="auto" w:fill="auto"/>
            <w:noWrap/>
            <w:vAlign w:val="bottom"/>
            <w:hideMark/>
          </w:tcPr>
          <w:p w14:paraId="6208204D" w14:textId="77777777" w:rsidR="005E5406" w:rsidRPr="00190FC7" w:rsidRDefault="005E5406" w:rsidP="00190FC7">
            <w:pPr>
              <w:spacing w:after="0"/>
              <w:jc w:val="right"/>
              <w:rPr>
                <w:rFonts w:cs="Arial"/>
                <w:szCs w:val="20"/>
                <w:lang w:eastAsia="en-AU"/>
              </w:rPr>
            </w:pPr>
            <w:r w:rsidRPr="00190FC7">
              <w:rPr>
                <w:rFonts w:cs="Arial"/>
                <w:szCs w:val="20"/>
                <w:lang w:eastAsia="en-AU"/>
              </w:rPr>
              <w:t>2%</w:t>
            </w:r>
          </w:p>
        </w:tc>
        <w:tc>
          <w:tcPr>
            <w:tcW w:w="1843" w:type="dxa"/>
            <w:tcBorders>
              <w:top w:val="nil"/>
              <w:left w:val="nil"/>
              <w:bottom w:val="single" w:sz="4" w:space="0" w:color="auto"/>
              <w:right w:val="single" w:sz="4" w:space="0" w:color="auto"/>
            </w:tcBorders>
            <w:shd w:val="clear" w:color="auto" w:fill="auto"/>
            <w:noWrap/>
            <w:vAlign w:val="bottom"/>
            <w:hideMark/>
          </w:tcPr>
          <w:p w14:paraId="6CCC2693" w14:textId="77777777" w:rsidR="005E5406" w:rsidRPr="00190FC7" w:rsidRDefault="005E5406" w:rsidP="00190FC7">
            <w:pPr>
              <w:spacing w:after="0"/>
              <w:jc w:val="right"/>
              <w:rPr>
                <w:rFonts w:cs="Arial"/>
                <w:szCs w:val="20"/>
                <w:lang w:eastAsia="en-AU"/>
              </w:rPr>
            </w:pPr>
            <w:r w:rsidRPr="00190FC7">
              <w:rPr>
                <w:rFonts w:cs="Arial"/>
                <w:szCs w:val="20"/>
                <w:lang w:eastAsia="en-AU"/>
              </w:rPr>
              <w:t>0%</w:t>
            </w:r>
          </w:p>
        </w:tc>
        <w:tc>
          <w:tcPr>
            <w:tcW w:w="1842" w:type="dxa"/>
            <w:tcBorders>
              <w:top w:val="nil"/>
              <w:left w:val="nil"/>
              <w:bottom w:val="single" w:sz="4" w:space="0" w:color="auto"/>
              <w:right w:val="single" w:sz="4" w:space="0" w:color="auto"/>
            </w:tcBorders>
            <w:shd w:val="clear" w:color="auto" w:fill="auto"/>
            <w:noWrap/>
            <w:vAlign w:val="bottom"/>
            <w:hideMark/>
          </w:tcPr>
          <w:p w14:paraId="6EF0D83A" w14:textId="77777777" w:rsidR="005E5406" w:rsidRPr="00190FC7" w:rsidRDefault="005E5406" w:rsidP="00190FC7">
            <w:pPr>
              <w:spacing w:after="0"/>
              <w:jc w:val="right"/>
              <w:rPr>
                <w:rFonts w:cs="Arial"/>
                <w:szCs w:val="20"/>
                <w:lang w:eastAsia="en-AU"/>
              </w:rPr>
            </w:pPr>
            <w:r w:rsidRPr="00190FC7">
              <w:rPr>
                <w:rFonts w:cs="Arial"/>
                <w:szCs w:val="20"/>
                <w:lang w:eastAsia="en-AU"/>
              </w:rPr>
              <w:t>2%</w:t>
            </w:r>
          </w:p>
        </w:tc>
        <w:tc>
          <w:tcPr>
            <w:tcW w:w="1418" w:type="dxa"/>
            <w:tcBorders>
              <w:top w:val="nil"/>
              <w:left w:val="nil"/>
              <w:bottom w:val="single" w:sz="4" w:space="0" w:color="auto"/>
              <w:right w:val="single" w:sz="4" w:space="0" w:color="auto"/>
            </w:tcBorders>
            <w:shd w:val="clear" w:color="auto" w:fill="auto"/>
            <w:noWrap/>
            <w:vAlign w:val="bottom"/>
            <w:hideMark/>
          </w:tcPr>
          <w:p w14:paraId="28A4089B" w14:textId="77777777" w:rsidR="005E5406" w:rsidRPr="00190FC7" w:rsidRDefault="005E5406" w:rsidP="00190FC7">
            <w:pPr>
              <w:spacing w:after="0"/>
              <w:jc w:val="right"/>
              <w:rPr>
                <w:rFonts w:cs="Arial"/>
                <w:szCs w:val="20"/>
                <w:lang w:eastAsia="en-AU"/>
              </w:rPr>
            </w:pPr>
            <w:r w:rsidRPr="00190FC7">
              <w:rPr>
                <w:rFonts w:cs="Arial"/>
                <w:szCs w:val="20"/>
                <w:lang w:eastAsia="en-AU"/>
              </w:rPr>
              <w:t>2%</w:t>
            </w:r>
          </w:p>
        </w:tc>
      </w:tr>
      <w:tr w:rsidR="005E5406" w:rsidRPr="00190FC7" w14:paraId="558947B3" w14:textId="77777777" w:rsidTr="008E1EF1">
        <w:trPr>
          <w:trHeight w:val="300"/>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14:paraId="4A822A60" w14:textId="77777777" w:rsidR="005E5406" w:rsidRPr="00190FC7" w:rsidRDefault="005E5406" w:rsidP="00190FC7">
            <w:pPr>
              <w:spacing w:after="0"/>
              <w:jc w:val="right"/>
              <w:rPr>
                <w:rFonts w:cs="Arial"/>
                <w:szCs w:val="20"/>
                <w:lang w:eastAsia="en-AU"/>
              </w:rPr>
            </w:pPr>
            <w:r w:rsidRPr="00190FC7">
              <w:rPr>
                <w:rFonts w:cs="Arial"/>
                <w:szCs w:val="20"/>
                <w:lang w:eastAsia="en-AU"/>
              </w:rPr>
              <w:t>2013</w:t>
            </w:r>
          </w:p>
        </w:tc>
        <w:tc>
          <w:tcPr>
            <w:tcW w:w="1891" w:type="dxa"/>
            <w:tcBorders>
              <w:top w:val="nil"/>
              <w:left w:val="nil"/>
              <w:bottom w:val="single" w:sz="4" w:space="0" w:color="auto"/>
              <w:right w:val="single" w:sz="4" w:space="0" w:color="auto"/>
            </w:tcBorders>
            <w:shd w:val="clear" w:color="auto" w:fill="auto"/>
            <w:noWrap/>
            <w:vAlign w:val="bottom"/>
            <w:hideMark/>
          </w:tcPr>
          <w:p w14:paraId="7EA08B73" w14:textId="77777777" w:rsidR="005E5406" w:rsidRPr="00190FC7" w:rsidRDefault="005E5406" w:rsidP="00190FC7">
            <w:pPr>
              <w:spacing w:after="0"/>
              <w:jc w:val="right"/>
              <w:rPr>
                <w:rFonts w:cs="Arial"/>
                <w:szCs w:val="20"/>
                <w:lang w:eastAsia="en-AU"/>
              </w:rPr>
            </w:pPr>
            <w:r w:rsidRPr="00190FC7">
              <w:rPr>
                <w:rFonts w:cs="Arial"/>
                <w:szCs w:val="20"/>
                <w:lang w:eastAsia="en-AU"/>
              </w:rPr>
              <w:t>4%</w:t>
            </w:r>
          </w:p>
        </w:tc>
        <w:tc>
          <w:tcPr>
            <w:tcW w:w="1843" w:type="dxa"/>
            <w:tcBorders>
              <w:top w:val="nil"/>
              <w:left w:val="nil"/>
              <w:bottom w:val="single" w:sz="4" w:space="0" w:color="auto"/>
              <w:right w:val="single" w:sz="4" w:space="0" w:color="auto"/>
            </w:tcBorders>
            <w:shd w:val="clear" w:color="auto" w:fill="auto"/>
            <w:noWrap/>
            <w:vAlign w:val="bottom"/>
            <w:hideMark/>
          </w:tcPr>
          <w:p w14:paraId="7012AE2A" w14:textId="77777777" w:rsidR="005E5406" w:rsidRPr="00190FC7" w:rsidRDefault="005E5406" w:rsidP="00190FC7">
            <w:pPr>
              <w:spacing w:after="0"/>
              <w:jc w:val="right"/>
              <w:rPr>
                <w:rFonts w:cs="Arial"/>
                <w:szCs w:val="20"/>
                <w:lang w:eastAsia="en-AU"/>
              </w:rPr>
            </w:pPr>
            <w:r w:rsidRPr="00190FC7">
              <w:rPr>
                <w:rFonts w:cs="Arial"/>
                <w:szCs w:val="20"/>
                <w:lang w:eastAsia="en-AU"/>
              </w:rPr>
              <w:t>1%</w:t>
            </w:r>
          </w:p>
        </w:tc>
        <w:tc>
          <w:tcPr>
            <w:tcW w:w="1842" w:type="dxa"/>
            <w:tcBorders>
              <w:top w:val="nil"/>
              <w:left w:val="nil"/>
              <w:bottom w:val="single" w:sz="4" w:space="0" w:color="auto"/>
              <w:right w:val="single" w:sz="4" w:space="0" w:color="auto"/>
            </w:tcBorders>
            <w:shd w:val="clear" w:color="auto" w:fill="auto"/>
            <w:noWrap/>
            <w:vAlign w:val="bottom"/>
            <w:hideMark/>
          </w:tcPr>
          <w:p w14:paraId="17B076F9" w14:textId="77777777" w:rsidR="005E5406" w:rsidRPr="00190FC7" w:rsidRDefault="005E5406" w:rsidP="00190FC7">
            <w:pPr>
              <w:spacing w:after="0"/>
              <w:jc w:val="right"/>
              <w:rPr>
                <w:rFonts w:cs="Arial"/>
                <w:szCs w:val="20"/>
                <w:lang w:eastAsia="en-AU"/>
              </w:rPr>
            </w:pPr>
            <w:r w:rsidRPr="00190FC7">
              <w:rPr>
                <w:rFonts w:cs="Arial"/>
                <w:szCs w:val="20"/>
                <w:lang w:eastAsia="en-AU"/>
              </w:rPr>
              <w:t>3%</w:t>
            </w:r>
          </w:p>
        </w:tc>
        <w:tc>
          <w:tcPr>
            <w:tcW w:w="1418" w:type="dxa"/>
            <w:tcBorders>
              <w:top w:val="nil"/>
              <w:left w:val="nil"/>
              <w:bottom w:val="single" w:sz="4" w:space="0" w:color="auto"/>
              <w:right w:val="single" w:sz="4" w:space="0" w:color="auto"/>
            </w:tcBorders>
            <w:shd w:val="clear" w:color="auto" w:fill="auto"/>
            <w:noWrap/>
            <w:vAlign w:val="bottom"/>
            <w:hideMark/>
          </w:tcPr>
          <w:p w14:paraId="67D0EFB8" w14:textId="77777777" w:rsidR="005E5406" w:rsidRPr="00190FC7" w:rsidRDefault="005E5406" w:rsidP="00190FC7">
            <w:pPr>
              <w:spacing w:after="0"/>
              <w:jc w:val="right"/>
              <w:rPr>
                <w:rFonts w:cs="Arial"/>
                <w:szCs w:val="20"/>
                <w:lang w:eastAsia="en-AU"/>
              </w:rPr>
            </w:pPr>
            <w:r w:rsidRPr="00190FC7">
              <w:rPr>
                <w:rFonts w:cs="Arial"/>
                <w:szCs w:val="20"/>
                <w:lang w:eastAsia="en-AU"/>
              </w:rPr>
              <w:t>4%</w:t>
            </w:r>
          </w:p>
        </w:tc>
      </w:tr>
      <w:tr w:rsidR="005E5406" w:rsidRPr="00190FC7" w14:paraId="058FC0DE" w14:textId="77777777" w:rsidTr="008E1EF1">
        <w:trPr>
          <w:trHeight w:val="300"/>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14:paraId="0E908069" w14:textId="77777777" w:rsidR="005E5406" w:rsidRPr="00190FC7" w:rsidRDefault="005E5406" w:rsidP="00190FC7">
            <w:pPr>
              <w:spacing w:after="0"/>
              <w:jc w:val="right"/>
              <w:rPr>
                <w:rFonts w:cs="Arial"/>
                <w:szCs w:val="20"/>
                <w:lang w:eastAsia="en-AU"/>
              </w:rPr>
            </w:pPr>
            <w:r w:rsidRPr="00190FC7">
              <w:rPr>
                <w:rFonts w:cs="Arial"/>
                <w:szCs w:val="20"/>
                <w:lang w:eastAsia="en-AU"/>
              </w:rPr>
              <w:t>2014</w:t>
            </w:r>
          </w:p>
        </w:tc>
        <w:tc>
          <w:tcPr>
            <w:tcW w:w="1891" w:type="dxa"/>
            <w:tcBorders>
              <w:top w:val="nil"/>
              <w:left w:val="nil"/>
              <w:bottom w:val="single" w:sz="4" w:space="0" w:color="auto"/>
              <w:right w:val="single" w:sz="4" w:space="0" w:color="auto"/>
            </w:tcBorders>
            <w:shd w:val="clear" w:color="auto" w:fill="auto"/>
            <w:noWrap/>
            <w:vAlign w:val="bottom"/>
            <w:hideMark/>
          </w:tcPr>
          <w:p w14:paraId="589B0293" w14:textId="77777777" w:rsidR="005E5406" w:rsidRPr="00190FC7" w:rsidRDefault="005E5406" w:rsidP="00190FC7">
            <w:pPr>
              <w:spacing w:after="0"/>
              <w:jc w:val="right"/>
              <w:rPr>
                <w:rFonts w:cs="Arial"/>
                <w:szCs w:val="20"/>
                <w:lang w:eastAsia="en-AU"/>
              </w:rPr>
            </w:pPr>
            <w:r w:rsidRPr="00190FC7">
              <w:rPr>
                <w:rFonts w:cs="Arial"/>
                <w:szCs w:val="20"/>
                <w:lang w:eastAsia="en-AU"/>
              </w:rPr>
              <w:t>5%</w:t>
            </w:r>
          </w:p>
        </w:tc>
        <w:tc>
          <w:tcPr>
            <w:tcW w:w="1843" w:type="dxa"/>
            <w:tcBorders>
              <w:top w:val="nil"/>
              <w:left w:val="nil"/>
              <w:bottom w:val="single" w:sz="4" w:space="0" w:color="auto"/>
              <w:right w:val="single" w:sz="4" w:space="0" w:color="auto"/>
            </w:tcBorders>
            <w:shd w:val="clear" w:color="auto" w:fill="auto"/>
            <w:noWrap/>
            <w:vAlign w:val="bottom"/>
            <w:hideMark/>
          </w:tcPr>
          <w:p w14:paraId="4DBEB7B7" w14:textId="77777777" w:rsidR="005E5406" w:rsidRPr="00190FC7" w:rsidRDefault="005E5406" w:rsidP="00190FC7">
            <w:pPr>
              <w:spacing w:after="0"/>
              <w:jc w:val="right"/>
              <w:rPr>
                <w:rFonts w:cs="Arial"/>
                <w:szCs w:val="20"/>
                <w:lang w:eastAsia="en-AU"/>
              </w:rPr>
            </w:pPr>
            <w:r w:rsidRPr="00190FC7">
              <w:rPr>
                <w:rFonts w:cs="Arial"/>
                <w:szCs w:val="20"/>
                <w:lang w:eastAsia="en-AU"/>
              </w:rPr>
              <w:t>2%</w:t>
            </w:r>
          </w:p>
        </w:tc>
        <w:tc>
          <w:tcPr>
            <w:tcW w:w="1842" w:type="dxa"/>
            <w:tcBorders>
              <w:top w:val="nil"/>
              <w:left w:val="nil"/>
              <w:bottom w:val="single" w:sz="4" w:space="0" w:color="auto"/>
              <w:right w:val="single" w:sz="4" w:space="0" w:color="auto"/>
            </w:tcBorders>
            <w:shd w:val="clear" w:color="auto" w:fill="auto"/>
            <w:noWrap/>
            <w:vAlign w:val="bottom"/>
            <w:hideMark/>
          </w:tcPr>
          <w:p w14:paraId="289ABA0E" w14:textId="77777777" w:rsidR="005E5406" w:rsidRPr="00190FC7" w:rsidRDefault="005E5406" w:rsidP="00190FC7">
            <w:pPr>
              <w:spacing w:after="0"/>
              <w:jc w:val="right"/>
              <w:rPr>
                <w:rFonts w:cs="Arial"/>
                <w:szCs w:val="20"/>
                <w:lang w:eastAsia="en-AU"/>
              </w:rPr>
            </w:pPr>
            <w:r w:rsidRPr="00190FC7">
              <w:rPr>
                <w:rFonts w:cs="Arial"/>
                <w:szCs w:val="20"/>
                <w:lang w:eastAsia="en-AU"/>
              </w:rPr>
              <w:t>3%</w:t>
            </w:r>
          </w:p>
        </w:tc>
        <w:tc>
          <w:tcPr>
            <w:tcW w:w="1418" w:type="dxa"/>
            <w:tcBorders>
              <w:top w:val="nil"/>
              <w:left w:val="nil"/>
              <w:bottom w:val="single" w:sz="4" w:space="0" w:color="auto"/>
              <w:right w:val="single" w:sz="4" w:space="0" w:color="auto"/>
            </w:tcBorders>
            <w:shd w:val="clear" w:color="auto" w:fill="auto"/>
            <w:noWrap/>
            <w:vAlign w:val="bottom"/>
            <w:hideMark/>
          </w:tcPr>
          <w:p w14:paraId="52E06501" w14:textId="77777777" w:rsidR="005E5406" w:rsidRPr="00190FC7" w:rsidRDefault="005E5406" w:rsidP="00190FC7">
            <w:pPr>
              <w:spacing w:after="0"/>
              <w:jc w:val="right"/>
              <w:rPr>
                <w:rFonts w:cs="Arial"/>
                <w:szCs w:val="20"/>
                <w:lang w:eastAsia="en-AU"/>
              </w:rPr>
            </w:pPr>
            <w:r w:rsidRPr="00190FC7">
              <w:rPr>
                <w:rFonts w:cs="Arial"/>
                <w:szCs w:val="20"/>
                <w:lang w:eastAsia="en-AU"/>
              </w:rPr>
              <w:t>6%</w:t>
            </w:r>
          </w:p>
        </w:tc>
      </w:tr>
      <w:tr w:rsidR="005E5406" w:rsidRPr="00190FC7" w14:paraId="79631702" w14:textId="77777777" w:rsidTr="008E1EF1">
        <w:trPr>
          <w:trHeight w:val="300"/>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14:paraId="76E6AE88" w14:textId="77777777" w:rsidR="005E5406" w:rsidRPr="00190FC7" w:rsidRDefault="005E5406" w:rsidP="00190FC7">
            <w:pPr>
              <w:spacing w:after="0"/>
              <w:jc w:val="right"/>
              <w:rPr>
                <w:rFonts w:cs="Arial"/>
                <w:szCs w:val="20"/>
                <w:lang w:eastAsia="en-AU"/>
              </w:rPr>
            </w:pPr>
            <w:r w:rsidRPr="00190FC7">
              <w:rPr>
                <w:rFonts w:cs="Arial"/>
                <w:szCs w:val="20"/>
                <w:lang w:eastAsia="en-AU"/>
              </w:rPr>
              <w:lastRenderedPageBreak/>
              <w:t>2015</w:t>
            </w:r>
          </w:p>
        </w:tc>
        <w:tc>
          <w:tcPr>
            <w:tcW w:w="1891" w:type="dxa"/>
            <w:tcBorders>
              <w:top w:val="nil"/>
              <w:left w:val="nil"/>
              <w:bottom w:val="single" w:sz="4" w:space="0" w:color="auto"/>
              <w:right w:val="single" w:sz="4" w:space="0" w:color="auto"/>
            </w:tcBorders>
            <w:shd w:val="clear" w:color="auto" w:fill="auto"/>
            <w:noWrap/>
            <w:vAlign w:val="bottom"/>
            <w:hideMark/>
          </w:tcPr>
          <w:p w14:paraId="0AC285DB" w14:textId="77777777" w:rsidR="005E5406" w:rsidRPr="00190FC7" w:rsidRDefault="005E5406" w:rsidP="00190FC7">
            <w:pPr>
              <w:spacing w:after="0"/>
              <w:jc w:val="right"/>
              <w:rPr>
                <w:rFonts w:cs="Arial"/>
                <w:szCs w:val="20"/>
                <w:lang w:eastAsia="en-AU"/>
              </w:rPr>
            </w:pPr>
            <w:r w:rsidRPr="00190FC7">
              <w:rPr>
                <w:rFonts w:cs="Arial"/>
                <w:szCs w:val="20"/>
                <w:lang w:eastAsia="en-AU"/>
              </w:rPr>
              <w:t>7%</w:t>
            </w:r>
          </w:p>
        </w:tc>
        <w:tc>
          <w:tcPr>
            <w:tcW w:w="1843" w:type="dxa"/>
            <w:tcBorders>
              <w:top w:val="nil"/>
              <w:left w:val="nil"/>
              <w:bottom w:val="single" w:sz="4" w:space="0" w:color="auto"/>
              <w:right w:val="single" w:sz="4" w:space="0" w:color="auto"/>
            </w:tcBorders>
            <w:shd w:val="clear" w:color="auto" w:fill="auto"/>
            <w:noWrap/>
            <w:vAlign w:val="bottom"/>
            <w:hideMark/>
          </w:tcPr>
          <w:p w14:paraId="6395CC24" w14:textId="77777777" w:rsidR="005E5406" w:rsidRPr="00190FC7" w:rsidRDefault="005E5406" w:rsidP="00190FC7">
            <w:pPr>
              <w:spacing w:after="0"/>
              <w:jc w:val="right"/>
              <w:rPr>
                <w:rFonts w:cs="Arial"/>
                <w:szCs w:val="20"/>
                <w:lang w:eastAsia="en-AU"/>
              </w:rPr>
            </w:pPr>
            <w:r w:rsidRPr="00190FC7">
              <w:rPr>
                <w:rFonts w:cs="Arial"/>
                <w:szCs w:val="20"/>
                <w:lang w:eastAsia="en-AU"/>
              </w:rPr>
              <w:t>3%</w:t>
            </w:r>
          </w:p>
        </w:tc>
        <w:tc>
          <w:tcPr>
            <w:tcW w:w="1842" w:type="dxa"/>
            <w:tcBorders>
              <w:top w:val="nil"/>
              <w:left w:val="nil"/>
              <w:bottom w:val="single" w:sz="4" w:space="0" w:color="auto"/>
              <w:right w:val="single" w:sz="4" w:space="0" w:color="auto"/>
            </w:tcBorders>
            <w:shd w:val="clear" w:color="auto" w:fill="auto"/>
            <w:noWrap/>
            <w:vAlign w:val="bottom"/>
            <w:hideMark/>
          </w:tcPr>
          <w:p w14:paraId="04C57A04" w14:textId="77777777" w:rsidR="005E5406" w:rsidRPr="00190FC7" w:rsidRDefault="005E5406" w:rsidP="00190FC7">
            <w:pPr>
              <w:spacing w:after="0"/>
              <w:jc w:val="right"/>
              <w:rPr>
                <w:rFonts w:cs="Arial"/>
                <w:szCs w:val="20"/>
                <w:lang w:eastAsia="en-AU"/>
              </w:rPr>
            </w:pPr>
            <w:r w:rsidRPr="00190FC7">
              <w:rPr>
                <w:rFonts w:cs="Arial"/>
                <w:szCs w:val="20"/>
                <w:lang w:eastAsia="en-AU"/>
              </w:rPr>
              <w:t>3%</w:t>
            </w:r>
          </w:p>
        </w:tc>
        <w:tc>
          <w:tcPr>
            <w:tcW w:w="1418" w:type="dxa"/>
            <w:tcBorders>
              <w:top w:val="nil"/>
              <w:left w:val="nil"/>
              <w:bottom w:val="single" w:sz="4" w:space="0" w:color="auto"/>
              <w:right w:val="single" w:sz="4" w:space="0" w:color="auto"/>
            </w:tcBorders>
            <w:shd w:val="clear" w:color="auto" w:fill="auto"/>
            <w:noWrap/>
            <w:vAlign w:val="bottom"/>
            <w:hideMark/>
          </w:tcPr>
          <w:p w14:paraId="26E6A560" w14:textId="77777777" w:rsidR="005E5406" w:rsidRPr="00190FC7" w:rsidRDefault="005E5406" w:rsidP="00190FC7">
            <w:pPr>
              <w:spacing w:after="0"/>
              <w:jc w:val="right"/>
              <w:rPr>
                <w:rFonts w:cs="Arial"/>
                <w:szCs w:val="20"/>
                <w:lang w:eastAsia="en-AU"/>
              </w:rPr>
            </w:pPr>
            <w:r w:rsidRPr="00190FC7">
              <w:rPr>
                <w:rFonts w:cs="Arial"/>
                <w:szCs w:val="20"/>
                <w:lang w:eastAsia="en-AU"/>
              </w:rPr>
              <w:t>9%</w:t>
            </w:r>
          </w:p>
        </w:tc>
      </w:tr>
      <w:tr w:rsidR="005E5406" w:rsidRPr="00190FC7" w14:paraId="08CB97B0" w14:textId="77777777" w:rsidTr="008E1EF1">
        <w:trPr>
          <w:trHeight w:val="300"/>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14:paraId="69769E56" w14:textId="77777777" w:rsidR="005E5406" w:rsidRPr="00190FC7" w:rsidRDefault="005E5406" w:rsidP="00190FC7">
            <w:pPr>
              <w:spacing w:after="0"/>
              <w:jc w:val="right"/>
              <w:rPr>
                <w:rFonts w:cs="Arial"/>
                <w:szCs w:val="20"/>
                <w:lang w:eastAsia="en-AU"/>
              </w:rPr>
            </w:pPr>
            <w:r w:rsidRPr="00190FC7">
              <w:rPr>
                <w:rFonts w:cs="Arial"/>
                <w:szCs w:val="20"/>
                <w:lang w:eastAsia="en-AU"/>
              </w:rPr>
              <w:t>2016</w:t>
            </w:r>
          </w:p>
        </w:tc>
        <w:tc>
          <w:tcPr>
            <w:tcW w:w="1891" w:type="dxa"/>
            <w:tcBorders>
              <w:top w:val="nil"/>
              <w:left w:val="nil"/>
              <w:bottom w:val="single" w:sz="4" w:space="0" w:color="auto"/>
              <w:right w:val="single" w:sz="4" w:space="0" w:color="auto"/>
            </w:tcBorders>
            <w:shd w:val="clear" w:color="auto" w:fill="auto"/>
            <w:noWrap/>
            <w:vAlign w:val="bottom"/>
            <w:hideMark/>
          </w:tcPr>
          <w:p w14:paraId="06A537C4" w14:textId="77777777" w:rsidR="005E5406" w:rsidRPr="00190FC7" w:rsidRDefault="005E5406" w:rsidP="00190FC7">
            <w:pPr>
              <w:spacing w:after="0"/>
              <w:jc w:val="right"/>
              <w:rPr>
                <w:rFonts w:cs="Arial"/>
                <w:szCs w:val="20"/>
                <w:lang w:eastAsia="en-AU"/>
              </w:rPr>
            </w:pPr>
            <w:r w:rsidRPr="00190FC7">
              <w:rPr>
                <w:rFonts w:cs="Arial"/>
                <w:szCs w:val="20"/>
                <w:lang w:eastAsia="en-AU"/>
              </w:rPr>
              <w:t>9%</w:t>
            </w:r>
          </w:p>
        </w:tc>
        <w:tc>
          <w:tcPr>
            <w:tcW w:w="1843" w:type="dxa"/>
            <w:tcBorders>
              <w:top w:val="nil"/>
              <w:left w:val="nil"/>
              <w:bottom w:val="single" w:sz="4" w:space="0" w:color="auto"/>
              <w:right w:val="single" w:sz="4" w:space="0" w:color="auto"/>
            </w:tcBorders>
            <w:shd w:val="clear" w:color="auto" w:fill="auto"/>
            <w:noWrap/>
            <w:vAlign w:val="bottom"/>
            <w:hideMark/>
          </w:tcPr>
          <w:p w14:paraId="0B590A9C" w14:textId="77777777" w:rsidR="005E5406" w:rsidRPr="00190FC7" w:rsidRDefault="005E5406" w:rsidP="00190FC7">
            <w:pPr>
              <w:spacing w:after="0"/>
              <w:jc w:val="right"/>
              <w:rPr>
                <w:rFonts w:cs="Arial"/>
                <w:szCs w:val="20"/>
                <w:lang w:eastAsia="en-AU"/>
              </w:rPr>
            </w:pPr>
            <w:r w:rsidRPr="00190FC7">
              <w:rPr>
                <w:rFonts w:cs="Arial"/>
                <w:szCs w:val="20"/>
                <w:lang w:eastAsia="en-AU"/>
              </w:rPr>
              <w:t>4%</w:t>
            </w:r>
          </w:p>
        </w:tc>
        <w:tc>
          <w:tcPr>
            <w:tcW w:w="1842" w:type="dxa"/>
            <w:tcBorders>
              <w:top w:val="nil"/>
              <w:left w:val="nil"/>
              <w:bottom w:val="single" w:sz="4" w:space="0" w:color="auto"/>
              <w:right w:val="single" w:sz="4" w:space="0" w:color="auto"/>
            </w:tcBorders>
            <w:shd w:val="clear" w:color="auto" w:fill="auto"/>
            <w:noWrap/>
            <w:vAlign w:val="bottom"/>
            <w:hideMark/>
          </w:tcPr>
          <w:p w14:paraId="71F8C32F" w14:textId="77777777" w:rsidR="005E5406" w:rsidRPr="00190FC7" w:rsidRDefault="005E5406" w:rsidP="00190FC7">
            <w:pPr>
              <w:spacing w:after="0"/>
              <w:jc w:val="right"/>
              <w:rPr>
                <w:rFonts w:cs="Arial"/>
                <w:szCs w:val="20"/>
                <w:lang w:eastAsia="en-AU"/>
              </w:rPr>
            </w:pPr>
            <w:r w:rsidRPr="00190FC7">
              <w:rPr>
                <w:rFonts w:cs="Arial"/>
                <w:szCs w:val="20"/>
                <w:lang w:eastAsia="en-AU"/>
              </w:rPr>
              <w:t>5%</w:t>
            </w:r>
          </w:p>
        </w:tc>
        <w:tc>
          <w:tcPr>
            <w:tcW w:w="1418" w:type="dxa"/>
            <w:tcBorders>
              <w:top w:val="nil"/>
              <w:left w:val="nil"/>
              <w:bottom w:val="single" w:sz="4" w:space="0" w:color="auto"/>
              <w:right w:val="single" w:sz="4" w:space="0" w:color="auto"/>
            </w:tcBorders>
            <w:shd w:val="clear" w:color="auto" w:fill="auto"/>
            <w:noWrap/>
            <w:vAlign w:val="bottom"/>
            <w:hideMark/>
          </w:tcPr>
          <w:p w14:paraId="6F64CAF9" w14:textId="77777777" w:rsidR="005E5406" w:rsidRPr="00190FC7" w:rsidRDefault="005E5406" w:rsidP="00190FC7">
            <w:pPr>
              <w:spacing w:after="0"/>
              <w:jc w:val="right"/>
              <w:rPr>
                <w:rFonts w:cs="Arial"/>
                <w:szCs w:val="20"/>
                <w:lang w:eastAsia="en-AU"/>
              </w:rPr>
            </w:pPr>
            <w:r w:rsidRPr="00190FC7">
              <w:rPr>
                <w:rFonts w:cs="Arial"/>
                <w:szCs w:val="20"/>
                <w:lang w:eastAsia="en-AU"/>
              </w:rPr>
              <w:t>11%</w:t>
            </w:r>
          </w:p>
        </w:tc>
      </w:tr>
      <w:tr w:rsidR="005E5406" w:rsidRPr="00190FC7" w14:paraId="39E5D621" w14:textId="77777777" w:rsidTr="008E1EF1">
        <w:trPr>
          <w:trHeight w:val="300"/>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14:paraId="0586FDB4" w14:textId="77777777" w:rsidR="005E5406" w:rsidRPr="00190FC7" w:rsidRDefault="005E5406" w:rsidP="00190FC7">
            <w:pPr>
              <w:spacing w:after="0"/>
              <w:jc w:val="right"/>
              <w:rPr>
                <w:rFonts w:cs="Arial"/>
                <w:szCs w:val="20"/>
                <w:lang w:eastAsia="en-AU"/>
              </w:rPr>
            </w:pPr>
            <w:r w:rsidRPr="00190FC7">
              <w:rPr>
                <w:rFonts w:cs="Arial"/>
                <w:szCs w:val="20"/>
                <w:lang w:eastAsia="en-AU"/>
              </w:rPr>
              <w:t>2017</w:t>
            </w:r>
          </w:p>
        </w:tc>
        <w:tc>
          <w:tcPr>
            <w:tcW w:w="1891" w:type="dxa"/>
            <w:tcBorders>
              <w:top w:val="nil"/>
              <w:left w:val="nil"/>
              <w:bottom w:val="single" w:sz="4" w:space="0" w:color="auto"/>
              <w:right w:val="single" w:sz="4" w:space="0" w:color="auto"/>
            </w:tcBorders>
            <w:shd w:val="clear" w:color="auto" w:fill="auto"/>
            <w:noWrap/>
            <w:vAlign w:val="bottom"/>
            <w:hideMark/>
          </w:tcPr>
          <w:p w14:paraId="26BF8FCD" w14:textId="77777777" w:rsidR="005E5406" w:rsidRPr="00190FC7" w:rsidRDefault="005E5406" w:rsidP="00190FC7">
            <w:pPr>
              <w:spacing w:after="0"/>
              <w:jc w:val="right"/>
              <w:rPr>
                <w:rFonts w:cs="Arial"/>
                <w:szCs w:val="20"/>
                <w:lang w:eastAsia="en-AU"/>
              </w:rPr>
            </w:pPr>
            <w:r w:rsidRPr="00190FC7">
              <w:rPr>
                <w:rFonts w:cs="Arial"/>
                <w:szCs w:val="20"/>
                <w:lang w:eastAsia="en-AU"/>
              </w:rPr>
              <w:t>11%</w:t>
            </w:r>
          </w:p>
        </w:tc>
        <w:tc>
          <w:tcPr>
            <w:tcW w:w="1843" w:type="dxa"/>
            <w:tcBorders>
              <w:top w:val="nil"/>
              <w:left w:val="nil"/>
              <w:bottom w:val="single" w:sz="4" w:space="0" w:color="auto"/>
              <w:right w:val="single" w:sz="4" w:space="0" w:color="auto"/>
            </w:tcBorders>
            <w:shd w:val="clear" w:color="auto" w:fill="auto"/>
            <w:noWrap/>
            <w:vAlign w:val="bottom"/>
            <w:hideMark/>
          </w:tcPr>
          <w:p w14:paraId="1DFC61CC" w14:textId="77777777" w:rsidR="005E5406" w:rsidRPr="00190FC7" w:rsidRDefault="005E5406" w:rsidP="00190FC7">
            <w:pPr>
              <w:spacing w:after="0"/>
              <w:jc w:val="right"/>
              <w:rPr>
                <w:rFonts w:cs="Arial"/>
                <w:szCs w:val="20"/>
                <w:lang w:eastAsia="en-AU"/>
              </w:rPr>
            </w:pPr>
            <w:r w:rsidRPr="00190FC7">
              <w:rPr>
                <w:rFonts w:cs="Arial"/>
                <w:szCs w:val="20"/>
                <w:lang w:eastAsia="en-AU"/>
              </w:rPr>
              <w:t>4%</w:t>
            </w:r>
          </w:p>
        </w:tc>
        <w:tc>
          <w:tcPr>
            <w:tcW w:w="1842" w:type="dxa"/>
            <w:tcBorders>
              <w:top w:val="nil"/>
              <w:left w:val="nil"/>
              <w:bottom w:val="single" w:sz="4" w:space="0" w:color="auto"/>
              <w:right w:val="single" w:sz="4" w:space="0" w:color="auto"/>
            </w:tcBorders>
            <w:shd w:val="clear" w:color="auto" w:fill="auto"/>
            <w:noWrap/>
            <w:vAlign w:val="bottom"/>
            <w:hideMark/>
          </w:tcPr>
          <w:p w14:paraId="76409D08" w14:textId="77777777" w:rsidR="005E5406" w:rsidRPr="00190FC7" w:rsidRDefault="005E5406" w:rsidP="00190FC7">
            <w:pPr>
              <w:spacing w:after="0"/>
              <w:jc w:val="right"/>
              <w:rPr>
                <w:rFonts w:cs="Arial"/>
                <w:szCs w:val="20"/>
                <w:lang w:eastAsia="en-AU"/>
              </w:rPr>
            </w:pPr>
            <w:r w:rsidRPr="00190FC7">
              <w:rPr>
                <w:rFonts w:cs="Arial"/>
                <w:szCs w:val="20"/>
                <w:lang w:eastAsia="en-AU"/>
              </w:rPr>
              <w:t>6%</w:t>
            </w:r>
          </w:p>
        </w:tc>
        <w:tc>
          <w:tcPr>
            <w:tcW w:w="1418" w:type="dxa"/>
            <w:tcBorders>
              <w:top w:val="nil"/>
              <w:left w:val="nil"/>
              <w:bottom w:val="single" w:sz="4" w:space="0" w:color="auto"/>
              <w:right w:val="single" w:sz="4" w:space="0" w:color="auto"/>
            </w:tcBorders>
            <w:shd w:val="clear" w:color="auto" w:fill="auto"/>
            <w:noWrap/>
            <w:vAlign w:val="bottom"/>
            <w:hideMark/>
          </w:tcPr>
          <w:p w14:paraId="27D53884" w14:textId="77777777" w:rsidR="005E5406" w:rsidRPr="00190FC7" w:rsidRDefault="005E5406" w:rsidP="00190FC7">
            <w:pPr>
              <w:spacing w:after="0"/>
              <w:jc w:val="right"/>
              <w:rPr>
                <w:rFonts w:cs="Arial"/>
                <w:szCs w:val="20"/>
                <w:lang w:eastAsia="en-AU"/>
              </w:rPr>
            </w:pPr>
            <w:r w:rsidRPr="00190FC7">
              <w:rPr>
                <w:rFonts w:cs="Arial"/>
                <w:szCs w:val="20"/>
                <w:lang w:eastAsia="en-AU"/>
              </w:rPr>
              <w:t>14%</w:t>
            </w:r>
          </w:p>
        </w:tc>
      </w:tr>
      <w:tr w:rsidR="005E5406" w:rsidRPr="00190FC7" w14:paraId="5E1F138C" w14:textId="77777777" w:rsidTr="008E1EF1">
        <w:trPr>
          <w:trHeight w:val="300"/>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14:paraId="41546FFA" w14:textId="77777777" w:rsidR="005E5406" w:rsidRPr="00190FC7" w:rsidRDefault="005E5406" w:rsidP="00190FC7">
            <w:pPr>
              <w:spacing w:after="0"/>
              <w:jc w:val="right"/>
              <w:rPr>
                <w:rFonts w:cs="Arial"/>
                <w:szCs w:val="20"/>
                <w:lang w:eastAsia="en-AU"/>
              </w:rPr>
            </w:pPr>
            <w:r w:rsidRPr="00190FC7">
              <w:rPr>
                <w:rFonts w:cs="Arial"/>
                <w:szCs w:val="20"/>
                <w:lang w:eastAsia="en-AU"/>
              </w:rPr>
              <w:t>2018</w:t>
            </w:r>
          </w:p>
        </w:tc>
        <w:tc>
          <w:tcPr>
            <w:tcW w:w="1891" w:type="dxa"/>
            <w:tcBorders>
              <w:top w:val="nil"/>
              <w:left w:val="nil"/>
              <w:bottom w:val="single" w:sz="4" w:space="0" w:color="auto"/>
              <w:right w:val="single" w:sz="4" w:space="0" w:color="auto"/>
            </w:tcBorders>
            <w:shd w:val="clear" w:color="auto" w:fill="auto"/>
            <w:noWrap/>
            <w:vAlign w:val="bottom"/>
            <w:hideMark/>
          </w:tcPr>
          <w:p w14:paraId="5F58A84E" w14:textId="77777777" w:rsidR="005E5406" w:rsidRPr="00190FC7" w:rsidRDefault="005E5406" w:rsidP="00190FC7">
            <w:pPr>
              <w:spacing w:after="0"/>
              <w:jc w:val="right"/>
              <w:rPr>
                <w:rFonts w:cs="Arial"/>
                <w:szCs w:val="20"/>
                <w:lang w:eastAsia="en-AU"/>
              </w:rPr>
            </w:pPr>
            <w:r w:rsidRPr="00190FC7">
              <w:rPr>
                <w:rFonts w:cs="Arial"/>
                <w:szCs w:val="20"/>
                <w:lang w:eastAsia="en-AU"/>
              </w:rPr>
              <w:t>12%</w:t>
            </w:r>
          </w:p>
        </w:tc>
        <w:tc>
          <w:tcPr>
            <w:tcW w:w="1843" w:type="dxa"/>
            <w:tcBorders>
              <w:top w:val="nil"/>
              <w:left w:val="nil"/>
              <w:bottom w:val="single" w:sz="4" w:space="0" w:color="auto"/>
              <w:right w:val="single" w:sz="4" w:space="0" w:color="auto"/>
            </w:tcBorders>
            <w:shd w:val="clear" w:color="auto" w:fill="auto"/>
            <w:noWrap/>
            <w:vAlign w:val="bottom"/>
            <w:hideMark/>
          </w:tcPr>
          <w:p w14:paraId="673D940C" w14:textId="77777777" w:rsidR="005E5406" w:rsidRPr="00190FC7" w:rsidRDefault="005E5406" w:rsidP="00190FC7">
            <w:pPr>
              <w:spacing w:after="0"/>
              <w:jc w:val="right"/>
              <w:rPr>
                <w:rFonts w:cs="Arial"/>
                <w:szCs w:val="20"/>
                <w:lang w:eastAsia="en-AU"/>
              </w:rPr>
            </w:pPr>
            <w:r w:rsidRPr="00190FC7">
              <w:rPr>
                <w:rFonts w:cs="Arial"/>
                <w:szCs w:val="20"/>
                <w:lang w:eastAsia="en-AU"/>
              </w:rPr>
              <w:t>5%</w:t>
            </w:r>
          </w:p>
        </w:tc>
        <w:tc>
          <w:tcPr>
            <w:tcW w:w="1842" w:type="dxa"/>
            <w:tcBorders>
              <w:top w:val="nil"/>
              <w:left w:val="nil"/>
              <w:bottom w:val="single" w:sz="4" w:space="0" w:color="auto"/>
              <w:right w:val="single" w:sz="4" w:space="0" w:color="auto"/>
            </w:tcBorders>
            <w:shd w:val="clear" w:color="auto" w:fill="auto"/>
            <w:noWrap/>
            <w:vAlign w:val="bottom"/>
            <w:hideMark/>
          </w:tcPr>
          <w:p w14:paraId="406576C9" w14:textId="77777777" w:rsidR="005E5406" w:rsidRPr="00190FC7" w:rsidRDefault="005E5406" w:rsidP="00190FC7">
            <w:pPr>
              <w:spacing w:after="0"/>
              <w:jc w:val="right"/>
              <w:rPr>
                <w:rFonts w:cs="Arial"/>
                <w:szCs w:val="20"/>
                <w:lang w:eastAsia="en-AU"/>
              </w:rPr>
            </w:pPr>
            <w:r w:rsidRPr="00190FC7">
              <w:rPr>
                <w:rFonts w:cs="Arial"/>
                <w:szCs w:val="20"/>
                <w:lang w:eastAsia="en-AU"/>
              </w:rPr>
              <w:t>5%</w:t>
            </w:r>
          </w:p>
        </w:tc>
        <w:tc>
          <w:tcPr>
            <w:tcW w:w="1418" w:type="dxa"/>
            <w:tcBorders>
              <w:top w:val="nil"/>
              <w:left w:val="nil"/>
              <w:bottom w:val="single" w:sz="4" w:space="0" w:color="auto"/>
              <w:right w:val="single" w:sz="4" w:space="0" w:color="auto"/>
            </w:tcBorders>
            <w:shd w:val="clear" w:color="auto" w:fill="auto"/>
            <w:noWrap/>
            <w:vAlign w:val="bottom"/>
            <w:hideMark/>
          </w:tcPr>
          <w:p w14:paraId="0F8AE27A" w14:textId="77777777" w:rsidR="005E5406" w:rsidRPr="00190FC7" w:rsidRDefault="005E5406" w:rsidP="00190FC7">
            <w:pPr>
              <w:spacing w:after="0"/>
              <w:jc w:val="right"/>
              <w:rPr>
                <w:rFonts w:cs="Arial"/>
                <w:szCs w:val="20"/>
                <w:lang w:eastAsia="en-AU"/>
              </w:rPr>
            </w:pPr>
            <w:r w:rsidRPr="00190FC7">
              <w:rPr>
                <w:rFonts w:cs="Arial"/>
                <w:szCs w:val="20"/>
                <w:lang w:eastAsia="en-AU"/>
              </w:rPr>
              <w:t>16%</w:t>
            </w:r>
          </w:p>
        </w:tc>
      </w:tr>
      <w:tr w:rsidR="005E5406" w:rsidRPr="00190FC7" w14:paraId="1891DCE9" w14:textId="77777777" w:rsidTr="008E1EF1">
        <w:trPr>
          <w:trHeight w:val="300"/>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14:paraId="693DC8A9" w14:textId="77777777" w:rsidR="005E5406" w:rsidRPr="00190FC7" w:rsidRDefault="005E5406" w:rsidP="00190FC7">
            <w:pPr>
              <w:spacing w:after="0"/>
              <w:jc w:val="right"/>
              <w:rPr>
                <w:rFonts w:cs="Arial"/>
                <w:szCs w:val="20"/>
                <w:lang w:eastAsia="en-AU"/>
              </w:rPr>
            </w:pPr>
            <w:r w:rsidRPr="00190FC7">
              <w:rPr>
                <w:rFonts w:cs="Arial"/>
                <w:szCs w:val="20"/>
                <w:lang w:eastAsia="en-AU"/>
              </w:rPr>
              <w:t>2019</w:t>
            </w:r>
          </w:p>
        </w:tc>
        <w:tc>
          <w:tcPr>
            <w:tcW w:w="1891" w:type="dxa"/>
            <w:tcBorders>
              <w:top w:val="nil"/>
              <w:left w:val="nil"/>
              <w:bottom w:val="single" w:sz="4" w:space="0" w:color="auto"/>
              <w:right w:val="single" w:sz="4" w:space="0" w:color="auto"/>
            </w:tcBorders>
            <w:shd w:val="clear" w:color="auto" w:fill="auto"/>
            <w:noWrap/>
            <w:vAlign w:val="bottom"/>
            <w:hideMark/>
          </w:tcPr>
          <w:p w14:paraId="0247DD54" w14:textId="77777777" w:rsidR="005E5406" w:rsidRPr="00190FC7" w:rsidRDefault="005E5406" w:rsidP="00190FC7">
            <w:pPr>
              <w:spacing w:after="0"/>
              <w:jc w:val="right"/>
              <w:rPr>
                <w:rFonts w:cs="Arial"/>
                <w:szCs w:val="20"/>
                <w:lang w:eastAsia="en-AU"/>
              </w:rPr>
            </w:pPr>
            <w:r w:rsidRPr="00190FC7">
              <w:rPr>
                <w:rFonts w:cs="Arial"/>
                <w:szCs w:val="20"/>
                <w:lang w:eastAsia="en-AU"/>
              </w:rPr>
              <w:t>15%</w:t>
            </w:r>
          </w:p>
        </w:tc>
        <w:tc>
          <w:tcPr>
            <w:tcW w:w="1843" w:type="dxa"/>
            <w:tcBorders>
              <w:top w:val="nil"/>
              <w:left w:val="nil"/>
              <w:bottom w:val="single" w:sz="4" w:space="0" w:color="auto"/>
              <w:right w:val="single" w:sz="4" w:space="0" w:color="auto"/>
            </w:tcBorders>
            <w:shd w:val="clear" w:color="auto" w:fill="auto"/>
            <w:noWrap/>
            <w:vAlign w:val="bottom"/>
            <w:hideMark/>
          </w:tcPr>
          <w:p w14:paraId="1A02A281" w14:textId="77777777" w:rsidR="005E5406" w:rsidRPr="00190FC7" w:rsidRDefault="005E5406" w:rsidP="00190FC7">
            <w:pPr>
              <w:spacing w:after="0"/>
              <w:jc w:val="right"/>
              <w:rPr>
                <w:rFonts w:cs="Arial"/>
                <w:szCs w:val="20"/>
                <w:lang w:eastAsia="en-AU"/>
              </w:rPr>
            </w:pPr>
            <w:r w:rsidRPr="00190FC7">
              <w:rPr>
                <w:rFonts w:cs="Arial"/>
                <w:szCs w:val="20"/>
                <w:lang w:eastAsia="en-AU"/>
              </w:rPr>
              <w:t>5%</w:t>
            </w:r>
          </w:p>
        </w:tc>
        <w:tc>
          <w:tcPr>
            <w:tcW w:w="1842" w:type="dxa"/>
            <w:tcBorders>
              <w:top w:val="nil"/>
              <w:left w:val="nil"/>
              <w:bottom w:val="single" w:sz="4" w:space="0" w:color="auto"/>
              <w:right w:val="single" w:sz="4" w:space="0" w:color="auto"/>
            </w:tcBorders>
            <w:shd w:val="clear" w:color="auto" w:fill="auto"/>
            <w:noWrap/>
            <w:vAlign w:val="bottom"/>
            <w:hideMark/>
          </w:tcPr>
          <w:p w14:paraId="7220F12D" w14:textId="77777777" w:rsidR="005E5406" w:rsidRPr="00190FC7" w:rsidRDefault="005E5406" w:rsidP="00190FC7">
            <w:pPr>
              <w:spacing w:after="0"/>
              <w:jc w:val="right"/>
              <w:rPr>
                <w:rFonts w:cs="Arial"/>
                <w:szCs w:val="20"/>
                <w:lang w:eastAsia="en-AU"/>
              </w:rPr>
            </w:pPr>
            <w:r w:rsidRPr="00190FC7">
              <w:rPr>
                <w:rFonts w:cs="Arial"/>
                <w:szCs w:val="20"/>
                <w:lang w:eastAsia="en-AU"/>
              </w:rPr>
              <w:t>5%</w:t>
            </w:r>
          </w:p>
        </w:tc>
        <w:tc>
          <w:tcPr>
            <w:tcW w:w="1418" w:type="dxa"/>
            <w:tcBorders>
              <w:top w:val="nil"/>
              <w:left w:val="nil"/>
              <w:bottom w:val="single" w:sz="4" w:space="0" w:color="auto"/>
              <w:right w:val="single" w:sz="4" w:space="0" w:color="auto"/>
            </w:tcBorders>
            <w:shd w:val="clear" w:color="auto" w:fill="auto"/>
            <w:noWrap/>
            <w:vAlign w:val="bottom"/>
            <w:hideMark/>
          </w:tcPr>
          <w:p w14:paraId="74D132AC" w14:textId="77777777" w:rsidR="005E5406" w:rsidRPr="00190FC7" w:rsidRDefault="005E5406" w:rsidP="00190FC7">
            <w:pPr>
              <w:spacing w:after="0"/>
              <w:jc w:val="right"/>
              <w:rPr>
                <w:rFonts w:cs="Arial"/>
                <w:szCs w:val="20"/>
                <w:lang w:eastAsia="en-AU"/>
              </w:rPr>
            </w:pPr>
            <w:r w:rsidRPr="00190FC7">
              <w:rPr>
                <w:rFonts w:cs="Arial"/>
                <w:szCs w:val="20"/>
                <w:lang w:eastAsia="en-AU"/>
              </w:rPr>
              <w:t>18%</w:t>
            </w:r>
          </w:p>
        </w:tc>
      </w:tr>
      <w:tr w:rsidR="005E5406" w:rsidRPr="00190FC7" w14:paraId="4C12A391" w14:textId="77777777" w:rsidTr="008E1EF1">
        <w:trPr>
          <w:trHeight w:val="300"/>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14:paraId="2ED483D4" w14:textId="77777777" w:rsidR="005E5406" w:rsidRPr="00190FC7" w:rsidRDefault="005E5406" w:rsidP="00190FC7">
            <w:pPr>
              <w:spacing w:after="0"/>
              <w:jc w:val="right"/>
              <w:rPr>
                <w:rFonts w:cs="Arial"/>
                <w:szCs w:val="20"/>
                <w:lang w:eastAsia="en-AU"/>
              </w:rPr>
            </w:pPr>
            <w:r w:rsidRPr="00190FC7">
              <w:rPr>
                <w:rFonts w:cs="Arial"/>
                <w:szCs w:val="20"/>
                <w:lang w:eastAsia="en-AU"/>
              </w:rPr>
              <w:t>2020</w:t>
            </w:r>
          </w:p>
        </w:tc>
        <w:tc>
          <w:tcPr>
            <w:tcW w:w="1891" w:type="dxa"/>
            <w:tcBorders>
              <w:top w:val="nil"/>
              <w:left w:val="nil"/>
              <w:bottom w:val="single" w:sz="4" w:space="0" w:color="auto"/>
              <w:right w:val="single" w:sz="4" w:space="0" w:color="auto"/>
            </w:tcBorders>
            <w:shd w:val="clear" w:color="auto" w:fill="auto"/>
            <w:noWrap/>
            <w:vAlign w:val="bottom"/>
            <w:hideMark/>
          </w:tcPr>
          <w:p w14:paraId="29D223CC" w14:textId="77777777" w:rsidR="005E5406" w:rsidRPr="00190FC7" w:rsidRDefault="005E5406" w:rsidP="00190FC7">
            <w:pPr>
              <w:spacing w:after="0"/>
              <w:jc w:val="right"/>
              <w:rPr>
                <w:rFonts w:cs="Arial"/>
                <w:szCs w:val="20"/>
                <w:lang w:eastAsia="en-AU"/>
              </w:rPr>
            </w:pPr>
            <w:r w:rsidRPr="00190FC7">
              <w:rPr>
                <w:rFonts w:cs="Arial"/>
                <w:szCs w:val="20"/>
                <w:lang w:eastAsia="en-AU"/>
              </w:rPr>
              <w:t>17%</w:t>
            </w:r>
          </w:p>
        </w:tc>
        <w:tc>
          <w:tcPr>
            <w:tcW w:w="1843" w:type="dxa"/>
            <w:tcBorders>
              <w:top w:val="nil"/>
              <w:left w:val="nil"/>
              <w:bottom w:val="single" w:sz="4" w:space="0" w:color="auto"/>
              <w:right w:val="single" w:sz="4" w:space="0" w:color="auto"/>
            </w:tcBorders>
            <w:shd w:val="clear" w:color="auto" w:fill="auto"/>
            <w:noWrap/>
            <w:vAlign w:val="bottom"/>
            <w:hideMark/>
          </w:tcPr>
          <w:p w14:paraId="7DB42365" w14:textId="77777777" w:rsidR="005E5406" w:rsidRPr="00190FC7" w:rsidRDefault="005E5406" w:rsidP="00190FC7">
            <w:pPr>
              <w:spacing w:after="0"/>
              <w:jc w:val="right"/>
              <w:rPr>
                <w:rFonts w:cs="Arial"/>
                <w:szCs w:val="20"/>
                <w:lang w:eastAsia="en-AU"/>
              </w:rPr>
            </w:pPr>
            <w:r w:rsidRPr="00190FC7">
              <w:rPr>
                <w:rFonts w:cs="Arial"/>
                <w:szCs w:val="20"/>
                <w:lang w:eastAsia="en-AU"/>
              </w:rPr>
              <w:t>6%</w:t>
            </w:r>
          </w:p>
        </w:tc>
        <w:tc>
          <w:tcPr>
            <w:tcW w:w="1842" w:type="dxa"/>
            <w:tcBorders>
              <w:top w:val="nil"/>
              <w:left w:val="nil"/>
              <w:bottom w:val="single" w:sz="4" w:space="0" w:color="auto"/>
              <w:right w:val="single" w:sz="4" w:space="0" w:color="auto"/>
            </w:tcBorders>
            <w:shd w:val="clear" w:color="auto" w:fill="auto"/>
            <w:noWrap/>
            <w:vAlign w:val="bottom"/>
            <w:hideMark/>
          </w:tcPr>
          <w:p w14:paraId="02BED52D" w14:textId="77777777" w:rsidR="005E5406" w:rsidRPr="00190FC7" w:rsidRDefault="005E5406" w:rsidP="00190FC7">
            <w:pPr>
              <w:spacing w:after="0"/>
              <w:jc w:val="right"/>
              <w:rPr>
                <w:rFonts w:cs="Arial"/>
                <w:szCs w:val="20"/>
                <w:lang w:eastAsia="en-AU"/>
              </w:rPr>
            </w:pPr>
            <w:r w:rsidRPr="00190FC7">
              <w:rPr>
                <w:rFonts w:cs="Arial"/>
                <w:szCs w:val="20"/>
                <w:lang w:eastAsia="en-AU"/>
              </w:rPr>
              <w:t>5%</w:t>
            </w:r>
          </w:p>
        </w:tc>
        <w:tc>
          <w:tcPr>
            <w:tcW w:w="1418" w:type="dxa"/>
            <w:tcBorders>
              <w:top w:val="nil"/>
              <w:left w:val="nil"/>
              <w:bottom w:val="single" w:sz="4" w:space="0" w:color="auto"/>
              <w:right w:val="single" w:sz="4" w:space="0" w:color="auto"/>
            </w:tcBorders>
            <w:shd w:val="clear" w:color="auto" w:fill="auto"/>
            <w:noWrap/>
            <w:vAlign w:val="bottom"/>
            <w:hideMark/>
          </w:tcPr>
          <w:p w14:paraId="6E04E002" w14:textId="77777777" w:rsidR="005E5406" w:rsidRPr="00190FC7" w:rsidRDefault="005E5406" w:rsidP="00190FC7">
            <w:pPr>
              <w:spacing w:after="0"/>
              <w:jc w:val="right"/>
              <w:rPr>
                <w:rFonts w:cs="Arial"/>
                <w:szCs w:val="20"/>
                <w:lang w:eastAsia="en-AU"/>
              </w:rPr>
            </w:pPr>
            <w:r w:rsidRPr="00190FC7">
              <w:rPr>
                <w:rFonts w:cs="Arial"/>
                <w:szCs w:val="20"/>
                <w:lang w:eastAsia="en-AU"/>
              </w:rPr>
              <w:t>19%</w:t>
            </w:r>
          </w:p>
        </w:tc>
      </w:tr>
      <w:tr w:rsidR="005E5406" w:rsidRPr="00190FC7" w14:paraId="0624F3CD" w14:textId="77777777" w:rsidTr="008E1EF1">
        <w:trPr>
          <w:trHeight w:val="300"/>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14:paraId="0219BF61" w14:textId="77777777" w:rsidR="005E5406" w:rsidRPr="00190FC7" w:rsidRDefault="005E5406" w:rsidP="00190FC7">
            <w:pPr>
              <w:spacing w:after="0"/>
              <w:jc w:val="right"/>
              <w:rPr>
                <w:rFonts w:cs="Arial"/>
                <w:szCs w:val="20"/>
                <w:lang w:eastAsia="en-AU"/>
              </w:rPr>
            </w:pPr>
            <w:r w:rsidRPr="00190FC7">
              <w:rPr>
                <w:rFonts w:cs="Arial"/>
                <w:szCs w:val="20"/>
                <w:lang w:eastAsia="en-AU"/>
              </w:rPr>
              <w:t>2021</w:t>
            </w:r>
          </w:p>
        </w:tc>
        <w:tc>
          <w:tcPr>
            <w:tcW w:w="1891" w:type="dxa"/>
            <w:tcBorders>
              <w:top w:val="nil"/>
              <w:left w:val="nil"/>
              <w:bottom w:val="single" w:sz="4" w:space="0" w:color="auto"/>
              <w:right w:val="single" w:sz="4" w:space="0" w:color="auto"/>
            </w:tcBorders>
            <w:shd w:val="clear" w:color="auto" w:fill="auto"/>
            <w:noWrap/>
            <w:vAlign w:val="bottom"/>
            <w:hideMark/>
          </w:tcPr>
          <w:p w14:paraId="30CFAD94" w14:textId="77777777" w:rsidR="005E5406" w:rsidRPr="00190FC7" w:rsidRDefault="005E5406" w:rsidP="00190FC7">
            <w:pPr>
              <w:spacing w:after="0"/>
              <w:jc w:val="right"/>
              <w:rPr>
                <w:rFonts w:cs="Arial"/>
                <w:szCs w:val="20"/>
                <w:lang w:eastAsia="en-AU"/>
              </w:rPr>
            </w:pPr>
            <w:r w:rsidRPr="00190FC7">
              <w:rPr>
                <w:rFonts w:cs="Arial"/>
                <w:szCs w:val="20"/>
                <w:lang w:eastAsia="en-AU"/>
              </w:rPr>
              <w:t>19%</w:t>
            </w:r>
          </w:p>
        </w:tc>
        <w:tc>
          <w:tcPr>
            <w:tcW w:w="1843" w:type="dxa"/>
            <w:tcBorders>
              <w:top w:val="nil"/>
              <w:left w:val="nil"/>
              <w:bottom w:val="single" w:sz="4" w:space="0" w:color="auto"/>
              <w:right w:val="single" w:sz="4" w:space="0" w:color="auto"/>
            </w:tcBorders>
            <w:shd w:val="clear" w:color="auto" w:fill="auto"/>
            <w:noWrap/>
            <w:vAlign w:val="bottom"/>
            <w:hideMark/>
          </w:tcPr>
          <w:p w14:paraId="2A42C93B" w14:textId="77777777" w:rsidR="005E5406" w:rsidRPr="00190FC7" w:rsidRDefault="005E5406" w:rsidP="00190FC7">
            <w:pPr>
              <w:spacing w:after="0"/>
              <w:jc w:val="right"/>
              <w:rPr>
                <w:rFonts w:cs="Arial"/>
                <w:szCs w:val="20"/>
                <w:lang w:eastAsia="en-AU"/>
              </w:rPr>
            </w:pPr>
            <w:r w:rsidRPr="00190FC7">
              <w:rPr>
                <w:rFonts w:cs="Arial"/>
                <w:szCs w:val="20"/>
                <w:lang w:eastAsia="en-AU"/>
              </w:rPr>
              <w:t>6%</w:t>
            </w:r>
          </w:p>
        </w:tc>
        <w:tc>
          <w:tcPr>
            <w:tcW w:w="1842" w:type="dxa"/>
            <w:tcBorders>
              <w:top w:val="nil"/>
              <w:left w:val="nil"/>
              <w:bottom w:val="single" w:sz="4" w:space="0" w:color="auto"/>
              <w:right w:val="single" w:sz="4" w:space="0" w:color="auto"/>
            </w:tcBorders>
            <w:shd w:val="clear" w:color="auto" w:fill="auto"/>
            <w:noWrap/>
            <w:vAlign w:val="bottom"/>
            <w:hideMark/>
          </w:tcPr>
          <w:p w14:paraId="5F2EAB55" w14:textId="77777777" w:rsidR="005E5406" w:rsidRPr="00190FC7" w:rsidRDefault="005E5406" w:rsidP="00190FC7">
            <w:pPr>
              <w:spacing w:after="0"/>
              <w:jc w:val="right"/>
              <w:rPr>
                <w:rFonts w:cs="Arial"/>
                <w:szCs w:val="20"/>
                <w:lang w:eastAsia="en-AU"/>
              </w:rPr>
            </w:pPr>
            <w:r w:rsidRPr="00190FC7">
              <w:rPr>
                <w:rFonts w:cs="Arial"/>
                <w:szCs w:val="20"/>
                <w:lang w:eastAsia="en-AU"/>
              </w:rPr>
              <w:t>5%</w:t>
            </w:r>
          </w:p>
        </w:tc>
        <w:tc>
          <w:tcPr>
            <w:tcW w:w="1418" w:type="dxa"/>
            <w:tcBorders>
              <w:top w:val="nil"/>
              <w:left w:val="nil"/>
              <w:bottom w:val="single" w:sz="4" w:space="0" w:color="auto"/>
              <w:right w:val="single" w:sz="4" w:space="0" w:color="auto"/>
            </w:tcBorders>
            <w:shd w:val="clear" w:color="auto" w:fill="auto"/>
            <w:noWrap/>
            <w:vAlign w:val="bottom"/>
            <w:hideMark/>
          </w:tcPr>
          <w:p w14:paraId="1C6FBFFC" w14:textId="77777777" w:rsidR="005E5406" w:rsidRPr="00190FC7" w:rsidRDefault="005E5406" w:rsidP="00190FC7">
            <w:pPr>
              <w:spacing w:after="0"/>
              <w:jc w:val="right"/>
              <w:rPr>
                <w:rFonts w:cs="Arial"/>
                <w:szCs w:val="20"/>
                <w:lang w:eastAsia="en-AU"/>
              </w:rPr>
            </w:pPr>
            <w:r w:rsidRPr="00190FC7">
              <w:rPr>
                <w:rFonts w:cs="Arial"/>
                <w:szCs w:val="20"/>
                <w:lang w:eastAsia="en-AU"/>
              </w:rPr>
              <w:t>18%</w:t>
            </w:r>
          </w:p>
        </w:tc>
      </w:tr>
      <w:tr w:rsidR="005E5406" w:rsidRPr="00190FC7" w14:paraId="279167F7" w14:textId="77777777" w:rsidTr="008E1EF1">
        <w:trPr>
          <w:trHeight w:val="300"/>
        </w:trPr>
        <w:tc>
          <w:tcPr>
            <w:tcW w:w="661" w:type="dxa"/>
            <w:tcBorders>
              <w:top w:val="nil"/>
              <w:left w:val="single" w:sz="4" w:space="0" w:color="auto"/>
              <w:bottom w:val="single" w:sz="4" w:space="0" w:color="auto"/>
              <w:right w:val="single" w:sz="4" w:space="0" w:color="auto"/>
            </w:tcBorders>
            <w:shd w:val="clear" w:color="auto" w:fill="auto"/>
            <w:noWrap/>
            <w:vAlign w:val="bottom"/>
            <w:hideMark/>
          </w:tcPr>
          <w:p w14:paraId="52A9BD5D" w14:textId="77777777" w:rsidR="005E5406" w:rsidRPr="00190FC7" w:rsidRDefault="005E5406" w:rsidP="00190FC7">
            <w:pPr>
              <w:spacing w:after="0"/>
              <w:jc w:val="right"/>
              <w:rPr>
                <w:rFonts w:cs="Arial"/>
                <w:szCs w:val="20"/>
                <w:lang w:eastAsia="en-AU"/>
              </w:rPr>
            </w:pPr>
            <w:r w:rsidRPr="00190FC7">
              <w:rPr>
                <w:rFonts w:cs="Arial"/>
                <w:szCs w:val="20"/>
                <w:lang w:eastAsia="en-AU"/>
              </w:rPr>
              <w:t>2022</w:t>
            </w:r>
          </w:p>
        </w:tc>
        <w:tc>
          <w:tcPr>
            <w:tcW w:w="1891" w:type="dxa"/>
            <w:tcBorders>
              <w:top w:val="nil"/>
              <w:left w:val="nil"/>
              <w:bottom w:val="single" w:sz="4" w:space="0" w:color="auto"/>
              <w:right w:val="single" w:sz="4" w:space="0" w:color="auto"/>
            </w:tcBorders>
            <w:shd w:val="clear" w:color="auto" w:fill="auto"/>
            <w:noWrap/>
            <w:vAlign w:val="bottom"/>
            <w:hideMark/>
          </w:tcPr>
          <w:p w14:paraId="54D273F9" w14:textId="77777777" w:rsidR="005E5406" w:rsidRPr="00190FC7" w:rsidRDefault="005E5406" w:rsidP="00190FC7">
            <w:pPr>
              <w:spacing w:after="0"/>
              <w:jc w:val="right"/>
              <w:rPr>
                <w:rFonts w:cs="Arial"/>
                <w:szCs w:val="20"/>
                <w:lang w:eastAsia="en-AU"/>
              </w:rPr>
            </w:pPr>
            <w:r w:rsidRPr="00190FC7">
              <w:rPr>
                <w:rFonts w:cs="Arial"/>
                <w:szCs w:val="20"/>
                <w:lang w:eastAsia="en-AU"/>
              </w:rPr>
              <w:t>21%</w:t>
            </w:r>
          </w:p>
        </w:tc>
        <w:tc>
          <w:tcPr>
            <w:tcW w:w="1843" w:type="dxa"/>
            <w:tcBorders>
              <w:top w:val="nil"/>
              <w:left w:val="nil"/>
              <w:bottom w:val="single" w:sz="4" w:space="0" w:color="auto"/>
              <w:right w:val="single" w:sz="4" w:space="0" w:color="auto"/>
            </w:tcBorders>
            <w:shd w:val="clear" w:color="auto" w:fill="auto"/>
            <w:noWrap/>
            <w:vAlign w:val="bottom"/>
            <w:hideMark/>
          </w:tcPr>
          <w:p w14:paraId="28B7F379" w14:textId="77777777" w:rsidR="005E5406" w:rsidRPr="00190FC7" w:rsidRDefault="005E5406" w:rsidP="00190FC7">
            <w:pPr>
              <w:spacing w:after="0"/>
              <w:jc w:val="right"/>
              <w:rPr>
                <w:rFonts w:cs="Arial"/>
                <w:szCs w:val="20"/>
                <w:lang w:eastAsia="en-AU"/>
              </w:rPr>
            </w:pPr>
            <w:r w:rsidRPr="00190FC7">
              <w:rPr>
                <w:rFonts w:cs="Arial"/>
                <w:szCs w:val="20"/>
                <w:lang w:eastAsia="en-AU"/>
              </w:rPr>
              <w:t>7%</w:t>
            </w:r>
          </w:p>
        </w:tc>
        <w:tc>
          <w:tcPr>
            <w:tcW w:w="1842" w:type="dxa"/>
            <w:tcBorders>
              <w:top w:val="nil"/>
              <w:left w:val="nil"/>
              <w:bottom w:val="single" w:sz="4" w:space="0" w:color="auto"/>
              <w:right w:val="single" w:sz="4" w:space="0" w:color="auto"/>
            </w:tcBorders>
            <w:shd w:val="clear" w:color="auto" w:fill="auto"/>
            <w:noWrap/>
            <w:vAlign w:val="bottom"/>
            <w:hideMark/>
          </w:tcPr>
          <w:p w14:paraId="34041E88" w14:textId="77777777" w:rsidR="005E5406" w:rsidRPr="00190FC7" w:rsidRDefault="005E5406" w:rsidP="00190FC7">
            <w:pPr>
              <w:spacing w:after="0"/>
              <w:jc w:val="right"/>
              <w:rPr>
                <w:rFonts w:cs="Arial"/>
                <w:szCs w:val="20"/>
                <w:lang w:eastAsia="en-AU"/>
              </w:rPr>
            </w:pPr>
            <w:r w:rsidRPr="00190FC7">
              <w:rPr>
                <w:rFonts w:cs="Arial"/>
                <w:szCs w:val="20"/>
                <w:lang w:eastAsia="en-AU"/>
              </w:rPr>
              <w:t>6%</w:t>
            </w:r>
          </w:p>
        </w:tc>
        <w:tc>
          <w:tcPr>
            <w:tcW w:w="1418" w:type="dxa"/>
            <w:tcBorders>
              <w:top w:val="nil"/>
              <w:left w:val="nil"/>
              <w:bottom w:val="single" w:sz="4" w:space="0" w:color="auto"/>
              <w:right w:val="single" w:sz="4" w:space="0" w:color="auto"/>
            </w:tcBorders>
            <w:shd w:val="clear" w:color="auto" w:fill="auto"/>
            <w:noWrap/>
            <w:vAlign w:val="bottom"/>
            <w:hideMark/>
          </w:tcPr>
          <w:p w14:paraId="1D141C61" w14:textId="77777777" w:rsidR="005E5406" w:rsidRPr="00190FC7" w:rsidRDefault="005E5406" w:rsidP="00190FC7">
            <w:pPr>
              <w:spacing w:after="0"/>
              <w:jc w:val="right"/>
              <w:rPr>
                <w:rFonts w:cs="Arial"/>
                <w:szCs w:val="20"/>
                <w:lang w:eastAsia="en-AU"/>
              </w:rPr>
            </w:pPr>
            <w:r w:rsidRPr="00190FC7">
              <w:rPr>
                <w:rFonts w:cs="Arial"/>
                <w:szCs w:val="20"/>
                <w:lang w:eastAsia="en-AU"/>
              </w:rPr>
              <w:t>20%</w:t>
            </w:r>
          </w:p>
        </w:tc>
      </w:tr>
    </w:tbl>
    <w:p w14:paraId="6976D130" w14:textId="77777777" w:rsidR="005E5406" w:rsidRDefault="005E5406" w:rsidP="00190FC7">
      <w:pPr>
        <w:rPr>
          <w:rFonts w:ascii="Helvetica Light" w:hAnsi="Helvetica Light" w:cstheme="minorBidi"/>
          <w:szCs w:val="20"/>
        </w:rPr>
      </w:pPr>
    </w:p>
    <w:p w14:paraId="721676C9" w14:textId="7F02A230" w:rsidR="00190FC7" w:rsidRPr="007E394F" w:rsidRDefault="00190FC7" w:rsidP="00190FC7">
      <w:pPr>
        <w:rPr>
          <w:rFonts w:cs="Arial"/>
          <w:szCs w:val="20"/>
        </w:rPr>
      </w:pPr>
      <w:r w:rsidRPr="007E394F">
        <w:rPr>
          <w:rFonts w:cs="Arial"/>
          <w:szCs w:val="20"/>
        </w:rPr>
        <w:t>Return to</w:t>
      </w:r>
      <w:r>
        <w:rPr>
          <w:rFonts w:cs="Arial"/>
          <w:szCs w:val="20"/>
        </w:rPr>
        <w:t xml:space="preserve"> </w:t>
      </w:r>
      <w:hyperlink w:anchor="_4.2.5_Change_in" w:history="1">
        <w:r w:rsidRPr="00190FC7">
          <w:rPr>
            <w:rStyle w:val="Hyperlink"/>
          </w:rPr>
          <w:t>Change in Gas Use</w:t>
        </w:r>
      </w:hyperlink>
    </w:p>
    <w:p w14:paraId="0837A4CA" w14:textId="02ABA940" w:rsidR="00190FC7" w:rsidRPr="00190FC7" w:rsidRDefault="00944E9B" w:rsidP="00190FC7">
      <w:pPr>
        <w:pStyle w:val="Heading3"/>
        <w:rPr>
          <w:rFonts w:hint="eastAsia"/>
        </w:rPr>
      </w:pPr>
      <w:r>
        <w:t>Table A.4</w:t>
      </w:r>
      <w:r w:rsidR="00A13E20">
        <w:t>5</w:t>
      </w:r>
      <w:r>
        <w:tab/>
      </w:r>
      <w:r w:rsidR="00190FC7" w:rsidRPr="005E5406">
        <w:t>Share of Electricity Customers with Gas Connections</w:t>
      </w:r>
    </w:p>
    <w:tbl>
      <w:tblPr>
        <w:tblW w:w="8647" w:type="dxa"/>
        <w:tblInd w:w="-5" w:type="dxa"/>
        <w:tblLook w:val="04A0" w:firstRow="1" w:lastRow="0" w:firstColumn="1" w:lastColumn="0" w:noHBand="0" w:noVBand="1"/>
      </w:tblPr>
      <w:tblGrid>
        <w:gridCol w:w="1117"/>
        <w:gridCol w:w="3419"/>
        <w:gridCol w:w="4111"/>
      </w:tblGrid>
      <w:tr w:rsidR="005E5406" w:rsidRPr="00190FC7" w14:paraId="5AC10E7A" w14:textId="77777777" w:rsidTr="00190FC7">
        <w:trPr>
          <w:trHeight w:val="300"/>
        </w:trPr>
        <w:tc>
          <w:tcPr>
            <w:tcW w:w="11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BD0E40" w14:textId="77777777" w:rsidR="005E5406" w:rsidRPr="00190FC7" w:rsidRDefault="005E5406" w:rsidP="00190FC7">
            <w:pPr>
              <w:spacing w:after="0"/>
              <w:rPr>
                <w:rFonts w:cs="Arial"/>
                <w:b/>
                <w:bCs/>
                <w:szCs w:val="20"/>
                <w:lang w:eastAsia="en-AU"/>
              </w:rPr>
            </w:pPr>
            <w:bookmarkStart w:id="286" w:name="_Figure_46:_Share"/>
            <w:bookmarkEnd w:id="286"/>
            <w:r w:rsidRPr="00190FC7">
              <w:rPr>
                <w:rFonts w:cs="Arial"/>
                <w:b/>
                <w:bCs/>
                <w:szCs w:val="20"/>
                <w:lang w:eastAsia="en-AU"/>
              </w:rPr>
              <w:t>Postcode</w:t>
            </w:r>
          </w:p>
        </w:tc>
        <w:tc>
          <w:tcPr>
            <w:tcW w:w="3419" w:type="dxa"/>
            <w:tcBorders>
              <w:top w:val="single" w:sz="4" w:space="0" w:color="auto"/>
              <w:left w:val="nil"/>
              <w:bottom w:val="single" w:sz="4" w:space="0" w:color="auto"/>
              <w:right w:val="single" w:sz="4" w:space="0" w:color="auto"/>
            </w:tcBorders>
            <w:shd w:val="clear" w:color="auto" w:fill="auto"/>
            <w:noWrap/>
            <w:vAlign w:val="bottom"/>
            <w:hideMark/>
          </w:tcPr>
          <w:p w14:paraId="23D881EC" w14:textId="77777777" w:rsidR="005E5406" w:rsidRPr="00190FC7" w:rsidRDefault="005E5406" w:rsidP="00190FC7">
            <w:pPr>
              <w:spacing w:after="0"/>
              <w:rPr>
                <w:rFonts w:cs="Arial"/>
                <w:b/>
                <w:bCs/>
                <w:szCs w:val="20"/>
                <w:lang w:eastAsia="en-AU"/>
              </w:rPr>
            </w:pPr>
            <w:r w:rsidRPr="00190FC7">
              <w:rPr>
                <w:rFonts w:cs="Arial"/>
                <w:b/>
                <w:bCs/>
                <w:szCs w:val="20"/>
                <w:lang w:eastAsia="en-AU"/>
              </w:rPr>
              <w:t>Residential Electricity Customers as a Percentage of the Total (%)</w:t>
            </w:r>
          </w:p>
        </w:tc>
        <w:tc>
          <w:tcPr>
            <w:tcW w:w="4111" w:type="dxa"/>
            <w:tcBorders>
              <w:top w:val="single" w:sz="4" w:space="0" w:color="auto"/>
              <w:left w:val="nil"/>
              <w:bottom w:val="single" w:sz="4" w:space="0" w:color="auto"/>
              <w:right w:val="single" w:sz="4" w:space="0" w:color="auto"/>
            </w:tcBorders>
            <w:shd w:val="clear" w:color="auto" w:fill="auto"/>
            <w:noWrap/>
            <w:vAlign w:val="bottom"/>
            <w:hideMark/>
          </w:tcPr>
          <w:p w14:paraId="43FCF7F3" w14:textId="77777777" w:rsidR="005E5406" w:rsidRPr="00190FC7" w:rsidRDefault="005E5406" w:rsidP="00190FC7">
            <w:pPr>
              <w:spacing w:after="0"/>
              <w:rPr>
                <w:rFonts w:cs="Arial"/>
                <w:b/>
                <w:bCs/>
                <w:szCs w:val="20"/>
                <w:lang w:eastAsia="en-AU"/>
              </w:rPr>
            </w:pPr>
            <w:r w:rsidRPr="00190FC7">
              <w:rPr>
                <w:rFonts w:cs="Arial"/>
                <w:b/>
                <w:bCs/>
                <w:szCs w:val="20"/>
                <w:lang w:eastAsia="en-AU"/>
              </w:rPr>
              <w:t>Non-Residential Electricity Customers as a Percentage of the Total (%)</w:t>
            </w:r>
          </w:p>
        </w:tc>
      </w:tr>
      <w:tr w:rsidR="005E5406" w:rsidRPr="00190FC7" w14:paraId="70161ED5" w14:textId="77777777" w:rsidTr="00190FC7">
        <w:trPr>
          <w:trHeight w:val="300"/>
        </w:trPr>
        <w:tc>
          <w:tcPr>
            <w:tcW w:w="1117" w:type="dxa"/>
            <w:tcBorders>
              <w:top w:val="nil"/>
              <w:left w:val="single" w:sz="4" w:space="0" w:color="auto"/>
              <w:bottom w:val="single" w:sz="4" w:space="0" w:color="auto"/>
              <w:right w:val="single" w:sz="4" w:space="0" w:color="auto"/>
            </w:tcBorders>
            <w:shd w:val="clear" w:color="auto" w:fill="auto"/>
            <w:noWrap/>
            <w:vAlign w:val="bottom"/>
            <w:hideMark/>
          </w:tcPr>
          <w:p w14:paraId="3B55390F" w14:textId="77777777" w:rsidR="005E5406" w:rsidRPr="00190FC7" w:rsidRDefault="005E5406" w:rsidP="00190FC7">
            <w:pPr>
              <w:spacing w:after="0"/>
              <w:jc w:val="right"/>
              <w:rPr>
                <w:rFonts w:cs="Arial"/>
                <w:szCs w:val="20"/>
                <w:lang w:eastAsia="en-AU"/>
              </w:rPr>
            </w:pPr>
            <w:r w:rsidRPr="00190FC7">
              <w:rPr>
                <w:rFonts w:cs="Arial"/>
                <w:szCs w:val="20"/>
                <w:lang w:eastAsia="en-AU"/>
              </w:rPr>
              <w:t>2011</w:t>
            </w:r>
          </w:p>
        </w:tc>
        <w:tc>
          <w:tcPr>
            <w:tcW w:w="3419" w:type="dxa"/>
            <w:tcBorders>
              <w:top w:val="nil"/>
              <w:left w:val="nil"/>
              <w:bottom w:val="single" w:sz="4" w:space="0" w:color="auto"/>
              <w:right w:val="single" w:sz="4" w:space="0" w:color="auto"/>
            </w:tcBorders>
            <w:shd w:val="clear" w:color="auto" w:fill="auto"/>
            <w:noWrap/>
            <w:vAlign w:val="bottom"/>
            <w:hideMark/>
          </w:tcPr>
          <w:p w14:paraId="4F7ACD04" w14:textId="77777777" w:rsidR="005E5406" w:rsidRPr="00190FC7" w:rsidRDefault="005E5406" w:rsidP="00190FC7">
            <w:pPr>
              <w:spacing w:after="0"/>
              <w:jc w:val="right"/>
              <w:rPr>
                <w:rFonts w:cs="Arial"/>
                <w:szCs w:val="20"/>
                <w:lang w:eastAsia="en-AU"/>
              </w:rPr>
            </w:pPr>
            <w:r w:rsidRPr="00190FC7">
              <w:rPr>
                <w:rFonts w:cs="Arial"/>
                <w:szCs w:val="20"/>
                <w:lang w:eastAsia="en-AU"/>
              </w:rPr>
              <w:t>78%</w:t>
            </w:r>
          </w:p>
        </w:tc>
        <w:tc>
          <w:tcPr>
            <w:tcW w:w="4111" w:type="dxa"/>
            <w:tcBorders>
              <w:top w:val="nil"/>
              <w:left w:val="nil"/>
              <w:bottom w:val="single" w:sz="4" w:space="0" w:color="auto"/>
              <w:right w:val="single" w:sz="4" w:space="0" w:color="auto"/>
            </w:tcBorders>
            <w:shd w:val="clear" w:color="auto" w:fill="auto"/>
            <w:noWrap/>
            <w:vAlign w:val="bottom"/>
            <w:hideMark/>
          </w:tcPr>
          <w:p w14:paraId="3517E0C1" w14:textId="77777777" w:rsidR="005E5406" w:rsidRPr="00190FC7" w:rsidRDefault="005E5406" w:rsidP="00190FC7">
            <w:pPr>
              <w:spacing w:after="0"/>
              <w:jc w:val="right"/>
              <w:rPr>
                <w:rFonts w:cs="Arial"/>
                <w:szCs w:val="20"/>
                <w:lang w:eastAsia="en-AU"/>
              </w:rPr>
            </w:pPr>
            <w:r w:rsidRPr="00190FC7">
              <w:rPr>
                <w:rFonts w:cs="Arial"/>
                <w:szCs w:val="20"/>
                <w:lang w:eastAsia="en-AU"/>
              </w:rPr>
              <w:t>18%</w:t>
            </w:r>
          </w:p>
        </w:tc>
      </w:tr>
      <w:tr w:rsidR="005E5406" w:rsidRPr="00190FC7" w14:paraId="1CC4F4BD" w14:textId="77777777" w:rsidTr="00190FC7">
        <w:trPr>
          <w:trHeight w:val="300"/>
        </w:trPr>
        <w:tc>
          <w:tcPr>
            <w:tcW w:w="1117" w:type="dxa"/>
            <w:tcBorders>
              <w:top w:val="nil"/>
              <w:left w:val="single" w:sz="4" w:space="0" w:color="auto"/>
              <w:bottom w:val="single" w:sz="4" w:space="0" w:color="auto"/>
              <w:right w:val="single" w:sz="4" w:space="0" w:color="auto"/>
            </w:tcBorders>
            <w:shd w:val="clear" w:color="auto" w:fill="auto"/>
            <w:noWrap/>
            <w:vAlign w:val="bottom"/>
            <w:hideMark/>
          </w:tcPr>
          <w:p w14:paraId="1BA9BF9A" w14:textId="77777777" w:rsidR="005E5406" w:rsidRPr="00190FC7" w:rsidRDefault="005E5406" w:rsidP="00190FC7">
            <w:pPr>
              <w:spacing w:after="0"/>
              <w:jc w:val="right"/>
              <w:rPr>
                <w:rFonts w:cs="Arial"/>
                <w:szCs w:val="20"/>
                <w:lang w:eastAsia="en-AU"/>
              </w:rPr>
            </w:pPr>
            <w:r w:rsidRPr="00190FC7">
              <w:rPr>
                <w:rFonts w:cs="Arial"/>
                <w:szCs w:val="20"/>
                <w:lang w:eastAsia="en-AU"/>
              </w:rPr>
              <w:t>2012</w:t>
            </w:r>
          </w:p>
        </w:tc>
        <w:tc>
          <w:tcPr>
            <w:tcW w:w="3419" w:type="dxa"/>
            <w:tcBorders>
              <w:top w:val="nil"/>
              <w:left w:val="nil"/>
              <w:bottom w:val="single" w:sz="4" w:space="0" w:color="auto"/>
              <w:right w:val="single" w:sz="4" w:space="0" w:color="auto"/>
            </w:tcBorders>
            <w:shd w:val="clear" w:color="auto" w:fill="auto"/>
            <w:noWrap/>
            <w:vAlign w:val="bottom"/>
            <w:hideMark/>
          </w:tcPr>
          <w:p w14:paraId="5A2831EA" w14:textId="77777777" w:rsidR="005E5406" w:rsidRPr="00190FC7" w:rsidRDefault="005E5406" w:rsidP="00190FC7">
            <w:pPr>
              <w:spacing w:after="0"/>
              <w:jc w:val="right"/>
              <w:rPr>
                <w:rFonts w:cs="Arial"/>
                <w:szCs w:val="20"/>
                <w:lang w:eastAsia="en-AU"/>
              </w:rPr>
            </w:pPr>
            <w:r w:rsidRPr="00190FC7">
              <w:rPr>
                <w:rFonts w:cs="Arial"/>
                <w:szCs w:val="20"/>
                <w:lang w:eastAsia="en-AU"/>
              </w:rPr>
              <w:t>78%</w:t>
            </w:r>
          </w:p>
        </w:tc>
        <w:tc>
          <w:tcPr>
            <w:tcW w:w="4111" w:type="dxa"/>
            <w:tcBorders>
              <w:top w:val="nil"/>
              <w:left w:val="nil"/>
              <w:bottom w:val="single" w:sz="4" w:space="0" w:color="auto"/>
              <w:right w:val="single" w:sz="4" w:space="0" w:color="auto"/>
            </w:tcBorders>
            <w:shd w:val="clear" w:color="auto" w:fill="auto"/>
            <w:noWrap/>
            <w:vAlign w:val="bottom"/>
            <w:hideMark/>
          </w:tcPr>
          <w:p w14:paraId="530FB5F9" w14:textId="77777777" w:rsidR="005E5406" w:rsidRPr="00190FC7" w:rsidRDefault="005E5406" w:rsidP="00190FC7">
            <w:pPr>
              <w:spacing w:after="0"/>
              <w:jc w:val="right"/>
              <w:rPr>
                <w:rFonts w:cs="Arial"/>
                <w:szCs w:val="20"/>
                <w:lang w:eastAsia="en-AU"/>
              </w:rPr>
            </w:pPr>
            <w:r w:rsidRPr="00190FC7">
              <w:rPr>
                <w:rFonts w:cs="Arial"/>
                <w:szCs w:val="20"/>
                <w:lang w:eastAsia="en-AU"/>
              </w:rPr>
              <w:t>18%</w:t>
            </w:r>
          </w:p>
        </w:tc>
      </w:tr>
      <w:tr w:rsidR="005E5406" w:rsidRPr="00190FC7" w14:paraId="4A6DFC3D" w14:textId="77777777" w:rsidTr="00190FC7">
        <w:trPr>
          <w:trHeight w:val="300"/>
        </w:trPr>
        <w:tc>
          <w:tcPr>
            <w:tcW w:w="1117" w:type="dxa"/>
            <w:tcBorders>
              <w:top w:val="nil"/>
              <w:left w:val="single" w:sz="4" w:space="0" w:color="auto"/>
              <w:bottom w:val="single" w:sz="4" w:space="0" w:color="auto"/>
              <w:right w:val="single" w:sz="4" w:space="0" w:color="auto"/>
            </w:tcBorders>
            <w:shd w:val="clear" w:color="auto" w:fill="auto"/>
            <w:noWrap/>
            <w:vAlign w:val="bottom"/>
            <w:hideMark/>
          </w:tcPr>
          <w:p w14:paraId="4AEDC3FC" w14:textId="77777777" w:rsidR="005E5406" w:rsidRPr="00190FC7" w:rsidRDefault="005E5406" w:rsidP="00190FC7">
            <w:pPr>
              <w:spacing w:after="0"/>
              <w:jc w:val="right"/>
              <w:rPr>
                <w:rFonts w:cs="Arial"/>
                <w:szCs w:val="20"/>
                <w:lang w:eastAsia="en-AU"/>
              </w:rPr>
            </w:pPr>
            <w:r w:rsidRPr="00190FC7">
              <w:rPr>
                <w:rFonts w:cs="Arial"/>
                <w:szCs w:val="20"/>
                <w:lang w:eastAsia="en-AU"/>
              </w:rPr>
              <w:t>2013</w:t>
            </w:r>
          </w:p>
        </w:tc>
        <w:tc>
          <w:tcPr>
            <w:tcW w:w="3419" w:type="dxa"/>
            <w:tcBorders>
              <w:top w:val="nil"/>
              <w:left w:val="nil"/>
              <w:bottom w:val="single" w:sz="4" w:space="0" w:color="auto"/>
              <w:right w:val="single" w:sz="4" w:space="0" w:color="auto"/>
            </w:tcBorders>
            <w:shd w:val="clear" w:color="auto" w:fill="auto"/>
            <w:noWrap/>
            <w:vAlign w:val="bottom"/>
            <w:hideMark/>
          </w:tcPr>
          <w:p w14:paraId="1E8485C6" w14:textId="77777777" w:rsidR="005E5406" w:rsidRPr="00190FC7" w:rsidRDefault="005E5406" w:rsidP="00190FC7">
            <w:pPr>
              <w:spacing w:after="0"/>
              <w:jc w:val="right"/>
              <w:rPr>
                <w:rFonts w:cs="Arial"/>
                <w:szCs w:val="20"/>
                <w:lang w:eastAsia="en-AU"/>
              </w:rPr>
            </w:pPr>
            <w:r w:rsidRPr="00190FC7">
              <w:rPr>
                <w:rFonts w:cs="Arial"/>
                <w:szCs w:val="20"/>
                <w:lang w:eastAsia="en-AU"/>
              </w:rPr>
              <w:t>78%</w:t>
            </w:r>
          </w:p>
        </w:tc>
        <w:tc>
          <w:tcPr>
            <w:tcW w:w="4111" w:type="dxa"/>
            <w:tcBorders>
              <w:top w:val="nil"/>
              <w:left w:val="nil"/>
              <w:bottom w:val="single" w:sz="4" w:space="0" w:color="auto"/>
              <w:right w:val="single" w:sz="4" w:space="0" w:color="auto"/>
            </w:tcBorders>
            <w:shd w:val="clear" w:color="auto" w:fill="auto"/>
            <w:noWrap/>
            <w:vAlign w:val="bottom"/>
            <w:hideMark/>
          </w:tcPr>
          <w:p w14:paraId="5D0CADA2" w14:textId="77777777" w:rsidR="005E5406" w:rsidRPr="00190FC7" w:rsidRDefault="005E5406" w:rsidP="00190FC7">
            <w:pPr>
              <w:spacing w:after="0"/>
              <w:jc w:val="right"/>
              <w:rPr>
                <w:rFonts w:cs="Arial"/>
                <w:szCs w:val="20"/>
                <w:lang w:eastAsia="en-AU"/>
              </w:rPr>
            </w:pPr>
            <w:r w:rsidRPr="00190FC7">
              <w:rPr>
                <w:rFonts w:cs="Arial"/>
                <w:szCs w:val="20"/>
                <w:lang w:eastAsia="en-AU"/>
              </w:rPr>
              <w:t>18%</w:t>
            </w:r>
          </w:p>
        </w:tc>
      </w:tr>
      <w:tr w:rsidR="005E5406" w:rsidRPr="00190FC7" w14:paraId="2B92D99F" w14:textId="77777777" w:rsidTr="00190FC7">
        <w:trPr>
          <w:trHeight w:val="300"/>
        </w:trPr>
        <w:tc>
          <w:tcPr>
            <w:tcW w:w="1117" w:type="dxa"/>
            <w:tcBorders>
              <w:top w:val="nil"/>
              <w:left w:val="single" w:sz="4" w:space="0" w:color="auto"/>
              <w:bottom w:val="single" w:sz="4" w:space="0" w:color="auto"/>
              <w:right w:val="single" w:sz="4" w:space="0" w:color="auto"/>
            </w:tcBorders>
            <w:shd w:val="clear" w:color="auto" w:fill="auto"/>
            <w:noWrap/>
            <w:vAlign w:val="bottom"/>
            <w:hideMark/>
          </w:tcPr>
          <w:p w14:paraId="78728893" w14:textId="77777777" w:rsidR="005E5406" w:rsidRPr="00190FC7" w:rsidRDefault="005E5406" w:rsidP="00190FC7">
            <w:pPr>
              <w:spacing w:after="0"/>
              <w:jc w:val="right"/>
              <w:rPr>
                <w:rFonts w:cs="Arial"/>
                <w:szCs w:val="20"/>
                <w:lang w:eastAsia="en-AU"/>
              </w:rPr>
            </w:pPr>
            <w:r w:rsidRPr="00190FC7">
              <w:rPr>
                <w:rFonts w:cs="Arial"/>
                <w:szCs w:val="20"/>
                <w:lang w:eastAsia="en-AU"/>
              </w:rPr>
              <w:t>2014</w:t>
            </w:r>
          </w:p>
        </w:tc>
        <w:tc>
          <w:tcPr>
            <w:tcW w:w="3419" w:type="dxa"/>
            <w:tcBorders>
              <w:top w:val="nil"/>
              <w:left w:val="nil"/>
              <w:bottom w:val="single" w:sz="4" w:space="0" w:color="auto"/>
              <w:right w:val="single" w:sz="4" w:space="0" w:color="auto"/>
            </w:tcBorders>
            <w:shd w:val="clear" w:color="auto" w:fill="auto"/>
            <w:noWrap/>
            <w:vAlign w:val="bottom"/>
            <w:hideMark/>
          </w:tcPr>
          <w:p w14:paraId="5CEE5621" w14:textId="77777777" w:rsidR="005E5406" w:rsidRPr="00190FC7" w:rsidRDefault="005E5406" w:rsidP="00190FC7">
            <w:pPr>
              <w:spacing w:after="0"/>
              <w:jc w:val="right"/>
              <w:rPr>
                <w:rFonts w:cs="Arial"/>
                <w:szCs w:val="20"/>
                <w:lang w:eastAsia="en-AU"/>
              </w:rPr>
            </w:pPr>
            <w:r w:rsidRPr="00190FC7">
              <w:rPr>
                <w:rFonts w:cs="Arial"/>
                <w:szCs w:val="20"/>
                <w:lang w:eastAsia="en-AU"/>
              </w:rPr>
              <w:t>78%</w:t>
            </w:r>
          </w:p>
        </w:tc>
        <w:tc>
          <w:tcPr>
            <w:tcW w:w="4111" w:type="dxa"/>
            <w:tcBorders>
              <w:top w:val="nil"/>
              <w:left w:val="nil"/>
              <w:bottom w:val="single" w:sz="4" w:space="0" w:color="auto"/>
              <w:right w:val="single" w:sz="4" w:space="0" w:color="auto"/>
            </w:tcBorders>
            <w:shd w:val="clear" w:color="auto" w:fill="auto"/>
            <w:noWrap/>
            <w:vAlign w:val="bottom"/>
            <w:hideMark/>
          </w:tcPr>
          <w:p w14:paraId="3E6B0B07" w14:textId="77777777" w:rsidR="005E5406" w:rsidRPr="00190FC7" w:rsidRDefault="005E5406" w:rsidP="00190FC7">
            <w:pPr>
              <w:spacing w:after="0"/>
              <w:jc w:val="right"/>
              <w:rPr>
                <w:rFonts w:cs="Arial"/>
                <w:szCs w:val="20"/>
                <w:lang w:eastAsia="en-AU"/>
              </w:rPr>
            </w:pPr>
            <w:r w:rsidRPr="00190FC7">
              <w:rPr>
                <w:rFonts w:cs="Arial"/>
                <w:szCs w:val="20"/>
                <w:lang w:eastAsia="en-AU"/>
              </w:rPr>
              <w:t>19%</w:t>
            </w:r>
          </w:p>
        </w:tc>
      </w:tr>
      <w:tr w:rsidR="005E5406" w:rsidRPr="00190FC7" w14:paraId="4A27ECD9" w14:textId="77777777" w:rsidTr="00190FC7">
        <w:trPr>
          <w:trHeight w:val="300"/>
        </w:trPr>
        <w:tc>
          <w:tcPr>
            <w:tcW w:w="1117" w:type="dxa"/>
            <w:tcBorders>
              <w:top w:val="nil"/>
              <w:left w:val="single" w:sz="4" w:space="0" w:color="auto"/>
              <w:bottom w:val="single" w:sz="4" w:space="0" w:color="auto"/>
              <w:right w:val="single" w:sz="4" w:space="0" w:color="auto"/>
            </w:tcBorders>
            <w:shd w:val="clear" w:color="auto" w:fill="auto"/>
            <w:noWrap/>
            <w:vAlign w:val="bottom"/>
            <w:hideMark/>
          </w:tcPr>
          <w:p w14:paraId="3BB36694" w14:textId="77777777" w:rsidR="005E5406" w:rsidRPr="00190FC7" w:rsidRDefault="005E5406" w:rsidP="00190FC7">
            <w:pPr>
              <w:spacing w:after="0"/>
              <w:jc w:val="right"/>
              <w:rPr>
                <w:rFonts w:cs="Arial"/>
                <w:szCs w:val="20"/>
                <w:lang w:eastAsia="en-AU"/>
              </w:rPr>
            </w:pPr>
            <w:r w:rsidRPr="00190FC7">
              <w:rPr>
                <w:rFonts w:cs="Arial"/>
                <w:szCs w:val="20"/>
                <w:lang w:eastAsia="en-AU"/>
              </w:rPr>
              <w:t>2015</w:t>
            </w:r>
          </w:p>
        </w:tc>
        <w:tc>
          <w:tcPr>
            <w:tcW w:w="3419" w:type="dxa"/>
            <w:tcBorders>
              <w:top w:val="nil"/>
              <w:left w:val="nil"/>
              <w:bottom w:val="single" w:sz="4" w:space="0" w:color="auto"/>
              <w:right w:val="single" w:sz="4" w:space="0" w:color="auto"/>
            </w:tcBorders>
            <w:shd w:val="clear" w:color="auto" w:fill="auto"/>
            <w:noWrap/>
            <w:vAlign w:val="bottom"/>
            <w:hideMark/>
          </w:tcPr>
          <w:p w14:paraId="6C730FFC" w14:textId="77777777" w:rsidR="005E5406" w:rsidRPr="00190FC7" w:rsidRDefault="005E5406" w:rsidP="00190FC7">
            <w:pPr>
              <w:spacing w:after="0"/>
              <w:jc w:val="right"/>
              <w:rPr>
                <w:rFonts w:cs="Arial"/>
                <w:szCs w:val="20"/>
                <w:lang w:eastAsia="en-AU"/>
              </w:rPr>
            </w:pPr>
            <w:r w:rsidRPr="00190FC7">
              <w:rPr>
                <w:rFonts w:cs="Arial"/>
                <w:szCs w:val="20"/>
                <w:lang w:eastAsia="en-AU"/>
              </w:rPr>
              <w:t>78%</w:t>
            </w:r>
          </w:p>
        </w:tc>
        <w:tc>
          <w:tcPr>
            <w:tcW w:w="4111" w:type="dxa"/>
            <w:tcBorders>
              <w:top w:val="nil"/>
              <w:left w:val="nil"/>
              <w:bottom w:val="single" w:sz="4" w:space="0" w:color="auto"/>
              <w:right w:val="single" w:sz="4" w:space="0" w:color="auto"/>
            </w:tcBorders>
            <w:shd w:val="clear" w:color="auto" w:fill="auto"/>
            <w:noWrap/>
            <w:vAlign w:val="bottom"/>
            <w:hideMark/>
          </w:tcPr>
          <w:p w14:paraId="153916AF" w14:textId="77777777" w:rsidR="005E5406" w:rsidRPr="00190FC7" w:rsidRDefault="005E5406" w:rsidP="00190FC7">
            <w:pPr>
              <w:spacing w:after="0"/>
              <w:jc w:val="right"/>
              <w:rPr>
                <w:rFonts w:cs="Arial"/>
                <w:szCs w:val="20"/>
                <w:lang w:eastAsia="en-AU"/>
              </w:rPr>
            </w:pPr>
            <w:r w:rsidRPr="00190FC7">
              <w:rPr>
                <w:rFonts w:cs="Arial"/>
                <w:szCs w:val="20"/>
                <w:lang w:eastAsia="en-AU"/>
              </w:rPr>
              <w:t>19%</w:t>
            </w:r>
          </w:p>
        </w:tc>
      </w:tr>
      <w:tr w:rsidR="005E5406" w:rsidRPr="00190FC7" w14:paraId="79B4801C" w14:textId="77777777" w:rsidTr="00190FC7">
        <w:trPr>
          <w:trHeight w:val="300"/>
        </w:trPr>
        <w:tc>
          <w:tcPr>
            <w:tcW w:w="1117" w:type="dxa"/>
            <w:tcBorders>
              <w:top w:val="nil"/>
              <w:left w:val="single" w:sz="4" w:space="0" w:color="auto"/>
              <w:bottom w:val="single" w:sz="4" w:space="0" w:color="auto"/>
              <w:right w:val="single" w:sz="4" w:space="0" w:color="auto"/>
            </w:tcBorders>
            <w:shd w:val="clear" w:color="auto" w:fill="auto"/>
            <w:noWrap/>
            <w:vAlign w:val="bottom"/>
            <w:hideMark/>
          </w:tcPr>
          <w:p w14:paraId="78B6204A" w14:textId="77777777" w:rsidR="005E5406" w:rsidRPr="00190FC7" w:rsidRDefault="005E5406" w:rsidP="00190FC7">
            <w:pPr>
              <w:spacing w:after="0"/>
              <w:jc w:val="right"/>
              <w:rPr>
                <w:rFonts w:cs="Arial"/>
                <w:szCs w:val="20"/>
                <w:lang w:eastAsia="en-AU"/>
              </w:rPr>
            </w:pPr>
            <w:r w:rsidRPr="00190FC7">
              <w:rPr>
                <w:rFonts w:cs="Arial"/>
                <w:szCs w:val="20"/>
                <w:lang w:eastAsia="en-AU"/>
              </w:rPr>
              <w:t>2016</w:t>
            </w:r>
          </w:p>
        </w:tc>
        <w:tc>
          <w:tcPr>
            <w:tcW w:w="3419" w:type="dxa"/>
            <w:tcBorders>
              <w:top w:val="nil"/>
              <w:left w:val="nil"/>
              <w:bottom w:val="single" w:sz="4" w:space="0" w:color="auto"/>
              <w:right w:val="single" w:sz="4" w:space="0" w:color="auto"/>
            </w:tcBorders>
            <w:shd w:val="clear" w:color="auto" w:fill="auto"/>
            <w:noWrap/>
            <w:vAlign w:val="bottom"/>
            <w:hideMark/>
          </w:tcPr>
          <w:p w14:paraId="7E01A074" w14:textId="77777777" w:rsidR="005E5406" w:rsidRPr="00190FC7" w:rsidRDefault="005E5406" w:rsidP="00190FC7">
            <w:pPr>
              <w:spacing w:after="0"/>
              <w:jc w:val="right"/>
              <w:rPr>
                <w:rFonts w:cs="Arial"/>
                <w:szCs w:val="20"/>
                <w:lang w:eastAsia="en-AU"/>
              </w:rPr>
            </w:pPr>
            <w:r w:rsidRPr="00190FC7">
              <w:rPr>
                <w:rFonts w:cs="Arial"/>
                <w:szCs w:val="20"/>
                <w:lang w:eastAsia="en-AU"/>
              </w:rPr>
              <w:t>78%</w:t>
            </w:r>
          </w:p>
        </w:tc>
        <w:tc>
          <w:tcPr>
            <w:tcW w:w="4111" w:type="dxa"/>
            <w:tcBorders>
              <w:top w:val="nil"/>
              <w:left w:val="nil"/>
              <w:bottom w:val="single" w:sz="4" w:space="0" w:color="auto"/>
              <w:right w:val="single" w:sz="4" w:space="0" w:color="auto"/>
            </w:tcBorders>
            <w:shd w:val="clear" w:color="auto" w:fill="auto"/>
            <w:noWrap/>
            <w:vAlign w:val="bottom"/>
            <w:hideMark/>
          </w:tcPr>
          <w:p w14:paraId="1F757FCC" w14:textId="77777777" w:rsidR="005E5406" w:rsidRPr="00190FC7" w:rsidRDefault="005E5406" w:rsidP="00190FC7">
            <w:pPr>
              <w:spacing w:after="0"/>
              <w:jc w:val="right"/>
              <w:rPr>
                <w:rFonts w:cs="Arial"/>
                <w:szCs w:val="20"/>
                <w:lang w:eastAsia="en-AU"/>
              </w:rPr>
            </w:pPr>
            <w:r w:rsidRPr="00190FC7">
              <w:rPr>
                <w:rFonts w:cs="Arial"/>
                <w:szCs w:val="20"/>
                <w:lang w:eastAsia="en-AU"/>
              </w:rPr>
              <w:t>18%</w:t>
            </w:r>
          </w:p>
        </w:tc>
      </w:tr>
      <w:tr w:rsidR="005E5406" w:rsidRPr="00190FC7" w14:paraId="21BA3507" w14:textId="77777777" w:rsidTr="00190FC7">
        <w:trPr>
          <w:trHeight w:val="300"/>
        </w:trPr>
        <w:tc>
          <w:tcPr>
            <w:tcW w:w="1117" w:type="dxa"/>
            <w:tcBorders>
              <w:top w:val="nil"/>
              <w:left w:val="single" w:sz="4" w:space="0" w:color="auto"/>
              <w:bottom w:val="single" w:sz="4" w:space="0" w:color="auto"/>
              <w:right w:val="single" w:sz="4" w:space="0" w:color="auto"/>
            </w:tcBorders>
            <w:shd w:val="clear" w:color="auto" w:fill="auto"/>
            <w:noWrap/>
            <w:vAlign w:val="bottom"/>
            <w:hideMark/>
          </w:tcPr>
          <w:p w14:paraId="1CA3AB8F" w14:textId="77777777" w:rsidR="005E5406" w:rsidRPr="00190FC7" w:rsidRDefault="005E5406" w:rsidP="00190FC7">
            <w:pPr>
              <w:spacing w:after="0"/>
              <w:jc w:val="right"/>
              <w:rPr>
                <w:rFonts w:cs="Arial"/>
                <w:szCs w:val="20"/>
                <w:lang w:eastAsia="en-AU"/>
              </w:rPr>
            </w:pPr>
            <w:r w:rsidRPr="00190FC7">
              <w:rPr>
                <w:rFonts w:cs="Arial"/>
                <w:szCs w:val="20"/>
                <w:lang w:eastAsia="en-AU"/>
              </w:rPr>
              <w:t>2017</w:t>
            </w:r>
          </w:p>
        </w:tc>
        <w:tc>
          <w:tcPr>
            <w:tcW w:w="3419" w:type="dxa"/>
            <w:tcBorders>
              <w:top w:val="nil"/>
              <w:left w:val="nil"/>
              <w:bottom w:val="single" w:sz="4" w:space="0" w:color="auto"/>
              <w:right w:val="single" w:sz="4" w:space="0" w:color="auto"/>
            </w:tcBorders>
            <w:shd w:val="clear" w:color="auto" w:fill="auto"/>
            <w:noWrap/>
            <w:vAlign w:val="bottom"/>
            <w:hideMark/>
          </w:tcPr>
          <w:p w14:paraId="4DF94A51" w14:textId="77777777" w:rsidR="005E5406" w:rsidRPr="00190FC7" w:rsidRDefault="005E5406" w:rsidP="00190FC7">
            <w:pPr>
              <w:spacing w:after="0"/>
              <w:jc w:val="right"/>
              <w:rPr>
                <w:rFonts w:cs="Arial"/>
                <w:szCs w:val="20"/>
                <w:lang w:eastAsia="en-AU"/>
              </w:rPr>
            </w:pPr>
            <w:r w:rsidRPr="00190FC7">
              <w:rPr>
                <w:rFonts w:cs="Arial"/>
                <w:szCs w:val="20"/>
                <w:lang w:eastAsia="en-AU"/>
              </w:rPr>
              <w:t>78%</w:t>
            </w:r>
          </w:p>
        </w:tc>
        <w:tc>
          <w:tcPr>
            <w:tcW w:w="4111" w:type="dxa"/>
            <w:tcBorders>
              <w:top w:val="nil"/>
              <w:left w:val="nil"/>
              <w:bottom w:val="single" w:sz="4" w:space="0" w:color="auto"/>
              <w:right w:val="single" w:sz="4" w:space="0" w:color="auto"/>
            </w:tcBorders>
            <w:shd w:val="clear" w:color="auto" w:fill="auto"/>
            <w:noWrap/>
            <w:vAlign w:val="bottom"/>
            <w:hideMark/>
          </w:tcPr>
          <w:p w14:paraId="6FA4D632" w14:textId="77777777" w:rsidR="005E5406" w:rsidRPr="00190FC7" w:rsidRDefault="005E5406" w:rsidP="00190FC7">
            <w:pPr>
              <w:spacing w:after="0"/>
              <w:jc w:val="right"/>
              <w:rPr>
                <w:rFonts w:cs="Arial"/>
                <w:szCs w:val="20"/>
                <w:lang w:eastAsia="en-AU"/>
              </w:rPr>
            </w:pPr>
            <w:r w:rsidRPr="00190FC7">
              <w:rPr>
                <w:rFonts w:cs="Arial"/>
                <w:szCs w:val="20"/>
                <w:lang w:eastAsia="en-AU"/>
              </w:rPr>
              <w:t>18%</w:t>
            </w:r>
          </w:p>
        </w:tc>
      </w:tr>
      <w:tr w:rsidR="005E5406" w:rsidRPr="00190FC7" w14:paraId="1C23478F" w14:textId="77777777" w:rsidTr="00190FC7">
        <w:trPr>
          <w:trHeight w:val="300"/>
        </w:trPr>
        <w:tc>
          <w:tcPr>
            <w:tcW w:w="1117" w:type="dxa"/>
            <w:tcBorders>
              <w:top w:val="nil"/>
              <w:left w:val="single" w:sz="4" w:space="0" w:color="auto"/>
              <w:bottom w:val="single" w:sz="4" w:space="0" w:color="auto"/>
              <w:right w:val="single" w:sz="4" w:space="0" w:color="auto"/>
            </w:tcBorders>
            <w:shd w:val="clear" w:color="auto" w:fill="auto"/>
            <w:noWrap/>
            <w:vAlign w:val="bottom"/>
            <w:hideMark/>
          </w:tcPr>
          <w:p w14:paraId="7F910091" w14:textId="77777777" w:rsidR="005E5406" w:rsidRPr="00190FC7" w:rsidRDefault="005E5406" w:rsidP="00190FC7">
            <w:pPr>
              <w:spacing w:after="0"/>
              <w:jc w:val="right"/>
              <w:rPr>
                <w:rFonts w:cs="Arial"/>
                <w:szCs w:val="20"/>
                <w:lang w:eastAsia="en-AU"/>
              </w:rPr>
            </w:pPr>
            <w:r w:rsidRPr="00190FC7">
              <w:rPr>
                <w:rFonts w:cs="Arial"/>
                <w:szCs w:val="20"/>
                <w:lang w:eastAsia="en-AU"/>
              </w:rPr>
              <w:t>2018</w:t>
            </w:r>
          </w:p>
        </w:tc>
        <w:tc>
          <w:tcPr>
            <w:tcW w:w="3419" w:type="dxa"/>
            <w:tcBorders>
              <w:top w:val="nil"/>
              <w:left w:val="nil"/>
              <w:bottom w:val="single" w:sz="4" w:space="0" w:color="auto"/>
              <w:right w:val="single" w:sz="4" w:space="0" w:color="auto"/>
            </w:tcBorders>
            <w:shd w:val="clear" w:color="auto" w:fill="auto"/>
            <w:noWrap/>
            <w:vAlign w:val="bottom"/>
            <w:hideMark/>
          </w:tcPr>
          <w:p w14:paraId="78CFAF43" w14:textId="77777777" w:rsidR="005E5406" w:rsidRPr="00190FC7" w:rsidRDefault="005E5406" w:rsidP="00190FC7">
            <w:pPr>
              <w:spacing w:after="0"/>
              <w:jc w:val="right"/>
              <w:rPr>
                <w:rFonts w:cs="Arial"/>
                <w:szCs w:val="20"/>
                <w:lang w:eastAsia="en-AU"/>
              </w:rPr>
            </w:pPr>
            <w:r w:rsidRPr="00190FC7">
              <w:rPr>
                <w:rFonts w:cs="Arial"/>
                <w:szCs w:val="20"/>
                <w:lang w:eastAsia="en-AU"/>
              </w:rPr>
              <w:t>78%</w:t>
            </w:r>
          </w:p>
        </w:tc>
        <w:tc>
          <w:tcPr>
            <w:tcW w:w="4111" w:type="dxa"/>
            <w:tcBorders>
              <w:top w:val="nil"/>
              <w:left w:val="nil"/>
              <w:bottom w:val="single" w:sz="4" w:space="0" w:color="auto"/>
              <w:right w:val="single" w:sz="4" w:space="0" w:color="auto"/>
            </w:tcBorders>
            <w:shd w:val="clear" w:color="auto" w:fill="auto"/>
            <w:noWrap/>
            <w:vAlign w:val="bottom"/>
            <w:hideMark/>
          </w:tcPr>
          <w:p w14:paraId="52838F74" w14:textId="77777777" w:rsidR="005E5406" w:rsidRPr="00190FC7" w:rsidRDefault="005E5406" w:rsidP="00190FC7">
            <w:pPr>
              <w:spacing w:after="0"/>
              <w:jc w:val="right"/>
              <w:rPr>
                <w:rFonts w:cs="Arial"/>
                <w:szCs w:val="20"/>
                <w:lang w:eastAsia="en-AU"/>
              </w:rPr>
            </w:pPr>
            <w:r w:rsidRPr="00190FC7">
              <w:rPr>
                <w:rFonts w:cs="Arial"/>
                <w:szCs w:val="20"/>
                <w:lang w:eastAsia="en-AU"/>
              </w:rPr>
              <w:t>18%</w:t>
            </w:r>
          </w:p>
        </w:tc>
      </w:tr>
      <w:tr w:rsidR="005E5406" w:rsidRPr="00190FC7" w14:paraId="23E897A6" w14:textId="77777777" w:rsidTr="00190FC7">
        <w:trPr>
          <w:trHeight w:val="300"/>
        </w:trPr>
        <w:tc>
          <w:tcPr>
            <w:tcW w:w="1117" w:type="dxa"/>
            <w:tcBorders>
              <w:top w:val="nil"/>
              <w:left w:val="single" w:sz="4" w:space="0" w:color="auto"/>
              <w:bottom w:val="single" w:sz="4" w:space="0" w:color="auto"/>
              <w:right w:val="single" w:sz="4" w:space="0" w:color="auto"/>
            </w:tcBorders>
            <w:shd w:val="clear" w:color="auto" w:fill="auto"/>
            <w:noWrap/>
            <w:vAlign w:val="bottom"/>
            <w:hideMark/>
          </w:tcPr>
          <w:p w14:paraId="107CFA71" w14:textId="77777777" w:rsidR="005E5406" w:rsidRPr="00190FC7" w:rsidRDefault="005E5406" w:rsidP="00190FC7">
            <w:pPr>
              <w:spacing w:after="0"/>
              <w:jc w:val="right"/>
              <w:rPr>
                <w:rFonts w:cs="Arial"/>
                <w:szCs w:val="20"/>
                <w:lang w:eastAsia="en-AU"/>
              </w:rPr>
            </w:pPr>
            <w:r w:rsidRPr="00190FC7">
              <w:rPr>
                <w:rFonts w:cs="Arial"/>
                <w:szCs w:val="20"/>
                <w:lang w:eastAsia="en-AU"/>
              </w:rPr>
              <w:t>2019</w:t>
            </w:r>
          </w:p>
        </w:tc>
        <w:tc>
          <w:tcPr>
            <w:tcW w:w="3419" w:type="dxa"/>
            <w:tcBorders>
              <w:top w:val="nil"/>
              <w:left w:val="nil"/>
              <w:bottom w:val="single" w:sz="4" w:space="0" w:color="auto"/>
              <w:right w:val="single" w:sz="4" w:space="0" w:color="auto"/>
            </w:tcBorders>
            <w:shd w:val="clear" w:color="auto" w:fill="auto"/>
            <w:noWrap/>
            <w:vAlign w:val="bottom"/>
            <w:hideMark/>
          </w:tcPr>
          <w:p w14:paraId="25A06B16" w14:textId="77777777" w:rsidR="005E5406" w:rsidRPr="00190FC7" w:rsidRDefault="005E5406" w:rsidP="00190FC7">
            <w:pPr>
              <w:spacing w:after="0"/>
              <w:jc w:val="right"/>
              <w:rPr>
                <w:rFonts w:cs="Arial"/>
                <w:szCs w:val="20"/>
                <w:lang w:eastAsia="en-AU"/>
              </w:rPr>
            </w:pPr>
            <w:r w:rsidRPr="00190FC7">
              <w:rPr>
                <w:rFonts w:cs="Arial"/>
                <w:szCs w:val="20"/>
                <w:lang w:eastAsia="en-AU"/>
              </w:rPr>
              <w:t>78%</w:t>
            </w:r>
          </w:p>
        </w:tc>
        <w:tc>
          <w:tcPr>
            <w:tcW w:w="4111" w:type="dxa"/>
            <w:tcBorders>
              <w:top w:val="nil"/>
              <w:left w:val="nil"/>
              <w:bottom w:val="single" w:sz="4" w:space="0" w:color="auto"/>
              <w:right w:val="single" w:sz="4" w:space="0" w:color="auto"/>
            </w:tcBorders>
            <w:shd w:val="clear" w:color="auto" w:fill="auto"/>
            <w:noWrap/>
            <w:vAlign w:val="bottom"/>
            <w:hideMark/>
          </w:tcPr>
          <w:p w14:paraId="16390103" w14:textId="77777777" w:rsidR="005E5406" w:rsidRPr="00190FC7" w:rsidRDefault="005E5406" w:rsidP="00190FC7">
            <w:pPr>
              <w:spacing w:after="0"/>
              <w:jc w:val="right"/>
              <w:rPr>
                <w:rFonts w:cs="Arial"/>
                <w:szCs w:val="20"/>
                <w:lang w:eastAsia="en-AU"/>
              </w:rPr>
            </w:pPr>
            <w:r w:rsidRPr="00190FC7">
              <w:rPr>
                <w:rFonts w:cs="Arial"/>
                <w:szCs w:val="20"/>
                <w:lang w:eastAsia="en-AU"/>
              </w:rPr>
              <w:t>18%</w:t>
            </w:r>
          </w:p>
        </w:tc>
      </w:tr>
      <w:tr w:rsidR="005E5406" w:rsidRPr="00190FC7" w14:paraId="411885F8" w14:textId="77777777" w:rsidTr="00190FC7">
        <w:trPr>
          <w:trHeight w:val="300"/>
        </w:trPr>
        <w:tc>
          <w:tcPr>
            <w:tcW w:w="1117" w:type="dxa"/>
            <w:tcBorders>
              <w:top w:val="nil"/>
              <w:left w:val="single" w:sz="4" w:space="0" w:color="auto"/>
              <w:bottom w:val="single" w:sz="4" w:space="0" w:color="auto"/>
              <w:right w:val="single" w:sz="4" w:space="0" w:color="auto"/>
            </w:tcBorders>
            <w:shd w:val="clear" w:color="auto" w:fill="auto"/>
            <w:noWrap/>
            <w:vAlign w:val="bottom"/>
            <w:hideMark/>
          </w:tcPr>
          <w:p w14:paraId="2D0E80B1" w14:textId="77777777" w:rsidR="005E5406" w:rsidRPr="00190FC7" w:rsidRDefault="005E5406" w:rsidP="00190FC7">
            <w:pPr>
              <w:spacing w:after="0"/>
              <w:jc w:val="right"/>
              <w:rPr>
                <w:rFonts w:cs="Arial"/>
                <w:szCs w:val="20"/>
                <w:lang w:eastAsia="en-AU"/>
              </w:rPr>
            </w:pPr>
            <w:r w:rsidRPr="00190FC7">
              <w:rPr>
                <w:rFonts w:cs="Arial"/>
                <w:szCs w:val="20"/>
                <w:lang w:eastAsia="en-AU"/>
              </w:rPr>
              <w:t>2020</w:t>
            </w:r>
          </w:p>
        </w:tc>
        <w:tc>
          <w:tcPr>
            <w:tcW w:w="3419" w:type="dxa"/>
            <w:tcBorders>
              <w:top w:val="nil"/>
              <w:left w:val="nil"/>
              <w:bottom w:val="single" w:sz="4" w:space="0" w:color="auto"/>
              <w:right w:val="single" w:sz="4" w:space="0" w:color="auto"/>
            </w:tcBorders>
            <w:shd w:val="clear" w:color="auto" w:fill="auto"/>
            <w:noWrap/>
            <w:vAlign w:val="bottom"/>
            <w:hideMark/>
          </w:tcPr>
          <w:p w14:paraId="206BC16C" w14:textId="77777777" w:rsidR="005E5406" w:rsidRPr="00190FC7" w:rsidRDefault="005E5406" w:rsidP="00190FC7">
            <w:pPr>
              <w:spacing w:after="0"/>
              <w:jc w:val="right"/>
              <w:rPr>
                <w:rFonts w:cs="Arial"/>
                <w:szCs w:val="20"/>
                <w:lang w:eastAsia="en-AU"/>
              </w:rPr>
            </w:pPr>
            <w:r w:rsidRPr="00190FC7">
              <w:rPr>
                <w:rFonts w:cs="Arial"/>
                <w:szCs w:val="20"/>
                <w:lang w:eastAsia="en-AU"/>
              </w:rPr>
              <w:t>78%</w:t>
            </w:r>
          </w:p>
        </w:tc>
        <w:tc>
          <w:tcPr>
            <w:tcW w:w="4111" w:type="dxa"/>
            <w:tcBorders>
              <w:top w:val="nil"/>
              <w:left w:val="nil"/>
              <w:bottom w:val="single" w:sz="4" w:space="0" w:color="auto"/>
              <w:right w:val="single" w:sz="4" w:space="0" w:color="auto"/>
            </w:tcBorders>
            <w:shd w:val="clear" w:color="auto" w:fill="auto"/>
            <w:noWrap/>
            <w:vAlign w:val="bottom"/>
            <w:hideMark/>
          </w:tcPr>
          <w:p w14:paraId="60E80BC6" w14:textId="77777777" w:rsidR="005E5406" w:rsidRPr="00190FC7" w:rsidRDefault="005E5406" w:rsidP="00190FC7">
            <w:pPr>
              <w:spacing w:after="0"/>
              <w:jc w:val="right"/>
              <w:rPr>
                <w:rFonts w:cs="Arial"/>
                <w:szCs w:val="20"/>
                <w:lang w:eastAsia="en-AU"/>
              </w:rPr>
            </w:pPr>
            <w:r w:rsidRPr="00190FC7">
              <w:rPr>
                <w:rFonts w:cs="Arial"/>
                <w:szCs w:val="20"/>
                <w:lang w:eastAsia="en-AU"/>
              </w:rPr>
              <w:t>18%</w:t>
            </w:r>
          </w:p>
        </w:tc>
      </w:tr>
      <w:tr w:rsidR="005E5406" w:rsidRPr="00190FC7" w14:paraId="7FF16C6E" w14:textId="77777777" w:rsidTr="00190FC7">
        <w:trPr>
          <w:trHeight w:val="300"/>
        </w:trPr>
        <w:tc>
          <w:tcPr>
            <w:tcW w:w="1117" w:type="dxa"/>
            <w:tcBorders>
              <w:top w:val="nil"/>
              <w:left w:val="single" w:sz="4" w:space="0" w:color="auto"/>
              <w:bottom w:val="single" w:sz="4" w:space="0" w:color="auto"/>
              <w:right w:val="single" w:sz="4" w:space="0" w:color="auto"/>
            </w:tcBorders>
            <w:shd w:val="clear" w:color="auto" w:fill="auto"/>
            <w:noWrap/>
            <w:vAlign w:val="bottom"/>
            <w:hideMark/>
          </w:tcPr>
          <w:p w14:paraId="64D8492B" w14:textId="77777777" w:rsidR="005E5406" w:rsidRPr="00190FC7" w:rsidRDefault="005E5406" w:rsidP="00190FC7">
            <w:pPr>
              <w:spacing w:after="0"/>
              <w:jc w:val="right"/>
              <w:rPr>
                <w:rFonts w:cs="Arial"/>
                <w:szCs w:val="20"/>
                <w:lang w:eastAsia="en-AU"/>
              </w:rPr>
            </w:pPr>
            <w:r w:rsidRPr="00190FC7">
              <w:rPr>
                <w:rFonts w:cs="Arial"/>
                <w:szCs w:val="20"/>
                <w:lang w:eastAsia="en-AU"/>
              </w:rPr>
              <w:t>2021</w:t>
            </w:r>
          </w:p>
        </w:tc>
        <w:tc>
          <w:tcPr>
            <w:tcW w:w="3419" w:type="dxa"/>
            <w:tcBorders>
              <w:top w:val="nil"/>
              <w:left w:val="nil"/>
              <w:bottom w:val="single" w:sz="4" w:space="0" w:color="auto"/>
              <w:right w:val="single" w:sz="4" w:space="0" w:color="auto"/>
            </w:tcBorders>
            <w:shd w:val="clear" w:color="auto" w:fill="auto"/>
            <w:noWrap/>
            <w:vAlign w:val="bottom"/>
            <w:hideMark/>
          </w:tcPr>
          <w:p w14:paraId="587BDACD" w14:textId="77777777" w:rsidR="005E5406" w:rsidRPr="00190FC7" w:rsidRDefault="005E5406" w:rsidP="00190FC7">
            <w:pPr>
              <w:spacing w:after="0"/>
              <w:jc w:val="right"/>
              <w:rPr>
                <w:rFonts w:cs="Arial"/>
                <w:szCs w:val="20"/>
                <w:lang w:eastAsia="en-AU"/>
              </w:rPr>
            </w:pPr>
            <w:r w:rsidRPr="00190FC7">
              <w:rPr>
                <w:rFonts w:cs="Arial"/>
                <w:szCs w:val="20"/>
                <w:lang w:eastAsia="en-AU"/>
              </w:rPr>
              <w:t>79%</w:t>
            </w:r>
          </w:p>
        </w:tc>
        <w:tc>
          <w:tcPr>
            <w:tcW w:w="4111" w:type="dxa"/>
            <w:tcBorders>
              <w:top w:val="nil"/>
              <w:left w:val="nil"/>
              <w:bottom w:val="single" w:sz="4" w:space="0" w:color="auto"/>
              <w:right w:val="single" w:sz="4" w:space="0" w:color="auto"/>
            </w:tcBorders>
            <w:shd w:val="clear" w:color="auto" w:fill="auto"/>
            <w:noWrap/>
            <w:vAlign w:val="bottom"/>
            <w:hideMark/>
          </w:tcPr>
          <w:p w14:paraId="2285BEB2" w14:textId="77777777" w:rsidR="005E5406" w:rsidRPr="00190FC7" w:rsidRDefault="005E5406" w:rsidP="00190FC7">
            <w:pPr>
              <w:spacing w:after="0"/>
              <w:jc w:val="right"/>
              <w:rPr>
                <w:rFonts w:cs="Arial"/>
                <w:szCs w:val="20"/>
                <w:lang w:eastAsia="en-AU"/>
              </w:rPr>
            </w:pPr>
            <w:r w:rsidRPr="00190FC7">
              <w:rPr>
                <w:rFonts w:cs="Arial"/>
                <w:szCs w:val="20"/>
                <w:lang w:eastAsia="en-AU"/>
              </w:rPr>
              <w:t>18%</w:t>
            </w:r>
          </w:p>
        </w:tc>
      </w:tr>
      <w:tr w:rsidR="005E5406" w:rsidRPr="00190FC7" w14:paraId="74578CBC" w14:textId="77777777" w:rsidTr="00190FC7">
        <w:trPr>
          <w:trHeight w:val="300"/>
        </w:trPr>
        <w:tc>
          <w:tcPr>
            <w:tcW w:w="1117" w:type="dxa"/>
            <w:tcBorders>
              <w:top w:val="nil"/>
              <w:left w:val="single" w:sz="4" w:space="0" w:color="auto"/>
              <w:bottom w:val="single" w:sz="4" w:space="0" w:color="auto"/>
              <w:right w:val="single" w:sz="4" w:space="0" w:color="auto"/>
            </w:tcBorders>
            <w:shd w:val="clear" w:color="auto" w:fill="auto"/>
            <w:noWrap/>
            <w:vAlign w:val="bottom"/>
            <w:hideMark/>
          </w:tcPr>
          <w:p w14:paraId="6BD9B9E2" w14:textId="77777777" w:rsidR="005E5406" w:rsidRPr="00190FC7" w:rsidRDefault="005E5406" w:rsidP="00190FC7">
            <w:pPr>
              <w:spacing w:after="0"/>
              <w:jc w:val="right"/>
              <w:rPr>
                <w:rFonts w:cs="Arial"/>
                <w:szCs w:val="20"/>
                <w:lang w:eastAsia="en-AU"/>
              </w:rPr>
            </w:pPr>
            <w:r w:rsidRPr="00190FC7">
              <w:rPr>
                <w:rFonts w:cs="Arial"/>
                <w:szCs w:val="20"/>
                <w:lang w:eastAsia="en-AU"/>
              </w:rPr>
              <w:t>2022</w:t>
            </w:r>
          </w:p>
        </w:tc>
        <w:tc>
          <w:tcPr>
            <w:tcW w:w="3419" w:type="dxa"/>
            <w:tcBorders>
              <w:top w:val="nil"/>
              <w:left w:val="nil"/>
              <w:bottom w:val="single" w:sz="4" w:space="0" w:color="auto"/>
              <w:right w:val="single" w:sz="4" w:space="0" w:color="auto"/>
            </w:tcBorders>
            <w:shd w:val="clear" w:color="auto" w:fill="auto"/>
            <w:noWrap/>
            <w:vAlign w:val="bottom"/>
            <w:hideMark/>
          </w:tcPr>
          <w:p w14:paraId="1ABD121C" w14:textId="77777777" w:rsidR="005E5406" w:rsidRPr="00190FC7" w:rsidRDefault="005E5406" w:rsidP="00190FC7">
            <w:pPr>
              <w:spacing w:after="0"/>
              <w:jc w:val="right"/>
              <w:rPr>
                <w:rFonts w:cs="Arial"/>
                <w:szCs w:val="20"/>
                <w:lang w:eastAsia="en-AU"/>
              </w:rPr>
            </w:pPr>
            <w:r w:rsidRPr="00190FC7">
              <w:rPr>
                <w:rFonts w:cs="Arial"/>
                <w:szCs w:val="20"/>
                <w:lang w:eastAsia="en-AU"/>
              </w:rPr>
              <w:t>79%</w:t>
            </w:r>
          </w:p>
        </w:tc>
        <w:tc>
          <w:tcPr>
            <w:tcW w:w="4111" w:type="dxa"/>
            <w:tcBorders>
              <w:top w:val="nil"/>
              <w:left w:val="nil"/>
              <w:bottom w:val="single" w:sz="4" w:space="0" w:color="auto"/>
              <w:right w:val="single" w:sz="4" w:space="0" w:color="auto"/>
            </w:tcBorders>
            <w:shd w:val="clear" w:color="auto" w:fill="auto"/>
            <w:noWrap/>
            <w:vAlign w:val="bottom"/>
            <w:hideMark/>
          </w:tcPr>
          <w:p w14:paraId="626C6B26" w14:textId="77777777" w:rsidR="005E5406" w:rsidRPr="00190FC7" w:rsidRDefault="005E5406" w:rsidP="00190FC7">
            <w:pPr>
              <w:spacing w:after="0"/>
              <w:jc w:val="right"/>
              <w:rPr>
                <w:rFonts w:cs="Arial"/>
                <w:szCs w:val="20"/>
                <w:lang w:eastAsia="en-AU"/>
              </w:rPr>
            </w:pPr>
            <w:r w:rsidRPr="00190FC7">
              <w:rPr>
                <w:rFonts w:cs="Arial"/>
                <w:szCs w:val="20"/>
                <w:lang w:eastAsia="en-AU"/>
              </w:rPr>
              <w:t>18%</w:t>
            </w:r>
          </w:p>
        </w:tc>
      </w:tr>
    </w:tbl>
    <w:p w14:paraId="715B1668" w14:textId="77777777" w:rsidR="005E5406" w:rsidRDefault="005E5406" w:rsidP="00190FC7">
      <w:pPr>
        <w:rPr>
          <w:rFonts w:ascii="Helvetica Light" w:hAnsi="Helvetica Light" w:cstheme="minorBidi"/>
          <w:szCs w:val="20"/>
        </w:rPr>
      </w:pPr>
    </w:p>
    <w:p w14:paraId="68A33049" w14:textId="77777777" w:rsidR="00190FC7" w:rsidRPr="007E394F" w:rsidRDefault="00190FC7" w:rsidP="00190FC7">
      <w:pPr>
        <w:rPr>
          <w:rFonts w:cs="Arial"/>
          <w:szCs w:val="20"/>
        </w:rPr>
      </w:pPr>
      <w:r w:rsidRPr="007E394F">
        <w:rPr>
          <w:rFonts w:cs="Arial"/>
          <w:szCs w:val="20"/>
        </w:rPr>
        <w:t>Return to</w:t>
      </w:r>
      <w:r>
        <w:rPr>
          <w:rFonts w:cs="Arial"/>
          <w:szCs w:val="20"/>
        </w:rPr>
        <w:t xml:space="preserve"> </w:t>
      </w:r>
      <w:hyperlink w:anchor="_4.2.5_Change_in" w:history="1">
        <w:r w:rsidRPr="00190FC7">
          <w:rPr>
            <w:rStyle w:val="Hyperlink"/>
          </w:rPr>
          <w:t>Change in Gas Use</w:t>
        </w:r>
      </w:hyperlink>
    </w:p>
    <w:p w14:paraId="520DF197" w14:textId="2DD59838" w:rsidR="00190FC7" w:rsidRPr="00BC43B4" w:rsidRDefault="00944E9B" w:rsidP="00BC43B4">
      <w:pPr>
        <w:pStyle w:val="Heading3"/>
        <w:rPr>
          <w:rFonts w:hint="eastAsia"/>
        </w:rPr>
      </w:pPr>
      <w:bookmarkStart w:id="287" w:name="_Average_Industrial_Site"/>
      <w:bookmarkEnd w:id="287"/>
      <w:r>
        <w:t>Table A.4</w:t>
      </w:r>
      <w:r w:rsidR="00A13E20">
        <w:t>6</w:t>
      </w:r>
      <w:r>
        <w:tab/>
      </w:r>
      <w:r w:rsidR="00190FC7" w:rsidRPr="005E5406">
        <w:t>Average Industrial Site Floor Area by Postcode</w:t>
      </w:r>
    </w:p>
    <w:tbl>
      <w:tblPr>
        <w:tblW w:w="5387" w:type="dxa"/>
        <w:tblInd w:w="-5" w:type="dxa"/>
        <w:tblLook w:val="04A0" w:firstRow="1" w:lastRow="0" w:firstColumn="1" w:lastColumn="0" w:noHBand="0" w:noVBand="1"/>
      </w:tblPr>
      <w:tblGrid>
        <w:gridCol w:w="1338"/>
        <w:gridCol w:w="4049"/>
      </w:tblGrid>
      <w:tr w:rsidR="005E5406" w:rsidRPr="005E5406" w14:paraId="2EB5BAEC" w14:textId="77777777" w:rsidTr="00190FC7">
        <w:trPr>
          <w:trHeight w:val="300"/>
        </w:trPr>
        <w:tc>
          <w:tcPr>
            <w:tcW w:w="13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0BA4AA" w14:textId="77777777" w:rsidR="005E5406" w:rsidRPr="00190FC7" w:rsidRDefault="005E5406" w:rsidP="00190FC7">
            <w:pPr>
              <w:spacing w:after="0"/>
              <w:rPr>
                <w:b/>
                <w:bCs/>
                <w:lang w:eastAsia="en-AU"/>
              </w:rPr>
            </w:pPr>
            <w:bookmarkStart w:id="288" w:name="_Figure_47:_Average"/>
            <w:bookmarkEnd w:id="288"/>
            <w:r w:rsidRPr="00190FC7">
              <w:rPr>
                <w:b/>
                <w:bCs/>
                <w:lang w:eastAsia="en-AU"/>
              </w:rPr>
              <w:t>Postcode</w:t>
            </w:r>
          </w:p>
        </w:tc>
        <w:tc>
          <w:tcPr>
            <w:tcW w:w="4049" w:type="dxa"/>
            <w:tcBorders>
              <w:top w:val="single" w:sz="4" w:space="0" w:color="auto"/>
              <w:left w:val="nil"/>
              <w:bottom w:val="single" w:sz="4" w:space="0" w:color="auto"/>
              <w:right w:val="single" w:sz="4" w:space="0" w:color="auto"/>
            </w:tcBorders>
            <w:shd w:val="clear" w:color="auto" w:fill="auto"/>
            <w:noWrap/>
            <w:vAlign w:val="bottom"/>
            <w:hideMark/>
          </w:tcPr>
          <w:p w14:paraId="22B90306" w14:textId="77777777" w:rsidR="005E5406" w:rsidRPr="00190FC7" w:rsidRDefault="005E5406" w:rsidP="00190FC7">
            <w:pPr>
              <w:spacing w:after="0"/>
              <w:rPr>
                <w:b/>
                <w:bCs/>
                <w:lang w:eastAsia="en-AU"/>
              </w:rPr>
            </w:pPr>
            <w:r w:rsidRPr="00190FC7">
              <w:rPr>
                <w:b/>
                <w:bCs/>
                <w:lang w:eastAsia="en-AU"/>
              </w:rPr>
              <w:t>Average Industrial Site Floor Area (m2)</w:t>
            </w:r>
          </w:p>
        </w:tc>
      </w:tr>
      <w:tr w:rsidR="005E5406" w:rsidRPr="005E5406" w14:paraId="700BDAA8" w14:textId="77777777" w:rsidTr="00190FC7">
        <w:trPr>
          <w:trHeight w:val="300"/>
        </w:trPr>
        <w:tc>
          <w:tcPr>
            <w:tcW w:w="1338" w:type="dxa"/>
            <w:tcBorders>
              <w:top w:val="nil"/>
              <w:left w:val="single" w:sz="4" w:space="0" w:color="auto"/>
              <w:bottom w:val="single" w:sz="4" w:space="0" w:color="auto"/>
              <w:right w:val="single" w:sz="4" w:space="0" w:color="auto"/>
            </w:tcBorders>
            <w:shd w:val="clear" w:color="auto" w:fill="auto"/>
            <w:noWrap/>
            <w:vAlign w:val="bottom"/>
            <w:hideMark/>
          </w:tcPr>
          <w:p w14:paraId="0CD0BCFD" w14:textId="77777777" w:rsidR="005E5406" w:rsidRPr="005E5406" w:rsidRDefault="005E5406" w:rsidP="00190FC7">
            <w:pPr>
              <w:spacing w:after="0"/>
              <w:jc w:val="right"/>
              <w:rPr>
                <w:lang w:eastAsia="en-AU"/>
              </w:rPr>
            </w:pPr>
            <w:r w:rsidRPr="005E5406">
              <w:rPr>
                <w:lang w:eastAsia="en-AU"/>
              </w:rPr>
              <w:t>3051</w:t>
            </w:r>
          </w:p>
        </w:tc>
        <w:tc>
          <w:tcPr>
            <w:tcW w:w="4049" w:type="dxa"/>
            <w:tcBorders>
              <w:top w:val="nil"/>
              <w:left w:val="nil"/>
              <w:bottom w:val="single" w:sz="4" w:space="0" w:color="auto"/>
              <w:right w:val="single" w:sz="4" w:space="0" w:color="auto"/>
            </w:tcBorders>
            <w:shd w:val="clear" w:color="auto" w:fill="auto"/>
            <w:noWrap/>
            <w:vAlign w:val="bottom"/>
            <w:hideMark/>
          </w:tcPr>
          <w:p w14:paraId="3EEEF3CD" w14:textId="40BED36A" w:rsidR="005E5406" w:rsidRPr="005E5406" w:rsidRDefault="005E5406" w:rsidP="00190FC7">
            <w:pPr>
              <w:spacing w:after="0"/>
              <w:jc w:val="right"/>
              <w:rPr>
                <w:lang w:eastAsia="en-AU"/>
              </w:rPr>
            </w:pPr>
            <w:r w:rsidRPr="005E5406">
              <w:rPr>
                <w:lang w:eastAsia="en-AU"/>
              </w:rPr>
              <w:t xml:space="preserve">                                1,016 </w:t>
            </w:r>
          </w:p>
        </w:tc>
      </w:tr>
      <w:tr w:rsidR="005E5406" w:rsidRPr="005E5406" w14:paraId="607C9DD0" w14:textId="77777777" w:rsidTr="00190FC7">
        <w:trPr>
          <w:trHeight w:val="300"/>
        </w:trPr>
        <w:tc>
          <w:tcPr>
            <w:tcW w:w="1338" w:type="dxa"/>
            <w:tcBorders>
              <w:top w:val="nil"/>
              <w:left w:val="single" w:sz="4" w:space="0" w:color="auto"/>
              <w:bottom w:val="single" w:sz="4" w:space="0" w:color="auto"/>
              <w:right w:val="single" w:sz="4" w:space="0" w:color="auto"/>
            </w:tcBorders>
            <w:shd w:val="clear" w:color="auto" w:fill="auto"/>
            <w:noWrap/>
            <w:vAlign w:val="bottom"/>
            <w:hideMark/>
          </w:tcPr>
          <w:p w14:paraId="11D06169" w14:textId="77777777" w:rsidR="005E5406" w:rsidRPr="005E5406" w:rsidRDefault="005E5406" w:rsidP="00190FC7">
            <w:pPr>
              <w:spacing w:after="0"/>
              <w:jc w:val="right"/>
              <w:rPr>
                <w:lang w:eastAsia="en-AU"/>
              </w:rPr>
            </w:pPr>
            <w:r w:rsidRPr="005E5406">
              <w:rPr>
                <w:lang w:eastAsia="en-AU"/>
              </w:rPr>
              <w:t>3031</w:t>
            </w:r>
          </w:p>
        </w:tc>
        <w:tc>
          <w:tcPr>
            <w:tcW w:w="4049" w:type="dxa"/>
            <w:tcBorders>
              <w:top w:val="nil"/>
              <w:left w:val="nil"/>
              <w:bottom w:val="single" w:sz="4" w:space="0" w:color="auto"/>
              <w:right w:val="single" w:sz="4" w:space="0" w:color="auto"/>
            </w:tcBorders>
            <w:shd w:val="clear" w:color="auto" w:fill="auto"/>
            <w:noWrap/>
            <w:vAlign w:val="bottom"/>
            <w:hideMark/>
          </w:tcPr>
          <w:p w14:paraId="0235AEB9" w14:textId="4025DF30" w:rsidR="005E5406" w:rsidRPr="005E5406" w:rsidRDefault="005E5406" w:rsidP="00190FC7">
            <w:pPr>
              <w:spacing w:after="0"/>
              <w:jc w:val="right"/>
              <w:rPr>
                <w:lang w:eastAsia="en-AU"/>
              </w:rPr>
            </w:pPr>
            <w:r w:rsidRPr="005E5406">
              <w:rPr>
                <w:lang w:eastAsia="en-AU"/>
              </w:rPr>
              <w:t xml:space="preserve">                                  1,538 </w:t>
            </w:r>
          </w:p>
        </w:tc>
      </w:tr>
      <w:tr w:rsidR="005E5406" w:rsidRPr="005E5406" w14:paraId="0F043C23" w14:textId="77777777" w:rsidTr="00190FC7">
        <w:trPr>
          <w:trHeight w:val="300"/>
        </w:trPr>
        <w:tc>
          <w:tcPr>
            <w:tcW w:w="1338" w:type="dxa"/>
            <w:tcBorders>
              <w:top w:val="nil"/>
              <w:left w:val="single" w:sz="4" w:space="0" w:color="auto"/>
              <w:bottom w:val="single" w:sz="4" w:space="0" w:color="auto"/>
              <w:right w:val="single" w:sz="4" w:space="0" w:color="auto"/>
            </w:tcBorders>
            <w:shd w:val="clear" w:color="auto" w:fill="auto"/>
            <w:noWrap/>
            <w:vAlign w:val="bottom"/>
            <w:hideMark/>
          </w:tcPr>
          <w:p w14:paraId="27BF0DA8" w14:textId="77777777" w:rsidR="005E5406" w:rsidRPr="005E5406" w:rsidRDefault="005E5406" w:rsidP="00190FC7">
            <w:pPr>
              <w:spacing w:after="0"/>
              <w:jc w:val="right"/>
              <w:rPr>
                <w:lang w:eastAsia="en-AU"/>
              </w:rPr>
            </w:pPr>
            <w:r w:rsidRPr="005E5406">
              <w:rPr>
                <w:lang w:eastAsia="en-AU"/>
              </w:rPr>
              <w:t>3003</w:t>
            </w:r>
          </w:p>
        </w:tc>
        <w:tc>
          <w:tcPr>
            <w:tcW w:w="4049" w:type="dxa"/>
            <w:tcBorders>
              <w:top w:val="nil"/>
              <w:left w:val="nil"/>
              <w:bottom w:val="single" w:sz="4" w:space="0" w:color="auto"/>
              <w:right w:val="single" w:sz="4" w:space="0" w:color="auto"/>
            </w:tcBorders>
            <w:shd w:val="clear" w:color="auto" w:fill="auto"/>
            <w:noWrap/>
            <w:vAlign w:val="bottom"/>
            <w:hideMark/>
          </w:tcPr>
          <w:p w14:paraId="677BAF62" w14:textId="2397BBF7" w:rsidR="005E5406" w:rsidRPr="005E5406" w:rsidRDefault="005E5406" w:rsidP="00190FC7">
            <w:pPr>
              <w:spacing w:after="0"/>
              <w:jc w:val="right"/>
              <w:rPr>
                <w:lang w:eastAsia="en-AU"/>
              </w:rPr>
            </w:pPr>
            <w:r w:rsidRPr="005E5406">
              <w:rPr>
                <w:lang w:eastAsia="en-AU"/>
              </w:rPr>
              <w:t xml:space="preserve">                           2,246 </w:t>
            </w:r>
          </w:p>
        </w:tc>
      </w:tr>
      <w:tr w:rsidR="005E5406" w:rsidRPr="005E5406" w14:paraId="07B59795" w14:textId="77777777" w:rsidTr="00190FC7">
        <w:trPr>
          <w:trHeight w:val="300"/>
        </w:trPr>
        <w:tc>
          <w:tcPr>
            <w:tcW w:w="1338" w:type="dxa"/>
            <w:tcBorders>
              <w:top w:val="nil"/>
              <w:left w:val="single" w:sz="4" w:space="0" w:color="auto"/>
              <w:bottom w:val="single" w:sz="4" w:space="0" w:color="auto"/>
              <w:right w:val="single" w:sz="4" w:space="0" w:color="auto"/>
            </w:tcBorders>
            <w:shd w:val="clear" w:color="auto" w:fill="auto"/>
            <w:noWrap/>
            <w:vAlign w:val="bottom"/>
            <w:hideMark/>
          </w:tcPr>
          <w:p w14:paraId="3083D605" w14:textId="77777777" w:rsidR="005E5406" w:rsidRPr="005E5406" w:rsidRDefault="005E5406" w:rsidP="00190FC7">
            <w:pPr>
              <w:spacing w:after="0"/>
              <w:jc w:val="right"/>
              <w:rPr>
                <w:lang w:eastAsia="en-AU"/>
              </w:rPr>
            </w:pPr>
            <w:r w:rsidRPr="005E5406">
              <w:rPr>
                <w:lang w:eastAsia="en-AU"/>
              </w:rPr>
              <w:t>3207</w:t>
            </w:r>
          </w:p>
        </w:tc>
        <w:tc>
          <w:tcPr>
            <w:tcW w:w="4049" w:type="dxa"/>
            <w:tcBorders>
              <w:top w:val="nil"/>
              <w:left w:val="nil"/>
              <w:bottom w:val="single" w:sz="4" w:space="0" w:color="auto"/>
              <w:right w:val="single" w:sz="4" w:space="0" w:color="auto"/>
            </w:tcBorders>
            <w:shd w:val="clear" w:color="auto" w:fill="auto"/>
            <w:noWrap/>
            <w:vAlign w:val="bottom"/>
            <w:hideMark/>
          </w:tcPr>
          <w:p w14:paraId="4CB64659" w14:textId="0825B261" w:rsidR="005E5406" w:rsidRPr="005E5406" w:rsidRDefault="005E5406" w:rsidP="00190FC7">
            <w:pPr>
              <w:spacing w:after="0"/>
              <w:jc w:val="right"/>
              <w:rPr>
                <w:lang w:eastAsia="en-AU"/>
              </w:rPr>
            </w:pPr>
            <w:r w:rsidRPr="005E5406">
              <w:rPr>
                <w:lang w:eastAsia="en-AU"/>
              </w:rPr>
              <w:t xml:space="preserve">                          11,171 </w:t>
            </w:r>
          </w:p>
        </w:tc>
      </w:tr>
    </w:tbl>
    <w:p w14:paraId="34DEBB63" w14:textId="77777777" w:rsidR="005E5406" w:rsidRDefault="005E5406" w:rsidP="00190FC7">
      <w:pPr>
        <w:rPr>
          <w:rFonts w:ascii="Helvetica Light" w:hAnsi="Helvetica Light" w:cstheme="minorBidi"/>
          <w:szCs w:val="20"/>
        </w:rPr>
      </w:pPr>
    </w:p>
    <w:p w14:paraId="6E2F741E" w14:textId="3B0DE942" w:rsidR="00190FC7" w:rsidRPr="007E394F" w:rsidRDefault="00190FC7" w:rsidP="00190FC7">
      <w:pPr>
        <w:rPr>
          <w:rFonts w:cs="Arial"/>
          <w:szCs w:val="20"/>
        </w:rPr>
      </w:pPr>
      <w:r w:rsidRPr="007E394F">
        <w:rPr>
          <w:rFonts w:cs="Arial"/>
          <w:szCs w:val="20"/>
        </w:rPr>
        <w:t>Return to</w:t>
      </w:r>
      <w:r>
        <w:rPr>
          <w:rFonts w:cs="Arial"/>
          <w:szCs w:val="20"/>
        </w:rPr>
        <w:t xml:space="preserve"> </w:t>
      </w:r>
      <w:hyperlink w:anchor="_4.2.6_Industrial_Sector" w:history="1">
        <w:r w:rsidRPr="00190FC7">
          <w:rPr>
            <w:rStyle w:val="Hyperlink"/>
          </w:rPr>
          <w:t>Industrial Sector</w:t>
        </w:r>
      </w:hyperlink>
    </w:p>
    <w:p w14:paraId="6A826BCC" w14:textId="2C9B9564" w:rsidR="00190FC7" w:rsidRPr="00190FC7" w:rsidRDefault="00944E9B" w:rsidP="00944E9B">
      <w:pPr>
        <w:pStyle w:val="Heading3"/>
        <w:ind w:left="1440" w:hanging="1440"/>
        <w:rPr>
          <w:rFonts w:hint="eastAsia"/>
        </w:rPr>
      </w:pPr>
      <w:bookmarkStart w:id="289" w:name="_Total_Greenhouse_Gas"/>
      <w:bookmarkEnd w:id="289"/>
      <w:r>
        <w:t>Table A.4</w:t>
      </w:r>
      <w:r w:rsidR="00A13E20">
        <w:t>7</w:t>
      </w:r>
      <w:r>
        <w:tab/>
      </w:r>
      <w:r w:rsidR="00190FC7" w:rsidRPr="005E5406">
        <w:t>Total Greenhouse Gas Emissions by Fuel Type, Built Environment, City of Melbourne, 2022</w:t>
      </w:r>
    </w:p>
    <w:tbl>
      <w:tblPr>
        <w:tblW w:w="5387" w:type="dxa"/>
        <w:tblInd w:w="-5" w:type="dxa"/>
        <w:tblLook w:val="04A0" w:firstRow="1" w:lastRow="0" w:firstColumn="1" w:lastColumn="0" w:noHBand="0" w:noVBand="1"/>
      </w:tblPr>
      <w:tblGrid>
        <w:gridCol w:w="1428"/>
        <w:gridCol w:w="3959"/>
      </w:tblGrid>
      <w:tr w:rsidR="005E5406" w:rsidRPr="005E5406" w14:paraId="10567BE4" w14:textId="77777777" w:rsidTr="00190FC7">
        <w:trPr>
          <w:trHeight w:val="300"/>
        </w:trPr>
        <w:tc>
          <w:tcPr>
            <w:tcW w:w="14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D4737E" w14:textId="77777777" w:rsidR="005E5406" w:rsidRPr="00190FC7" w:rsidRDefault="005E5406" w:rsidP="00190FC7">
            <w:pPr>
              <w:spacing w:after="0"/>
              <w:rPr>
                <w:b/>
                <w:bCs/>
                <w:lang w:eastAsia="en-AU"/>
              </w:rPr>
            </w:pPr>
            <w:bookmarkStart w:id="290" w:name="_Figure_48:_Total"/>
            <w:bookmarkEnd w:id="290"/>
            <w:r w:rsidRPr="00190FC7">
              <w:rPr>
                <w:b/>
                <w:bCs/>
                <w:lang w:eastAsia="en-AU"/>
              </w:rPr>
              <w:t>Fuel Type</w:t>
            </w:r>
          </w:p>
        </w:tc>
        <w:tc>
          <w:tcPr>
            <w:tcW w:w="3959" w:type="dxa"/>
            <w:tcBorders>
              <w:top w:val="single" w:sz="4" w:space="0" w:color="auto"/>
              <w:left w:val="nil"/>
              <w:bottom w:val="single" w:sz="4" w:space="0" w:color="auto"/>
              <w:right w:val="single" w:sz="4" w:space="0" w:color="auto"/>
            </w:tcBorders>
            <w:shd w:val="clear" w:color="auto" w:fill="auto"/>
            <w:noWrap/>
            <w:vAlign w:val="bottom"/>
            <w:hideMark/>
          </w:tcPr>
          <w:p w14:paraId="5E5F7D4B" w14:textId="77777777" w:rsidR="005E5406" w:rsidRPr="00190FC7" w:rsidRDefault="005E5406" w:rsidP="00190FC7">
            <w:pPr>
              <w:spacing w:after="0"/>
              <w:rPr>
                <w:b/>
                <w:bCs/>
                <w:lang w:eastAsia="en-AU"/>
              </w:rPr>
            </w:pPr>
            <w:r w:rsidRPr="00190FC7">
              <w:rPr>
                <w:b/>
                <w:bCs/>
                <w:lang w:eastAsia="en-AU"/>
              </w:rPr>
              <w:t>Greenhouse Gas Emissions (kt CO</w:t>
            </w:r>
            <w:r w:rsidRPr="00190FC7">
              <w:rPr>
                <w:b/>
                <w:bCs/>
                <w:vertAlign w:val="subscript"/>
                <w:lang w:eastAsia="en-AU"/>
              </w:rPr>
              <w:t>2</w:t>
            </w:r>
            <w:r w:rsidRPr="00190FC7">
              <w:rPr>
                <w:b/>
                <w:bCs/>
                <w:lang w:eastAsia="en-AU"/>
              </w:rPr>
              <w:t xml:space="preserve">-e) </w:t>
            </w:r>
          </w:p>
        </w:tc>
      </w:tr>
      <w:tr w:rsidR="005E5406" w:rsidRPr="005E5406" w14:paraId="1D5F60AD" w14:textId="77777777" w:rsidTr="00190FC7">
        <w:trPr>
          <w:trHeight w:val="300"/>
        </w:trPr>
        <w:tc>
          <w:tcPr>
            <w:tcW w:w="1428" w:type="dxa"/>
            <w:tcBorders>
              <w:top w:val="nil"/>
              <w:left w:val="single" w:sz="4" w:space="0" w:color="auto"/>
              <w:bottom w:val="single" w:sz="4" w:space="0" w:color="auto"/>
              <w:right w:val="single" w:sz="4" w:space="0" w:color="auto"/>
            </w:tcBorders>
            <w:shd w:val="clear" w:color="auto" w:fill="auto"/>
            <w:noWrap/>
            <w:vAlign w:val="bottom"/>
            <w:hideMark/>
          </w:tcPr>
          <w:p w14:paraId="60DBA4E8" w14:textId="77777777" w:rsidR="005E5406" w:rsidRPr="005E5406" w:rsidRDefault="005E5406" w:rsidP="00190FC7">
            <w:pPr>
              <w:spacing w:after="0"/>
              <w:rPr>
                <w:lang w:eastAsia="en-AU"/>
              </w:rPr>
            </w:pPr>
            <w:r w:rsidRPr="005E5406">
              <w:rPr>
                <w:lang w:eastAsia="en-AU"/>
              </w:rPr>
              <w:t>Gas</w:t>
            </w:r>
          </w:p>
        </w:tc>
        <w:tc>
          <w:tcPr>
            <w:tcW w:w="3959" w:type="dxa"/>
            <w:tcBorders>
              <w:top w:val="nil"/>
              <w:left w:val="nil"/>
              <w:bottom w:val="single" w:sz="4" w:space="0" w:color="auto"/>
              <w:right w:val="single" w:sz="4" w:space="0" w:color="auto"/>
            </w:tcBorders>
            <w:shd w:val="clear" w:color="auto" w:fill="auto"/>
            <w:noWrap/>
            <w:vAlign w:val="bottom"/>
            <w:hideMark/>
          </w:tcPr>
          <w:p w14:paraId="65523245" w14:textId="7DB46669" w:rsidR="005E5406" w:rsidRPr="005E5406" w:rsidRDefault="005E5406" w:rsidP="00190FC7">
            <w:pPr>
              <w:spacing w:after="0"/>
              <w:jc w:val="right"/>
              <w:rPr>
                <w:lang w:eastAsia="en-AU"/>
              </w:rPr>
            </w:pPr>
            <w:r w:rsidRPr="005E5406">
              <w:rPr>
                <w:lang w:eastAsia="en-AU"/>
              </w:rPr>
              <w:t xml:space="preserve">                                         370</w:t>
            </w:r>
          </w:p>
        </w:tc>
      </w:tr>
      <w:tr w:rsidR="005E5406" w:rsidRPr="005E5406" w14:paraId="333B61E5" w14:textId="77777777" w:rsidTr="00190FC7">
        <w:trPr>
          <w:trHeight w:val="300"/>
        </w:trPr>
        <w:tc>
          <w:tcPr>
            <w:tcW w:w="1428" w:type="dxa"/>
            <w:tcBorders>
              <w:top w:val="nil"/>
              <w:left w:val="single" w:sz="4" w:space="0" w:color="auto"/>
              <w:bottom w:val="single" w:sz="4" w:space="0" w:color="auto"/>
              <w:right w:val="single" w:sz="4" w:space="0" w:color="auto"/>
            </w:tcBorders>
            <w:shd w:val="clear" w:color="auto" w:fill="auto"/>
            <w:noWrap/>
            <w:vAlign w:val="bottom"/>
            <w:hideMark/>
          </w:tcPr>
          <w:p w14:paraId="6F0C9DFE" w14:textId="77777777" w:rsidR="005E5406" w:rsidRPr="005E5406" w:rsidRDefault="005E5406" w:rsidP="00190FC7">
            <w:pPr>
              <w:spacing w:after="0"/>
              <w:rPr>
                <w:lang w:eastAsia="en-AU"/>
              </w:rPr>
            </w:pPr>
            <w:r w:rsidRPr="005E5406">
              <w:rPr>
                <w:lang w:eastAsia="en-AU"/>
              </w:rPr>
              <w:lastRenderedPageBreak/>
              <w:t>Electricity</w:t>
            </w:r>
          </w:p>
        </w:tc>
        <w:tc>
          <w:tcPr>
            <w:tcW w:w="3959" w:type="dxa"/>
            <w:tcBorders>
              <w:top w:val="nil"/>
              <w:left w:val="nil"/>
              <w:bottom w:val="single" w:sz="4" w:space="0" w:color="auto"/>
              <w:right w:val="single" w:sz="4" w:space="0" w:color="auto"/>
            </w:tcBorders>
            <w:shd w:val="clear" w:color="auto" w:fill="auto"/>
            <w:noWrap/>
            <w:vAlign w:val="bottom"/>
            <w:hideMark/>
          </w:tcPr>
          <w:p w14:paraId="52160E9C" w14:textId="208699E2" w:rsidR="005E5406" w:rsidRPr="005E5406" w:rsidRDefault="005E5406" w:rsidP="00190FC7">
            <w:pPr>
              <w:spacing w:after="0"/>
              <w:jc w:val="right"/>
              <w:rPr>
                <w:lang w:eastAsia="en-AU"/>
              </w:rPr>
            </w:pPr>
            <w:r w:rsidRPr="005E5406">
              <w:rPr>
                <w:lang w:eastAsia="en-AU"/>
              </w:rPr>
              <w:t xml:space="preserve">                                 2,830</w:t>
            </w:r>
          </w:p>
        </w:tc>
      </w:tr>
    </w:tbl>
    <w:p w14:paraId="67A4A3FD" w14:textId="77777777" w:rsidR="005E5406" w:rsidRDefault="005E5406" w:rsidP="00190FC7">
      <w:pPr>
        <w:rPr>
          <w:rFonts w:ascii="Helvetica Light" w:hAnsi="Helvetica Light" w:cstheme="minorBidi"/>
          <w:szCs w:val="20"/>
        </w:rPr>
      </w:pPr>
    </w:p>
    <w:p w14:paraId="1E1F0532" w14:textId="79344004" w:rsidR="00190FC7" w:rsidRPr="007E394F" w:rsidRDefault="00190FC7" w:rsidP="00190FC7">
      <w:pPr>
        <w:rPr>
          <w:rFonts w:cs="Arial"/>
          <w:szCs w:val="20"/>
        </w:rPr>
      </w:pPr>
      <w:r w:rsidRPr="007E394F">
        <w:rPr>
          <w:rFonts w:cs="Arial"/>
          <w:szCs w:val="20"/>
        </w:rPr>
        <w:t>Return to</w:t>
      </w:r>
      <w:r>
        <w:rPr>
          <w:rFonts w:cs="Arial"/>
          <w:szCs w:val="20"/>
        </w:rPr>
        <w:t xml:space="preserve"> </w:t>
      </w:r>
      <w:hyperlink w:anchor="_4.3_Greenhouse_Gas" w:history="1">
        <w:r w:rsidRPr="00190FC7">
          <w:rPr>
            <w:rStyle w:val="Hyperlink"/>
          </w:rPr>
          <w:t>Greenhouse Gas Emissions</w:t>
        </w:r>
      </w:hyperlink>
    </w:p>
    <w:p w14:paraId="36AE2E7C" w14:textId="1F09B8C0" w:rsidR="00190FC7" w:rsidRPr="00AF3749" w:rsidRDefault="00944E9B" w:rsidP="00944E9B">
      <w:pPr>
        <w:pStyle w:val="Heading3"/>
        <w:ind w:left="1440" w:hanging="1440"/>
        <w:rPr>
          <w:rFonts w:hint="eastAsia"/>
        </w:rPr>
      </w:pPr>
      <w:bookmarkStart w:id="291" w:name="_Impact_of_Grid"/>
      <w:bookmarkEnd w:id="291"/>
      <w:r>
        <w:t>Table A.4</w:t>
      </w:r>
      <w:r w:rsidR="00A13E20">
        <w:t>8</w:t>
      </w:r>
      <w:r>
        <w:tab/>
      </w:r>
      <w:r w:rsidR="00190FC7" w:rsidRPr="005E5406">
        <w:t>Impact of Grid Emission Intensity of Stationary Energy Emissions in the City of Melbourne</w:t>
      </w:r>
    </w:p>
    <w:tbl>
      <w:tblPr>
        <w:tblW w:w="6663" w:type="dxa"/>
        <w:tblInd w:w="-5" w:type="dxa"/>
        <w:tblLook w:val="04A0" w:firstRow="1" w:lastRow="0" w:firstColumn="1" w:lastColumn="0" w:noHBand="0" w:noVBand="1"/>
      </w:tblPr>
      <w:tblGrid>
        <w:gridCol w:w="2694"/>
        <w:gridCol w:w="2268"/>
        <w:gridCol w:w="1701"/>
      </w:tblGrid>
      <w:tr w:rsidR="005E5406" w:rsidRPr="005E5406" w14:paraId="04CE065F" w14:textId="77777777" w:rsidTr="00725FA0">
        <w:trPr>
          <w:trHeight w:val="300"/>
        </w:trPr>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322039" w14:textId="77777777" w:rsidR="005E5406" w:rsidRPr="00AF3749" w:rsidRDefault="005E5406" w:rsidP="00190FC7">
            <w:pPr>
              <w:spacing w:after="0"/>
              <w:rPr>
                <w:b/>
                <w:bCs/>
                <w:lang w:eastAsia="en-AU"/>
              </w:rPr>
            </w:pPr>
            <w:bookmarkStart w:id="292" w:name="_Figure_49:_Impact"/>
            <w:bookmarkEnd w:id="292"/>
            <w:r w:rsidRPr="00AF3749">
              <w:rPr>
                <w:b/>
                <w:bCs/>
                <w:lang w:eastAsia="en-AU"/>
              </w:rPr>
              <w:t>Grid Emissions Intensity (kg CO</w:t>
            </w:r>
            <w:r w:rsidRPr="00AF3749">
              <w:rPr>
                <w:b/>
                <w:bCs/>
                <w:vertAlign w:val="subscript"/>
                <w:lang w:eastAsia="en-AU"/>
              </w:rPr>
              <w:t>2</w:t>
            </w:r>
            <w:r w:rsidRPr="00AF3749">
              <w:rPr>
                <w:b/>
                <w:bCs/>
                <w:lang w:eastAsia="en-AU"/>
              </w:rPr>
              <w:t>-e/kWh)</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14:paraId="440B1807" w14:textId="77777777" w:rsidR="005E5406" w:rsidRPr="00AF3749" w:rsidRDefault="005E5406" w:rsidP="00190FC7">
            <w:pPr>
              <w:spacing w:after="0"/>
              <w:rPr>
                <w:b/>
                <w:bCs/>
                <w:lang w:eastAsia="en-AU"/>
              </w:rPr>
            </w:pPr>
            <w:r w:rsidRPr="00AF3749">
              <w:rPr>
                <w:b/>
                <w:bCs/>
                <w:lang w:eastAsia="en-AU"/>
              </w:rPr>
              <w:t>Electricity Emissions (kt CO</w:t>
            </w:r>
            <w:r w:rsidRPr="00AF3749">
              <w:rPr>
                <w:b/>
                <w:bCs/>
                <w:vertAlign w:val="subscript"/>
                <w:lang w:eastAsia="en-AU"/>
              </w:rPr>
              <w:t>2</w:t>
            </w:r>
            <w:r w:rsidRPr="00AF3749">
              <w:rPr>
                <w:b/>
                <w:bCs/>
                <w:lang w:eastAsia="en-AU"/>
              </w:rPr>
              <w:t>-e)</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78A59EE7" w14:textId="77777777" w:rsidR="005E5406" w:rsidRPr="00AF3749" w:rsidRDefault="005E5406" w:rsidP="00190FC7">
            <w:pPr>
              <w:spacing w:after="0"/>
              <w:rPr>
                <w:b/>
                <w:bCs/>
                <w:lang w:eastAsia="en-AU"/>
              </w:rPr>
            </w:pPr>
            <w:r w:rsidRPr="00AF3749">
              <w:rPr>
                <w:b/>
                <w:bCs/>
                <w:lang w:eastAsia="en-AU"/>
              </w:rPr>
              <w:t>Gas Emissions (kt CO</w:t>
            </w:r>
            <w:r w:rsidRPr="00AF3749">
              <w:rPr>
                <w:b/>
                <w:bCs/>
                <w:vertAlign w:val="subscript"/>
                <w:lang w:eastAsia="en-AU"/>
              </w:rPr>
              <w:t>2</w:t>
            </w:r>
            <w:r w:rsidRPr="00AF3749">
              <w:rPr>
                <w:b/>
                <w:bCs/>
                <w:lang w:eastAsia="en-AU"/>
              </w:rPr>
              <w:t>-e)</w:t>
            </w:r>
          </w:p>
        </w:tc>
      </w:tr>
      <w:tr w:rsidR="005E5406" w:rsidRPr="005E5406" w14:paraId="35B3B248" w14:textId="77777777" w:rsidTr="00725FA0">
        <w:trPr>
          <w:trHeight w:val="30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14:paraId="6ED72720" w14:textId="77777777" w:rsidR="005E5406" w:rsidRPr="005E5406" w:rsidRDefault="005E5406" w:rsidP="00725FA0">
            <w:pPr>
              <w:spacing w:after="0"/>
              <w:jc w:val="right"/>
              <w:rPr>
                <w:lang w:eastAsia="en-AU"/>
              </w:rPr>
            </w:pPr>
            <w:r w:rsidRPr="005E5406">
              <w:rPr>
                <w:lang w:eastAsia="en-AU"/>
              </w:rPr>
              <w:t>1.07</w:t>
            </w:r>
          </w:p>
        </w:tc>
        <w:tc>
          <w:tcPr>
            <w:tcW w:w="2268" w:type="dxa"/>
            <w:tcBorders>
              <w:top w:val="nil"/>
              <w:left w:val="nil"/>
              <w:bottom w:val="single" w:sz="4" w:space="0" w:color="auto"/>
              <w:right w:val="single" w:sz="4" w:space="0" w:color="auto"/>
            </w:tcBorders>
            <w:shd w:val="clear" w:color="auto" w:fill="auto"/>
            <w:noWrap/>
            <w:vAlign w:val="bottom"/>
            <w:hideMark/>
          </w:tcPr>
          <w:p w14:paraId="4F04F4CE" w14:textId="185F5B38" w:rsidR="005E5406" w:rsidRPr="005E5406" w:rsidRDefault="005E5406" w:rsidP="00725FA0">
            <w:pPr>
              <w:spacing w:after="0"/>
              <w:jc w:val="right"/>
              <w:rPr>
                <w:lang w:eastAsia="en-AU"/>
              </w:rPr>
            </w:pPr>
            <w:r w:rsidRPr="005E5406">
              <w:rPr>
                <w:lang w:eastAsia="en-AU"/>
              </w:rPr>
              <w:t xml:space="preserve">2,830 </w:t>
            </w:r>
          </w:p>
        </w:tc>
        <w:tc>
          <w:tcPr>
            <w:tcW w:w="1701" w:type="dxa"/>
            <w:tcBorders>
              <w:top w:val="nil"/>
              <w:left w:val="nil"/>
              <w:bottom w:val="single" w:sz="4" w:space="0" w:color="auto"/>
              <w:right w:val="single" w:sz="4" w:space="0" w:color="auto"/>
            </w:tcBorders>
            <w:shd w:val="clear" w:color="auto" w:fill="auto"/>
            <w:noWrap/>
            <w:vAlign w:val="bottom"/>
            <w:hideMark/>
          </w:tcPr>
          <w:p w14:paraId="0C30582F" w14:textId="40A27152" w:rsidR="005E5406" w:rsidRPr="005E5406" w:rsidRDefault="005E5406" w:rsidP="00725FA0">
            <w:pPr>
              <w:spacing w:after="0"/>
              <w:jc w:val="right"/>
              <w:rPr>
                <w:lang w:eastAsia="en-AU"/>
              </w:rPr>
            </w:pPr>
            <w:r w:rsidRPr="005E5406">
              <w:rPr>
                <w:lang w:eastAsia="en-AU"/>
              </w:rPr>
              <w:t xml:space="preserve">370 </w:t>
            </w:r>
          </w:p>
        </w:tc>
      </w:tr>
      <w:tr w:rsidR="005E5406" w:rsidRPr="005E5406" w14:paraId="1CCF1EC8" w14:textId="77777777" w:rsidTr="00725FA0">
        <w:trPr>
          <w:trHeight w:val="30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14:paraId="49CB3844" w14:textId="77777777" w:rsidR="005E5406" w:rsidRPr="005E5406" w:rsidRDefault="005E5406" w:rsidP="00725FA0">
            <w:pPr>
              <w:spacing w:after="0"/>
              <w:jc w:val="right"/>
              <w:rPr>
                <w:lang w:eastAsia="en-AU"/>
              </w:rPr>
            </w:pPr>
            <w:r w:rsidRPr="005E5406">
              <w:rPr>
                <w:lang w:eastAsia="en-AU"/>
              </w:rPr>
              <w:t>0.8</w:t>
            </w:r>
          </w:p>
        </w:tc>
        <w:tc>
          <w:tcPr>
            <w:tcW w:w="2268" w:type="dxa"/>
            <w:tcBorders>
              <w:top w:val="nil"/>
              <w:left w:val="nil"/>
              <w:bottom w:val="single" w:sz="4" w:space="0" w:color="auto"/>
              <w:right w:val="single" w:sz="4" w:space="0" w:color="auto"/>
            </w:tcBorders>
            <w:shd w:val="clear" w:color="auto" w:fill="auto"/>
            <w:noWrap/>
            <w:vAlign w:val="bottom"/>
            <w:hideMark/>
          </w:tcPr>
          <w:p w14:paraId="143A66D1" w14:textId="36677269" w:rsidR="005E5406" w:rsidRPr="005E5406" w:rsidRDefault="005E5406" w:rsidP="00725FA0">
            <w:pPr>
              <w:spacing w:after="0"/>
              <w:jc w:val="right"/>
              <w:rPr>
                <w:lang w:eastAsia="en-AU"/>
              </w:rPr>
            </w:pPr>
            <w:r w:rsidRPr="005E5406">
              <w:rPr>
                <w:lang w:eastAsia="en-AU"/>
              </w:rPr>
              <w:t xml:space="preserve">2,116 </w:t>
            </w:r>
          </w:p>
        </w:tc>
        <w:tc>
          <w:tcPr>
            <w:tcW w:w="1701" w:type="dxa"/>
            <w:tcBorders>
              <w:top w:val="nil"/>
              <w:left w:val="nil"/>
              <w:bottom w:val="single" w:sz="4" w:space="0" w:color="auto"/>
              <w:right w:val="single" w:sz="4" w:space="0" w:color="auto"/>
            </w:tcBorders>
            <w:shd w:val="clear" w:color="auto" w:fill="auto"/>
            <w:noWrap/>
            <w:vAlign w:val="bottom"/>
            <w:hideMark/>
          </w:tcPr>
          <w:p w14:paraId="1F8718CC" w14:textId="79F53352" w:rsidR="005E5406" w:rsidRPr="005E5406" w:rsidRDefault="005E5406" w:rsidP="00725FA0">
            <w:pPr>
              <w:spacing w:after="0"/>
              <w:jc w:val="right"/>
              <w:rPr>
                <w:lang w:eastAsia="en-AU"/>
              </w:rPr>
            </w:pPr>
            <w:r w:rsidRPr="005E5406">
              <w:rPr>
                <w:lang w:eastAsia="en-AU"/>
              </w:rPr>
              <w:t xml:space="preserve">370 </w:t>
            </w:r>
          </w:p>
        </w:tc>
      </w:tr>
      <w:tr w:rsidR="005E5406" w:rsidRPr="005E5406" w14:paraId="736D609F" w14:textId="77777777" w:rsidTr="00725FA0">
        <w:trPr>
          <w:trHeight w:val="30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14:paraId="50DC9BDF" w14:textId="77777777" w:rsidR="005E5406" w:rsidRPr="005E5406" w:rsidRDefault="005E5406" w:rsidP="00725FA0">
            <w:pPr>
              <w:spacing w:after="0"/>
              <w:jc w:val="right"/>
              <w:rPr>
                <w:lang w:eastAsia="en-AU"/>
              </w:rPr>
            </w:pPr>
            <w:r w:rsidRPr="005E5406">
              <w:rPr>
                <w:lang w:eastAsia="en-AU"/>
              </w:rPr>
              <w:t>0.6</w:t>
            </w:r>
          </w:p>
        </w:tc>
        <w:tc>
          <w:tcPr>
            <w:tcW w:w="2268" w:type="dxa"/>
            <w:tcBorders>
              <w:top w:val="nil"/>
              <w:left w:val="nil"/>
              <w:bottom w:val="single" w:sz="4" w:space="0" w:color="auto"/>
              <w:right w:val="single" w:sz="4" w:space="0" w:color="auto"/>
            </w:tcBorders>
            <w:shd w:val="clear" w:color="auto" w:fill="auto"/>
            <w:noWrap/>
            <w:vAlign w:val="bottom"/>
            <w:hideMark/>
          </w:tcPr>
          <w:p w14:paraId="3A54A336" w14:textId="7952AEDB" w:rsidR="005E5406" w:rsidRPr="005E5406" w:rsidRDefault="005E5406" w:rsidP="00725FA0">
            <w:pPr>
              <w:spacing w:after="0"/>
              <w:jc w:val="right"/>
              <w:rPr>
                <w:lang w:eastAsia="en-AU"/>
              </w:rPr>
            </w:pPr>
            <w:r w:rsidRPr="005E5406">
              <w:rPr>
                <w:lang w:eastAsia="en-AU"/>
              </w:rPr>
              <w:t xml:space="preserve">1,587 </w:t>
            </w:r>
          </w:p>
        </w:tc>
        <w:tc>
          <w:tcPr>
            <w:tcW w:w="1701" w:type="dxa"/>
            <w:tcBorders>
              <w:top w:val="nil"/>
              <w:left w:val="nil"/>
              <w:bottom w:val="single" w:sz="4" w:space="0" w:color="auto"/>
              <w:right w:val="single" w:sz="4" w:space="0" w:color="auto"/>
            </w:tcBorders>
            <w:shd w:val="clear" w:color="auto" w:fill="auto"/>
            <w:noWrap/>
            <w:vAlign w:val="bottom"/>
            <w:hideMark/>
          </w:tcPr>
          <w:p w14:paraId="5C06295B" w14:textId="3A120ECE" w:rsidR="005E5406" w:rsidRPr="005E5406" w:rsidRDefault="00190FC7" w:rsidP="00725FA0">
            <w:pPr>
              <w:spacing w:after="0"/>
              <w:jc w:val="right"/>
              <w:rPr>
                <w:lang w:eastAsia="en-AU"/>
              </w:rPr>
            </w:pPr>
            <w:r>
              <w:rPr>
                <w:lang w:eastAsia="en-AU"/>
              </w:rPr>
              <w:t>3</w:t>
            </w:r>
            <w:r w:rsidR="005E5406" w:rsidRPr="005E5406">
              <w:rPr>
                <w:lang w:eastAsia="en-AU"/>
              </w:rPr>
              <w:t xml:space="preserve">70 </w:t>
            </w:r>
          </w:p>
        </w:tc>
      </w:tr>
      <w:tr w:rsidR="005E5406" w:rsidRPr="005E5406" w14:paraId="1C5CE217" w14:textId="77777777" w:rsidTr="00725FA0">
        <w:trPr>
          <w:trHeight w:val="30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14:paraId="4620A86D" w14:textId="77777777" w:rsidR="005E5406" w:rsidRPr="005E5406" w:rsidRDefault="005E5406" w:rsidP="00725FA0">
            <w:pPr>
              <w:spacing w:after="0"/>
              <w:jc w:val="right"/>
              <w:rPr>
                <w:lang w:eastAsia="en-AU"/>
              </w:rPr>
            </w:pPr>
            <w:r w:rsidRPr="005E5406">
              <w:rPr>
                <w:lang w:eastAsia="en-AU"/>
              </w:rPr>
              <w:t>0.4</w:t>
            </w:r>
          </w:p>
        </w:tc>
        <w:tc>
          <w:tcPr>
            <w:tcW w:w="2268" w:type="dxa"/>
            <w:tcBorders>
              <w:top w:val="nil"/>
              <w:left w:val="nil"/>
              <w:bottom w:val="single" w:sz="4" w:space="0" w:color="auto"/>
              <w:right w:val="single" w:sz="4" w:space="0" w:color="auto"/>
            </w:tcBorders>
            <w:shd w:val="clear" w:color="auto" w:fill="auto"/>
            <w:noWrap/>
            <w:vAlign w:val="bottom"/>
            <w:hideMark/>
          </w:tcPr>
          <w:p w14:paraId="6DEA3064" w14:textId="088FDC32" w:rsidR="005E5406" w:rsidRPr="005E5406" w:rsidRDefault="005E5406" w:rsidP="00725FA0">
            <w:pPr>
              <w:spacing w:after="0"/>
              <w:jc w:val="right"/>
              <w:rPr>
                <w:lang w:eastAsia="en-AU"/>
              </w:rPr>
            </w:pPr>
            <w:r w:rsidRPr="005E5406">
              <w:rPr>
                <w:lang w:eastAsia="en-AU"/>
              </w:rPr>
              <w:t xml:space="preserve">1,058 </w:t>
            </w:r>
          </w:p>
        </w:tc>
        <w:tc>
          <w:tcPr>
            <w:tcW w:w="1701" w:type="dxa"/>
            <w:tcBorders>
              <w:top w:val="nil"/>
              <w:left w:val="nil"/>
              <w:bottom w:val="single" w:sz="4" w:space="0" w:color="auto"/>
              <w:right w:val="single" w:sz="4" w:space="0" w:color="auto"/>
            </w:tcBorders>
            <w:shd w:val="clear" w:color="auto" w:fill="auto"/>
            <w:noWrap/>
            <w:vAlign w:val="bottom"/>
            <w:hideMark/>
          </w:tcPr>
          <w:p w14:paraId="4C4F6184" w14:textId="37E0CDB3" w:rsidR="005E5406" w:rsidRPr="005E5406" w:rsidRDefault="005E5406" w:rsidP="00725FA0">
            <w:pPr>
              <w:spacing w:after="0"/>
              <w:jc w:val="right"/>
              <w:rPr>
                <w:lang w:eastAsia="en-AU"/>
              </w:rPr>
            </w:pPr>
            <w:r w:rsidRPr="005E5406">
              <w:rPr>
                <w:lang w:eastAsia="en-AU"/>
              </w:rPr>
              <w:t xml:space="preserve">370 </w:t>
            </w:r>
          </w:p>
        </w:tc>
      </w:tr>
      <w:tr w:rsidR="005E5406" w:rsidRPr="005E5406" w14:paraId="104EE3AB" w14:textId="77777777" w:rsidTr="00725FA0">
        <w:trPr>
          <w:trHeight w:val="30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14:paraId="325A5DBB" w14:textId="77777777" w:rsidR="005E5406" w:rsidRPr="005E5406" w:rsidRDefault="005E5406" w:rsidP="00725FA0">
            <w:pPr>
              <w:spacing w:after="0"/>
              <w:jc w:val="right"/>
              <w:rPr>
                <w:lang w:eastAsia="en-AU"/>
              </w:rPr>
            </w:pPr>
            <w:r w:rsidRPr="005E5406">
              <w:rPr>
                <w:lang w:eastAsia="en-AU"/>
              </w:rPr>
              <w:t>0.2</w:t>
            </w:r>
          </w:p>
        </w:tc>
        <w:tc>
          <w:tcPr>
            <w:tcW w:w="2268" w:type="dxa"/>
            <w:tcBorders>
              <w:top w:val="nil"/>
              <w:left w:val="nil"/>
              <w:bottom w:val="single" w:sz="4" w:space="0" w:color="auto"/>
              <w:right w:val="single" w:sz="4" w:space="0" w:color="auto"/>
            </w:tcBorders>
            <w:shd w:val="clear" w:color="auto" w:fill="auto"/>
            <w:noWrap/>
            <w:vAlign w:val="bottom"/>
            <w:hideMark/>
          </w:tcPr>
          <w:p w14:paraId="4FCA8C73" w14:textId="3DCB905B" w:rsidR="005E5406" w:rsidRPr="005E5406" w:rsidRDefault="005E5406" w:rsidP="00725FA0">
            <w:pPr>
              <w:spacing w:after="0"/>
              <w:jc w:val="right"/>
              <w:rPr>
                <w:lang w:eastAsia="en-AU"/>
              </w:rPr>
            </w:pPr>
            <w:r w:rsidRPr="005E5406">
              <w:rPr>
                <w:lang w:eastAsia="en-AU"/>
              </w:rPr>
              <w:t xml:space="preserve">529 </w:t>
            </w:r>
          </w:p>
        </w:tc>
        <w:tc>
          <w:tcPr>
            <w:tcW w:w="1701" w:type="dxa"/>
            <w:tcBorders>
              <w:top w:val="nil"/>
              <w:left w:val="nil"/>
              <w:bottom w:val="single" w:sz="4" w:space="0" w:color="auto"/>
              <w:right w:val="single" w:sz="4" w:space="0" w:color="auto"/>
            </w:tcBorders>
            <w:shd w:val="clear" w:color="auto" w:fill="auto"/>
            <w:noWrap/>
            <w:vAlign w:val="bottom"/>
            <w:hideMark/>
          </w:tcPr>
          <w:p w14:paraId="287AF67D" w14:textId="2D267D29" w:rsidR="005E5406" w:rsidRPr="005E5406" w:rsidRDefault="005E5406" w:rsidP="00725FA0">
            <w:pPr>
              <w:spacing w:after="0"/>
              <w:jc w:val="right"/>
              <w:rPr>
                <w:lang w:eastAsia="en-AU"/>
              </w:rPr>
            </w:pPr>
            <w:r w:rsidRPr="005E5406">
              <w:rPr>
                <w:lang w:eastAsia="en-AU"/>
              </w:rPr>
              <w:t xml:space="preserve">370 </w:t>
            </w:r>
          </w:p>
        </w:tc>
      </w:tr>
    </w:tbl>
    <w:p w14:paraId="09D334CB" w14:textId="77777777" w:rsidR="00BC43B4" w:rsidRDefault="00BC43B4" w:rsidP="00AF3749">
      <w:pPr>
        <w:rPr>
          <w:rFonts w:cs="Arial"/>
          <w:szCs w:val="20"/>
        </w:rPr>
      </w:pPr>
    </w:p>
    <w:p w14:paraId="32A3EEB2" w14:textId="744EB06D" w:rsidR="00AF3749" w:rsidRPr="007E394F" w:rsidRDefault="00AF3749" w:rsidP="00AF3749">
      <w:pPr>
        <w:rPr>
          <w:rFonts w:cs="Arial"/>
          <w:szCs w:val="20"/>
        </w:rPr>
      </w:pPr>
      <w:r w:rsidRPr="007E394F">
        <w:rPr>
          <w:rFonts w:cs="Arial"/>
          <w:szCs w:val="20"/>
        </w:rPr>
        <w:t>Return to</w:t>
      </w:r>
      <w:r>
        <w:rPr>
          <w:rFonts w:cs="Arial"/>
          <w:szCs w:val="20"/>
        </w:rPr>
        <w:t xml:space="preserve"> </w:t>
      </w:r>
      <w:hyperlink w:anchor="_4.3_Greenhouse_Gas" w:history="1">
        <w:r w:rsidRPr="00190FC7">
          <w:rPr>
            <w:rStyle w:val="Hyperlink"/>
          </w:rPr>
          <w:t>Greenhouse Gas Emissions</w:t>
        </w:r>
      </w:hyperlink>
    </w:p>
    <w:p w14:paraId="60A75AED" w14:textId="77B50BC9" w:rsidR="005E5406" w:rsidRPr="00BC43B4" w:rsidRDefault="00944E9B" w:rsidP="00944E9B">
      <w:pPr>
        <w:pStyle w:val="Heading3"/>
        <w:ind w:left="1440" w:hanging="1440"/>
        <w:rPr>
          <w:rFonts w:hint="eastAsia"/>
        </w:rPr>
      </w:pPr>
      <w:r>
        <w:t>Table A.4</w:t>
      </w:r>
      <w:r w:rsidR="00A13E20">
        <w:t>9</w:t>
      </w:r>
      <w:r>
        <w:tab/>
      </w:r>
      <w:r w:rsidR="00BC43B4" w:rsidRPr="005E5406">
        <w:t>Greenhouse Gas Emissions by Postcode, City of Melbourne Built Environment, 2022</w:t>
      </w:r>
    </w:p>
    <w:tbl>
      <w:tblPr>
        <w:tblW w:w="3828" w:type="dxa"/>
        <w:tblInd w:w="-5" w:type="dxa"/>
        <w:tblLook w:val="04A0" w:firstRow="1" w:lastRow="0" w:firstColumn="1" w:lastColumn="0" w:noHBand="0" w:noVBand="1"/>
      </w:tblPr>
      <w:tblGrid>
        <w:gridCol w:w="1378"/>
        <w:gridCol w:w="2450"/>
      </w:tblGrid>
      <w:tr w:rsidR="005E5406" w:rsidRPr="005E5406" w14:paraId="4F4E30EE" w14:textId="77777777" w:rsidTr="00BC43B4">
        <w:trPr>
          <w:trHeight w:val="300"/>
        </w:trPr>
        <w:tc>
          <w:tcPr>
            <w:tcW w:w="13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603C52" w14:textId="77777777" w:rsidR="005E5406" w:rsidRPr="00BC43B4" w:rsidRDefault="005E5406" w:rsidP="00BC43B4">
            <w:pPr>
              <w:spacing w:after="0"/>
              <w:rPr>
                <w:b/>
                <w:bCs/>
                <w:lang w:eastAsia="en-AU"/>
              </w:rPr>
            </w:pPr>
            <w:bookmarkStart w:id="293" w:name="_Figure_50:_Greenhouse"/>
            <w:bookmarkEnd w:id="293"/>
            <w:r w:rsidRPr="00BC43B4">
              <w:rPr>
                <w:b/>
                <w:bCs/>
                <w:lang w:eastAsia="en-AU"/>
              </w:rPr>
              <w:t>Postcode</w:t>
            </w:r>
          </w:p>
        </w:tc>
        <w:tc>
          <w:tcPr>
            <w:tcW w:w="2450" w:type="dxa"/>
            <w:tcBorders>
              <w:top w:val="single" w:sz="4" w:space="0" w:color="auto"/>
              <w:left w:val="nil"/>
              <w:bottom w:val="single" w:sz="4" w:space="0" w:color="auto"/>
              <w:right w:val="single" w:sz="4" w:space="0" w:color="auto"/>
            </w:tcBorders>
            <w:shd w:val="clear" w:color="auto" w:fill="auto"/>
            <w:noWrap/>
            <w:vAlign w:val="bottom"/>
            <w:hideMark/>
          </w:tcPr>
          <w:p w14:paraId="44F6E8CF" w14:textId="77777777" w:rsidR="005E5406" w:rsidRPr="00BC43B4" w:rsidRDefault="005E5406" w:rsidP="00BC43B4">
            <w:pPr>
              <w:spacing w:after="0"/>
              <w:rPr>
                <w:b/>
                <w:bCs/>
                <w:lang w:eastAsia="en-AU"/>
              </w:rPr>
            </w:pPr>
            <w:r w:rsidRPr="00BC43B4">
              <w:rPr>
                <w:b/>
                <w:bCs/>
                <w:lang w:eastAsia="en-AU"/>
              </w:rPr>
              <w:t>Greenhouse Gas Emissions (kt CO</w:t>
            </w:r>
            <w:r w:rsidRPr="00BC43B4">
              <w:rPr>
                <w:b/>
                <w:bCs/>
                <w:vertAlign w:val="subscript"/>
                <w:lang w:eastAsia="en-AU"/>
              </w:rPr>
              <w:t>2</w:t>
            </w:r>
            <w:r w:rsidRPr="00BC43B4">
              <w:rPr>
                <w:b/>
                <w:bCs/>
                <w:lang w:eastAsia="en-AU"/>
              </w:rPr>
              <w:t>-e)</w:t>
            </w:r>
          </w:p>
        </w:tc>
      </w:tr>
      <w:tr w:rsidR="005E5406" w:rsidRPr="005E5406" w14:paraId="49CB298F" w14:textId="77777777" w:rsidTr="00BC43B4">
        <w:trPr>
          <w:trHeight w:val="300"/>
        </w:trPr>
        <w:tc>
          <w:tcPr>
            <w:tcW w:w="1378" w:type="dxa"/>
            <w:tcBorders>
              <w:top w:val="nil"/>
              <w:left w:val="single" w:sz="4" w:space="0" w:color="auto"/>
              <w:bottom w:val="single" w:sz="4" w:space="0" w:color="auto"/>
              <w:right w:val="single" w:sz="4" w:space="0" w:color="auto"/>
            </w:tcBorders>
            <w:shd w:val="clear" w:color="auto" w:fill="auto"/>
            <w:noWrap/>
            <w:vAlign w:val="bottom"/>
            <w:hideMark/>
          </w:tcPr>
          <w:p w14:paraId="05B7EB3D" w14:textId="77777777" w:rsidR="005E5406" w:rsidRPr="005E5406" w:rsidRDefault="005E5406" w:rsidP="00BC43B4">
            <w:pPr>
              <w:spacing w:after="0"/>
              <w:jc w:val="right"/>
              <w:rPr>
                <w:lang w:eastAsia="en-AU"/>
              </w:rPr>
            </w:pPr>
            <w:r w:rsidRPr="005E5406">
              <w:rPr>
                <w:lang w:eastAsia="en-AU"/>
              </w:rPr>
              <w:t>3000</w:t>
            </w:r>
          </w:p>
        </w:tc>
        <w:tc>
          <w:tcPr>
            <w:tcW w:w="2450" w:type="dxa"/>
            <w:tcBorders>
              <w:top w:val="nil"/>
              <w:left w:val="nil"/>
              <w:bottom w:val="single" w:sz="4" w:space="0" w:color="auto"/>
              <w:right w:val="single" w:sz="4" w:space="0" w:color="auto"/>
            </w:tcBorders>
            <w:shd w:val="clear" w:color="auto" w:fill="auto"/>
            <w:noWrap/>
            <w:vAlign w:val="bottom"/>
            <w:hideMark/>
          </w:tcPr>
          <w:p w14:paraId="7BC82F4A" w14:textId="58C3AA0D" w:rsidR="005E5406" w:rsidRPr="005E5406" w:rsidRDefault="005E5406" w:rsidP="00BC43B4">
            <w:pPr>
              <w:spacing w:after="0"/>
              <w:jc w:val="right"/>
              <w:rPr>
                <w:lang w:eastAsia="en-AU"/>
              </w:rPr>
            </w:pPr>
            <w:r w:rsidRPr="005E5406">
              <w:rPr>
                <w:lang w:eastAsia="en-AU"/>
              </w:rPr>
              <w:t xml:space="preserve">1,268 </w:t>
            </w:r>
          </w:p>
        </w:tc>
      </w:tr>
      <w:tr w:rsidR="005E5406" w:rsidRPr="005E5406" w14:paraId="21120C9D" w14:textId="77777777" w:rsidTr="00BC43B4">
        <w:trPr>
          <w:trHeight w:val="300"/>
        </w:trPr>
        <w:tc>
          <w:tcPr>
            <w:tcW w:w="1378" w:type="dxa"/>
            <w:tcBorders>
              <w:top w:val="nil"/>
              <w:left w:val="single" w:sz="4" w:space="0" w:color="auto"/>
              <w:bottom w:val="single" w:sz="4" w:space="0" w:color="auto"/>
              <w:right w:val="single" w:sz="4" w:space="0" w:color="auto"/>
            </w:tcBorders>
            <w:shd w:val="clear" w:color="auto" w:fill="auto"/>
            <w:noWrap/>
            <w:vAlign w:val="bottom"/>
            <w:hideMark/>
          </w:tcPr>
          <w:p w14:paraId="12064093" w14:textId="77777777" w:rsidR="005E5406" w:rsidRPr="005E5406" w:rsidRDefault="005E5406" w:rsidP="00BC43B4">
            <w:pPr>
              <w:spacing w:after="0"/>
              <w:jc w:val="right"/>
              <w:rPr>
                <w:lang w:eastAsia="en-AU"/>
              </w:rPr>
            </w:pPr>
            <w:r w:rsidRPr="005E5406">
              <w:rPr>
                <w:lang w:eastAsia="en-AU"/>
              </w:rPr>
              <w:t>3006</w:t>
            </w:r>
          </w:p>
        </w:tc>
        <w:tc>
          <w:tcPr>
            <w:tcW w:w="2450" w:type="dxa"/>
            <w:tcBorders>
              <w:top w:val="nil"/>
              <w:left w:val="nil"/>
              <w:bottom w:val="single" w:sz="4" w:space="0" w:color="auto"/>
              <w:right w:val="single" w:sz="4" w:space="0" w:color="auto"/>
            </w:tcBorders>
            <w:shd w:val="clear" w:color="auto" w:fill="auto"/>
            <w:noWrap/>
            <w:vAlign w:val="bottom"/>
            <w:hideMark/>
          </w:tcPr>
          <w:p w14:paraId="14E7F0EA" w14:textId="655FA377" w:rsidR="005E5406" w:rsidRPr="005E5406" w:rsidRDefault="005E5406" w:rsidP="00BC43B4">
            <w:pPr>
              <w:spacing w:after="0"/>
              <w:jc w:val="right"/>
              <w:rPr>
                <w:lang w:eastAsia="en-AU"/>
              </w:rPr>
            </w:pPr>
            <w:r w:rsidRPr="005E5406">
              <w:rPr>
                <w:lang w:eastAsia="en-AU"/>
              </w:rPr>
              <w:t xml:space="preserve">368 </w:t>
            </w:r>
          </w:p>
        </w:tc>
      </w:tr>
      <w:tr w:rsidR="005E5406" w:rsidRPr="005E5406" w14:paraId="7AB8C34F" w14:textId="77777777" w:rsidTr="00BC43B4">
        <w:trPr>
          <w:trHeight w:val="300"/>
        </w:trPr>
        <w:tc>
          <w:tcPr>
            <w:tcW w:w="1378" w:type="dxa"/>
            <w:tcBorders>
              <w:top w:val="nil"/>
              <w:left w:val="single" w:sz="4" w:space="0" w:color="auto"/>
              <w:bottom w:val="single" w:sz="4" w:space="0" w:color="auto"/>
              <w:right w:val="single" w:sz="4" w:space="0" w:color="auto"/>
            </w:tcBorders>
            <w:shd w:val="clear" w:color="auto" w:fill="auto"/>
            <w:noWrap/>
            <w:vAlign w:val="bottom"/>
            <w:hideMark/>
          </w:tcPr>
          <w:p w14:paraId="4C7AA113" w14:textId="77777777" w:rsidR="005E5406" w:rsidRPr="005E5406" w:rsidRDefault="005E5406" w:rsidP="00BC43B4">
            <w:pPr>
              <w:spacing w:after="0"/>
              <w:jc w:val="right"/>
              <w:rPr>
                <w:lang w:eastAsia="en-AU"/>
              </w:rPr>
            </w:pPr>
            <w:r w:rsidRPr="005E5406">
              <w:rPr>
                <w:lang w:eastAsia="en-AU"/>
              </w:rPr>
              <w:t>3008</w:t>
            </w:r>
          </w:p>
        </w:tc>
        <w:tc>
          <w:tcPr>
            <w:tcW w:w="2450" w:type="dxa"/>
            <w:tcBorders>
              <w:top w:val="nil"/>
              <w:left w:val="nil"/>
              <w:bottom w:val="single" w:sz="4" w:space="0" w:color="auto"/>
              <w:right w:val="single" w:sz="4" w:space="0" w:color="auto"/>
            </w:tcBorders>
            <w:shd w:val="clear" w:color="auto" w:fill="auto"/>
            <w:noWrap/>
            <w:vAlign w:val="bottom"/>
            <w:hideMark/>
          </w:tcPr>
          <w:p w14:paraId="17823F08" w14:textId="210EF7E8" w:rsidR="005E5406" w:rsidRPr="005E5406" w:rsidRDefault="005E5406" w:rsidP="00BC43B4">
            <w:pPr>
              <w:spacing w:after="0"/>
              <w:jc w:val="right"/>
              <w:rPr>
                <w:lang w:eastAsia="en-AU"/>
              </w:rPr>
            </w:pPr>
            <w:r w:rsidRPr="005E5406">
              <w:rPr>
                <w:lang w:eastAsia="en-AU"/>
              </w:rPr>
              <w:t xml:space="preserve">343 </w:t>
            </w:r>
          </w:p>
        </w:tc>
      </w:tr>
      <w:tr w:rsidR="005E5406" w:rsidRPr="005E5406" w14:paraId="21C139F7" w14:textId="77777777" w:rsidTr="00BC43B4">
        <w:trPr>
          <w:trHeight w:val="300"/>
        </w:trPr>
        <w:tc>
          <w:tcPr>
            <w:tcW w:w="1378" w:type="dxa"/>
            <w:tcBorders>
              <w:top w:val="nil"/>
              <w:left w:val="single" w:sz="4" w:space="0" w:color="auto"/>
              <w:bottom w:val="single" w:sz="4" w:space="0" w:color="auto"/>
              <w:right w:val="single" w:sz="4" w:space="0" w:color="auto"/>
            </w:tcBorders>
            <w:shd w:val="clear" w:color="auto" w:fill="auto"/>
            <w:noWrap/>
            <w:vAlign w:val="bottom"/>
            <w:hideMark/>
          </w:tcPr>
          <w:p w14:paraId="1D29B0C0" w14:textId="77777777" w:rsidR="005E5406" w:rsidRPr="005E5406" w:rsidRDefault="005E5406" w:rsidP="00BC43B4">
            <w:pPr>
              <w:spacing w:after="0"/>
              <w:jc w:val="right"/>
              <w:rPr>
                <w:lang w:eastAsia="en-AU"/>
              </w:rPr>
            </w:pPr>
            <w:r w:rsidRPr="005E5406">
              <w:rPr>
                <w:lang w:eastAsia="en-AU"/>
              </w:rPr>
              <w:t>3053</w:t>
            </w:r>
          </w:p>
        </w:tc>
        <w:tc>
          <w:tcPr>
            <w:tcW w:w="2450" w:type="dxa"/>
            <w:tcBorders>
              <w:top w:val="nil"/>
              <w:left w:val="nil"/>
              <w:bottom w:val="single" w:sz="4" w:space="0" w:color="auto"/>
              <w:right w:val="single" w:sz="4" w:space="0" w:color="auto"/>
            </w:tcBorders>
            <w:shd w:val="clear" w:color="auto" w:fill="auto"/>
            <w:noWrap/>
            <w:vAlign w:val="bottom"/>
            <w:hideMark/>
          </w:tcPr>
          <w:p w14:paraId="636E83C0" w14:textId="5649336E" w:rsidR="005E5406" w:rsidRPr="005E5406" w:rsidRDefault="005E5406" w:rsidP="00BC43B4">
            <w:pPr>
              <w:spacing w:after="0"/>
              <w:jc w:val="right"/>
              <w:rPr>
                <w:lang w:eastAsia="en-AU"/>
              </w:rPr>
            </w:pPr>
            <w:r w:rsidRPr="005E5406">
              <w:rPr>
                <w:lang w:eastAsia="en-AU"/>
              </w:rPr>
              <w:t xml:space="preserve">174 </w:t>
            </w:r>
          </w:p>
        </w:tc>
      </w:tr>
      <w:tr w:rsidR="005E5406" w:rsidRPr="005E5406" w14:paraId="18785DAD" w14:textId="77777777" w:rsidTr="00BC43B4">
        <w:trPr>
          <w:trHeight w:val="300"/>
        </w:trPr>
        <w:tc>
          <w:tcPr>
            <w:tcW w:w="1378" w:type="dxa"/>
            <w:tcBorders>
              <w:top w:val="nil"/>
              <w:left w:val="single" w:sz="4" w:space="0" w:color="auto"/>
              <w:bottom w:val="single" w:sz="4" w:space="0" w:color="auto"/>
              <w:right w:val="single" w:sz="4" w:space="0" w:color="auto"/>
            </w:tcBorders>
            <w:shd w:val="clear" w:color="auto" w:fill="auto"/>
            <w:noWrap/>
            <w:vAlign w:val="bottom"/>
            <w:hideMark/>
          </w:tcPr>
          <w:p w14:paraId="0CD96AB6" w14:textId="77777777" w:rsidR="005E5406" w:rsidRPr="005E5406" w:rsidRDefault="005E5406" w:rsidP="00BC43B4">
            <w:pPr>
              <w:spacing w:after="0"/>
              <w:jc w:val="right"/>
              <w:rPr>
                <w:lang w:eastAsia="en-AU"/>
              </w:rPr>
            </w:pPr>
            <w:r w:rsidRPr="005E5406">
              <w:rPr>
                <w:lang w:eastAsia="en-AU"/>
              </w:rPr>
              <w:t>3002</w:t>
            </w:r>
          </w:p>
        </w:tc>
        <w:tc>
          <w:tcPr>
            <w:tcW w:w="2450" w:type="dxa"/>
            <w:tcBorders>
              <w:top w:val="nil"/>
              <w:left w:val="nil"/>
              <w:bottom w:val="single" w:sz="4" w:space="0" w:color="auto"/>
              <w:right w:val="single" w:sz="4" w:space="0" w:color="auto"/>
            </w:tcBorders>
            <w:shd w:val="clear" w:color="auto" w:fill="auto"/>
            <w:noWrap/>
            <w:vAlign w:val="bottom"/>
            <w:hideMark/>
          </w:tcPr>
          <w:p w14:paraId="0BDF8184" w14:textId="5146ECFC" w:rsidR="005E5406" w:rsidRPr="005E5406" w:rsidRDefault="005E5406" w:rsidP="00BC43B4">
            <w:pPr>
              <w:spacing w:after="0"/>
              <w:jc w:val="right"/>
              <w:rPr>
                <w:lang w:eastAsia="en-AU"/>
              </w:rPr>
            </w:pPr>
            <w:r w:rsidRPr="005E5406">
              <w:rPr>
                <w:lang w:eastAsia="en-AU"/>
              </w:rPr>
              <w:t xml:space="preserve">174 </w:t>
            </w:r>
          </w:p>
        </w:tc>
      </w:tr>
      <w:tr w:rsidR="005E5406" w:rsidRPr="005E5406" w14:paraId="4724D3F1" w14:textId="77777777" w:rsidTr="00BC43B4">
        <w:trPr>
          <w:trHeight w:val="300"/>
        </w:trPr>
        <w:tc>
          <w:tcPr>
            <w:tcW w:w="1378" w:type="dxa"/>
            <w:tcBorders>
              <w:top w:val="nil"/>
              <w:left w:val="single" w:sz="4" w:space="0" w:color="auto"/>
              <w:bottom w:val="single" w:sz="4" w:space="0" w:color="auto"/>
              <w:right w:val="single" w:sz="4" w:space="0" w:color="auto"/>
            </w:tcBorders>
            <w:shd w:val="clear" w:color="auto" w:fill="auto"/>
            <w:noWrap/>
            <w:vAlign w:val="bottom"/>
            <w:hideMark/>
          </w:tcPr>
          <w:p w14:paraId="5CAE7C94" w14:textId="77777777" w:rsidR="005E5406" w:rsidRPr="005E5406" w:rsidRDefault="005E5406" w:rsidP="00BC43B4">
            <w:pPr>
              <w:spacing w:after="0"/>
              <w:jc w:val="right"/>
              <w:rPr>
                <w:lang w:eastAsia="en-AU"/>
              </w:rPr>
            </w:pPr>
            <w:r w:rsidRPr="005E5406">
              <w:rPr>
                <w:lang w:eastAsia="en-AU"/>
              </w:rPr>
              <w:t>3207</w:t>
            </w:r>
          </w:p>
        </w:tc>
        <w:tc>
          <w:tcPr>
            <w:tcW w:w="2450" w:type="dxa"/>
            <w:tcBorders>
              <w:top w:val="nil"/>
              <w:left w:val="nil"/>
              <w:bottom w:val="single" w:sz="4" w:space="0" w:color="auto"/>
              <w:right w:val="single" w:sz="4" w:space="0" w:color="auto"/>
            </w:tcBorders>
            <w:shd w:val="clear" w:color="auto" w:fill="auto"/>
            <w:noWrap/>
            <w:vAlign w:val="bottom"/>
            <w:hideMark/>
          </w:tcPr>
          <w:p w14:paraId="2CEE2597" w14:textId="28FE5A36" w:rsidR="005E5406" w:rsidRPr="005E5406" w:rsidRDefault="005E5406" w:rsidP="00BC43B4">
            <w:pPr>
              <w:spacing w:after="0"/>
              <w:jc w:val="right"/>
              <w:rPr>
                <w:lang w:eastAsia="en-AU"/>
              </w:rPr>
            </w:pPr>
            <w:r w:rsidRPr="005E5406">
              <w:rPr>
                <w:lang w:eastAsia="en-AU"/>
              </w:rPr>
              <w:t xml:space="preserve">153 </w:t>
            </w:r>
          </w:p>
        </w:tc>
      </w:tr>
      <w:tr w:rsidR="005E5406" w:rsidRPr="005E5406" w14:paraId="183F95CD" w14:textId="77777777" w:rsidTr="00BC43B4">
        <w:trPr>
          <w:trHeight w:val="300"/>
        </w:trPr>
        <w:tc>
          <w:tcPr>
            <w:tcW w:w="1378" w:type="dxa"/>
            <w:tcBorders>
              <w:top w:val="nil"/>
              <w:left w:val="single" w:sz="4" w:space="0" w:color="auto"/>
              <w:bottom w:val="single" w:sz="4" w:space="0" w:color="auto"/>
              <w:right w:val="single" w:sz="4" w:space="0" w:color="auto"/>
            </w:tcBorders>
            <w:shd w:val="clear" w:color="auto" w:fill="auto"/>
            <w:noWrap/>
            <w:vAlign w:val="bottom"/>
            <w:hideMark/>
          </w:tcPr>
          <w:p w14:paraId="6AE3A654" w14:textId="77777777" w:rsidR="005E5406" w:rsidRPr="005E5406" w:rsidRDefault="005E5406" w:rsidP="00BC43B4">
            <w:pPr>
              <w:spacing w:after="0"/>
              <w:jc w:val="right"/>
              <w:rPr>
                <w:lang w:eastAsia="en-AU"/>
              </w:rPr>
            </w:pPr>
            <w:r w:rsidRPr="005E5406">
              <w:rPr>
                <w:lang w:eastAsia="en-AU"/>
              </w:rPr>
              <w:t>3003</w:t>
            </w:r>
          </w:p>
        </w:tc>
        <w:tc>
          <w:tcPr>
            <w:tcW w:w="2450" w:type="dxa"/>
            <w:tcBorders>
              <w:top w:val="nil"/>
              <w:left w:val="nil"/>
              <w:bottom w:val="single" w:sz="4" w:space="0" w:color="auto"/>
              <w:right w:val="single" w:sz="4" w:space="0" w:color="auto"/>
            </w:tcBorders>
            <w:shd w:val="clear" w:color="auto" w:fill="auto"/>
            <w:noWrap/>
            <w:vAlign w:val="bottom"/>
            <w:hideMark/>
          </w:tcPr>
          <w:p w14:paraId="3A70E64B" w14:textId="40D79B37" w:rsidR="005E5406" w:rsidRPr="005E5406" w:rsidRDefault="005E5406" w:rsidP="00BC43B4">
            <w:pPr>
              <w:spacing w:after="0"/>
              <w:jc w:val="right"/>
              <w:rPr>
                <w:lang w:eastAsia="en-AU"/>
              </w:rPr>
            </w:pPr>
            <w:r w:rsidRPr="005E5406">
              <w:rPr>
                <w:lang w:eastAsia="en-AU"/>
              </w:rPr>
              <w:t xml:space="preserve">135 </w:t>
            </w:r>
          </w:p>
        </w:tc>
      </w:tr>
      <w:tr w:rsidR="005E5406" w:rsidRPr="005E5406" w14:paraId="00B6BBAB" w14:textId="77777777" w:rsidTr="00BC43B4">
        <w:trPr>
          <w:trHeight w:val="300"/>
        </w:trPr>
        <w:tc>
          <w:tcPr>
            <w:tcW w:w="1378" w:type="dxa"/>
            <w:tcBorders>
              <w:top w:val="nil"/>
              <w:left w:val="single" w:sz="4" w:space="0" w:color="auto"/>
              <w:bottom w:val="single" w:sz="4" w:space="0" w:color="auto"/>
              <w:right w:val="single" w:sz="4" w:space="0" w:color="auto"/>
            </w:tcBorders>
            <w:shd w:val="clear" w:color="auto" w:fill="auto"/>
            <w:noWrap/>
            <w:vAlign w:val="bottom"/>
            <w:hideMark/>
          </w:tcPr>
          <w:p w14:paraId="5A62A90C" w14:textId="77777777" w:rsidR="005E5406" w:rsidRPr="005E5406" w:rsidRDefault="005E5406" w:rsidP="00BC43B4">
            <w:pPr>
              <w:spacing w:after="0"/>
              <w:jc w:val="right"/>
              <w:rPr>
                <w:lang w:eastAsia="en-AU"/>
              </w:rPr>
            </w:pPr>
            <w:r w:rsidRPr="005E5406">
              <w:rPr>
                <w:lang w:eastAsia="en-AU"/>
              </w:rPr>
              <w:t>3051</w:t>
            </w:r>
          </w:p>
        </w:tc>
        <w:tc>
          <w:tcPr>
            <w:tcW w:w="2450" w:type="dxa"/>
            <w:tcBorders>
              <w:top w:val="nil"/>
              <w:left w:val="nil"/>
              <w:bottom w:val="single" w:sz="4" w:space="0" w:color="auto"/>
              <w:right w:val="single" w:sz="4" w:space="0" w:color="auto"/>
            </w:tcBorders>
            <w:shd w:val="clear" w:color="auto" w:fill="auto"/>
            <w:noWrap/>
            <w:vAlign w:val="bottom"/>
            <w:hideMark/>
          </w:tcPr>
          <w:p w14:paraId="15FC0774" w14:textId="2A6A5F67" w:rsidR="005E5406" w:rsidRPr="005E5406" w:rsidRDefault="005E5406" w:rsidP="00BC43B4">
            <w:pPr>
              <w:spacing w:after="0"/>
              <w:jc w:val="right"/>
              <w:rPr>
                <w:lang w:eastAsia="en-AU"/>
              </w:rPr>
            </w:pPr>
            <w:r w:rsidRPr="005E5406">
              <w:rPr>
                <w:lang w:eastAsia="en-AU"/>
              </w:rPr>
              <w:t xml:space="preserve">133 </w:t>
            </w:r>
          </w:p>
        </w:tc>
      </w:tr>
      <w:tr w:rsidR="005E5406" w:rsidRPr="005E5406" w14:paraId="7810F36C" w14:textId="77777777" w:rsidTr="00BC43B4">
        <w:trPr>
          <w:trHeight w:val="300"/>
        </w:trPr>
        <w:tc>
          <w:tcPr>
            <w:tcW w:w="1378" w:type="dxa"/>
            <w:tcBorders>
              <w:top w:val="nil"/>
              <w:left w:val="single" w:sz="4" w:space="0" w:color="auto"/>
              <w:bottom w:val="single" w:sz="4" w:space="0" w:color="auto"/>
              <w:right w:val="single" w:sz="4" w:space="0" w:color="auto"/>
            </w:tcBorders>
            <w:shd w:val="clear" w:color="auto" w:fill="auto"/>
            <w:noWrap/>
            <w:vAlign w:val="bottom"/>
            <w:hideMark/>
          </w:tcPr>
          <w:p w14:paraId="7D4A5061" w14:textId="77777777" w:rsidR="005E5406" w:rsidRPr="005E5406" w:rsidRDefault="005E5406" w:rsidP="00BC43B4">
            <w:pPr>
              <w:spacing w:after="0"/>
              <w:jc w:val="right"/>
              <w:rPr>
                <w:lang w:eastAsia="en-AU"/>
              </w:rPr>
            </w:pPr>
            <w:r w:rsidRPr="005E5406">
              <w:rPr>
                <w:lang w:eastAsia="en-AU"/>
              </w:rPr>
              <w:t>3052</w:t>
            </w:r>
          </w:p>
        </w:tc>
        <w:tc>
          <w:tcPr>
            <w:tcW w:w="2450" w:type="dxa"/>
            <w:tcBorders>
              <w:top w:val="nil"/>
              <w:left w:val="nil"/>
              <w:bottom w:val="single" w:sz="4" w:space="0" w:color="auto"/>
              <w:right w:val="single" w:sz="4" w:space="0" w:color="auto"/>
            </w:tcBorders>
            <w:shd w:val="clear" w:color="auto" w:fill="auto"/>
            <w:noWrap/>
            <w:vAlign w:val="bottom"/>
            <w:hideMark/>
          </w:tcPr>
          <w:p w14:paraId="26FAA176" w14:textId="4DDAC4C3" w:rsidR="005E5406" w:rsidRPr="005E5406" w:rsidRDefault="005E5406" w:rsidP="00BC43B4">
            <w:pPr>
              <w:spacing w:after="0"/>
              <w:jc w:val="right"/>
              <w:rPr>
                <w:lang w:eastAsia="en-AU"/>
              </w:rPr>
            </w:pPr>
            <w:r w:rsidRPr="005E5406">
              <w:rPr>
                <w:lang w:eastAsia="en-AU"/>
              </w:rPr>
              <w:t xml:space="preserve">107 </w:t>
            </w:r>
          </w:p>
        </w:tc>
      </w:tr>
      <w:tr w:rsidR="005E5406" w:rsidRPr="005E5406" w14:paraId="06700E68" w14:textId="77777777" w:rsidTr="00BC43B4">
        <w:trPr>
          <w:trHeight w:val="300"/>
        </w:trPr>
        <w:tc>
          <w:tcPr>
            <w:tcW w:w="1378" w:type="dxa"/>
            <w:tcBorders>
              <w:top w:val="nil"/>
              <w:left w:val="single" w:sz="4" w:space="0" w:color="auto"/>
              <w:bottom w:val="single" w:sz="4" w:space="0" w:color="auto"/>
              <w:right w:val="single" w:sz="4" w:space="0" w:color="auto"/>
            </w:tcBorders>
            <w:shd w:val="clear" w:color="auto" w:fill="auto"/>
            <w:noWrap/>
            <w:vAlign w:val="bottom"/>
            <w:hideMark/>
          </w:tcPr>
          <w:p w14:paraId="3D5761FB" w14:textId="77777777" w:rsidR="005E5406" w:rsidRPr="005E5406" w:rsidRDefault="005E5406" w:rsidP="00BC43B4">
            <w:pPr>
              <w:spacing w:after="0"/>
              <w:jc w:val="right"/>
              <w:rPr>
                <w:lang w:eastAsia="en-AU"/>
              </w:rPr>
            </w:pPr>
            <w:r w:rsidRPr="005E5406">
              <w:rPr>
                <w:lang w:eastAsia="en-AU"/>
              </w:rPr>
              <w:t>3004</w:t>
            </w:r>
          </w:p>
        </w:tc>
        <w:tc>
          <w:tcPr>
            <w:tcW w:w="2450" w:type="dxa"/>
            <w:tcBorders>
              <w:top w:val="nil"/>
              <w:left w:val="nil"/>
              <w:bottom w:val="single" w:sz="4" w:space="0" w:color="auto"/>
              <w:right w:val="single" w:sz="4" w:space="0" w:color="auto"/>
            </w:tcBorders>
            <w:shd w:val="clear" w:color="auto" w:fill="auto"/>
            <w:noWrap/>
            <w:vAlign w:val="bottom"/>
            <w:hideMark/>
          </w:tcPr>
          <w:p w14:paraId="5C56BBD0" w14:textId="5CBB5E94" w:rsidR="005E5406" w:rsidRPr="005E5406" w:rsidRDefault="005E5406" w:rsidP="00BC43B4">
            <w:pPr>
              <w:spacing w:after="0"/>
              <w:jc w:val="right"/>
              <w:rPr>
                <w:lang w:eastAsia="en-AU"/>
              </w:rPr>
            </w:pPr>
            <w:r w:rsidRPr="005E5406">
              <w:rPr>
                <w:lang w:eastAsia="en-AU"/>
              </w:rPr>
              <w:t xml:space="preserve">80 </w:t>
            </w:r>
          </w:p>
        </w:tc>
      </w:tr>
      <w:tr w:rsidR="005E5406" w:rsidRPr="005E5406" w14:paraId="2AA32FF9" w14:textId="77777777" w:rsidTr="00BC43B4">
        <w:trPr>
          <w:trHeight w:val="300"/>
        </w:trPr>
        <w:tc>
          <w:tcPr>
            <w:tcW w:w="1378" w:type="dxa"/>
            <w:tcBorders>
              <w:top w:val="nil"/>
              <w:left w:val="single" w:sz="4" w:space="0" w:color="auto"/>
              <w:bottom w:val="single" w:sz="4" w:space="0" w:color="auto"/>
              <w:right w:val="single" w:sz="4" w:space="0" w:color="auto"/>
            </w:tcBorders>
            <w:shd w:val="clear" w:color="auto" w:fill="auto"/>
            <w:noWrap/>
            <w:vAlign w:val="bottom"/>
            <w:hideMark/>
          </w:tcPr>
          <w:p w14:paraId="13E55837" w14:textId="77777777" w:rsidR="005E5406" w:rsidRPr="005E5406" w:rsidRDefault="005E5406" w:rsidP="00BC43B4">
            <w:pPr>
              <w:spacing w:after="0"/>
              <w:jc w:val="right"/>
              <w:rPr>
                <w:lang w:eastAsia="en-AU"/>
              </w:rPr>
            </w:pPr>
            <w:r w:rsidRPr="005E5406">
              <w:rPr>
                <w:lang w:eastAsia="en-AU"/>
              </w:rPr>
              <w:t>3031</w:t>
            </w:r>
          </w:p>
        </w:tc>
        <w:tc>
          <w:tcPr>
            <w:tcW w:w="2450" w:type="dxa"/>
            <w:tcBorders>
              <w:top w:val="nil"/>
              <w:left w:val="nil"/>
              <w:bottom w:val="single" w:sz="4" w:space="0" w:color="auto"/>
              <w:right w:val="single" w:sz="4" w:space="0" w:color="auto"/>
            </w:tcBorders>
            <w:shd w:val="clear" w:color="auto" w:fill="auto"/>
            <w:noWrap/>
            <w:vAlign w:val="bottom"/>
            <w:hideMark/>
          </w:tcPr>
          <w:p w14:paraId="607604CE" w14:textId="1B2849A1" w:rsidR="005E5406" w:rsidRPr="005E5406" w:rsidRDefault="005E5406" w:rsidP="00BC43B4">
            <w:pPr>
              <w:spacing w:after="0"/>
              <w:jc w:val="right"/>
              <w:rPr>
                <w:lang w:eastAsia="en-AU"/>
              </w:rPr>
            </w:pPr>
            <w:r w:rsidRPr="005E5406">
              <w:rPr>
                <w:lang w:eastAsia="en-AU"/>
              </w:rPr>
              <w:t xml:space="preserve">79 </w:t>
            </w:r>
          </w:p>
        </w:tc>
      </w:tr>
      <w:tr w:rsidR="005E5406" w:rsidRPr="005E5406" w14:paraId="25F90BE7" w14:textId="77777777" w:rsidTr="00BC43B4">
        <w:trPr>
          <w:trHeight w:val="300"/>
        </w:trPr>
        <w:tc>
          <w:tcPr>
            <w:tcW w:w="1378" w:type="dxa"/>
            <w:tcBorders>
              <w:top w:val="nil"/>
              <w:left w:val="single" w:sz="4" w:space="0" w:color="auto"/>
              <w:bottom w:val="single" w:sz="4" w:space="0" w:color="auto"/>
              <w:right w:val="single" w:sz="4" w:space="0" w:color="auto"/>
            </w:tcBorders>
            <w:shd w:val="clear" w:color="auto" w:fill="auto"/>
            <w:noWrap/>
            <w:vAlign w:val="bottom"/>
            <w:hideMark/>
          </w:tcPr>
          <w:p w14:paraId="517434D4" w14:textId="77777777" w:rsidR="005E5406" w:rsidRPr="005E5406" w:rsidRDefault="005E5406" w:rsidP="00BC43B4">
            <w:pPr>
              <w:spacing w:after="0"/>
              <w:jc w:val="right"/>
              <w:rPr>
                <w:lang w:eastAsia="en-AU"/>
              </w:rPr>
            </w:pPr>
            <w:r w:rsidRPr="005E5406">
              <w:rPr>
                <w:lang w:eastAsia="en-AU"/>
              </w:rPr>
              <w:t>3050</w:t>
            </w:r>
          </w:p>
        </w:tc>
        <w:tc>
          <w:tcPr>
            <w:tcW w:w="2450" w:type="dxa"/>
            <w:tcBorders>
              <w:top w:val="nil"/>
              <w:left w:val="nil"/>
              <w:bottom w:val="single" w:sz="4" w:space="0" w:color="auto"/>
              <w:right w:val="single" w:sz="4" w:space="0" w:color="auto"/>
            </w:tcBorders>
            <w:shd w:val="clear" w:color="auto" w:fill="auto"/>
            <w:noWrap/>
            <w:vAlign w:val="bottom"/>
            <w:hideMark/>
          </w:tcPr>
          <w:p w14:paraId="721B8CE4" w14:textId="739D749C" w:rsidR="005E5406" w:rsidRPr="005E5406" w:rsidRDefault="005E5406" w:rsidP="00BC43B4">
            <w:pPr>
              <w:spacing w:after="0"/>
              <w:jc w:val="right"/>
              <w:rPr>
                <w:lang w:eastAsia="en-AU"/>
              </w:rPr>
            </w:pPr>
            <w:r w:rsidRPr="005E5406">
              <w:rPr>
                <w:lang w:eastAsia="en-AU"/>
              </w:rPr>
              <w:t xml:space="preserve">61 </w:t>
            </w:r>
          </w:p>
        </w:tc>
      </w:tr>
      <w:tr w:rsidR="005E5406" w:rsidRPr="005E5406" w14:paraId="2380FBF0" w14:textId="77777777" w:rsidTr="00BC43B4">
        <w:trPr>
          <w:trHeight w:val="300"/>
        </w:trPr>
        <w:tc>
          <w:tcPr>
            <w:tcW w:w="1378" w:type="dxa"/>
            <w:tcBorders>
              <w:top w:val="nil"/>
              <w:left w:val="single" w:sz="4" w:space="0" w:color="auto"/>
              <w:bottom w:val="single" w:sz="4" w:space="0" w:color="auto"/>
              <w:right w:val="single" w:sz="4" w:space="0" w:color="auto"/>
            </w:tcBorders>
            <w:shd w:val="clear" w:color="auto" w:fill="auto"/>
            <w:noWrap/>
            <w:vAlign w:val="bottom"/>
            <w:hideMark/>
          </w:tcPr>
          <w:p w14:paraId="5E4A672C" w14:textId="77777777" w:rsidR="005E5406" w:rsidRPr="005E5406" w:rsidRDefault="005E5406" w:rsidP="00BC43B4">
            <w:pPr>
              <w:spacing w:after="0"/>
              <w:jc w:val="right"/>
              <w:rPr>
                <w:lang w:eastAsia="en-AU"/>
              </w:rPr>
            </w:pPr>
            <w:r w:rsidRPr="005E5406">
              <w:rPr>
                <w:lang w:eastAsia="en-AU"/>
              </w:rPr>
              <w:t>3181</w:t>
            </w:r>
          </w:p>
        </w:tc>
        <w:tc>
          <w:tcPr>
            <w:tcW w:w="2450" w:type="dxa"/>
            <w:tcBorders>
              <w:top w:val="nil"/>
              <w:left w:val="nil"/>
              <w:bottom w:val="single" w:sz="4" w:space="0" w:color="auto"/>
              <w:right w:val="single" w:sz="4" w:space="0" w:color="auto"/>
            </w:tcBorders>
            <w:shd w:val="clear" w:color="auto" w:fill="auto"/>
            <w:noWrap/>
            <w:vAlign w:val="bottom"/>
            <w:hideMark/>
          </w:tcPr>
          <w:p w14:paraId="6764DD0C" w14:textId="7A8F7DAE" w:rsidR="005E5406" w:rsidRPr="005E5406" w:rsidRDefault="005E5406" w:rsidP="00BC43B4">
            <w:pPr>
              <w:spacing w:after="0"/>
              <w:jc w:val="right"/>
              <w:rPr>
                <w:lang w:eastAsia="en-AU"/>
              </w:rPr>
            </w:pPr>
            <w:r w:rsidRPr="005E5406">
              <w:rPr>
                <w:lang w:eastAsia="en-AU"/>
              </w:rPr>
              <w:t xml:space="preserve">48 </w:t>
            </w:r>
          </w:p>
        </w:tc>
      </w:tr>
      <w:tr w:rsidR="005E5406" w:rsidRPr="005E5406" w14:paraId="7E480210" w14:textId="77777777" w:rsidTr="00BC43B4">
        <w:trPr>
          <w:trHeight w:val="300"/>
        </w:trPr>
        <w:tc>
          <w:tcPr>
            <w:tcW w:w="1378" w:type="dxa"/>
            <w:tcBorders>
              <w:top w:val="nil"/>
              <w:left w:val="single" w:sz="4" w:space="0" w:color="auto"/>
              <w:bottom w:val="single" w:sz="4" w:space="0" w:color="auto"/>
              <w:right w:val="single" w:sz="4" w:space="0" w:color="auto"/>
            </w:tcBorders>
            <w:shd w:val="clear" w:color="auto" w:fill="auto"/>
            <w:noWrap/>
            <w:vAlign w:val="bottom"/>
            <w:hideMark/>
          </w:tcPr>
          <w:p w14:paraId="264DF337" w14:textId="77777777" w:rsidR="005E5406" w:rsidRPr="005E5406" w:rsidRDefault="005E5406" w:rsidP="00BC43B4">
            <w:pPr>
              <w:spacing w:after="0"/>
              <w:jc w:val="right"/>
              <w:rPr>
                <w:lang w:eastAsia="en-AU"/>
              </w:rPr>
            </w:pPr>
            <w:r w:rsidRPr="005E5406">
              <w:rPr>
                <w:lang w:eastAsia="en-AU"/>
              </w:rPr>
              <w:t>3010</w:t>
            </w:r>
          </w:p>
        </w:tc>
        <w:tc>
          <w:tcPr>
            <w:tcW w:w="2450" w:type="dxa"/>
            <w:tcBorders>
              <w:top w:val="nil"/>
              <w:left w:val="nil"/>
              <w:bottom w:val="single" w:sz="4" w:space="0" w:color="auto"/>
              <w:right w:val="single" w:sz="4" w:space="0" w:color="auto"/>
            </w:tcBorders>
            <w:shd w:val="clear" w:color="auto" w:fill="auto"/>
            <w:noWrap/>
            <w:vAlign w:val="bottom"/>
            <w:hideMark/>
          </w:tcPr>
          <w:p w14:paraId="17785455" w14:textId="6DD56389" w:rsidR="005E5406" w:rsidRPr="005E5406" w:rsidRDefault="005E5406" w:rsidP="00BC43B4">
            <w:pPr>
              <w:spacing w:after="0"/>
              <w:jc w:val="right"/>
              <w:rPr>
                <w:lang w:eastAsia="en-AU"/>
              </w:rPr>
            </w:pPr>
            <w:r w:rsidRPr="005E5406">
              <w:rPr>
                <w:lang w:eastAsia="en-AU"/>
              </w:rPr>
              <w:t xml:space="preserve">36 </w:t>
            </w:r>
          </w:p>
        </w:tc>
      </w:tr>
      <w:tr w:rsidR="005E5406" w:rsidRPr="005E5406" w14:paraId="0B0D4E5C" w14:textId="77777777" w:rsidTr="00BC43B4">
        <w:trPr>
          <w:trHeight w:val="300"/>
        </w:trPr>
        <w:tc>
          <w:tcPr>
            <w:tcW w:w="1378" w:type="dxa"/>
            <w:tcBorders>
              <w:top w:val="nil"/>
              <w:left w:val="single" w:sz="4" w:space="0" w:color="auto"/>
              <w:bottom w:val="single" w:sz="4" w:space="0" w:color="auto"/>
              <w:right w:val="single" w:sz="4" w:space="0" w:color="auto"/>
            </w:tcBorders>
            <w:shd w:val="clear" w:color="auto" w:fill="auto"/>
            <w:noWrap/>
            <w:vAlign w:val="bottom"/>
            <w:hideMark/>
          </w:tcPr>
          <w:p w14:paraId="2B842111" w14:textId="77777777" w:rsidR="005E5406" w:rsidRPr="005E5406" w:rsidRDefault="005E5406" w:rsidP="00BC43B4">
            <w:pPr>
              <w:spacing w:after="0"/>
              <w:jc w:val="right"/>
              <w:rPr>
                <w:lang w:eastAsia="en-AU"/>
              </w:rPr>
            </w:pPr>
            <w:r w:rsidRPr="005E5406">
              <w:rPr>
                <w:lang w:eastAsia="en-AU"/>
              </w:rPr>
              <w:t>3141</w:t>
            </w:r>
          </w:p>
        </w:tc>
        <w:tc>
          <w:tcPr>
            <w:tcW w:w="2450" w:type="dxa"/>
            <w:tcBorders>
              <w:top w:val="nil"/>
              <w:left w:val="nil"/>
              <w:bottom w:val="single" w:sz="4" w:space="0" w:color="auto"/>
              <w:right w:val="single" w:sz="4" w:space="0" w:color="auto"/>
            </w:tcBorders>
            <w:shd w:val="clear" w:color="auto" w:fill="auto"/>
            <w:noWrap/>
            <w:vAlign w:val="bottom"/>
            <w:hideMark/>
          </w:tcPr>
          <w:p w14:paraId="06F54965" w14:textId="2E586B31" w:rsidR="005E5406" w:rsidRPr="005E5406" w:rsidRDefault="005E5406" w:rsidP="00BC43B4">
            <w:pPr>
              <w:spacing w:after="0"/>
              <w:jc w:val="right"/>
              <w:rPr>
                <w:lang w:eastAsia="en-AU"/>
              </w:rPr>
            </w:pPr>
            <w:r w:rsidRPr="005E5406">
              <w:rPr>
                <w:lang w:eastAsia="en-AU"/>
              </w:rPr>
              <w:t xml:space="preserve">29 </w:t>
            </w:r>
          </w:p>
        </w:tc>
      </w:tr>
      <w:tr w:rsidR="005E5406" w:rsidRPr="005E5406" w14:paraId="712108C4" w14:textId="77777777" w:rsidTr="00BC43B4">
        <w:trPr>
          <w:trHeight w:val="300"/>
        </w:trPr>
        <w:tc>
          <w:tcPr>
            <w:tcW w:w="1378" w:type="dxa"/>
            <w:tcBorders>
              <w:top w:val="nil"/>
              <w:left w:val="single" w:sz="4" w:space="0" w:color="auto"/>
              <w:bottom w:val="single" w:sz="4" w:space="0" w:color="auto"/>
              <w:right w:val="single" w:sz="4" w:space="0" w:color="auto"/>
            </w:tcBorders>
            <w:shd w:val="clear" w:color="auto" w:fill="auto"/>
            <w:noWrap/>
            <w:vAlign w:val="bottom"/>
            <w:hideMark/>
          </w:tcPr>
          <w:p w14:paraId="1883C869" w14:textId="77777777" w:rsidR="005E5406" w:rsidRPr="005E5406" w:rsidRDefault="005E5406" w:rsidP="00BC43B4">
            <w:pPr>
              <w:spacing w:after="0"/>
              <w:jc w:val="right"/>
              <w:rPr>
                <w:lang w:eastAsia="en-AU"/>
              </w:rPr>
            </w:pPr>
            <w:r w:rsidRPr="005E5406">
              <w:rPr>
                <w:lang w:eastAsia="en-AU"/>
              </w:rPr>
              <w:t>3032</w:t>
            </w:r>
          </w:p>
        </w:tc>
        <w:tc>
          <w:tcPr>
            <w:tcW w:w="2450" w:type="dxa"/>
            <w:tcBorders>
              <w:top w:val="nil"/>
              <w:left w:val="nil"/>
              <w:bottom w:val="single" w:sz="4" w:space="0" w:color="auto"/>
              <w:right w:val="single" w:sz="4" w:space="0" w:color="auto"/>
            </w:tcBorders>
            <w:shd w:val="clear" w:color="auto" w:fill="auto"/>
            <w:noWrap/>
            <w:vAlign w:val="bottom"/>
            <w:hideMark/>
          </w:tcPr>
          <w:p w14:paraId="12AC2556" w14:textId="11150A59" w:rsidR="005E5406" w:rsidRPr="005E5406" w:rsidRDefault="005E5406" w:rsidP="00BC43B4">
            <w:pPr>
              <w:spacing w:after="0"/>
              <w:jc w:val="right"/>
              <w:rPr>
                <w:lang w:eastAsia="en-AU"/>
              </w:rPr>
            </w:pPr>
            <w:r w:rsidRPr="005E5406">
              <w:rPr>
                <w:lang w:eastAsia="en-AU"/>
              </w:rPr>
              <w:t xml:space="preserve">13 </w:t>
            </w:r>
          </w:p>
        </w:tc>
      </w:tr>
      <w:tr w:rsidR="005E5406" w:rsidRPr="005E5406" w14:paraId="04AE8509" w14:textId="77777777" w:rsidTr="00BC43B4">
        <w:trPr>
          <w:trHeight w:val="300"/>
        </w:trPr>
        <w:tc>
          <w:tcPr>
            <w:tcW w:w="1378" w:type="dxa"/>
            <w:tcBorders>
              <w:top w:val="nil"/>
              <w:left w:val="single" w:sz="4" w:space="0" w:color="auto"/>
              <w:bottom w:val="single" w:sz="4" w:space="0" w:color="auto"/>
              <w:right w:val="single" w:sz="4" w:space="0" w:color="auto"/>
            </w:tcBorders>
            <w:shd w:val="clear" w:color="auto" w:fill="auto"/>
            <w:noWrap/>
            <w:vAlign w:val="bottom"/>
            <w:hideMark/>
          </w:tcPr>
          <w:p w14:paraId="1B5A2DB5" w14:textId="77777777" w:rsidR="005E5406" w:rsidRPr="005E5406" w:rsidRDefault="005E5406" w:rsidP="00BC43B4">
            <w:pPr>
              <w:spacing w:after="0"/>
              <w:jc w:val="right"/>
              <w:rPr>
                <w:lang w:eastAsia="en-AU"/>
              </w:rPr>
            </w:pPr>
            <w:r w:rsidRPr="005E5406">
              <w:rPr>
                <w:lang w:eastAsia="en-AU"/>
              </w:rPr>
              <w:t>3054</w:t>
            </w:r>
          </w:p>
        </w:tc>
        <w:tc>
          <w:tcPr>
            <w:tcW w:w="2450" w:type="dxa"/>
            <w:tcBorders>
              <w:top w:val="nil"/>
              <w:left w:val="nil"/>
              <w:bottom w:val="single" w:sz="4" w:space="0" w:color="auto"/>
              <w:right w:val="single" w:sz="4" w:space="0" w:color="auto"/>
            </w:tcBorders>
            <w:shd w:val="clear" w:color="auto" w:fill="auto"/>
            <w:noWrap/>
            <w:vAlign w:val="bottom"/>
            <w:hideMark/>
          </w:tcPr>
          <w:p w14:paraId="6D983ECF" w14:textId="6F3AC01C" w:rsidR="005E5406" w:rsidRPr="005E5406" w:rsidRDefault="005E5406" w:rsidP="00BC43B4">
            <w:pPr>
              <w:spacing w:after="0"/>
              <w:jc w:val="right"/>
              <w:rPr>
                <w:lang w:eastAsia="en-AU"/>
              </w:rPr>
            </w:pPr>
            <w:r w:rsidRPr="005E5406">
              <w:rPr>
                <w:lang w:eastAsia="en-AU"/>
              </w:rPr>
              <w:t xml:space="preserve">0 </w:t>
            </w:r>
          </w:p>
        </w:tc>
      </w:tr>
    </w:tbl>
    <w:p w14:paraId="7FC64E98" w14:textId="77777777" w:rsidR="005E5406" w:rsidRDefault="005E5406" w:rsidP="00BC43B4">
      <w:pPr>
        <w:rPr>
          <w:rFonts w:ascii="Helvetica Light" w:hAnsi="Helvetica Light" w:cstheme="minorBidi"/>
          <w:szCs w:val="20"/>
        </w:rPr>
      </w:pPr>
    </w:p>
    <w:p w14:paraId="6D4D8DED" w14:textId="5DF8ED8D" w:rsidR="00BC43B4" w:rsidRPr="007E394F" w:rsidRDefault="00BC43B4" w:rsidP="00BC43B4">
      <w:pPr>
        <w:rPr>
          <w:rFonts w:cs="Arial"/>
          <w:szCs w:val="20"/>
        </w:rPr>
      </w:pPr>
      <w:r w:rsidRPr="007E394F">
        <w:rPr>
          <w:rFonts w:cs="Arial"/>
          <w:szCs w:val="20"/>
        </w:rPr>
        <w:t>Return to</w:t>
      </w:r>
      <w:r>
        <w:rPr>
          <w:rFonts w:cs="Arial"/>
          <w:szCs w:val="20"/>
        </w:rPr>
        <w:t xml:space="preserve"> </w:t>
      </w:r>
      <w:hyperlink w:anchor="_4.3.1_Greenhouse_Gas" w:history="1">
        <w:r w:rsidR="0080527F" w:rsidRPr="0080527F">
          <w:rPr>
            <w:rStyle w:val="Hyperlink"/>
          </w:rPr>
          <w:t>Greenhouse Gas Emissions by Postcode</w:t>
        </w:r>
      </w:hyperlink>
    </w:p>
    <w:p w14:paraId="0AD2B4EB" w14:textId="05267D3A" w:rsidR="00BC43B4" w:rsidRPr="00BC43B4" w:rsidRDefault="00944E9B" w:rsidP="00944E9B">
      <w:pPr>
        <w:pStyle w:val="Heading3"/>
        <w:ind w:left="1440" w:hanging="1440"/>
        <w:rPr>
          <w:rFonts w:hint="eastAsia"/>
        </w:rPr>
      </w:pPr>
      <w:bookmarkStart w:id="294" w:name="_Comparison_of_Floor_1"/>
      <w:bookmarkEnd w:id="294"/>
      <w:r>
        <w:t>Table A.</w:t>
      </w:r>
      <w:r w:rsidR="00A13E20">
        <w:t>50</w:t>
      </w:r>
      <w:r>
        <w:tab/>
      </w:r>
      <w:r w:rsidR="00BC43B4" w:rsidRPr="005E5406">
        <w:t>Comparison of Floor Area and Greenhouse Gas Emissions by Postcode, City of Melbourne Built Environment, 2022</w:t>
      </w:r>
    </w:p>
    <w:tbl>
      <w:tblPr>
        <w:tblW w:w="6946" w:type="dxa"/>
        <w:tblInd w:w="-5" w:type="dxa"/>
        <w:tblLook w:val="04A0" w:firstRow="1" w:lastRow="0" w:firstColumn="1" w:lastColumn="0" w:noHBand="0" w:noVBand="1"/>
      </w:tblPr>
      <w:tblGrid>
        <w:gridCol w:w="1117"/>
        <w:gridCol w:w="2852"/>
        <w:gridCol w:w="2977"/>
      </w:tblGrid>
      <w:tr w:rsidR="005E5406" w:rsidRPr="005E5406" w14:paraId="7643CA86" w14:textId="77777777" w:rsidTr="00BC43B4">
        <w:trPr>
          <w:trHeight w:val="300"/>
        </w:trPr>
        <w:tc>
          <w:tcPr>
            <w:tcW w:w="11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707200" w14:textId="77777777" w:rsidR="005E5406" w:rsidRPr="00BC43B4" w:rsidRDefault="005E5406" w:rsidP="00BC43B4">
            <w:pPr>
              <w:spacing w:after="0"/>
              <w:rPr>
                <w:b/>
                <w:bCs/>
                <w:lang w:eastAsia="en-AU"/>
              </w:rPr>
            </w:pPr>
            <w:bookmarkStart w:id="295" w:name="_Figure_51:_Comparison"/>
            <w:bookmarkEnd w:id="295"/>
            <w:r w:rsidRPr="00BC43B4">
              <w:rPr>
                <w:b/>
                <w:bCs/>
                <w:lang w:eastAsia="en-AU"/>
              </w:rPr>
              <w:lastRenderedPageBreak/>
              <w:t>Postcode</w:t>
            </w:r>
          </w:p>
        </w:tc>
        <w:tc>
          <w:tcPr>
            <w:tcW w:w="2852" w:type="dxa"/>
            <w:tcBorders>
              <w:top w:val="single" w:sz="4" w:space="0" w:color="auto"/>
              <w:left w:val="nil"/>
              <w:bottom w:val="single" w:sz="4" w:space="0" w:color="auto"/>
              <w:right w:val="single" w:sz="4" w:space="0" w:color="auto"/>
            </w:tcBorders>
            <w:shd w:val="clear" w:color="auto" w:fill="auto"/>
            <w:noWrap/>
            <w:vAlign w:val="bottom"/>
            <w:hideMark/>
          </w:tcPr>
          <w:p w14:paraId="12D241E5" w14:textId="77777777" w:rsidR="005E5406" w:rsidRPr="00BC43B4" w:rsidRDefault="005E5406" w:rsidP="00BC43B4">
            <w:pPr>
              <w:spacing w:after="0"/>
              <w:rPr>
                <w:b/>
                <w:bCs/>
                <w:lang w:eastAsia="en-AU"/>
              </w:rPr>
            </w:pPr>
            <w:r w:rsidRPr="00BC43B4">
              <w:rPr>
                <w:b/>
                <w:bCs/>
                <w:lang w:eastAsia="en-AU"/>
              </w:rPr>
              <w:t>Floor Area as a Percentage of the Total (%)</w:t>
            </w:r>
          </w:p>
        </w:tc>
        <w:tc>
          <w:tcPr>
            <w:tcW w:w="2977" w:type="dxa"/>
            <w:tcBorders>
              <w:top w:val="single" w:sz="4" w:space="0" w:color="auto"/>
              <w:left w:val="nil"/>
              <w:bottom w:val="single" w:sz="4" w:space="0" w:color="auto"/>
              <w:right w:val="single" w:sz="4" w:space="0" w:color="auto"/>
            </w:tcBorders>
            <w:shd w:val="clear" w:color="auto" w:fill="auto"/>
            <w:noWrap/>
            <w:vAlign w:val="bottom"/>
            <w:hideMark/>
          </w:tcPr>
          <w:p w14:paraId="2736A424" w14:textId="77777777" w:rsidR="005E5406" w:rsidRPr="00BC43B4" w:rsidRDefault="005E5406" w:rsidP="00BC43B4">
            <w:pPr>
              <w:spacing w:after="0"/>
              <w:rPr>
                <w:b/>
                <w:bCs/>
                <w:lang w:eastAsia="en-AU"/>
              </w:rPr>
            </w:pPr>
            <w:r w:rsidRPr="00BC43B4">
              <w:rPr>
                <w:b/>
                <w:bCs/>
                <w:lang w:eastAsia="en-AU"/>
              </w:rPr>
              <w:t>Emissions as a Percentage of the Total (%)</w:t>
            </w:r>
          </w:p>
        </w:tc>
      </w:tr>
      <w:tr w:rsidR="005E5406" w:rsidRPr="005E5406" w14:paraId="489EA828" w14:textId="77777777" w:rsidTr="00BC43B4">
        <w:trPr>
          <w:trHeight w:val="300"/>
        </w:trPr>
        <w:tc>
          <w:tcPr>
            <w:tcW w:w="1117" w:type="dxa"/>
            <w:tcBorders>
              <w:top w:val="nil"/>
              <w:left w:val="single" w:sz="4" w:space="0" w:color="auto"/>
              <w:bottom w:val="single" w:sz="4" w:space="0" w:color="auto"/>
              <w:right w:val="single" w:sz="4" w:space="0" w:color="auto"/>
            </w:tcBorders>
            <w:shd w:val="clear" w:color="auto" w:fill="auto"/>
            <w:noWrap/>
            <w:vAlign w:val="bottom"/>
            <w:hideMark/>
          </w:tcPr>
          <w:p w14:paraId="21BD6188" w14:textId="77777777" w:rsidR="005E5406" w:rsidRPr="005E5406" w:rsidRDefault="005E5406" w:rsidP="00BC43B4">
            <w:pPr>
              <w:spacing w:after="0"/>
              <w:jc w:val="right"/>
              <w:rPr>
                <w:lang w:eastAsia="en-AU"/>
              </w:rPr>
            </w:pPr>
            <w:r w:rsidRPr="005E5406">
              <w:rPr>
                <w:lang w:eastAsia="en-AU"/>
              </w:rPr>
              <w:t>3000</w:t>
            </w:r>
          </w:p>
        </w:tc>
        <w:tc>
          <w:tcPr>
            <w:tcW w:w="2852" w:type="dxa"/>
            <w:tcBorders>
              <w:top w:val="nil"/>
              <w:left w:val="nil"/>
              <w:bottom w:val="single" w:sz="4" w:space="0" w:color="auto"/>
              <w:right w:val="single" w:sz="4" w:space="0" w:color="auto"/>
            </w:tcBorders>
            <w:shd w:val="clear" w:color="auto" w:fill="auto"/>
            <w:noWrap/>
            <w:vAlign w:val="bottom"/>
            <w:hideMark/>
          </w:tcPr>
          <w:p w14:paraId="795352C7" w14:textId="77777777" w:rsidR="005E5406" w:rsidRPr="005E5406" w:rsidRDefault="005E5406" w:rsidP="00BC43B4">
            <w:pPr>
              <w:spacing w:after="0"/>
              <w:jc w:val="right"/>
              <w:rPr>
                <w:lang w:eastAsia="en-AU"/>
              </w:rPr>
            </w:pPr>
            <w:r w:rsidRPr="005E5406">
              <w:rPr>
                <w:lang w:eastAsia="en-AU"/>
              </w:rPr>
              <w:t>34%</w:t>
            </w:r>
          </w:p>
        </w:tc>
        <w:tc>
          <w:tcPr>
            <w:tcW w:w="2977" w:type="dxa"/>
            <w:tcBorders>
              <w:top w:val="nil"/>
              <w:left w:val="nil"/>
              <w:bottom w:val="single" w:sz="4" w:space="0" w:color="auto"/>
              <w:right w:val="single" w:sz="4" w:space="0" w:color="auto"/>
            </w:tcBorders>
            <w:shd w:val="clear" w:color="auto" w:fill="auto"/>
            <w:noWrap/>
            <w:vAlign w:val="bottom"/>
            <w:hideMark/>
          </w:tcPr>
          <w:p w14:paraId="0C9B9B3A" w14:textId="77777777" w:rsidR="005E5406" w:rsidRPr="005E5406" w:rsidRDefault="005E5406" w:rsidP="00BC43B4">
            <w:pPr>
              <w:spacing w:after="0"/>
              <w:jc w:val="right"/>
              <w:rPr>
                <w:lang w:eastAsia="en-AU"/>
              </w:rPr>
            </w:pPr>
            <w:r w:rsidRPr="005E5406">
              <w:rPr>
                <w:lang w:eastAsia="en-AU"/>
              </w:rPr>
              <w:t>40%</w:t>
            </w:r>
          </w:p>
        </w:tc>
      </w:tr>
      <w:tr w:rsidR="005E5406" w:rsidRPr="005E5406" w14:paraId="2C2257E9" w14:textId="77777777" w:rsidTr="00BC43B4">
        <w:trPr>
          <w:trHeight w:val="300"/>
        </w:trPr>
        <w:tc>
          <w:tcPr>
            <w:tcW w:w="1117" w:type="dxa"/>
            <w:tcBorders>
              <w:top w:val="nil"/>
              <w:left w:val="single" w:sz="4" w:space="0" w:color="auto"/>
              <w:bottom w:val="single" w:sz="4" w:space="0" w:color="auto"/>
              <w:right w:val="single" w:sz="4" w:space="0" w:color="auto"/>
            </w:tcBorders>
            <w:shd w:val="clear" w:color="auto" w:fill="auto"/>
            <w:noWrap/>
            <w:vAlign w:val="bottom"/>
            <w:hideMark/>
          </w:tcPr>
          <w:p w14:paraId="09A5E731" w14:textId="77777777" w:rsidR="005E5406" w:rsidRPr="005E5406" w:rsidRDefault="005E5406" w:rsidP="00BC43B4">
            <w:pPr>
              <w:spacing w:after="0"/>
              <w:jc w:val="right"/>
              <w:rPr>
                <w:lang w:eastAsia="en-AU"/>
              </w:rPr>
            </w:pPr>
            <w:r w:rsidRPr="005E5406">
              <w:rPr>
                <w:lang w:eastAsia="en-AU"/>
              </w:rPr>
              <w:t>3006</w:t>
            </w:r>
          </w:p>
        </w:tc>
        <w:tc>
          <w:tcPr>
            <w:tcW w:w="2852" w:type="dxa"/>
            <w:tcBorders>
              <w:top w:val="nil"/>
              <w:left w:val="nil"/>
              <w:bottom w:val="single" w:sz="4" w:space="0" w:color="auto"/>
              <w:right w:val="single" w:sz="4" w:space="0" w:color="auto"/>
            </w:tcBorders>
            <w:shd w:val="clear" w:color="auto" w:fill="auto"/>
            <w:noWrap/>
            <w:vAlign w:val="bottom"/>
            <w:hideMark/>
          </w:tcPr>
          <w:p w14:paraId="3CA3026A" w14:textId="77777777" w:rsidR="005E5406" w:rsidRPr="005E5406" w:rsidRDefault="005E5406" w:rsidP="00BC43B4">
            <w:pPr>
              <w:spacing w:after="0"/>
              <w:jc w:val="right"/>
              <w:rPr>
                <w:lang w:eastAsia="en-AU"/>
              </w:rPr>
            </w:pPr>
            <w:r w:rsidRPr="005E5406">
              <w:rPr>
                <w:lang w:eastAsia="en-AU"/>
              </w:rPr>
              <w:t>11%</w:t>
            </w:r>
          </w:p>
        </w:tc>
        <w:tc>
          <w:tcPr>
            <w:tcW w:w="2977" w:type="dxa"/>
            <w:tcBorders>
              <w:top w:val="nil"/>
              <w:left w:val="nil"/>
              <w:bottom w:val="single" w:sz="4" w:space="0" w:color="auto"/>
              <w:right w:val="single" w:sz="4" w:space="0" w:color="auto"/>
            </w:tcBorders>
            <w:shd w:val="clear" w:color="auto" w:fill="auto"/>
            <w:noWrap/>
            <w:vAlign w:val="bottom"/>
            <w:hideMark/>
          </w:tcPr>
          <w:p w14:paraId="54A07E83" w14:textId="77777777" w:rsidR="005E5406" w:rsidRPr="005E5406" w:rsidRDefault="005E5406" w:rsidP="00BC43B4">
            <w:pPr>
              <w:spacing w:after="0"/>
              <w:jc w:val="right"/>
              <w:rPr>
                <w:lang w:eastAsia="en-AU"/>
              </w:rPr>
            </w:pPr>
            <w:r w:rsidRPr="005E5406">
              <w:rPr>
                <w:lang w:eastAsia="en-AU"/>
              </w:rPr>
              <w:t>11%</w:t>
            </w:r>
          </w:p>
        </w:tc>
      </w:tr>
      <w:tr w:rsidR="005E5406" w:rsidRPr="005E5406" w14:paraId="69DB5E33" w14:textId="77777777" w:rsidTr="00BC43B4">
        <w:trPr>
          <w:trHeight w:val="300"/>
        </w:trPr>
        <w:tc>
          <w:tcPr>
            <w:tcW w:w="1117" w:type="dxa"/>
            <w:tcBorders>
              <w:top w:val="nil"/>
              <w:left w:val="single" w:sz="4" w:space="0" w:color="auto"/>
              <w:bottom w:val="single" w:sz="4" w:space="0" w:color="auto"/>
              <w:right w:val="single" w:sz="4" w:space="0" w:color="auto"/>
            </w:tcBorders>
            <w:shd w:val="clear" w:color="auto" w:fill="auto"/>
            <w:noWrap/>
            <w:vAlign w:val="bottom"/>
            <w:hideMark/>
          </w:tcPr>
          <w:p w14:paraId="3C9343D6" w14:textId="77777777" w:rsidR="005E5406" w:rsidRPr="005E5406" w:rsidRDefault="005E5406" w:rsidP="00BC43B4">
            <w:pPr>
              <w:spacing w:after="0"/>
              <w:jc w:val="right"/>
              <w:rPr>
                <w:lang w:eastAsia="en-AU"/>
              </w:rPr>
            </w:pPr>
            <w:r w:rsidRPr="005E5406">
              <w:rPr>
                <w:lang w:eastAsia="en-AU"/>
              </w:rPr>
              <w:t>3008</w:t>
            </w:r>
          </w:p>
        </w:tc>
        <w:tc>
          <w:tcPr>
            <w:tcW w:w="2852" w:type="dxa"/>
            <w:tcBorders>
              <w:top w:val="nil"/>
              <w:left w:val="nil"/>
              <w:bottom w:val="single" w:sz="4" w:space="0" w:color="auto"/>
              <w:right w:val="single" w:sz="4" w:space="0" w:color="auto"/>
            </w:tcBorders>
            <w:shd w:val="clear" w:color="auto" w:fill="auto"/>
            <w:noWrap/>
            <w:vAlign w:val="bottom"/>
            <w:hideMark/>
          </w:tcPr>
          <w:p w14:paraId="789E3970" w14:textId="77777777" w:rsidR="005E5406" w:rsidRPr="005E5406" w:rsidRDefault="005E5406" w:rsidP="00BC43B4">
            <w:pPr>
              <w:spacing w:after="0"/>
              <w:jc w:val="right"/>
              <w:rPr>
                <w:lang w:eastAsia="en-AU"/>
              </w:rPr>
            </w:pPr>
            <w:r w:rsidRPr="005E5406">
              <w:rPr>
                <w:lang w:eastAsia="en-AU"/>
              </w:rPr>
              <w:t>12%</w:t>
            </w:r>
          </w:p>
        </w:tc>
        <w:tc>
          <w:tcPr>
            <w:tcW w:w="2977" w:type="dxa"/>
            <w:tcBorders>
              <w:top w:val="nil"/>
              <w:left w:val="nil"/>
              <w:bottom w:val="single" w:sz="4" w:space="0" w:color="auto"/>
              <w:right w:val="single" w:sz="4" w:space="0" w:color="auto"/>
            </w:tcBorders>
            <w:shd w:val="clear" w:color="auto" w:fill="auto"/>
            <w:noWrap/>
            <w:vAlign w:val="bottom"/>
            <w:hideMark/>
          </w:tcPr>
          <w:p w14:paraId="690E6F94" w14:textId="77777777" w:rsidR="005E5406" w:rsidRPr="005E5406" w:rsidRDefault="005E5406" w:rsidP="00BC43B4">
            <w:pPr>
              <w:spacing w:after="0"/>
              <w:jc w:val="right"/>
              <w:rPr>
                <w:lang w:eastAsia="en-AU"/>
              </w:rPr>
            </w:pPr>
            <w:r w:rsidRPr="005E5406">
              <w:rPr>
                <w:lang w:eastAsia="en-AU"/>
              </w:rPr>
              <w:t>11%</w:t>
            </w:r>
          </w:p>
        </w:tc>
      </w:tr>
      <w:tr w:rsidR="005E5406" w:rsidRPr="005E5406" w14:paraId="34E605F4" w14:textId="77777777" w:rsidTr="00BC43B4">
        <w:trPr>
          <w:trHeight w:val="300"/>
        </w:trPr>
        <w:tc>
          <w:tcPr>
            <w:tcW w:w="1117" w:type="dxa"/>
            <w:tcBorders>
              <w:top w:val="nil"/>
              <w:left w:val="single" w:sz="4" w:space="0" w:color="auto"/>
              <w:bottom w:val="single" w:sz="4" w:space="0" w:color="auto"/>
              <w:right w:val="single" w:sz="4" w:space="0" w:color="auto"/>
            </w:tcBorders>
            <w:shd w:val="clear" w:color="auto" w:fill="auto"/>
            <w:noWrap/>
            <w:vAlign w:val="bottom"/>
            <w:hideMark/>
          </w:tcPr>
          <w:p w14:paraId="1FB9B7C6" w14:textId="77777777" w:rsidR="005E5406" w:rsidRPr="005E5406" w:rsidRDefault="005E5406" w:rsidP="00BC43B4">
            <w:pPr>
              <w:spacing w:after="0"/>
              <w:jc w:val="right"/>
              <w:rPr>
                <w:lang w:eastAsia="en-AU"/>
              </w:rPr>
            </w:pPr>
            <w:r w:rsidRPr="005E5406">
              <w:rPr>
                <w:lang w:eastAsia="en-AU"/>
              </w:rPr>
              <w:t>3053</w:t>
            </w:r>
          </w:p>
        </w:tc>
        <w:tc>
          <w:tcPr>
            <w:tcW w:w="2852" w:type="dxa"/>
            <w:tcBorders>
              <w:top w:val="nil"/>
              <w:left w:val="nil"/>
              <w:bottom w:val="single" w:sz="4" w:space="0" w:color="auto"/>
              <w:right w:val="single" w:sz="4" w:space="0" w:color="auto"/>
            </w:tcBorders>
            <w:shd w:val="clear" w:color="auto" w:fill="auto"/>
            <w:noWrap/>
            <w:vAlign w:val="bottom"/>
            <w:hideMark/>
          </w:tcPr>
          <w:p w14:paraId="32CBFA53" w14:textId="77777777" w:rsidR="005E5406" w:rsidRPr="005E5406" w:rsidRDefault="005E5406" w:rsidP="00BC43B4">
            <w:pPr>
              <w:spacing w:after="0"/>
              <w:jc w:val="right"/>
              <w:rPr>
                <w:lang w:eastAsia="en-AU"/>
              </w:rPr>
            </w:pPr>
            <w:r w:rsidRPr="005E5406">
              <w:rPr>
                <w:lang w:eastAsia="en-AU"/>
              </w:rPr>
              <w:t>6%</w:t>
            </w:r>
          </w:p>
        </w:tc>
        <w:tc>
          <w:tcPr>
            <w:tcW w:w="2977" w:type="dxa"/>
            <w:tcBorders>
              <w:top w:val="nil"/>
              <w:left w:val="nil"/>
              <w:bottom w:val="single" w:sz="4" w:space="0" w:color="auto"/>
              <w:right w:val="single" w:sz="4" w:space="0" w:color="auto"/>
            </w:tcBorders>
            <w:shd w:val="clear" w:color="auto" w:fill="auto"/>
            <w:noWrap/>
            <w:vAlign w:val="bottom"/>
            <w:hideMark/>
          </w:tcPr>
          <w:p w14:paraId="564F225C" w14:textId="77777777" w:rsidR="005E5406" w:rsidRPr="005E5406" w:rsidRDefault="005E5406" w:rsidP="00BC43B4">
            <w:pPr>
              <w:spacing w:after="0"/>
              <w:jc w:val="right"/>
              <w:rPr>
                <w:lang w:eastAsia="en-AU"/>
              </w:rPr>
            </w:pPr>
            <w:r w:rsidRPr="005E5406">
              <w:rPr>
                <w:lang w:eastAsia="en-AU"/>
              </w:rPr>
              <w:t>5%</w:t>
            </w:r>
          </w:p>
        </w:tc>
      </w:tr>
      <w:tr w:rsidR="005E5406" w:rsidRPr="005E5406" w14:paraId="6BC27E12" w14:textId="77777777" w:rsidTr="00BC43B4">
        <w:trPr>
          <w:trHeight w:val="300"/>
        </w:trPr>
        <w:tc>
          <w:tcPr>
            <w:tcW w:w="1117" w:type="dxa"/>
            <w:tcBorders>
              <w:top w:val="nil"/>
              <w:left w:val="single" w:sz="4" w:space="0" w:color="auto"/>
              <w:bottom w:val="single" w:sz="4" w:space="0" w:color="auto"/>
              <w:right w:val="single" w:sz="4" w:space="0" w:color="auto"/>
            </w:tcBorders>
            <w:shd w:val="clear" w:color="auto" w:fill="auto"/>
            <w:noWrap/>
            <w:vAlign w:val="bottom"/>
            <w:hideMark/>
          </w:tcPr>
          <w:p w14:paraId="777F3602" w14:textId="77777777" w:rsidR="005E5406" w:rsidRPr="005E5406" w:rsidRDefault="005E5406" w:rsidP="00BC43B4">
            <w:pPr>
              <w:spacing w:after="0"/>
              <w:jc w:val="right"/>
              <w:rPr>
                <w:lang w:eastAsia="en-AU"/>
              </w:rPr>
            </w:pPr>
            <w:r w:rsidRPr="005E5406">
              <w:rPr>
                <w:lang w:eastAsia="en-AU"/>
              </w:rPr>
              <w:t>3002</w:t>
            </w:r>
          </w:p>
        </w:tc>
        <w:tc>
          <w:tcPr>
            <w:tcW w:w="2852" w:type="dxa"/>
            <w:tcBorders>
              <w:top w:val="nil"/>
              <w:left w:val="nil"/>
              <w:bottom w:val="single" w:sz="4" w:space="0" w:color="auto"/>
              <w:right w:val="single" w:sz="4" w:space="0" w:color="auto"/>
            </w:tcBorders>
            <w:shd w:val="clear" w:color="auto" w:fill="auto"/>
            <w:noWrap/>
            <w:vAlign w:val="bottom"/>
            <w:hideMark/>
          </w:tcPr>
          <w:p w14:paraId="6647D8CB" w14:textId="77777777" w:rsidR="005E5406" w:rsidRPr="005E5406" w:rsidRDefault="005E5406" w:rsidP="00BC43B4">
            <w:pPr>
              <w:spacing w:after="0"/>
              <w:jc w:val="right"/>
              <w:rPr>
                <w:lang w:eastAsia="en-AU"/>
              </w:rPr>
            </w:pPr>
            <w:r w:rsidRPr="005E5406">
              <w:rPr>
                <w:lang w:eastAsia="en-AU"/>
              </w:rPr>
              <w:t>4%</w:t>
            </w:r>
          </w:p>
        </w:tc>
        <w:tc>
          <w:tcPr>
            <w:tcW w:w="2977" w:type="dxa"/>
            <w:tcBorders>
              <w:top w:val="nil"/>
              <w:left w:val="nil"/>
              <w:bottom w:val="single" w:sz="4" w:space="0" w:color="auto"/>
              <w:right w:val="single" w:sz="4" w:space="0" w:color="auto"/>
            </w:tcBorders>
            <w:shd w:val="clear" w:color="auto" w:fill="auto"/>
            <w:noWrap/>
            <w:vAlign w:val="bottom"/>
            <w:hideMark/>
          </w:tcPr>
          <w:p w14:paraId="6D54DD81" w14:textId="77777777" w:rsidR="005E5406" w:rsidRPr="005E5406" w:rsidRDefault="005E5406" w:rsidP="00BC43B4">
            <w:pPr>
              <w:spacing w:after="0"/>
              <w:jc w:val="right"/>
              <w:rPr>
                <w:lang w:eastAsia="en-AU"/>
              </w:rPr>
            </w:pPr>
            <w:r w:rsidRPr="005E5406">
              <w:rPr>
                <w:lang w:eastAsia="en-AU"/>
              </w:rPr>
              <w:t>5%</w:t>
            </w:r>
          </w:p>
        </w:tc>
      </w:tr>
      <w:tr w:rsidR="005E5406" w:rsidRPr="005E5406" w14:paraId="2A6F610F" w14:textId="77777777" w:rsidTr="00BC43B4">
        <w:trPr>
          <w:trHeight w:val="300"/>
        </w:trPr>
        <w:tc>
          <w:tcPr>
            <w:tcW w:w="1117" w:type="dxa"/>
            <w:tcBorders>
              <w:top w:val="nil"/>
              <w:left w:val="single" w:sz="4" w:space="0" w:color="auto"/>
              <w:bottom w:val="single" w:sz="4" w:space="0" w:color="auto"/>
              <w:right w:val="single" w:sz="4" w:space="0" w:color="auto"/>
            </w:tcBorders>
            <w:shd w:val="clear" w:color="auto" w:fill="auto"/>
            <w:noWrap/>
            <w:vAlign w:val="bottom"/>
            <w:hideMark/>
          </w:tcPr>
          <w:p w14:paraId="1F6B5B12" w14:textId="77777777" w:rsidR="005E5406" w:rsidRPr="005E5406" w:rsidRDefault="005E5406" w:rsidP="00BC43B4">
            <w:pPr>
              <w:spacing w:after="0"/>
              <w:jc w:val="right"/>
              <w:rPr>
                <w:lang w:eastAsia="en-AU"/>
              </w:rPr>
            </w:pPr>
            <w:r w:rsidRPr="005E5406">
              <w:rPr>
                <w:lang w:eastAsia="en-AU"/>
              </w:rPr>
              <w:t>3207</w:t>
            </w:r>
          </w:p>
        </w:tc>
        <w:tc>
          <w:tcPr>
            <w:tcW w:w="2852" w:type="dxa"/>
            <w:tcBorders>
              <w:top w:val="nil"/>
              <w:left w:val="nil"/>
              <w:bottom w:val="single" w:sz="4" w:space="0" w:color="auto"/>
              <w:right w:val="single" w:sz="4" w:space="0" w:color="auto"/>
            </w:tcBorders>
            <w:shd w:val="clear" w:color="auto" w:fill="auto"/>
            <w:noWrap/>
            <w:vAlign w:val="bottom"/>
            <w:hideMark/>
          </w:tcPr>
          <w:p w14:paraId="749195FB" w14:textId="77777777" w:rsidR="005E5406" w:rsidRPr="005E5406" w:rsidRDefault="005E5406" w:rsidP="00BC43B4">
            <w:pPr>
              <w:spacing w:after="0"/>
              <w:jc w:val="right"/>
              <w:rPr>
                <w:lang w:eastAsia="en-AU"/>
              </w:rPr>
            </w:pPr>
            <w:r w:rsidRPr="005E5406">
              <w:rPr>
                <w:lang w:eastAsia="en-AU"/>
              </w:rPr>
              <w:t>7%</w:t>
            </w:r>
          </w:p>
        </w:tc>
        <w:tc>
          <w:tcPr>
            <w:tcW w:w="2977" w:type="dxa"/>
            <w:tcBorders>
              <w:top w:val="nil"/>
              <w:left w:val="nil"/>
              <w:bottom w:val="single" w:sz="4" w:space="0" w:color="auto"/>
              <w:right w:val="single" w:sz="4" w:space="0" w:color="auto"/>
            </w:tcBorders>
            <w:shd w:val="clear" w:color="auto" w:fill="auto"/>
            <w:noWrap/>
            <w:vAlign w:val="bottom"/>
            <w:hideMark/>
          </w:tcPr>
          <w:p w14:paraId="1033B33A" w14:textId="77777777" w:rsidR="005E5406" w:rsidRPr="005E5406" w:rsidRDefault="005E5406" w:rsidP="00BC43B4">
            <w:pPr>
              <w:spacing w:after="0"/>
              <w:jc w:val="right"/>
              <w:rPr>
                <w:lang w:eastAsia="en-AU"/>
              </w:rPr>
            </w:pPr>
            <w:r w:rsidRPr="005E5406">
              <w:rPr>
                <w:lang w:eastAsia="en-AU"/>
              </w:rPr>
              <w:t>5%</w:t>
            </w:r>
          </w:p>
        </w:tc>
      </w:tr>
      <w:tr w:rsidR="005E5406" w:rsidRPr="005E5406" w14:paraId="511AA856" w14:textId="77777777" w:rsidTr="00BC43B4">
        <w:trPr>
          <w:trHeight w:val="300"/>
        </w:trPr>
        <w:tc>
          <w:tcPr>
            <w:tcW w:w="1117" w:type="dxa"/>
            <w:tcBorders>
              <w:top w:val="nil"/>
              <w:left w:val="single" w:sz="4" w:space="0" w:color="auto"/>
              <w:bottom w:val="single" w:sz="4" w:space="0" w:color="auto"/>
              <w:right w:val="single" w:sz="4" w:space="0" w:color="auto"/>
            </w:tcBorders>
            <w:shd w:val="clear" w:color="auto" w:fill="auto"/>
            <w:noWrap/>
            <w:vAlign w:val="bottom"/>
            <w:hideMark/>
          </w:tcPr>
          <w:p w14:paraId="0DEB3DA4" w14:textId="77777777" w:rsidR="005E5406" w:rsidRPr="005E5406" w:rsidRDefault="005E5406" w:rsidP="00BC43B4">
            <w:pPr>
              <w:spacing w:after="0"/>
              <w:jc w:val="right"/>
              <w:rPr>
                <w:lang w:eastAsia="en-AU"/>
              </w:rPr>
            </w:pPr>
            <w:r w:rsidRPr="005E5406">
              <w:rPr>
                <w:lang w:eastAsia="en-AU"/>
              </w:rPr>
              <w:t>3003</w:t>
            </w:r>
          </w:p>
        </w:tc>
        <w:tc>
          <w:tcPr>
            <w:tcW w:w="2852" w:type="dxa"/>
            <w:tcBorders>
              <w:top w:val="nil"/>
              <w:left w:val="nil"/>
              <w:bottom w:val="single" w:sz="4" w:space="0" w:color="auto"/>
              <w:right w:val="single" w:sz="4" w:space="0" w:color="auto"/>
            </w:tcBorders>
            <w:shd w:val="clear" w:color="auto" w:fill="auto"/>
            <w:noWrap/>
            <w:vAlign w:val="bottom"/>
            <w:hideMark/>
          </w:tcPr>
          <w:p w14:paraId="14A8711B" w14:textId="77777777" w:rsidR="005E5406" w:rsidRPr="005E5406" w:rsidRDefault="005E5406" w:rsidP="00BC43B4">
            <w:pPr>
              <w:spacing w:after="0"/>
              <w:jc w:val="right"/>
              <w:rPr>
                <w:lang w:eastAsia="en-AU"/>
              </w:rPr>
            </w:pPr>
            <w:r w:rsidRPr="005E5406">
              <w:rPr>
                <w:lang w:eastAsia="en-AU"/>
              </w:rPr>
              <w:t>11%</w:t>
            </w:r>
          </w:p>
        </w:tc>
        <w:tc>
          <w:tcPr>
            <w:tcW w:w="2977" w:type="dxa"/>
            <w:tcBorders>
              <w:top w:val="nil"/>
              <w:left w:val="nil"/>
              <w:bottom w:val="single" w:sz="4" w:space="0" w:color="auto"/>
              <w:right w:val="single" w:sz="4" w:space="0" w:color="auto"/>
            </w:tcBorders>
            <w:shd w:val="clear" w:color="auto" w:fill="auto"/>
            <w:noWrap/>
            <w:vAlign w:val="bottom"/>
            <w:hideMark/>
          </w:tcPr>
          <w:p w14:paraId="1D07D8F3" w14:textId="77777777" w:rsidR="005E5406" w:rsidRPr="005E5406" w:rsidRDefault="005E5406" w:rsidP="00BC43B4">
            <w:pPr>
              <w:spacing w:after="0"/>
              <w:jc w:val="right"/>
              <w:rPr>
                <w:lang w:eastAsia="en-AU"/>
              </w:rPr>
            </w:pPr>
            <w:r w:rsidRPr="005E5406">
              <w:rPr>
                <w:lang w:eastAsia="en-AU"/>
              </w:rPr>
              <w:t>4%</w:t>
            </w:r>
          </w:p>
        </w:tc>
      </w:tr>
      <w:tr w:rsidR="005E5406" w:rsidRPr="005E5406" w14:paraId="25B9DBC7" w14:textId="77777777" w:rsidTr="00BC43B4">
        <w:trPr>
          <w:trHeight w:val="300"/>
        </w:trPr>
        <w:tc>
          <w:tcPr>
            <w:tcW w:w="1117" w:type="dxa"/>
            <w:tcBorders>
              <w:top w:val="nil"/>
              <w:left w:val="single" w:sz="4" w:space="0" w:color="auto"/>
              <w:bottom w:val="single" w:sz="4" w:space="0" w:color="auto"/>
              <w:right w:val="single" w:sz="4" w:space="0" w:color="auto"/>
            </w:tcBorders>
            <w:shd w:val="clear" w:color="auto" w:fill="auto"/>
            <w:noWrap/>
            <w:vAlign w:val="bottom"/>
            <w:hideMark/>
          </w:tcPr>
          <w:p w14:paraId="06B8BEB7" w14:textId="77777777" w:rsidR="005E5406" w:rsidRPr="005E5406" w:rsidRDefault="005E5406" w:rsidP="00BC43B4">
            <w:pPr>
              <w:spacing w:after="0"/>
              <w:jc w:val="right"/>
              <w:rPr>
                <w:lang w:eastAsia="en-AU"/>
              </w:rPr>
            </w:pPr>
            <w:r w:rsidRPr="005E5406">
              <w:rPr>
                <w:lang w:eastAsia="en-AU"/>
              </w:rPr>
              <w:t>3051</w:t>
            </w:r>
          </w:p>
        </w:tc>
        <w:tc>
          <w:tcPr>
            <w:tcW w:w="2852" w:type="dxa"/>
            <w:tcBorders>
              <w:top w:val="nil"/>
              <w:left w:val="nil"/>
              <w:bottom w:val="single" w:sz="4" w:space="0" w:color="auto"/>
              <w:right w:val="single" w:sz="4" w:space="0" w:color="auto"/>
            </w:tcBorders>
            <w:shd w:val="clear" w:color="auto" w:fill="auto"/>
            <w:noWrap/>
            <w:vAlign w:val="bottom"/>
            <w:hideMark/>
          </w:tcPr>
          <w:p w14:paraId="7879334A" w14:textId="77777777" w:rsidR="005E5406" w:rsidRPr="005E5406" w:rsidRDefault="005E5406" w:rsidP="00BC43B4">
            <w:pPr>
              <w:spacing w:after="0"/>
              <w:jc w:val="right"/>
              <w:rPr>
                <w:lang w:eastAsia="en-AU"/>
              </w:rPr>
            </w:pPr>
            <w:r w:rsidRPr="005E5406">
              <w:rPr>
                <w:lang w:eastAsia="en-AU"/>
              </w:rPr>
              <w:t>5%</w:t>
            </w:r>
          </w:p>
        </w:tc>
        <w:tc>
          <w:tcPr>
            <w:tcW w:w="2977" w:type="dxa"/>
            <w:tcBorders>
              <w:top w:val="nil"/>
              <w:left w:val="nil"/>
              <w:bottom w:val="single" w:sz="4" w:space="0" w:color="auto"/>
              <w:right w:val="single" w:sz="4" w:space="0" w:color="auto"/>
            </w:tcBorders>
            <w:shd w:val="clear" w:color="auto" w:fill="auto"/>
            <w:noWrap/>
            <w:vAlign w:val="bottom"/>
            <w:hideMark/>
          </w:tcPr>
          <w:p w14:paraId="5CB1A2A8" w14:textId="77777777" w:rsidR="005E5406" w:rsidRPr="005E5406" w:rsidRDefault="005E5406" w:rsidP="00BC43B4">
            <w:pPr>
              <w:spacing w:after="0"/>
              <w:jc w:val="right"/>
              <w:rPr>
                <w:lang w:eastAsia="en-AU"/>
              </w:rPr>
            </w:pPr>
            <w:r w:rsidRPr="005E5406">
              <w:rPr>
                <w:lang w:eastAsia="en-AU"/>
              </w:rPr>
              <w:t>4%</w:t>
            </w:r>
          </w:p>
        </w:tc>
      </w:tr>
      <w:tr w:rsidR="005E5406" w:rsidRPr="005E5406" w14:paraId="673568AA" w14:textId="77777777" w:rsidTr="00BC43B4">
        <w:trPr>
          <w:trHeight w:val="300"/>
        </w:trPr>
        <w:tc>
          <w:tcPr>
            <w:tcW w:w="1117" w:type="dxa"/>
            <w:tcBorders>
              <w:top w:val="nil"/>
              <w:left w:val="single" w:sz="4" w:space="0" w:color="auto"/>
              <w:bottom w:val="single" w:sz="4" w:space="0" w:color="auto"/>
              <w:right w:val="single" w:sz="4" w:space="0" w:color="auto"/>
            </w:tcBorders>
            <w:shd w:val="clear" w:color="auto" w:fill="auto"/>
            <w:noWrap/>
            <w:vAlign w:val="bottom"/>
            <w:hideMark/>
          </w:tcPr>
          <w:p w14:paraId="6631257A" w14:textId="77777777" w:rsidR="005E5406" w:rsidRPr="005E5406" w:rsidRDefault="005E5406" w:rsidP="00BC43B4">
            <w:pPr>
              <w:spacing w:after="0"/>
              <w:jc w:val="right"/>
              <w:rPr>
                <w:lang w:eastAsia="en-AU"/>
              </w:rPr>
            </w:pPr>
            <w:r w:rsidRPr="005E5406">
              <w:rPr>
                <w:lang w:eastAsia="en-AU"/>
              </w:rPr>
              <w:t>3052</w:t>
            </w:r>
          </w:p>
        </w:tc>
        <w:tc>
          <w:tcPr>
            <w:tcW w:w="2852" w:type="dxa"/>
            <w:tcBorders>
              <w:top w:val="nil"/>
              <w:left w:val="nil"/>
              <w:bottom w:val="single" w:sz="4" w:space="0" w:color="auto"/>
              <w:right w:val="single" w:sz="4" w:space="0" w:color="auto"/>
            </w:tcBorders>
            <w:shd w:val="clear" w:color="auto" w:fill="auto"/>
            <w:noWrap/>
            <w:vAlign w:val="bottom"/>
            <w:hideMark/>
          </w:tcPr>
          <w:p w14:paraId="06779E67" w14:textId="77777777" w:rsidR="005E5406" w:rsidRPr="005E5406" w:rsidRDefault="005E5406" w:rsidP="00BC43B4">
            <w:pPr>
              <w:spacing w:after="0"/>
              <w:jc w:val="right"/>
              <w:rPr>
                <w:lang w:eastAsia="en-AU"/>
              </w:rPr>
            </w:pPr>
            <w:r w:rsidRPr="005E5406">
              <w:rPr>
                <w:lang w:eastAsia="en-AU"/>
              </w:rPr>
              <w:t>3%</w:t>
            </w:r>
          </w:p>
        </w:tc>
        <w:tc>
          <w:tcPr>
            <w:tcW w:w="2977" w:type="dxa"/>
            <w:tcBorders>
              <w:top w:val="nil"/>
              <w:left w:val="nil"/>
              <w:bottom w:val="single" w:sz="4" w:space="0" w:color="auto"/>
              <w:right w:val="single" w:sz="4" w:space="0" w:color="auto"/>
            </w:tcBorders>
            <w:shd w:val="clear" w:color="auto" w:fill="auto"/>
            <w:noWrap/>
            <w:vAlign w:val="bottom"/>
            <w:hideMark/>
          </w:tcPr>
          <w:p w14:paraId="36048A2B" w14:textId="77777777" w:rsidR="005E5406" w:rsidRPr="005E5406" w:rsidRDefault="005E5406" w:rsidP="00BC43B4">
            <w:pPr>
              <w:spacing w:after="0"/>
              <w:jc w:val="right"/>
              <w:rPr>
                <w:lang w:eastAsia="en-AU"/>
              </w:rPr>
            </w:pPr>
            <w:r w:rsidRPr="005E5406">
              <w:rPr>
                <w:lang w:eastAsia="en-AU"/>
              </w:rPr>
              <w:t>3%</w:t>
            </w:r>
          </w:p>
        </w:tc>
      </w:tr>
      <w:tr w:rsidR="005E5406" w:rsidRPr="005E5406" w14:paraId="33874E6B" w14:textId="77777777" w:rsidTr="00BC43B4">
        <w:trPr>
          <w:trHeight w:val="300"/>
        </w:trPr>
        <w:tc>
          <w:tcPr>
            <w:tcW w:w="1117" w:type="dxa"/>
            <w:tcBorders>
              <w:top w:val="nil"/>
              <w:left w:val="single" w:sz="4" w:space="0" w:color="auto"/>
              <w:bottom w:val="single" w:sz="4" w:space="0" w:color="auto"/>
              <w:right w:val="single" w:sz="4" w:space="0" w:color="auto"/>
            </w:tcBorders>
            <w:shd w:val="clear" w:color="auto" w:fill="auto"/>
            <w:noWrap/>
            <w:vAlign w:val="bottom"/>
            <w:hideMark/>
          </w:tcPr>
          <w:p w14:paraId="06FD21D2" w14:textId="77777777" w:rsidR="005E5406" w:rsidRPr="005E5406" w:rsidRDefault="005E5406" w:rsidP="00BC43B4">
            <w:pPr>
              <w:spacing w:after="0"/>
              <w:jc w:val="right"/>
              <w:rPr>
                <w:lang w:eastAsia="en-AU"/>
              </w:rPr>
            </w:pPr>
            <w:r w:rsidRPr="005E5406">
              <w:rPr>
                <w:lang w:eastAsia="en-AU"/>
              </w:rPr>
              <w:t>3004</w:t>
            </w:r>
          </w:p>
        </w:tc>
        <w:tc>
          <w:tcPr>
            <w:tcW w:w="2852" w:type="dxa"/>
            <w:tcBorders>
              <w:top w:val="nil"/>
              <w:left w:val="nil"/>
              <w:bottom w:val="single" w:sz="4" w:space="0" w:color="auto"/>
              <w:right w:val="single" w:sz="4" w:space="0" w:color="auto"/>
            </w:tcBorders>
            <w:shd w:val="clear" w:color="auto" w:fill="auto"/>
            <w:noWrap/>
            <w:vAlign w:val="bottom"/>
            <w:hideMark/>
          </w:tcPr>
          <w:p w14:paraId="38072385" w14:textId="77777777" w:rsidR="005E5406" w:rsidRPr="005E5406" w:rsidRDefault="005E5406" w:rsidP="00BC43B4">
            <w:pPr>
              <w:spacing w:after="0"/>
              <w:jc w:val="right"/>
              <w:rPr>
                <w:lang w:eastAsia="en-AU"/>
              </w:rPr>
            </w:pPr>
            <w:r w:rsidRPr="005E5406">
              <w:rPr>
                <w:lang w:eastAsia="en-AU"/>
              </w:rPr>
              <w:t>2%</w:t>
            </w:r>
          </w:p>
        </w:tc>
        <w:tc>
          <w:tcPr>
            <w:tcW w:w="2977" w:type="dxa"/>
            <w:tcBorders>
              <w:top w:val="nil"/>
              <w:left w:val="nil"/>
              <w:bottom w:val="single" w:sz="4" w:space="0" w:color="auto"/>
              <w:right w:val="single" w:sz="4" w:space="0" w:color="auto"/>
            </w:tcBorders>
            <w:shd w:val="clear" w:color="auto" w:fill="auto"/>
            <w:noWrap/>
            <w:vAlign w:val="bottom"/>
            <w:hideMark/>
          </w:tcPr>
          <w:p w14:paraId="04EA81EF" w14:textId="77777777" w:rsidR="005E5406" w:rsidRPr="005E5406" w:rsidRDefault="005E5406" w:rsidP="00BC43B4">
            <w:pPr>
              <w:spacing w:after="0"/>
              <w:jc w:val="right"/>
              <w:rPr>
                <w:lang w:eastAsia="en-AU"/>
              </w:rPr>
            </w:pPr>
            <w:r w:rsidRPr="005E5406">
              <w:rPr>
                <w:lang w:eastAsia="en-AU"/>
              </w:rPr>
              <w:t>2%</w:t>
            </w:r>
          </w:p>
        </w:tc>
      </w:tr>
      <w:tr w:rsidR="005E5406" w:rsidRPr="005E5406" w14:paraId="2BCCB893" w14:textId="77777777" w:rsidTr="00BC43B4">
        <w:trPr>
          <w:trHeight w:val="300"/>
        </w:trPr>
        <w:tc>
          <w:tcPr>
            <w:tcW w:w="1117" w:type="dxa"/>
            <w:tcBorders>
              <w:top w:val="nil"/>
              <w:left w:val="single" w:sz="4" w:space="0" w:color="auto"/>
              <w:bottom w:val="single" w:sz="4" w:space="0" w:color="auto"/>
              <w:right w:val="single" w:sz="4" w:space="0" w:color="auto"/>
            </w:tcBorders>
            <w:shd w:val="clear" w:color="auto" w:fill="auto"/>
            <w:noWrap/>
            <w:vAlign w:val="bottom"/>
            <w:hideMark/>
          </w:tcPr>
          <w:p w14:paraId="68D8393C" w14:textId="77777777" w:rsidR="005E5406" w:rsidRPr="005E5406" w:rsidRDefault="005E5406" w:rsidP="00BC43B4">
            <w:pPr>
              <w:spacing w:after="0"/>
              <w:jc w:val="right"/>
              <w:rPr>
                <w:lang w:eastAsia="en-AU"/>
              </w:rPr>
            </w:pPr>
            <w:r w:rsidRPr="005E5406">
              <w:rPr>
                <w:lang w:eastAsia="en-AU"/>
              </w:rPr>
              <w:t>3031</w:t>
            </w:r>
          </w:p>
        </w:tc>
        <w:tc>
          <w:tcPr>
            <w:tcW w:w="2852" w:type="dxa"/>
            <w:tcBorders>
              <w:top w:val="nil"/>
              <w:left w:val="nil"/>
              <w:bottom w:val="single" w:sz="4" w:space="0" w:color="auto"/>
              <w:right w:val="single" w:sz="4" w:space="0" w:color="auto"/>
            </w:tcBorders>
            <w:shd w:val="clear" w:color="auto" w:fill="auto"/>
            <w:noWrap/>
            <w:vAlign w:val="bottom"/>
            <w:hideMark/>
          </w:tcPr>
          <w:p w14:paraId="4A188EE2" w14:textId="77777777" w:rsidR="005E5406" w:rsidRPr="005E5406" w:rsidRDefault="005E5406" w:rsidP="00BC43B4">
            <w:pPr>
              <w:spacing w:after="0"/>
              <w:jc w:val="right"/>
              <w:rPr>
                <w:lang w:eastAsia="en-AU"/>
              </w:rPr>
            </w:pPr>
            <w:r w:rsidRPr="005E5406">
              <w:rPr>
                <w:lang w:eastAsia="en-AU"/>
              </w:rPr>
              <w:t>3%</w:t>
            </w:r>
          </w:p>
        </w:tc>
        <w:tc>
          <w:tcPr>
            <w:tcW w:w="2977" w:type="dxa"/>
            <w:tcBorders>
              <w:top w:val="nil"/>
              <w:left w:val="nil"/>
              <w:bottom w:val="single" w:sz="4" w:space="0" w:color="auto"/>
              <w:right w:val="single" w:sz="4" w:space="0" w:color="auto"/>
            </w:tcBorders>
            <w:shd w:val="clear" w:color="auto" w:fill="auto"/>
            <w:noWrap/>
            <w:vAlign w:val="bottom"/>
            <w:hideMark/>
          </w:tcPr>
          <w:p w14:paraId="2B2E5702" w14:textId="77777777" w:rsidR="005E5406" w:rsidRPr="005E5406" w:rsidRDefault="005E5406" w:rsidP="00BC43B4">
            <w:pPr>
              <w:spacing w:after="0"/>
              <w:jc w:val="right"/>
              <w:rPr>
                <w:lang w:eastAsia="en-AU"/>
              </w:rPr>
            </w:pPr>
            <w:r w:rsidRPr="005E5406">
              <w:rPr>
                <w:lang w:eastAsia="en-AU"/>
              </w:rPr>
              <w:t>2%</w:t>
            </w:r>
          </w:p>
        </w:tc>
      </w:tr>
      <w:tr w:rsidR="005E5406" w:rsidRPr="005E5406" w14:paraId="3B9AB8CC" w14:textId="77777777" w:rsidTr="00BC43B4">
        <w:trPr>
          <w:trHeight w:val="300"/>
        </w:trPr>
        <w:tc>
          <w:tcPr>
            <w:tcW w:w="1117" w:type="dxa"/>
            <w:tcBorders>
              <w:top w:val="nil"/>
              <w:left w:val="single" w:sz="4" w:space="0" w:color="auto"/>
              <w:bottom w:val="single" w:sz="4" w:space="0" w:color="auto"/>
              <w:right w:val="single" w:sz="4" w:space="0" w:color="auto"/>
            </w:tcBorders>
            <w:shd w:val="clear" w:color="auto" w:fill="auto"/>
            <w:noWrap/>
            <w:vAlign w:val="bottom"/>
            <w:hideMark/>
          </w:tcPr>
          <w:p w14:paraId="67D1B8DD" w14:textId="77777777" w:rsidR="005E5406" w:rsidRPr="005E5406" w:rsidRDefault="005E5406" w:rsidP="00BC43B4">
            <w:pPr>
              <w:spacing w:after="0"/>
              <w:jc w:val="right"/>
              <w:rPr>
                <w:lang w:eastAsia="en-AU"/>
              </w:rPr>
            </w:pPr>
            <w:r w:rsidRPr="005E5406">
              <w:rPr>
                <w:lang w:eastAsia="en-AU"/>
              </w:rPr>
              <w:t>3050</w:t>
            </w:r>
          </w:p>
        </w:tc>
        <w:tc>
          <w:tcPr>
            <w:tcW w:w="2852" w:type="dxa"/>
            <w:tcBorders>
              <w:top w:val="nil"/>
              <w:left w:val="nil"/>
              <w:bottom w:val="single" w:sz="4" w:space="0" w:color="auto"/>
              <w:right w:val="single" w:sz="4" w:space="0" w:color="auto"/>
            </w:tcBorders>
            <w:shd w:val="clear" w:color="auto" w:fill="auto"/>
            <w:noWrap/>
            <w:vAlign w:val="bottom"/>
            <w:hideMark/>
          </w:tcPr>
          <w:p w14:paraId="73ADF1D7" w14:textId="77777777" w:rsidR="005E5406" w:rsidRPr="005E5406" w:rsidRDefault="005E5406" w:rsidP="00BC43B4">
            <w:pPr>
              <w:spacing w:after="0"/>
              <w:jc w:val="right"/>
              <w:rPr>
                <w:lang w:eastAsia="en-AU"/>
              </w:rPr>
            </w:pPr>
            <w:r w:rsidRPr="005E5406">
              <w:rPr>
                <w:lang w:eastAsia="en-AU"/>
              </w:rPr>
              <w:t>1%</w:t>
            </w:r>
          </w:p>
        </w:tc>
        <w:tc>
          <w:tcPr>
            <w:tcW w:w="2977" w:type="dxa"/>
            <w:tcBorders>
              <w:top w:val="nil"/>
              <w:left w:val="nil"/>
              <w:bottom w:val="single" w:sz="4" w:space="0" w:color="auto"/>
              <w:right w:val="single" w:sz="4" w:space="0" w:color="auto"/>
            </w:tcBorders>
            <w:shd w:val="clear" w:color="auto" w:fill="auto"/>
            <w:noWrap/>
            <w:vAlign w:val="bottom"/>
            <w:hideMark/>
          </w:tcPr>
          <w:p w14:paraId="7323B319" w14:textId="77777777" w:rsidR="005E5406" w:rsidRPr="005E5406" w:rsidRDefault="005E5406" w:rsidP="00BC43B4">
            <w:pPr>
              <w:spacing w:after="0"/>
              <w:jc w:val="right"/>
              <w:rPr>
                <w:lang w:eastAsia="en-AU"/>
              </w:rPr>
            </w:pPr>
            <w:r w:rsidRPr="005E5406">
              <w:rPr>
                <w:lang w:eastAsia="en-AU"/>
              </w:rPr>
              <w:t>2%</w:t>
            </w:r>
          </w:p>
        </w:tc>
      </w:tr>
      <w:tr w:rsidR="005E5406" w:rsidRPr="005E5406" w14:paraId="2F4C7115" w14:textId="77777777" w:rsidTr="00BC43B4">
        <w:trPr>
          <w:trHeight w:val="300"/>
        </w:trPr>
        <w:tc>
          <w:tcPr>
            <w:tcW w:w="1117" w:type="dxa"/>
            <w:tcBorders>
              <w:top w:val="nil"/>
              <w:left w:val="single" w:sz="4" w:space="0" w:color="auto"/>
              <w:bottom w:val="single" w:sz="4" w:space="0" w:color="auto"/>
              <w:right w:val="single" w:sz="4" w:space="0" w:color="auto"/>
            </w:tcBorders>
            <w:shd w:val="clear" w:color="auto" w:fill="auto"/>
            <w:noWrap/>
            <w:vAlign w:val="bottom"/>
            <w:hideMark/>
          </w:tcPr>
          <w:p w14:paraId="39B0478C" w14:textId="77777777" w:rsidR="005E5406" w:rsidRPr="005E5406" w:rsidRDefault="005E5406" w:rsidP="00BC43B4">
            <w:pPr>
              <w:spacing w:after="0"/>
              <w:jc w:val="right"/>
              <w:rPr>
                <w:lang w:eastAsia="en-AU"/>
              </w:rPr>
            </w:pPr>
            <w:r w:rsidRPr="005E5406">
              <w:rPr>
                <w:lang w:eastAsia="en-AU"/>
              </w:rPr>
              <w:t>3181</w:t>
            </w:r>
          </w:p>
        </w:tc>
        <w:tc>
          <w:tcPr>
            <w:tcW w:w="2852" w:type="dxa"/>
            <w:tcBorders>
              <w:top w:val="nil"/>
              <w:left w:val="nil"/>
              <w:bottom w:val="single" w:sz="4" w:space="0" w:color="auto"/>
              <w:right w:val="single" w:sz="4" w:space="0" w:color="auto"/>
            </w:tcBorders>
            <w:shd w:val="clear" w:color="auto" w:fill="auto"/>
            <w:noWrap/>
            <w:vAlign w:val="bottom"/>
            <w:hideMark/>
          </w:tcPr>
          <w:p w14:paraId="3AB58CBE" w14:textId="77777777" w:rsidR="005E5406" w:rsidRPr="005E5406" w:rsidRDefault="005E5406" w:rsidP="00BC43B4">
            <w:pPr>
              <w:spacing w:after="0"/>
              <w:jc w:val="right"/>
              <w:rPr>
                <w:lang w:eastAsia="en-AU"/>
              </w:rPr>
            </w:pPr>
            <w:r w:rsidRPr="005E5406">
              <w:rPr>
                <w:lang w:eastAsia="en-AU"/>
              </w:rPr>
              <w:t>1%</w:t>
            </w:r>
          </w:p>
        </w:tc>
        <w:tc>
          <w:tcPr>
            <w:tcW w:w="2977" w:type="dxa"/>
            <w:tcBorders>
              <w:top w:val="nil"/>
              <w:left w:val="nil"/>
              <w:bottom w:val="single" w:sz="4" w:space="0" w:color="auto"/>
              <w:right w:val="single" w:sz="4" w:space="0" w:color="auto"/>
            </w:tcBorders>
            <w:shd w:val="clear" w:color="auto" w:fill="auto"/>
            <w:noWrap/>
            <w:vAlign w:val="bottom"/>
            <w:hideMark/>
          </w:tcPr>
          <w:p w14:paraId="61E5286B" w14:textId="77777777" w:rsidR="005E5406" w:rsidRPr="005E5406" w:rsidRDefault="005E5406" w:rsidP="00BC43B4">
            <w:pPr>
              <w:spacing w:after="0"/>
              <w:jc w:val="right"/>
              <w:rPr>
                <w:lang w:eastAsia="en-AU"/>
              </w:rPr>
            </w:pPr>
            <w:r w:rsidRPr="005E5406">
              <w:rPr>
                <w:lang w:eastAsia="en-AU"/>
              </w:rPr>
              <w:t>2%</w:t>
            </w:r>
          </w:p>
        </w:tc>
      </w:tr>
      <w:tr w:rsidR="005E5406" w:rsidRPr="005E5406" w14:paraId="71CE29A5" w14:textId="77777777" w:rsidTr="00BC43B4">
        <w:trPr>
          <w:trHeight w:val="300"/>
        </w:trPr>
        <w:tc>
          <w:tcPr>
            <w:tcW w:w="1117" w:type="dxa"/>
            <w:tcBorders>
              <w:top w:val="nil"/>
              <w:left w:val="single" w:sz="4" w:space="0" w:color="auto"/>
              <w:bottom w:val="single" w:sz="4" w:space="0" w:color="auto"/>
              <w:right w:val="single" w:sz="4" w:space="0" w:color="auto"/>
            </w:tcBorders>
            <w:shd w:val="clear" w:color="auto" w:fill="auto"/>
            <w:noWrap/>
            <w:vAlign w:val="bottom"/>
            <w:hideMark/>
          </w:tcPr>
          <w:p w14:paraId="229AEECC" w14:textId="77777777" w:rsidR="005E5406" w:rsidRPr="005E5406" w:rsidRDefault="005E5406" w:rsidP="00BC43B4">
            <w:pPr>
              <w:spacing w:after="0"/>
              <w:jc w:val="right"/>
              <w:rPr>
                <w:lang w:eastAsia="en-AU"/>
              </w:rPr>
            </w:pPr>
            <w:r w:rsidRPr="005E5406">
              <w:rPr>
                <w:lang w:eastAsia="en-AU"/>
              </w:rPr>
              <w:t>3010</w:t>
            </w:r>
          </w:p>
        </w:tc>
        <w:tc>
          <w:tcPr>
            <w:tcW w:w="2852" w:type="dxa"/>
            <w:tcBorders>
              <w:top w:val="nil"/>
              <w:left w:val="nil"/>
              <w:bottom w:val="single" w:sz="4" w:space="0" w:color="auto"/>
              <w:right w:val="single" w:sz="4" w:space="0" w:color="auto"/>
            </w:tcBorders>
            <w:shd w:val="clear" w:color="auto" w:fill="auto"/>
            <w:noWrap/>
            <w:vAlign w:val="bottom"/>
            <w:hideMark/>
          </w:tcPr>
          <w:p w14:paraId="2CC7DC7B" w14:textId="77777777" w:rsidR="005E5406" w:rsidRPr="005E5406" w:rsidRDefault="005E5406" w:rsidP="00BC43B4">
            <w:pPr>
              <w:spacing w:after="0"/>
              <w:jc w:val="right"/>
              <w:rPr>
                <w:lang w:eastAsia="en-AU"/>
              </w:rPr>
            </w:pPr>
            <w:r w:rsidRPr="005E5406">
              <w:rPr>
                <w:lang w:eastAsia="en-AU"/>
              </w:rPr>
              <w:t>1%</w:t>
            </w:r>
          </w:p>
        </w:tc>
        <w:tc>
          <w:tcPr>
            <w:tcW w:w="2977" w:type="dxa"/>
            <w:tcBorders>
              <w:top w:val="nil"/>
              <w:left w:val="nil"/>
              <w:bottom w:val="single" w:sz="4" w:space="0" w:color="auto"/>
              <w:right w:val="single" w:sz="4" w:space="0" w:color="auto"/>
            </w:tcBorders>
            <w:shd w:val="clear" w:color="auto" w:fill="auto"/>
            <w:noWrap/>
            <w:vAlign w:val="bottom"/>
            <w:hideMark/>
          </w:tcPr>
          <w:p w14:paraId="0A622265" w14:textId="77777777" w:rsidR="005E5406" w:rsidRPr="005E5406" w:rsidRDefault="005E5406" w:rsidP="00BC43B4">
            <w:pPr>
              <w:spacing w:after="0"/>
              <w:jc w:val="right"/>
              <w:rPr>
                <w:lang w:eastAsia="en-AU"/>
              </w:rPr>
            </w:pPr>
            <w:r w:rsidRPr="005E5406">
              <w:rPr>
                <w:lang w:eastAsia="en-AU"/>
              </w:rPr>
              <w:t>1%</w:t>
            </w:r>
          </w:p>
        </w:tc>
      </w:tr>
      <w:tr w:rsidR="005E5406" w:rsidRPr="005E5406" w14:paraId="4F882797" w14:textId="77777777" w:rsidTr="00BC43B4">
        <w:trPr>
          <w:trHeight w:val="300"/>
        </w:trPr>
        <w:tc>
          <w:tcPr>
            <w:tcW w:w="1117" w:type="dxa"/>
            <w:tcBorders>
              <w:top w:val="nil"/>
              <w:left w:val="single" w:sz="4" w:space="0" w:color="auto"/>
              <w:bottom w:val="single" w:sz="4" w:space="0" w:color="auto"/>
              <w:right w:val="single" w:sz="4" w:space="0" w:color="auto"/>
            </w:tcBorders>
            <w:shd w:val="clear" w:color="auto" w:fill="auto"/>
            <w:noWrap/>
            <w:vAlign w:val="bottom"/>
            <w:hideMark/>
          </w:tcPr>
          <w:p w14:paraId="0D209E8C" w14:textId="77777777" w:rsidR="005E5406" w:rsidRPr="005E5406" w:rsidRDefault="005E5406" w:rsidP="00BC43B4">
            <w:pPr>
              <w:spacing w:after="0"/>
              <w:jc w:val="right"/>
              <w:rPr>
                <w:lang w:eastAsia="en-AU"/>
              </w:rPr>
            </w:pPr>
            <w:r w:rsidRPr="005E5406">
              <w:rPr>
                <w:lang w:eastAsia="en-AU"/>
              </w:rPr>
              <w:t>3141</w:t>
            </w:r>
          </w:p>
        </w:tc>
        <w:tc>
          <w:tcPr>
            <w:tcW w:w="2852" w:type="dxa"/>
            <w:tcBorders>
              <w:top w:val="nil"/>
              <w:left w:val="nil"/>
              <w:bottom w:val="single" w:sz="4" w:space="0" w:color="auto"/>
              <w:right w:val="single" w:sz="4" w:space="0" w:color="auto"/>
            </w:tcBorders>
            <w:shd w:val="clear" w:color="auto" w:fill="auto"/>
            <w:noWrap/>
            <w:vAlign w:val="bottom"/>
            <w:hideMark/>
          </w:tcPr>
          <w:p w14:paraId="376F2139" w14:textId="77777777" w:rsidR="005E5406" w:rsidRPr="005E5406" w:rsidRDefault="005E5406" w:rsidP="00BC43B4">
            <w:pPr>
              <w:spacing w:after="0"/>
              <w:jc w:val="right"/>
              <w:rPr>
                <w:lang w:eastAsia="en-AU"/>
              </w:rPr>
            </w:pPr>
            <w:r w:rsidRPr="005E5406">
              <w:rPr>
                <w:lang w:eastAsia="en-AU"/>
              </w:rPr>
              <w:t>1%</w:t>
            </w:r>
          </w:p>
        </w:tc>
        <w:tc>
          <w:tcPr>
            <w:tcW w:w="2977" w:type="dxa"/>
            <w:tcBorders>
              <w:top w:val="nil"/>
              <w:left w:val="nil"/>
              <w:bottom w:val="single" w:sz="4" w:space="0" w:color="auto"/>
              <w:right w:val="single" w:sz="4" w:space="0" w:color="auto"/>
            </w:tcBorders>
            <w:shd w:val="clear" w:color="auto" w:fill="auto"/>
            <w:noWrap/>
            <w:vAlign w:val="bottom"/>
            <w:hideMark/>
          </w:tcPr>
          <w:p w14:paraId="3D5A62AC" w14:textId="77777777" w:rsidR="005E5406" w:rsidRPr="005E5406" w:rsidRDefault="005E5406" w:rsidP="00BC43B4">
            <w:pPr>
              <w:spacing w:after="0"/>
              <w:jc w:val="right"/>
              <w:rPr>
                <w:lang w:eastAsia="en-AU"/>
              </w:rPr>
            </w:pPr>
            <w:r w:rsidRPr="005E5406">
              <w:rPr>
                <w:lang w:eastAsia="en-AU"/>
              </w:rPr>
              <w:t>1%</w:t>
            </w:r>
          </w:p>
        </w:tc>
      </w:tr>
      <w:tr w:rsidR="005E5406" w:rsidRPr="005E5406" w14:paraId="20D0FF36" w14:textId="77777777" w:rsidTr="00BC43B4">
        <w:trPr>
          <w:trHeight w:val="300"/>
        </w:trPr>
        <w:tc>
          <w:tcPr>
            <w:tcW w:w="1117" w:type="dxa"/>
            <w:tcBorders>
              <w:top w:val="nil"/>
              <w:left w:val="single" w:sz="4" w:space="0" w:color="auto"/>
              <w:bottom w:val="single" w:sz="4" w:space="0" w:color="auto"/>
              <w:right w:val="single" w:sz="4" w:space="0" w:color="auto"/>
            </w:tcBorders>
            <w:shd w:val="clear" w:color="auto" w:fill="auto"/>
            <w:noWrap/>
            <w:vAlign w:val="bottom"/>
            <w:hideMark/>
          </w:tcPr>
          <w:p w14:paraId="3563B428" w14:textId="77777777" w:rsidR="005E5406" w:rsidRPr="005E5406" w:rsidRDefault="005E5406" w:rsidP="00BC43B4">
            <w:pPr>
              <w:spacing w:after="0"/>
              <w:jc w:val="right"/>
              <w:rPr>
                <w:lang w:eastAsia="en-AU"/>
              </w:rPr>
            </w:pPr>
            <w:r w:rsidRPr="005E5406">
              <w:rPr>
                <w:lang w:eastAsia="en-AU"/>
              </w:rPr>
              <w:t>3032</w:t>
            </w:r>
          </w:p>
        </w:tc>
        <w:tc>
          <w:tcPr>
            <w:tcW w:w="2852" w:type="dxa"/>
            <w:tcBorders>
              <w:top w:val="nil"/>
              <w:left w:val="nil"/>
              <w:bottom w:val="single" w:sz="4" w:space="0" w:color="auto"/>
              <w:right w:val="single" w:sz="4" w:space="0" w:color="auto"/>
            </w:tcBorders>
            <w:shd w:val="clear" w:color="auto" w:fill="auto"/>
            <w:noWrap/>
            <w:vAlign w:val="bottom"/>
            <w:hideMark/>
          </w:tcPr>
          <w:p w14:paraId="4D033660" w14:textId="77777777" w:rsidR="005E5406" w:rsidRPr="005E5406" w:rsidRDefault="005E5406" w:rsidP="00BC43B4">
            <w:pPr>
              <w:spacing w:after="0"/>
              <w:jc w:val="right"/>
              <w:rPr>
                <w:lang w:eastAsia="en-AU"/>
              </w:rPr>
            </w:pPr>
            <w:r w:rsidRPr="005E5406">
              <w:rPr>
                <w:lang w:eastAsia="en-AU"/>
              </w:rPr>
              <w:t>0%</w:t>
            </w:r>
          </w:p>
        </w:tc>
        <w:tc>
          <w:tcPr>
            <w:tcW w:w="2977" w:type="dxa"/>
            <w:tcBorders>
              <w:top w:val="nil"/>
              <w:left w:val="nil"/>
              <w:bottom w:val="single" w:sz="4" w:space="0" w:color="auto"/>
              <w:right w:val="single" w:sz="4" w:space="0" w:color="auto"/>
            </w:tcBorders>
            <w:shd w:val="clear" w:color="auto" w:fill="auto"/>
            <w:noWrap/>
            <w:vAlign w:val="bottom"/>
            <w:hideMark/>
          </w:tcPr>
          <w:p w14:paraId="0F49E488" w14:textId="77777777" w:rsidR="005E5406" w:rsidRPr="005E5406" w:rsidRDefault="005E5406" w:rsidP="00BC43B4">
            <w:pPr>
              <w:spacing w:after="0"/>
              <w:jc w:val="right"/>
              <w:rPr>
                <w:lang w:eastAsia="en-AU"/>
              </w:rPr>
            </w:pPr>
            <w:r w:rsidRPr="005E5406">
              <w:rPr>
                <w:lang w:eastAsia="en-AU"/>
              </w:rPr>
              <w:t>0%</w:t>
            </w:r>
          </w:p>
        </w:tc>
      </w:tr>
      <w:tr w:rsidR="005E5406" w:rsidRPr="005E5406" w14:paraId="6D10112A" w14:textId="77777777" w:rsidTr="00BC43B4">
        <w:trPr>
          <w:trHeight w:val="300"/>
        </w:trPr>
        <w:tc>
          <w:tcPr>
            <w:tcW w:w="1117" w:type="dxa"/>
            <w:tcBorders>
              <w:top w:val="nil"/>
              <w:left w:val="single" w:sz="4" w:space="0" w:color="auto"/>
              <w:bottom w:val="single" w:sz="4" w:space="0" w:color="auto"/>
              <w:right w:val="single" w:sz="4" w:space="0" w:color="auto"/>
            </w:tcBorders>
            <w:shd w:val="clear" w:color="auto" w:fill="auto"/>
            <w:noWrap/>
            <w:vAlign w:val="bottom"/>
            <w:hideMark/>
          </w:tcPr>
          <w:p w14:paraId="0CDB913D" w14:textId="77777777" w:rsidR="005E5406" w:rsidRPr="005E5406" w:rsidRDefault="005E5406" w:rsidP="00BC43B4">
            <w:pPr>
              <w:spacing w:after="0"/>
              <w:jc w:val="right"/>
              <w:rPr>
                <w:lang w:eastAsia="en-AU"/>
              </w:rPr>
            </w:pPr>
            <w:r w:rsidRPr="005E5406">
              <w:rPr>
                <w:lang w:eastAsia="en-AU"/>
              </w:rPr>
              <w:t>3054</w:t>
            </w:r>
          </w:p>
        </w:tc>
        <w:tc>
          <w:tcPr>
            <w:tcW w:w="2852" w:type="dxa"/>
            <w:tcBorders>
              <w:top w:val="nil"/>
              <w:left w:val="nil"/>
              <w:bottom w:val="single" w:sz="4" w:space="0" w:color="auto"/>
              <w:right w:val="single" w:sz="4" w:space="0" w:color="auto"/>
            </w:tcBorders>
            <w:shd w:val="clear" w:color="auto" w:fill="auto"/>
            <w:noWrap/>
            <w:vAlign w:val="bottom"/>
            <w:hideMark/>
          </w:tcPr>
          <w:p w14:paraId="5E5F83BC" w14:textId="77777777" w:rsidR="005E5406" w:rsidRPr="005E5406" w:rsidRDefault="005E5406" w:rsidP="00BC43B4">
            <w:pPr>
              <w:spacing w:after="0"/>
              <w:jc w:val="right"/>
              <w:rPr>
                <w:lang w:eastAsia="en-AU"/>
              </w:rPr>
            </w:pPr>
            <w:r w:rsidRPr="005E5406">
              <w:rPr>
                <w:lang w:eastAsia="en-AU"/>
              </w:rPr>
              <w:t>0%</w:t>
            </w:r>
          </w:p>
        </w:tc>
        <w:tc>
          <w:tcPr>
            <w:tcW w:w="2977" w:type="dxa"/>
            <w:tcBorders>
              <w:top w:val="nil"/>
              <w:left w:val="nil"/>
              <w:bottom w:val="single" w:sz="4" w:space="0" w:color="auto"/>
              <w:right w:val="single" w:sz="4" w:space="0" w:color="auto"/>
            </w:tcBorders>
            <w:shd w:val="clear" w:color="auto" w:fill="auto"/>
            <w:noWrap/>
            <w:vAlign w:val="bottom"/>
            <w:hideMark/>
          </w:tcPr>
          <w:p w14:paraId="114DB471" w14:textId="77777777" w:rsidR="005E5406" w:rsidRPr="005E5406" w:rsidRDefault="005E5406" w:rsidP="00BC43B4">
            <w:pPr>
              <w:spacing w:after="0"/>
              <w:jc w:val="right"/>
              <w:rPr>
                <w:lang w:eastAsia="en-AU"/>
              </w:rPr>
            </w:pPr>
            <w:r w:rsidRPr="005E5406">
              <w:rPr>
                <w:lang w:eastAsia="en-AU"/>
              </w:rPr>
              <w:t>0%</w:t>
            </w:r>
          </w:p>
        </w:tc>
      </w:tr>
    </w:tbl>
    <w:p w14:paraId="0C1E5267" w14:textId="77777777" w:rsidR="005E5406" w:rsidRDefault="005E5406" w:rsidP="00BC43B4">
      <w:pPr>
        <w:rPr>
          <w:rFonts w:ascii="Helvetica Light" w:hAnsi="Helvetica Light" w:cstheme="minorBidi"/>
          <w:szCs w:val="20"/>
        </w:rPr>
      </w:pPr>
    </w:p>
    <w:p w14:paraId="68F6E33A" w14:textId="77777777" w:rsidR="0080527F" w:rsidRPr="007E394F" w:rsidRDefault="0080527F" w:rsidP="0080527F">
      <w:pPr>
        <w:rPr>
          <w:rFonts w:cs="Arial"/>
          <w:szCs w:val="20"/>
        </w:rPr>
      </w:pPr>
      <w:bookmarkStart w:id="296" w:name="_Percentage_Shares_of"/>
      <w:bookmarkEnd w:id="296"/>
      <w:r w:rsidRPr="007E394F">
        <w:rPr>
          <w:rFonts w:cs="Arial"/>
          <w:szCs w:val="20"/>
        </w:rPr>
        <w:t>Return to</w:t>
      </w:r>
      <w:r>
        <w:rPr>
          <w:rFonts w:cs="Arial"/>
          <w:szCs w:val="20"/>
        </w:rPr>
        <w:t xml:space="preserve"> </w:t>
      </w:r>
      <w:hyperlink w:anchor="_4.3.1_Greenhouse_Gas" w:history="1">
        <w:r w:rsidRPr="0080527F">
          <w:rPr>
            <w:rStyle w:val="Hyperlink"/>
          </w:rPr>
          <w:t>Greenhouse Gas Emissions by Postcode</w:t>
        </w:r>
      </w:hyperlink>
    </w:p>
    <w:p w14:paraId="71966318" w14:textId="54FB9FA7" w:rsidR="00BC43B4" w:rsidRPr="00BC43B4" w:rsidRDefault="00944E9B" w:rsidP="00944E9B">
      <w:pPr>
        <w:pStyle w:val="Heading3"/>
        <w:ind w:left="1440" w:hanging="1440"/>
        <w:rPr>
          <w:rFonts w:hint="eastAsia"/>
        </w:rPr>
      </w:pPr>
      <w:r>
        <w:t>Table A.5</w:t>
      </w:r>
      <w:r w:rsidR="00A13E20">
        <w:t>1</w:t>
      </w:r>
      <w:r>
        <w:tab/>
      </w:r>
      <w:r w:rsidR="00BC43B4" w:rsidRPr="005E5406">
        <w:t>Percentage Shares of Greenhouse Gas Emissions by Postcode and Fuel, City of Melbourne Built Environment, 2022</w:t>
      </w:r>
    </w:p>
    <w:tbl>
      <w:tblPr>
        <w:tblW w:w="6804" w:type="dxa"/>
        <w:tblInd w:w="-5" w:type="dxa"/>
        <w:tblLook w:val="04A0" w:firstRow="1" w:lastRow="0" w:firstColumn="1" w:lastColumn="0" w:noHBand="0" w:noVBand="1"/>
      </w:tblPr>
      <w:tblGrid>
        <w:gridCol w:w="1117"/>
        <w:gridCol w:w="2914"/>
        <w:gridCol w:w="2835"/>
      </w:tblGrid>
      <w:tr w:rsidR="005E5406" w:rsidRPr="005E5406" w14:paraId="6B355BA1" w14:textId="77777777" w:rsidTr="00BC43B4">
        <w:trPr>
          <w:trHeight w:val="300"/>
        </w:trPr>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1F43A9" w14:textId="77777777" w:rsidR="005E5406" w:rsidRPr="00BC43B4" w:rsidRDefault="005E5406" w:rsidP="00BC43B4">
            <w:pPr>
              <w:spacing w:after="0"/>
              <w:rPr>
                <w:b/>
                <w:bCs/>
                <w:lang w:eastAsia="en-AU"/>
              </w:rPr>
            </w:pPr>
            <w:bookmarkStart w:id="297" w:name="_Figure_52:_"/>
            <w:bookmarkEnd w:id="297"/>
            <w:r w:rsidRPr="00BC43B4">
              <w:rPr>
                <w:b/>
                <w:bCs/>
                <w:lang w:eastAsia="en-AU"/>
              </w:rPr>
              <w:t>Postcode</w:t>
            </w:r>
          </w:p>
        </w:tc>
        <w:tc>
          <w:tcPr>
            <w:tcW w:w="2914" w:type="dxa"/>
            <w:tcBorders>
              <w:top w:val="single" w:sz="4" w:space="0" w:color="auto"/>
              <w:left w:val="nil"/>
              <w:bottom w:val="single" w:sz="4" w:space="0" w:color="auto"/>
              <w:right w:val="single" w:sz="4" w:space="0" w:color="auto"/>
            </w:tcBorders>
            <w:shd w:val="clear" w:color="auto" w:fill="auto"/>
            <w:noWrap/>
            <w:vAlign w:val="bottom"/>
            <w:hideMark/>
          </w:tcPr>
          <w:p w14:paraId="6573964A" w14:textId="77777777" w:rsidR="005E5406" w:rsidRPr="00BC43B4" w:rsidRDefault="005E5406" w:rsidP="00BC43B4">
            <w:pPr>
              <w:spacing w:after="0"/>
              <w:rPr>
                <w:b/>
                <w:bCs/>
                <w:lang w:eastAsia="en-AU"/>
              </w:rPr>
            </w:pPr>
            <w:r w:rsidRPr="00BC43B4">
              <w:rPr>
                <w:b/>
                <w:bCs/>
                <w:lang w:eastAsia="en-AU"/>
              </w:rPr>
              <w:t>Electricity Emissions as a Percentage of the Total (%)</w:t>
            </w:r>
          </w:p>
        </w:tc>
        <w:tc>
          <w:tcPr>
            <w:tcW w:w="2835" w:type="dxa"/>
            <w:tcBorders>
              <w:top w:val="single" w:sz="4" w:space="0" w:color="auto"/>
              <w:left w:val="nil"/>
              <w:bottom w:val="single" w:sz="4" w:space="0" w:color="auto"/>
              <w:right w:val="single" w:sz="4" w:space="0" w:color="auto"/>
            </w:tcBorders>
            <w:shd w:val="clear" w:color="auto" w:fill="auto"/>
            <w:noWrap/>
            <w:vAlign w:val="bottom"/>
            <w:hideMark/>
          </w:tcPr>
          <w:p w14:paraId="1E59844E" w14:textId="77777777" w:rsidR="005E5406" w:rsidRPr="00BC43B4" w:rsidRDefault="005E5406" w:rsidP="00BC43B4">
            <w:pPr>
              <w:spacing w:after="0"/>
              <w:rPr>
                <w:b/>
                <w:bCs/>
                <w:lang w:eastAsia="en-AU"/>
              </w:rPr>
            </w:pPr>
            <w:r w:rsidRPr="00BC43B4">
              <w:rPr>
                <w:b/>
                <w:bCs/>
                <w:lang w:eastAsia="en-AU"/>
              </w:rPr>
              <w:t>Gas Emissions as a Percentage of the Total (%)</w:t>
            </w:r>
          </w:p>
        </w:tc>
      </w:tr>
      <w:tr w:rsidR="005E5406" w:rsidRPr="005E5406" w14:paraId="3F89E12A" w14:textId="77777777" w:rsidTr="00BC43B4">
        <w:trPr>
          <w:trHeight w:val="300"/>
        </w:trPr>
        <w:tc>
          <w:tcPr>
            <w:tcW w:w="1055" w:type="dxa"/>
            <w:tcBorders>
              <w:top w:val="nil"/>
              <w:left w:val="single" w:sz="4" w:space="0" w:color="auto"/>
              <w:bottom w:val="single" w:sz="4" w:space="0" w:color="auto"/>
              <w:right w:val="single" w:sz="4" w:space="0" w:color="auto"/>
            </w:tcBorders>
            <w:shd w:val="clear" w:color="auto" w:fill="auto"/>
            <w:noWrap/>
            <w:vAlign w:val="bottom"/>
            <w:hideMark/>
          </w:tcPr>
          <w:p w14:paraId="790931A3" w14:textId="77777777" w:rsidR="005E5406" w:rsidRPr="005E5406" w:rsidRDefault="005E5406" w:rsidP="00BC43B4">
            <w:pPr>
              <w:spacing w:after="0"/>
              <w:jc w:val="right"/>
              <w:rPr>
                <w:lang w:eastAsia="en-AU"/>
              </w:rPr>
            </w:pPr>
            <w:r w:rsidRPr="005E5406">
              <w:rPr>
                <w:lang w:eastAsia="en-AU"/>
              </w:rPr>
              <w:t>3207</w:t>
            </w:r>
          </w:p>
        </w:tc>
        <w:tc>
          <w:tcPr>
            <w:tcW w:w="2914" w:type="dxa"/>
            <w:tcBorders>
              <w:top w:val="nil"/>
              <w:left w:val="nil"/>
              <w:bottom w:val="single" w:sz="4" w:space="0" w:color="auto"/>
              <w:right w:val="single" w:sz="4" w:space="0" w:color="auto"/>
            </w:tcBorders>
            <w:shd w:val="clear" w:color="auto" w:fill="auto"/>
            <w:noWrap/>
            <w:vAlign w:val="bottom"/>
            <w:hideMark/>
          </w:tcPr>
          <w:p w14:paraId="70C227AF" w14:textId="77777777" w:rsidR="005E5406" w:rsidRPr="005E5406" w:rsidRDefault="005E5406" w:rsidP="00BC43B4">
            <w:pPr>
              <w:spacing w:after="0"/>
              <w:jc w:val="right"/>
              <w:rPr>
                <w:lang w:eastAsia="en-AU"/>
              </w:rPr>
            </w:pPr>
            <w:r w:rsidRPr="005E5406">
              <w:rPr>
                <w:lang w:eastAsia="en-AU"/>
              </w:rPr>
              <w:t>94%</w:t>
            </w:r>
          </w:p>
        </w:tc>
        <w:tc>
          <w:tcPr>
            <w:tcW w:w="2835" w:type="dxa"/>
            <w:tcBorders>
              <w:top w:val="nil"/>
              <w:left w:val="nil"/>
              <w:bottom w:val="single" w:sz="4" w:space="0" w:color="auto"/>
              <w:right w:val="single" w:sz="4" w:space="0" w:color="auto"/>
            </w:tcBorders>
            <w:shd w:val="clear" w:color="auto" w:fill="auto"/>
            <w:noWrap/>
            <w:vAlign w:val="bottom"/>
            <w:hideMark/>
          </w:tcPr>
          <w:p w14:paraId="63794CF3" w14:textId="77777777" w:rsidR="005E5406" w:rsidRPr="005E5406" w:rsidRDefault="005E5406" w:rsidP="00BC43B4">
            <w:pPr>
              <w:spacing w:after="0"/>
              <w:jc w:val="right"/>
              <w:rPr>
                <w:lang w:eastAsia="en-AU"/>
              </w:rPr>
            </w:pPr>
            <w:r w:rsidRPr="005E5406">
              <w:rPr>
                <w:lang w:eastAsia="en-AU"/>
              </w:rPr>
              <w:t>6%</w:t>
            </w:r>
          </w:p>
        </w:tc>
      </w:tr>
      <w:tr w:rsidR="005E5406" w:rsidRPr="005E5406" w14:paraId="389C205B" w14:textId="77777777" w:rsidTr="00BC43B4">
        <w:trPr>
          <w:trHeight w:val="300"/>
        </w:trPr>
        <w:tc>
          <w:tcPr>
            <w:tcW w:w="1055" w:type="dxa"/>
            <w:tcBorders>
              <w:top w:val="nil"/>
              <w:left w:val="single" w:sz="4" w:space="0" w:color="auto"/>
              <w:bottom w:val="single" w:sz="4" w:space="0" w:color="auto"/>
              <w:right w:val="single" w:sz="4" w:space="0" w:color="auto"/>
            </w:tcBorders>
            <w:shd w:val="clear" w:color="auto" w:fill="auto"/>
            <w:noWrap/>
            <w:vAlign w:val="bottom"/>
            <w:hideMark/>
          </w:tcPr>
          <w:p w14:paraId="278FEEC3" w14:textId="77777777" w:rsidR="005E5406" w:rsidRPr="005E5406" w:rsidRDefault="005E5406" w:rsidP="00BC43B4">
            <w:pPr>
              <w:spacing w:after="0"/>
              <w:jc w:val="right"/>
              <w:rPr>
                <w:lang w:eastAsia="en-AU"/>
              </w:rPr>
            </w:pPr>
            <w:r w:rsidRPr="005E5406">
              <w:rPr>
                <w:lang w:eastAsia="en-AU"/>
              </w:rPr>
              <w:t>3032</w:t>
            </w:r>
          </w:p>
        </w:tc>
        <w:tc>
          <w:tcPr>
            <w:tcW w:w="2914" w:type="dxa"/>
            <w:tcBorders>
              <w:top w:val="nil"/>
              <w:left w:val="nil"/>
              <w:bottom w:val="single" w:sz="4" w:space="0" w:color="auto"/>
              <w:right w:val="single" w:sz="4" w:space="0" w:color="auto"/>
            </w:tcBorders>
            <w:shd w:val="clear" w:color="auto" w:fill="auto"/>
            <w:noWrap/>
            <w:vAlign w:val="bottom"/>
            <w:hideMark/>
          </w:tcPr>
          <w:p w14:paraId="57C774E6" w14:textId="77777777" w:rsidR="005E5406" w:rsidRPr="005E5406" w:rsidRDefault="005E5406" w:rsidP="00BC43B4">
            <w:pPr>
              <w:spacing w:after="0"/>
              <w:jc w:val="right"/>
              <w:rPr>
                <w:lang w:eastAsia="en-AU"/>
              </w:rPr>
            </w:pPr>
            <w:r w:rsidRPr="005E5406">
              <w:rPr>
                <w:lang w:eastAsia="en-AU"/>
              </w:rPr>
              <w:t>94%</w:t>
            </w:r>
          </w:p>
        </w:tc>
        <w:tc>
          <w:tcPr>
            <w:tcW w:w="2835" w:type="dxa"/>
            <w:tcBorders>
              <w:top w:val="nil"/>
              <w:left w:val="nil"/>
              <w:bottom w:val="single" w:sz="4" w:space="0" w:color="auto"/>
              <w:right w:val="single" w:sz="4" w:space="0" w:color="auto"/>
            </w:tcBorders>
            <w:shd w:val="clear" w:color="auto" w:fill="auto"/>
            <w:noWrap/>
            <w:vAlign w:val="bottom"/>
            <w:hideMark/>
          </w:tcPr>
          <w:p w14:paraId="19DC6F07" w14:textId="77777777" w:rsidR="005E5406" w:rsidRPr="005E5406" w:rsidRDefault="005E5406" w:rsidP="00BC43B4">
            <w:pPr>
              <w:spacing w:after="0"/>
              <w:jc w:val="right"/>
              <w:rPr>
                <w:lang w:eastAsia="en-AU"/>
              </w:rPr>
            </w:pPr>
            <w:r w:rsidRPr="005E5406">
              <w:rPr>
                <w:lang w:eastAsia="en-AU"/>
              </w:rPr>
              <w:t>6%</w:t>
            </w:r>
          </w:p>
        </w:tc>
      </w:tr>
      <w:tr w:rsidR="005E5406" w:rsidRPr="005E5406" w14:paraId="1A5C989D" w14:textId="77777777" w:rsidTr="00BC43B4">
        <w:trPr>
          <w:trHeight w:val="300"/>
        </w:trPr>
        <w:tc>
          <w:tcPr>
            <w:tcW w:w="1055" w:type="dxa"/>
            <w:tcBorders>
              <w:top w:val="nil"/>
              <w:left w:val="single" w:sz="4" w:space="0" w:color="auto"/>
              <w:bottom w:val="single" w:sz="4" w:space="0" w:color="auto"/>
              <w:right w:val="single" w:sz="4" w:space="0" w:color="auto"/>
            </w:tcBorders>
            <w:shd w:val="clear" w:color="auto" w:fill="auto"/>
            <w:noWrap/>
            <w:vAlign w:val="bottom"/>
            <w:hideMark/>
          </w:tcPr>
          <w:p w14:paraId="58922178" w14:textId="77777777" w:rsidR="005E5406" w:rsidRPr="005E5406" w:rsidRDefault="005E5406" w:rsidP="00BC43B4">
            <w:pPr>
              <w:spacing w:after="0"/>
              <w:jc w:val="right"/>
              <w:rPr>
                <w:lang w:eastAsia="en-AU"/>
              </w:rPr>
            </w:pPr>
            <w:r w:rsidRPr="005E5406">
              <w:rPr>
                <w:lang w:eastAsia="en-AU"/>
              </w:rPr>
              <w:t>3010</w:t>
            </w:r>
          </w:p>
        </w:tc>
        <w:tc>
          <w:tcPr>
            <w:tcW w:w="2914" w:type="dxa"/>
            <w:tcBorders>
              <w:top w:val="nil"/>
              <w:left w:val="nil"/>
              <w:bottom w:val="single" w:sz="4" w:space="0" w:color="auto"/>
              <w:right w:val="single" w:sz="4" w:space="0" w:color="auto"/>
            </w:tcBorders>
            <w:shd w:val="clear" w:color="auto" w:fill="auto"/>
            <w:noWrap/>
            <w:vAlign w:val="bottom"/>
            <w:hideMark/>
          </w:tcPr>
          <w:p w14:paraId="791ACD56" w14:textId="77777777" w:rsidR="005E5406" w:rsidRPr="005E5406" w:rsidRDefault="005E5406" w:rsidP="00BC43B4">
            <w:pPr>
              <w:spacing w:after="0"/>
              <w:jc w:val="right"/>
              <w:rPr>
                <w:lang w:eastAsia="en-AU"/>
              </w:rPr>
            </w:pPr>
            <w:r w:rsidRPr="005E5406">
              <w:rPr>
                <w:lang w:eastAsia="en-AU"/>
              </w:rPr>
              <w:t>94%</w:t>
            </w:r>
          </w:p>
        </w:tc>
        <w:tc>
          <w:tcPr>
            <w:tcW w:w="2835" w:type="dxa"/>
            <w:tcBorders>
              <w:top w:val="nil"/>
              <w:left w:val="nil"/>
              <w:bottom w:val="single" w:sz="4" w:space="0" w:color="auto"/>
              <w:right w:val="single" w:sz="4" w:space="0" w:color="auto"/>
            </w:tcBorders>
            <w:shd w:val="clear" w:color="auto" w:fill="auto"/>
            <w:noWrap/>
            <w:vAlign w:val="bottom"/>
            <w:hideMark/>
          </w:tcPr>
          <w:p w14:paraId="144446CB" w14:textId="77777777" w:rsidR="005E5406" w:rsidRPr="005E5406" w:rsidRDefault="005E5406" w:rsidP="00BC43B4">
            <w:pPr>
              <w:spacing w:after="0"/>
              <w:jc w:val="right"/>
              <w:rPr>
                <w:lang w:eastAsia="en-AU"/>
              </w:rPr>
            </w:pPr>
            <w:r w:rsidRPr="005E5406">
              <w:rPr>
                <w:lang w:eastAsia="en-AU"/>
              </w:rPr>
              <w:t>6%</w:t>
            </w:r>
          </w:p>
        </w:tc>
      </w:tr>
      <w:tr w:rsidR="005E5406" w:rsidRPr="005E5406" w14:paraId="6DD84930" w14:textId="77777777" w:rsidTr="00BC43B4">
        <w:trPr>
          <w:trHeight w:val="300"/>
        </w:trPr>
        <w:tc>
          <w:tcPr>
            <w:tcW w:w="1055" w:type="dxa"/>
            <w:tcBorders>
              <w:top w:val="nil"/>
              <w:left w:val="single" w:sz="4" w:space="0" w:color="auto"/>
              <w:bottom w:val="single" w:sz="4" w:space="0" w:color="auto"/>
              <w:right w:val="single" w:sz="4" w:space="0" w:color="auto"/>
            </w:tcBorders>
            <w:shd w:val="clear" w:color="auto" w:fill="auto"/>
            <w:noWrap/>
            <w:vAlign w:val="bottom"/>
            <w:hideMark/>
          </w:tcPr>
          <w:p w14:paraId="6D5781B8" w14:textId="77777777" w:rsidR="005E5406" w:rsidRPr="005E5406" w:rsidRDefault="005E5406" w:rsidP="00BC43B4">
            <w:pPr>
              <w:spacing w:after="0"/>
              <w:jc w:val="right"/>
              <w:rPr>
                <w:lang w:eastAsia="en-AU"/>
              </w:rPr>
            </w:pPr>
            <w:r w:rsidRPr="005E5406">
              <w:rPr>
                <w:lang w:eastAsia="en-AU"/>
              </w:rPr>
              <w:t>3054</w:t>
            </w:r>
          </w:p>
        </w:tc>
        <w:tc>
          <w:tcPr>
            <w:tcW w:w="2914" w:type="dxa"/>
            <w:tcBorders>
              <w:top w:val="nil"/>
              <w:left w:val="nil"/>
              <w:bottom w:val="single" w:sz="4" w:space="0" w:color="auto"/>
              <w:right w:val="single" w:sz="4" w:space="0" w:color="auto"/>
            </w:tcBorders>
            <w:shd w:val="clear" w:color="auto" w:fill="auto"/>
            <w:noWrap/>
            <w:vAlign w:val="bottom"/>
            <w:hideMark/>
          </w:tcPr>
          <w:p w14:paraId="51186302" w14:textId="77777777" w:rsidR="005E5406" w:rsidRPr="005E5406" w:rsidRDefault="005E5406" w:rsidP="00BC43B4">
            <w:pPr>
              <w:spacing w:after="0"/>
              <w:jc w:val="right"/>
              <w:rPr>
                <w:lang w:eastAsia="en-AU"/>
              </w:rPr>
            </w:pPr>
            <w:r w:rsidRPr="005E5406">
              <w:rPr>
                <w:lang w:eastAsia="en-AU"/>
              </w:rPr>
              <w:t>93%</w:t>
            </w:r>
          </w:p>
        </w:tc>
        <w:tc>
          <w:tcPr>
            <w:tcW w:w="2835" w:type="dxa"/>
            <w:tcBorders>
              <w:top w:val="nil"/>
              <w:left w:val="nil"/>
              <w:bottom w:val="single" w:sz="4" w:space="0" w:color="auto"/>
              <w:right w:val="single" w:sz="4" w:space="0" w:color="auto"/>
            </w:tcBorders>
            <w:shd w:val="clear" w:color="auto" w:fill="auto"/>
            <w:noWrap/>
            <w:vAlign w:val="bottom"/>
            <w:hideMark/>
          </w:tcPr>
          <w:p w14:paraId="2F9B249C" w14:textId="77777777" w:rsidR="005E5406" w:rsidRPr="005E5406" w:rsidRDefault="005E5406" w:rsidP="00BC43B4">
            <w:pPr>
              <w:spacing w:after="0"/>
              <w:jc w:val="right"/>
              <w:rPr>
                <w:lang w:eastAsia="en-AU"/>
              </w:rPr>
            </w:pPr>
            <w:r w:rsidRPr="005E5406">
              <w:rPr>
                <w:lang w:eastAsia="en-AU"/>
              </w:rPr>
              <w:t>7%</w:t>
            </w:r>
          </w:p>
        </w:tc>
      </w:tr>
      <w:tr w:rsidR="005E5406" w:rsidRPr="005E5406" w14:paraId="470DCB57" w14:textId="77777777" w:rsidTr="00BC43B4">
        <w:trPr>
          <w:trHeight w:val="300"/>
        </w:trPr>
        <w:tc>
          <w:tcPr>
            <w:tcW w:w="1055" w:type="dxa"/>
            <w:tcBorders>
              <w:top w:val="nil"/>
              <w:left w:val="single" w:sz="4" w:space="0" w:color="auto"/>
              <w:bottom w:val="single" w:sz="4" w:space="0" w:color="auto"/>
              <w:right w:val="single" w:sz="4" w:space="0" w:color="auto"/>
            </w:tcBorders>
            <w:shd w:val="clear" w:color="auto" w:fill="auto"/>
            <w:noWrap/>
            <w:vAlign w:val="bottom"/>
            <w:hideMark/>
          </w:tcPr>
          <w:p w14:paraId="1D7CB272" w14:textId="77777777" w:rsidR="005E5406" w:rsidRPr="005E5406" w:rsidRDefault="005E5406" w:rsidP="00BC43B4">
            <w:pPr>
              <w:spacing w:after="0"/>
              <w:jc w:val="right"/>
              <w:rPr>
                <w:lang w:eastAsia="en-AU"/>
              </w:rPr>
            </w:pPr>
            <w:r w:rsidRPr="005E5406">
              <w:rPr>
                <w:lang w:eastAsia="en-AU"/>
              </w:rPr>
              <w:t>3003</w:t>
            </w:r>
          </w:p>
        </w:tc>
        <w:tc>
          <w:tcPr>
            <w:tcW w:w="2914" w:type="dxa"/>
            <w:tcBorders>
              <w:top w:val="nil"/>
              <w:left w:val="nil"/>
              <w:bottom w:val="single" w:sz="4" w:space="0" w:color="auto"/>
              <w:right w:val="single" w:sz="4" w:space="0" w:color="auto"/>
            </w:tcBorders>
            <w:shd w:val="clear" w:color="auto" w:fill="auto"/>
            <w:noWrap/>
            <w:vAlign w:val="bottom"/>
            <w:hideMark/>
          </w:tcPr>
          <w:p w14:paraId="53D68A91" w14:textId="77777777" w:rsidR="005E5406" w:rsidRPr="005E5406" w:rsidRDefault="005E5406" w:rsidP="00BC43B4">
            <w:pPr>
              <w:spacing w:after="0"/>
              <w:jc w:val="right"/>
              <w:rPr>
                <w:lang w:eastAsia="en-AU"/>
              </w:rPr>
            </w:pPr>
            <w:r w:rsidRPr="005E5406">
              <w:rPr>
                <w:lang w:eastAsia="en-AU"/>
              </w:rPr>
              <w:t>92%</w:t>
            </w:r>
          </w:p>
        </w:tc>
        <w:tc>
          <w:tcPr>
            <w:tcW w:w="2835" w:type="dxa"/>
            <w:tcBorders>
              <w:top w:val="nil"/>
              <w:left w:val="nil"/>
              <w:bottom w:val="single" w:sz="4" w:space="0" w:color="auto"/>
              <w:right w:val="single" w:sz="4" w:space="0" w:color="auto"/>
            </w:tcBorders>
            <w:shd w:val="clear" w:color="auto" w:fill="auto"/>
            <w:noWrap/>
            <w:vAlign w:val="bottom"/>
            <w:hideMark/>
          </w:tcPr>
          <w:p w14:paraId="688EBDA1" w14:textId="77777777" w:rsidR="005E5406" w:rsidRPr="005E5406" w:rsidRDefault="005E5406" w:rsidP="00BC43B4">
            <w:pPr>
              <w:spacing w:after="0"/>
              <w:jc w:val="right"/>
              <w:rPr>
                <w:lang w:eastAsia="en-AU"/>
              </w:rPr>
            </w:pPr>
            <w:r w:rsidRPr="005E5406">
              <w:rPr>
                <w:lang w:eastAsia="en-AU"/>
              </w:rPr>
              <w:t>8%</w:t>
            </w:r>
          </w:p>
        </w:tc>
      </w:tr>
      <w:tr w:rsidR="005E5406" w:rsidRPr="005E5406" w14:paraId="67319130" w14:textId="77777777" w:rsidTr="00BC43B4">
        <w:trPr>
          <w:trHeight w:val="300"/>
        </w:trPr>
        <w:tc>
          <w:tcPr>
            <w:tcW w:w="1055" w:type="dxa"/>
            <w:tcBorders>
              <w:top w:val="nil"/>
              <w:left w:val="single" w:sz="4" w:space="0" w:color="auto"/>
              <w:bottom w:val="single" w:sz="4" w:space="0" w:color="auto"/>
              <w:right w:val="single" w:sz="4" w:space="0" w:color="auto"/>
            </w:tcBorders>
            <w:shd w:val="clear" w:color="auto" w:fill="auto"/>
            <w:noWrap/>
            <w:vAlign w:val="bottom"/>
            <w:hideMark/>
          </w:tcPr>
          <w:p w14:paraId="773E9A20" w14:textId="77777777" w:rsidR="005E5406" w:rsidRPr="005E5406" w:rsidRDefault="005E5406" w:rsidP="00BC43B4">
            <w:pPr>
              <w:spacing w:after="0"/>
              <w:jc w:val="right"/>
              <w:rPr>
                <w:lang w:eastAsia="en-AU"/>
              </w:rPr>
            </w:pPr>
            <w:r w:rsidRPr="005E5406">
              <w:rPr>
                <w:lang w:eastAsia="en-AU"/>
              </w:rPr>
              <w:t>3004</w:t>
            </w:r>
          </w:p>
        </w:tc>
        <w:tc>
          <w:tcPr>
            <w:tcW w:w="2914" w:type="dxa"/>
            <w:tcBorders>
              <w:top w:val="nil"/>
              <w:left w:val="nil"/>
              <w:bottom w:val="single" w:sz="4" w:space="0" w:color="auto"/>
              <w:right w:val="single" w:sz="4" w:space="0" w:color="auto"/>
            </w:tcBorders>
            <w:shd w:val="clear" w:color="auto" w:fill="auto"/>
            <w:noWrap/>
            <w:vAlign w:val="bottom"/>
            <w:hideMark/>
          </w:tcPr>
          <w:p w14:paraId="37ABAF71" w14:textId="77777777" w:rsidR="005E5406" w:rsidRPr="005E5406" w:rsidRDefault="005E5406" w:rsidP="00BC43B4">
            <w:pPr>
              <w:spacing w:after="0"/>
              <w:jc w:val="right"/>
              <w:rPr>
                <w:lang w:eastAsia="en-AU"/>
              </w:rPr>
            </w:pPr>
            <w:r w:rsidRPr="005E5406">
              <w:rPr>
                <w:lang w:eastAsia="en-AU"/>
              </w:rPr>
              <w:t>90%</w:t>
            </w:r>
          </w:p>
        </w:tc>
        <w:tc>
          <w:tcPr>
            <w:tcW w:w="2835" w:type="dxa"/>
            <w:tcBorders>
              <w:top w:val="nil"/>
              <w:left w:val="nil"/>
              <w:bottom w:val="single" w:sz="4" w:space="0" w:color="auto"/>
              <w:right w:val="single" w:sz="4" w:space="0" w:color="auto"/>
            </w:tcBorders>
            <w:shd w:val="clear" w:color="auto" w:fill="auto"/>
            <w:noWrap/>
            <w:vAlign w:val="bottom"/>
            <w:hideMark/>
          </w:tcPr>
          <w:p w14:paraId="50765898" w14:textId="77777777" w:rsidR="005E5406" w:rsidRPr="005E5406" w:rsidRDefault="005E5406" w:rsidP="00BC43B4">
            <w:pPr>
              <w:spacing w:after="0"/>
              <w:jc w:val="right"/>
              <w:rPr>
                <w:lang w:eastAsia="en-AU"/>
              </w:rPr>
            </w:pPr>
            <w:r w:rsidRPr="005E5406">
              <w:rPr>
                <w:lang w:eastAsia="en-AU"/>
              </w:rPr>
              <w:t>10%</w:t>
            </w:r>
          </w:p>
        </w:tc>
      </w:tr>
      <w:tr w:rsidR="005E5406" w:rsidRPr="005E5406" w14:paraId="2DCEF733" w14:textId="77777777" w:rsidTr="00BC43B4">
        <w:trPr>
          <w:trHeight w:val="300"/>
        </w:trPr>
        <w:tc>
          <w:tcPr>
            <w:tcW w:w="1055" w:type="dxa"/>
            <w:tcBorders>
              <w:top w:val="nil"/>
              <w:left w:val="single" w:sz="4" w:space="0" w:color="auto"/>
              <w:bottom w:val="single" w:sz="4" w:space="0" w:color="auto"/>
              <w:right w:val="single" w:sz="4" w:space="0" w:color="auto"/>
            </w:tcBorders>
            <w:shd w:val="clear" w:color="auto" w:fill="auto"/>
            <w:noWrap/>
            <w:vAlign w:val="bottom"/>
            <w:hideMark/>
          </w:tcPr>
          <w:p w14:paraId="739BD3B3" w14:textId="77777777" w:rsidR="005E5406" w:rsidRPr="005E5406" w:rsidRDefault="005E5406" w:rsidP="00BC43B4">
            <w:pPr>
              <w:spacing w:after="0"/>
              <w:jc w:val="right"/>
              <w:rPr>
                <w:lang w:eastAsia="en-AU"/>
              </w:rPr>
            </w:pPr>
            <w:r w:rsidRPr="005E5406">
              <w:rPr>
                <w:lang w:eastAsia="en-AU"/>
              </w:rPr>
              <w:t>3000</w:t>
            </w:r>
          </w:p>
        </w:tc>
        <w:tc>
          <w:tcPr>
            <w:tcW w:w="2914" w:type="dxa"/>
            <w:tcBorders>
              <w:top w:val="nil"/>
              <w:left w:val="nil"/>
              <w:bottom w:val="single" w:sz="4" w:space="0" w:color="auto"/>
              <w:right w:val="single" w:sz="4" w:space="0" w:color="auto"/>
            </w:tcBorders>
            <w:shd w:val="clear" w:color="auto" w:fill="auto"/>
            <w:noWrap/>
            <w:vAlign w:val="bottom"/>
            <w:hideMark/>
          </w:tcPr>
          <w:p w14:paraId="3C155E22" w14:textId="77777777" w:rsidR="005E5406" w:rsidRPr="005E5406" w:rsidRDefault="005E5406" w:rsidP="00BC43B4">
            <w:pPr>
              <w:spacing w:after="0"/>
              <w:jc w:val="right"/>
              <w:rPr>
                <w:lang w:eastAsia="en-AU"/>
              </w:rPr>
            </w:pPr>
            <w:r w:rsidRPr="005E5406">
              <w:rPr>
                <w:lang w:eastAsia="en-AU"/>
              </w:rPr>
              <w:t>90%</w:t>
            </w:r>
          </w:p>
        </w:tc>
        <w:tc>
          <w:tcPr>
            <w:tcW w:w="2835" w:type="dxa"/>
            <w:tcBorders>
              <w:top w:val="nil"/>
              <w:left w:val="nil"/>
              <w:bottom w:val="single" w:sz="4" w:space="0" w:color="auto"/>
              <w:right w:val="single" w:sz="4" w:space="0" w:color="auto"/>
            </w:tcBorders>
            <w:shd w:val="clear" w:color="auto" w:fill="auto"/>
            <w:noWrap/>
            <w:vAlign w:val="bottom"/>
            <w:hideMark/>
          </w:tcPr>
          <w:p w14:paraId="1AC90B9B" w14:textId="77777777" w:rsidR="005E5406" w:rsidRPr="005E5406" w:rsidRDefault="005E5406" w:rsidP="00BC43B4">
            <w:pPr>
              <w:spacing w:after="0"/>
              <w:jc w:val="right"/>
              <w:rPr>
                <w:lang w:eastAsia="en-AU"/>
              </w:rPr>
            </w:pPr>
            <w:r w:rsidRPr="005E5406">
              <w:rPr>
                <w:lang w:eastAsia="en-AU"/>
              </w:rPr>
              <w:t>10%</w:t>
            </w:r>
          </w:p>
        </w:tc>
      </w:tr>
      <w:tr w:rsidR="005E5406" w:rsidRPr="005E5406" w14:paraId="367D6E16" w14:textId="77777777" w:rsidTr="00BC43B4">
        <w:trPr>
          <w:trHeight w:val="300"/>
        </w:trPr>
        <w:tc>
          <w:tcPr>
            <w:tcW w:w="1055" w:type="dxa"/>
            <w:tcBorders>
              <w:top w:val="nil"/>
              <w:left w:val="single" w:sz="4" w:space="0" w:color="auto"/>
              <w:bottom w:val="single" w:sz="4" w:space="0" w:color="auto"/>
              <w:right w:val="single" w:sz="4" w:space="0" w:color="auto"/>
            </w:tcBorders>
            <w:shd w:val="clear" w:color="auto" w:fill="auto"/>
            <w:noWrap/>
            <w:vAlign w:val="bottom"/>
            <w:hideMark/>
          </w:tcPr>
          <w:p w14:paraId="77EE3AB6" w14:textId="77777777" w:rsidR="005E5406" w:rsidRPr="005E5406" w:rsidRDefault="005E5406" w:rsidP="00BC43B4">
            <w:pPr>
              <w:spacing w:after="0"/>
              <w:jc w:val="right"/>
              <w:rPr>
                <w:lang w:eastAsia="en-AU"/>
              </w:rPr>
            </w:pPr>
            <w:r w:rsidRPr="005E5406">
              <w:rPr>
                <w:lang w:eastAsia="en-AU"/>
              </w:rPr>
              <w:t>3006</w:t>
            </w:r>
          </w:p>
        </w:tc>
        <w:tc>
          <w:tcPr>
            <w:tcW w:w="2914" w:type="dxa"/>
            <w:tcBorders>
              <w:top w:val="nil"/>
              <w:left w:val="nil"/>
              <w:bottom w:val="single" w:sz="4" w:space="0" w:color="auto"/>
              <w:right w:val="single" w:sz="4" w:space="0" w:color="auto"/>
            </w:tcBorders>
            <w:shd w:val="clear" w:color="auto" w:fill="auto"/>
            <w:noWrap/>
            <w:vAlign w:val="bottom"/>
            <w:hideMark/>
          </w:tcPr>
          <w:p w14:paraId="094F5A7F" w14:textId="77777777" w:rsidR="005E5406" w:rsidRPr="005E5406" w:rsidRDefault="005E5406" w:rsidP="00BC43B4">
            <w:pPr>
              <w:spacing w:after="0"/>
              <w:jc w:val="right"/>
              <w:rPr>
                <w:lang w:eastAsia="en-AU"/>
              </w:rPr>
            </w:pPr>
            <w:r w:rsidRPr="005E5406">
              <w:rPr>
                <w:lang w:eastAsia="en-AU"/>
              </w:rPr>
              <w:t>90%</w:t>
            </w:r>
          </w:p>
        </w:tc>
        <w:tc>
          <w:tcPr>
            <w:tcW w:w="2835" w:type="dxa"/>
            <w:tcBorders>
              <w:top w:val="nil"/>
              <w:left w:val="nil"/>
              <w:bottom w:val="single" w:sz="4" w:space="0" w:color="auto"/>
              <w:right w:val="single" w:sz="4" w:space="0" w:color="auto"/>
            </w:tcBorders>
            <w:shd w:val="clear" w:color="auto" w:fill="auto"/>
            <w:noWrap/>
            <w:vAlign w:val="bottom"/>
            <w:hideMark/>
          </w:tcPr>
          <w:p w14:paraId="444F6FB6" w14:textId="77777777" w:rsidR="005E5406" w:rsidRPr="005E5406" w:rsidRDefault="005E5406" w:rsidP="00BC43B4">
            <w:pPr>
              <w:spacing w:after="0"/>
              <w:jc w:val="right"/>
              <w:rPr>
                <w:lang w:eastAsia="en-AU"/>
              </w:rPr>
            </w:pPr>
            <w:r w:rsidRPr="005E5406">
              <w:rPr>
                <w:lang w:eastAsia="en-AU"/>
              </w:rPr>
              <w:t>10%</w:t>
            </w:r>
          </w:p>
        </w:tc>
      </w:tr>
      <w:tr w:rsidR="005E5406" w:rsidRPr="005E5406" w14:paraId="38490CBC" w14:textId="77777777" w:rsidTr="00BC43B4">
        <w:trPr>
          <w:trHeight w:val="300"/>
        </w:trPr>
        <w:tc>
          <w:tcPr>
            <w:tcW w:w="1055" w:type="dxa"/>
            <w:tcBorders>
              <w:top w:val="nil"/>
              <w:left w:val="single" w:sz="4" w:space="0" w:color="auto"/>
              <w:bottom w:val="single" w:sz="4" w:space="0" w:color="auto"/>
              <w:right w:val="single" w:sz="4" w:space="0" w:color="auto"/>
            </w:tcBorders>
            <w:shd w:val="clear" w:color="auto" w:fill="auto"/>
            <w:noWrap/>
            <w:vAlign w:val="bottom"/>
            <w:hideMark/>
          </w:tcPr>
          <w:p w14:paraId="04F51B16" w14:textId="77777777" w:rsidR="005E5406" w:rsidRPr="005E5406" w:rsidRDefault="005E5406" w:rsidP="00BC43B4">
            <w:pPr>
              <w:spacing w:after="0"/>
              <w:jc w:val="right"/>
              <w:rPr>
                <w:lang w:eastAsia="en-AU"/>
              </w:rPr>
            </w:pPr>
            <w:r w:rsidRPr="005E5406">
              <w:rPr>
                <w:lang w:eastAsia="en-AU"/>
              </w:rPr>
              <w:t>3002</w:t>
            </w:r>
          </w:p>
        </w:tc>
        <w:tc>
          <w:tcPr>
            <w:tcW w:w="2914" w:type="dxa"/>
            <w:tcBorders>
              <w:top w:val="nil"/>
              <w:left w:val="nil"/>
              <w:bottom w:val="single" w:sz="4" w:space="0" w:color="auto"/>
              <w:right w:val="single" w:sz="4" w:space="0" w:color="auto"/>
            </w:tcBorders>
            <w:shd w:val="clear" w:color="auto" w:fill="auto"/>
            <w:noWrap/>
            <w:vAlign w:val="bottom"/>
            <w:hideMark/>
          </w:tcPr>
          <w:p w14:paraId="4A1CCD58" w14:textId="77777777" w:rsidR="005E5406" w:rsidRPr="005E5406" w:rsidRDefault="005E5406" w:rsidP="00BC43B4">
            <w:pPr>
              <w:spacing w:after="0"/>
              <w:jc w:val="right"/>
              <w:rPr>
                <w:lang w:eastAsia="en-AU"/>
              </w:rPr>
            </w:pPr>
            <w:r w:rsidRPr="005E5406">
              <w:rPr>
                <w:lang w:eastAsia="en-AU"/>
              </w:rPr>
              <w:t>89%</w:t>
            </w:r>
          </w:p>
        </w:tc>
        <w:tc>
          <w:tcPr>
            <w:tcW w:w="2835" w:type="dxa"/>
            <w:tcBorders>
              <w:top w:val="nil"/>
              <w:left w:val="nil"/>
              <w:bottom w:val="single" w:sz="4" w:space="0" w:color="auto"/>
              <w:right w:val="single" w:sz="4" w:space="0" w:color="auto"/>
            </w:tcBorders>
            <w:shd w:val="clear" w:color="auto" w:fill="auto"/>
            <w:noWrap/>
            <w:vAlign w:val="bottom"/>
            <w:hideMark/>
          </w:tcPr>
          <w:p w14:paraId="4DFE8534" w14:textId="77777777" w:rsidR="005E5406" w:rsidRPr="005E5406" w:rsidRDefault="005E5406" w:rsidP="00BC43B4">
            <w:pPr>
              <w:spacing w:after="0"/>
              <w:jc w:val="right"/>
              <w:rPr>
                <w:lang w:eastAsia="en-AU"/>
              </w:rPr>
            </w:pPr>
            <w:r w:rsidRPr="005E5406">
              <w:rPr>
                <w:lang w:eastAsia="en-AU"/>
              </w:rPr>
              <w:t>11%</w:t>
            </w:r>
          </w:p>
        </w:tc>
      </w:tr>
      <w:tr w:rsidR="005E5406" w:rsidRPr="005E5406" w14:paraId="7E856FA5" w14:textId="77777777" w:rsidTr="00BC43B4">
        <w:trPr>
          <w:trHeight w:val="300"/>
        </w:trPr>
        <w:tc>
          <w:tcPr>
            <w:tcW w:w="1055" w:type="dxa"/>
            <w:tcBorders>
              <w:top w:val="nil"/>
              <w:left w:val="single" w:sz="4" w:space="0" w:color="auto"/>
              <w:bottom w:val="single" w:sz="4" w:space="0" w:color="auto"/>
              <w:right w:val="single" w:sz="4" w:space="0" w:color="auto"/>
            </w:tcBorders>
            <w:shd w:val="clear" w:color="auto" w:fill="auto"/>
            <w:noWrap/>
            <w:vAlign w:val="bottom"/>
            <w:hideMark/>
          </w:tcPr>
          <w:p w14:paraId="657A50E7" w14:textId="77777777" w:rsidR="005E5406" w:rsidRPr="005E5406" w:rsidRDefault="005E5406" w:rsidP="00BC43B4">
            <w:pPr>
              <w:spacing w:after="0"/>
              <w:jc w:val="right"/>
              <w:rPr>
                <w:lang w:eastAsia="en-AU"/>
              </w:rPr>
            </w:pPr>
            <w:r w:rsidRPr="005E5406">
              <w:rPr>
                <w:lang w:eastAsia="en-AU"/>
              </w:rPr>
              <w:t>3008</w:t>
            </w:r>
          </w:p>
        </w:tc>
        <w:tc>
          <w:tcPr>
            <w:tcW w:w="2914" w:type="dxa"/>
            <w:tcBorders>
              <w:top w:val="nil"/>
              <w:left w:val="nil"/>
              <w:bottom w:val="single" w:sz="4" w:space="0" w:color="auto"/>
              <w:right w:val="single" w:sz="4" w:space="0" w:color="auto"/>
            </w:tcBorders>
            <w:shd w:val="clear" w:color="auto" w:fill="auto"/>
            <w:noWrap/>
            <w:vAlign w:val="bottom"/>
            <w:hideMark/>
          </w:tcPr>
          <w:p w14:paraId="207E8822" w14:textId="77777777" w:rsidR="005E5406" w:rsidRPr="005E5406" w:rsidRDefault="005E5406" w:rsidP="00BC43B4">
            <w:pPr>
              <w:spacing w:after="0"/>
              <w:jc w:val="right"/>
              <w:rPr>
                <w:lang w:eastAsia="en-AU"/>
              </w:rPr>
            </w:pPr>
            <w:r w:rsidRPr="005E5406">
              <w:rPr>
                <w:lang w:eastAsia="en-AU"/>
              </w:rPr>
              <w:t>89%</w:t>
            </w:r>
          </w:p>
        </w:tc>
        <w:tc>
          <w:tcPr>
            <w:tcW w:w="2835" w:type="dxa"/>
            <w:tcBorders>
              <w:top w:val="nil"/>
              <w:left w:val="nil"/>
              <w:bottom w:val="single" w:sz="4" w:space="0" w:color="auto"/>
              <w:right w:val="single" w:sz="4" w:space="0" w:color="auto"/>
            </w:tcBorders>
            <w:shd w:val="clear" w:color="auto" w:fill="auto"/>
            <w:noWrap/>
            <w:vAlign w:val="bottom"/>
            <w:hideMark/>
          </w:tcPr>
          <w:p w14:paraId="31394E81" w14:textId="77777777" w:rsidR="005E5406" w:rsidRPr="005E5406" w:rsidRDefault="005E5406" w:rsidP="00BC43B4">
            <w:pPr>
              <w:spacing w:after="0"/>
              <w:jc w:val="right"/>
              <w:rPr>
                <w:lang w:eastAsia="en-AU"/>
              </w:rPr>
            </w:pPr>
            <w:r w:rsidRPr="005E5406">
              <w:rPr>
                <w:lang w:eastAsia="en-AU"/>
              </w:rPr>
              <w:t>11%</w:t>
            </w:r>
          </w:p>
        </w:tc>
      </w:tr>
      <w:tr w:rsidR="005E5406" w:rsidRPr="005E5406" w14:paraId="1BF414DB" w14:textId="77777777" w:rsidTr="00BC43B4">
        <w:trPr>
          <w:trHeight w:val="300"/>
        </w:trPr>
        <w:tc>
          <w:tcPr>
            <w:tcW w:w="1055" w:type="dxa"/>
            <w:tcBorders>
              <w:top w:val="nil"/>
              <w:left w:val="single" w:sz="4" w:space="0" w:color="auto"/>
              <w:bottom w:val="single" w:sz="4" w:space="0" w:color="auto"/>
              <w:right w:val="single" w:sz="4" w:space="0" w:color="auto"/>
            </w:tcBorders>
            <w:shd w:val="clear" w:color="auto" w:fill="auto"/>
            <w:noWrap/>
            <w:vAlign w:val="bottom"/>
            <w:hideMark/>
          </w:tcPr>
          <w:p w14:paraId="60190367" w14:textId="77777777" w:rsidR="005E5406" w:rsidRPr="005E5406" w:rsidRDefault="005E5406" w:rsidP="00BC43B4">
            <w:pPr>
              <w:spacing w:after="0"/>
              <w:jc w:val="right"/>
              <w:rPr>
                <w:lang w:eastAsia="en-AU"/>
              </w:rPr>
            </w:pPr>
            <w:r w:rsidRPr="005E5406">
              <w:rPr>
                <w:lang w:eastAsia="en-AU"/>
              </w:rPr>
              <w:t>3053</w:t>
            </w:r>
          </w:p>
        </w:tc>
        <w:tc>
          <w:tcPr>
            <w:tcW w:w="2914" w:type="dxa"/>
            <w:tcBorders>
              <w:top w:val="nil"/>
              <w:left w:val="nil"/>
              <w:bottom w:val="single" w:sz="4" w:space="0" w:color="auto"/>
              <w:right w:val="single" w:sz="4" w:space="0" w:color="auto"/>
            </w:tcBorders>
            <w:shd w:val="clear" w:color="auto" w:fill="auto"/>
            <w:noWrap/>
            <w:vAlign w:val="bottom"/>
            <w:hideMark/>
          </w:tcPr>
          <w:p w14:paraId="3AA46700" w14:textId="77777777" w:rsidR="005E5406" w:rsidRPr="005E5406" w:rsidRDefault="005E5406" w:rsidP="00BC43B4">
            <w:pPr>
              <w:spacing w:after="0"/>
              <w:jc w:val="right"/>
              <w:rPr>
                <w:lang w:eastAsia="en-AU"/>
              </w:rPr>
            </w:pPr>
            <w:r w:rsidRPr="005E5406">
              <w:rPr>
                <w:lang w:eastAsia="en-AU"/>
              </w:rPr>
              <w:t>87%</w:t>
            </w:r>
          </w:p>
        </w:tc>
        <w:tc>
          <w:tcPr>
            <w:tcW w:w="2835" w:type="dxa"/>
            <w:tcBorders>
              <w:top w:val="nil"/>
              <w:left w:val="nil"/>
              <w:bottom w:val="single" w:sz="4" w:space="0" w:color="auto"/>
              <w:right w:val="single" w:sz="4" w:space="0" w:color="auto"/>
            </w:tcBorders>
            <w:shd w:val="clear" w:color="auto" w:fill="auto"/>
            <w:noWrap/>
            <w:vAlign w:val="bottom"/>
            <w:hideMark/>
          </w:tcPr>
          <w:p w14:paraId="50104A02" w14:textId="77777777" w:rsidR="005E5406" w:rsidRPr="005E5406" w:rsidRDefault="005E5406" w:rsidP="00BC43B4">
            <w:pPr>
              <w:spacing w:after="0"/>
              <w:jc w:val="right"/>
              <w:rPr>
                <w:lang w:eastAsia="en-AU"/>
              </w:rPr>
            </w:pPr>
            <w:r w:rsidRPr="005E5406">
              <w:rPr>
                <w:lang w:eastAsia="en-AU"/>
              </w:rPr>
              <w:t>13%</w:t>
            </w:r>
          </w:p>
        </w:tc>
      </w:tr>
      <w:tr w:rsidR="005E5406" w:rsidRPr="005E5406" w14:paraId="53AE7C76" w14:textId="77777777" w:rsidTr="00BC43B4">
        <w:trPr>
          <w:trHeight w:val="300"/>
        </w:trPr>
        <w:tc>
          <w:tcPr>
            <w:tcW w:w="1055" w:type="dxa"/>
            <w:tcBorders>
              <w:top w:val="nil"/>
              <w:left w:val="single" w:sz="4" w:space="0" w:color="auto"/>
              <w:bottom w:val="single" w:sz="4" w:space="0" w:color="auto"/>
              <w:right w:val="single" w:sz="4" w:space="0" w:color="auto"/>
            </w:tcBorders>
            <w:shd w:val="clear" w:color="auto" w:fill="auto"/>
            <w:noWrap/>
            <w:vAlign w:val="bottom"/>
            <w:hideMark/>
          </w:tcPr>
          <w:p w14:paraId="7DD0DF22" w14:textId="77777777" w:rsidR="005E5406" w:rsidRPr="005E5406" w:rsidRDefault="005E5406" w:rsidP="00BC43B4">
            <w:pPr>
              <w:spacing w:after="0"/>
              <w:jc w:val="right"/>
              <w:rPr>
                <w:lang w:eastAsia="en-AU"/>
              </w:rPr>
            </w:pPr>
            <w:r w:rsidRPr="005E5406">
              <w:rPr>
                <w:lang w:eastAsia="en-AU"/>
              </w:rPr>
              <w:t>3051</w:t>
            </w:r>
          </w:p>
        </w:tc>
        <w:tc>
          <w:tcPr>
            <w:tcW w:w="2914" w:type="dxa"/>
            <w:tcBorders>
              <w:top w:val="nil"/>
              <w:left w:val="nil"/>
              <w:bottom w:val="single" w:sz="4" w:space="0" w:color="auto"/>
              <w:right w:val="single" w:sz="4" w:space="0" w:color="auto"/>
            </w:tcBorders>
            <w:shd w:val="clear" w:color="auto" w:fill="auto"/>
            <w:noWrap/>
            <w:vAlign w:val="bottom"/>
            <w:hideMark/>
          </w:tcPr>
          <w:p w14:paraId="510D29CA" w14:textId="77777777" w:rsidR="005E5406" w:rsidRPr="005E5406" w:rsidRDefault="005E5406" w:rsidP="00BC43B4">
            <w:pPr>
              <w:spacing w:after="0"/>
              <w:jc w:val="right"/>
              <w:rPr>
                <w:lang w:eastAsia="en-AU"/>
              </w:rPr>
            </w:pPr>
            <w:r w:rsidRPr="005E5406">
              <w:rPr>
                <w:lang w:eastAsia="en-AU"/>
              </w:rPr>
              <w:t>86%</w:t>
            </w:r>
          </w:p>
        </w:tc>
        <w:tc>
          <w:tcPr>
            <w:tcW w:w="2835" w:type="dxa"/>
            <w:tcBorders>
              <w:top w:val="nil"/>
              <w:left w:val="nil"/>
              <w:bottom w:val="single" w:sz="4" w:space="0" w:color="auto"/>
              <w:right w:val="single" w:sz="4" w:space="0" w:color="auto"/>
            </w:tcBorders>
            <w:shd w:val="clear" w:color="auto" w:fill="auto"/>
            <w:noWrap/>
            <w:vAlign w:val="bottom"/>
            <w:hideMark/>
          </w:tcPr>
          <w:p w14:paraId="01090FC4" w14:textId="77777777" w:rsidR="005E5406" w:rsidRPr="005E5406" w:rsidRDefault="005E5406" w:rsidP="00BC43B4">
            <w:pPr>
              <w:spacing w:after="0"/>
              <w:jc w:val="right"/>
              <w:rPr>
                <w:lang w:eastAsia="en-AU"/>
              </w:rPr>
            </w:pPr>
            <w:r w:rsidRPr="005E5406">
              <w:rPr>
                <w:lang w:eastAsia="en-AU"/>
              </w:rPr>
              <w:t>14%</w:t>
            </w:r>
          </w:p>
        </w:tc>
      </w:tr>
      <w:tr w:rsidR="005E5406" w:rsidRPr="005E5406" w14:paraId="3F2642A3" w14:textId="77777777" w:rsidTr="00BC43B4">
        <w:trPr>
          <w:trHeight w:val="300"/>
        </w:trPr>
        <w:tc>
          <w:tcPr>
            <w:tcW w:w="1055" w:type="dxa"/>
            <w:tcBorders>
              <w:top w:val="nil"/>
              <w:left w:val="single" w:sz="4" w:space="0" w:color="auto"/>
              <w:bottom w:val="single" w:sz="4" w:space="0" w:color="auto"/>
              <w:right w:val="single" w:sz="4" w:space="0" w:color="auto"/>
            </w:tcBorders>
            <w:shd w:val="clear" w:color="auto" w:fill="auto"/>
            <w:noWrap/>
            <w:vAlign w:val="bottom"/>
            <w:hideMark/>
          </w:tcPr>
          <w:p w14:paraId="67E9A5CA" w14:textId="77777777" w:rsidR="005E5406" w:rsidRPr="005E5406" w:rsidRDefault="005E5406" w:rsidP="00BC43B4">
            <w:pPr>
              <w:spacing w:after="0"/>
              <w:jc w:val="right"/>
              <w:rPr>
                <w:lang w:eastAsia="en-AU"/>
              </w:rPr>
            </w:pPr>
            <w:r w:rsidRPr="005E5406">
              <w:rPr>
                <w:lang w:eastAsia="en-AU"/>
              </w:rPr>
              <w:t>3052</w:t>
            </w:r>
          </w:p>
        </w:tc>
        <w:tc>
          <w:tcPr>
            <w:tcW w:w="2914" w:type="dxa"/>
            <w:tcBorders>
              <w:top w:val="nil"/>
              <w:left w:val="nil"/>
              <w:bottom w:val="single" w:sz="4" w:space="0" w:color="auto"/>
              <w:right w:val="single" w:sz="4" w:space="0" w:color="auto"/>
            </w:tcBorders>
            <w:shd w:val="clear" w:color="auto" w:fill="auto"/>
            <w:noWrap/>
            <w:vAlign w:val="bottom"/>
            <w:hideMark/>
          </w:tcPr>
          <w:p w14:paraId="098A2368" w14:textId="77777777" w:rsidR="005E5406" w:rsidRPr="005E5406" w:rsidRDefault="005E5406" w:rsidP="00BC43B4">
            <w:pPr>
              <w:spacing w:after="0"/>
              <w:jc w:val="right"/>
              <w:rPr>
                <w:lang w:eastAsia="en-AU"/>
              </w:rPr>
            </w:pPr>
            <w:r w:rsidRPr="005E5406">
              <w:rPr>
                <w:lang w:eastAsia="en-AU"/>
              </w:rPr>
              <w:t>84%</w:t>
            </w:r>
          </w:p>
        </w:tc>
        <w:tc>
          <w:tcPr>
            <w:tcW w:w="2835" w:type="dxa"/>
            <w:tcBorders>
              <w:top w:val="nil"/>
              <w:left w:val="nil"/>
              <w:bottom w:val="single" w:sz="4" w:space="0" w:color="auto"/>
              <w:right w:val="single" w:sz="4" w:space="0" w:color="auto"/>
            </w:tcBorders>
            <w:shd w:val="clear" w:color="auto" w:fill="auto"/>
            <w:noWrap/>
            <w:vAlign w:val="bottom"/>
            <w:hideMark/>
          </w:tcPr>
          <w:p w14:paraId="137D0B46" w14:textId="77777777" w:rsidR="005E5406" w:rsidRPr="005E5406" w:rsidRDefault="005E5406" w:rsidP="00BC43B4">
            <w:pPr>
              <w:spacing w:after="0"/>
              <w:jc w:val="right"/>
              <w:rPr>
                <w:lang w:eastAsia="en-AU"/>
              </w:rPr>
            </w:pPr>
            <w:r w:rsidRPr="005E5406">
              <w:rPr>
                <w:lang w:eastAsia="en-AU"/>
              </w:rPr>
              <w:t>16%</w:t>
            </w:r>
          </w:p>
        </w:tc>
      </w:tr>
      <w:tr w:rsidR="005E5406" w:rsidRPr="005E5406" w14:paraId="35DA155B" w14:textId="77777777" w:rsidTr="00BC43B4">
        <w:trPr>
          <w:trHeight w:val="300"/>
        </w:trPr>
        <w:tc>
          <w:tcPr>
            <w:tcW w:w="1055" w:type="dxa"/>
            <w:tcBorders>
              <w:top w:val="nil"/>
              <w:left w:val="single" w:sz="4" w:space="0" w:color="auto"/>
              <w:bottom w:val="single" w:sz="4" w:space="0" w:color="auto"/>
              <w:right w:val="single" w:sz="4" w:space="0" w:color="auto"/>
            </w:tcBorders>
            <w:shd w:val="clear" w:color="auto" w:fill="auto"/>
            <w:noWrap/>
            <w:vAlign w:val="bottom"/>
            <w:hideMark/>
          </w:tcPr>
          <w:p w14:paraId="39D7489F" w14:textId="77777777" w:rsidR="005E5406" w:rsidRPr="005E5406" w:rsidRDefault="005E5406" w:rsidP="00BC43B4">
            <w:pPr>
              <w:spacing w:after="0"/>
              <w:jc w:val="right"/>
              <w:rPr>
                <w:lang w:eastAsia="en-AU"/>
              </w:rPr>
            </w:pPr>
            <w:r w:rsidRPr="005E5406">
              <w:rPr>
                <w:lang w:eastAsia="en-AU"/>
              </w:rPr>
              <w:t>3031</w:t>
            </w:r>
          </w:p>
        </w:tc>
        <w:tc>
          <w:tcPr>
            <w:tcW w:w="2914" w:type="dxa"/>
            <w:tcBorders>
              <w:top w:val="nil"/>
              <w:left w:val="nil"/>
              <w:bottom w:val="single" w:sz="4" w:space="0" w:color="auto"/>
              <w:right w:val="single" w:sz="4" w:space="0" w:color="auto"/>
            </w:tcBorders>
            <w:shd w:val="clear" w:color="auto" w:fill="auto"/>
            <w:noWrap/>
            <w:vAlign w:val="bottom"/>
            <w:hideMark/>
          </w:tcPr>
          <w:p w14:paraId="1309DAB3" w14:textId="77777777" w:rsidR="005E5406" w:rsidRPr="005E5406" w:rsidRDefault="005E5406" w:rsidP="00BC43B4">
            <w:pPr>
              <w:spacing w:after="0"/>
              <w:jc w:val="right"/>
              <w:rPr>
                <w:lang w:eastAsia="en-AU"/>
              </w:rPr>
            </w:pPr>
            <w:r w:rsidRPr="005E5406">
              <w:rPr>
                <w:lang w:eastAsia="en-AU"/>
              </w:rPr>
              <w:t>83%</w:t>
            </w:r>
          </w:p>
        </w:tc>
        <w:tc>
          <w:tcPr>
            <w:tcW w:w="2835" w:type="dxa"/>
            <w:tcBorders>
              <w:top w:val="nil"/>
              <w:left w:val="nil"/>
              <w:bottom w:val="single" w:sz="4" w:space="0" w:color="auto"/>
              <w:right w:val="single" w:sz="4" w:space="0" w:color="auto"/>
            </w:tcBorders>
            <w:shd w:val="clear" w:color="auto" w:fill="auto"/>
            <w:noWrap/>
            <w:vAlign w:val="bottom"/>
            <w:hideMark/>
          </w:tcPr>
          <w:p w14:paraId="7C17BDD2" w14:textId="77777777" w:rsidR="005E5406" w:rsidRPr="005E5406" w:rsidRDefault="005E5406" w:rsidP="00BC43B4">
            <w:pPr>
              <w:spacing w:after="0"/>
              <w:jc w:val="right"/>
              <w:rPr>
                <w:lang w:eastAsia="en-AU"/>
              </w:rPr>
            </w:pPr>
            <w:r w:rsidRPr="005E5406">
              <w:rPr>
                <w:lang w:eastAsia="en-AU"/>
              </w:rPr>
              <w:t>17%</w:t>
            </w:r>
          </w:p>
        </w:tc>
      </w:tr>
      <w:tr w:rsidR="005E5406" w:rsidRPr="005E5406" w14:paraId="6B275EFD" w14:textId="77777777" w:rsidTr="00BC43B4">
        <w:trPr>
          <w:trHeight w:val="300"/>
        </w:trPr>
        <w:tc>
          <w:tcPr>
            <w:tcW w:w="1055" w:type="dxa"/>
            <w:tcBorders>
              <w:top w:val="nil"/>
              <w:left w:val="single" w:sz="4" w:space="0" w:color="auto"/>
              <w:bottom w:val="single" w:sz="4" w:space="0" w:color="auto"/>
              <w:right w:val="single" w:sz="4" w:space="0" w:color="auto"/>
            </w:tcBorders>
            <w:shd w:val="clear" w:color="auto" w:fill="auto"/>
            <w:noWrap/>
            <w:vAlign w:val="bottom"/>
            <w:hideMark/>
          </w:tcPr>
          <w:p w14:paraId="0A720579" w14:textId="77777777" w:rsidR="005E5406" w:rsidRPr="005E5406" w:rsidRDefault="005E5406" w:rsidP="00BC43B4">
            <w:pPr>
              <w:spacing w:after="0"/>
              <w:jc w:val="right"/>
              <w:rPr>
                <w:lang w:eastAsia="en-AU"/>
              </w:rPr>
            </w:pPr>
            <w:r w:rsidRPr="005E5406">
              <w:rPr>
                <w:lang w:eastAsia="en-AU"/>
              </w:rPr>
              <w:t>3141</w:t>
            </w:r>
          </w:p>
        </w:tc>
        <w:tc>
          <w:tcPr>
            <w:tcW w:w="2914" w:type="dxa"/>
            <w:tcBorders>
              <w:top w:val="nil"/>
              <w:left w:val="nil"/>
              <w:bottom w:val="single" w:sz="4" w:space="0" w:color="auto"/>
              <w:right w:val="single" w:sz="4" w:space="0" w:color="auto"/>
            </w:tcBorders>
            <w:shd w:val="clear" w:color="auto" w:fill="auto"/>
            <w:noWrap/>
            <w:vAlign w:val="bottom"/>
            <w:hideMark/>
          </w:tcPr>
          <w:p w14:paraId="5348BC63" w14:textId="77777777" w:rsidR="005E5406" w:rsidRPr="005E5406" w:rsidRDefault="005E5406" w:rsidP="00BC43B4">
            <w:pPr>
              <w:spacing w:after="0"/>
              <w:jc w:val="right"/>
              <w:rPr>
                <w:lang w:eastAsia="en-AU"/>
              </w:rPr>
            </w:pPr>
            <w:r w:rsidRPr="005E5406">
              <w:rPr>
                <w:lang w:eastAsia="en-AU"/>
              </w:rPr>
              <w:t>79%</w:t>
            </w:r>
          </w:p>
        </w:tc>
        <w:tc>
          <w:tcPr>
            <w:tcW w:w="2835" w:type="dxa"/>
            <w:tcBorders>
              <w:top w:val="nil"/>
              <w:left w:val="nil"/>
              <w:bottom w:val="single" w:sz="4" w:space="0" w:color="auto"/>
              <w:right w:val="single" w:sz="4" w:space="0" w:color="auto"/>
            </w:tcBorders>
            <w:shd w:val="clear" w:color="auto" w:fill="auto"/>
            <w:noWrap/>
            <w:vAlign w:val="bottom"/>
            <w:hideMark/>
          </w:tcPr>
          <w:p w14:paraId="286FFC1B" w14:textId="77777777" w:rsidR="005E5406" w:rsidRPr="005E5406" w:rsidRDefault="005E5406" w:rsidP="00BC43B4">
            <w:pPr>
              <w:spacing w:after="0"/>
              <w:jc w:val="right"/>
              <w:rPr>
                <w:lang w:eastAsia="en-AU"/>
              </w:rPr>
            </w:pPr>
            <w:r w:rsidRPr="005E5406">
              <w:rPr>
                <w:lang w:eastAsia="en-AU"/>
              </w:rPr>
              <w:t>21%</w:t>
            </w:r>
          </w:p>
        </w:tc>
      </w:tr>
      <w:tr w:rsidR="005E5406" w:rsidRPr="005E5406" w14:paraId="0DD6D03C" w14:textId="77777777" w:rsidTr="00BC43B4">
        <w:trPr>
          <w:trHeight w:val="300"/>
        </w:trPr>
        <w:tc>
          <w:tcPr>
            <w:tcW w:w="1055" w:type="dxa"/>
            <w:tcBorders>
              <w:top w:val="nil"/>
              <w:left w:val="single" w:sz="4" w:space="0" w:color="auto"/>
              <w:bottom w:val="single" w:sz="4" w:space="0" w:color="auto"/>
              <w:right w:val="single" w:sz="4" w:space="0" w:color="auto"/>
            </w:tcBorders>
            <w:shd w:val="clear" w:color="auto" w:fill="auto"/>
            <w:noWrap/>
            <w:vAlign w:val="bottom"/>
            <w:hideMark/>
          </w:tcPr>
          <w:p w14:paraId="6073FF2D" w14:textId="77777777" w:rsidR="005E5406" w:rsidRPr="005E5406" w:rsidRDefault="005E5406" w:rsidP="00BC43B4">
            <w:pPr>
              <w:spacing w:after="0"/>
              <w:jc w:val="right"/>
              <w:rPr>
                <w:lang w:eastAsia="en-AU"/>
              </w:rPr>
            </w:pPr>
            <w:r w:rsidRPr="005E5406">
              <w:rPr>
                <w:lang w:eastAsia="en-AU"/>
              </w:rPr>
              <w:t>3181</w:t>
            </w:r>
          </w:p>
        </w:tc>
        <w:tc>
          <w:tcPr>
            <w:tcW w:w="2914" w:type="dxa"/>
            <w:tcBorders>
              <w:top w:val="nil"/>
              <w:left w:val="nil"/>
              <w:bottom w:val="single" w:sz="4" w:space="0" w:color="auto"/>
              <w:right w:val="single" w:sz="4" w:space="0" w:color="auto"/>
            </w:tcBorders>
            <w:shd w:val="clear" w:color="auto" w:fill="auto"/>
            <w:noWrap/>
            <w:vAlign w:val="bottom"/>
            <w:hideMark/>
          </w:tcPr>
          <w:p w14:paraId="5D115782" w14:textId="77777777" w:rsidR="005E5406" w:rsidRPr="005E5406" w:rsidRDefault="005E5406" w:rsidP="00BC43B4">
            <w:pPr>
              <w:spacing w:after="0"/>
              <w:jc w:val="right"/>
              <w:rPr>
                <w:lang w:eastAsia="en-AU"/>
              </w:rPr>
            </w:pPr>
            <w:r w:rsidRPr="005E5406">
              <w:rPr>
                <w:lang w:eastAsia="en-AU"/>
              </w:rPr>
              <w:t>76%</w:t>
            </w:r>
          </w:p>
        </w:tc>
        <w:tc>
          <w:tcPr>
            <w:tcW w:w="2835" w:type="dxa"/>
            <w:tcBorders>
              <w:top w:val="nil"/>
              <w:left w:val="nil"/>
              <w:bottom w:val="single" w:sz="4" w:space="0" w:color="auto"/>
              <w:right w:val="single" w:sz="4" w:space="0" w:color="auto"/>
            </w:tcBorders>
            <w:shd w:val="clear" w:color="auto" w:fill="auto"/>
            <w:noWrap/>
            <w:vAlign w:val="bottom"/>
            <w:hideMark/>
          </w:tcPr>
          <w:p w14:paraId="7D570139" w14:textId="77777777" w:rsidR="005E5406" w:rsidRPr="005E5406" w:rsidRDefault="005E5406" w:rsidP="00BC43B4">
            <w:pPr>
              <w:spacing w:after="0"/>
              <w:jc w:val="right"/>
              <w:rPr>
                <w:lang w:eastAsia="en-AU"/>
              </w:rPr>
            </w:pPr>
            <w:r w:rsidRPr="005E5406">
              <w:rPr>
                <w:lang w:eastAsia="en-AU"/>
              </w:rPr>
              <w:t>24%</w:t>
            </w:r>
          </w:p>
        </w:tc>
      </w:tr>
      <w:tr w:rsidR="005E5406" w:rsidRPr="005E5406" w14:paraId="0278DA86" w14:textId="77777777" w:rsidTr="00BC43B4">
        <w:trPr>
          <w:trHeight w:val="300"/>
        </w:trPr>
        <w:tc>
          <w:tcPr>
            <w:tcW w:w="1055" w:type="dxa"/>
            <w:tcBorders>
              <w:top w:val="nil"/>
              <w:left w:val="single" w:sz="4" w:space="0" w:color="auto"/>
              <w:bottom w:val="single" w:sz="4" w:space="0" w:color="auto"/>
              <w:right w:val="single" w:sz="4" w:space="0" w:color="auto"/>
            </w:tcBorders>
            <w:shd w:val="clear" w:color="auto" w:fill="auto"/>
            <w:noWrap/>
            <w:vAlign w:val="bottom"/>
            <w:hideMark/>
          </w:tcPr>
          <w:p w14:paraId="04FF5043" w14:textId="77777777" w:rsidR="005E5406" w:rsidRPr="005E5406" w:rsidRDefault="005E5406" w:rsidP="00BC43B4">
            <w:pPr>
              <w:spacing w:after="0"/>
              <w:jc w:val="right"/>
              <w:rPr>
                <w:lang w:eastAsia="en-AU"/>
              </w:rPr>
            </w:pPr>
            <w:r w:rsidRPr="005E5406">
              <w:rPr>
                <w:lang w:eastAsia="en-AU"/>
              </w:rPr>
              <w:t>3050</w:t>
            </w:r>
          </w:p>
        </w:tc>
        <w:tc>
          <w:tcPr>
            <w:tcW w:w="2914" w:type="dxa"/>
            <w:tcBorders>
              <w:top w:val="nil"/>
              <w:left w:val="nil"/>
              <w:bottom w:val="single" w:sz="4" w:space="0" w:color="auto"/>
              <w:right w:val="single" w:sz="4" w:space="0" w:color="auto"/>
            </w:tcBorders>
            <w:shd w:val="clear" w:color="auto" w:fill="auto"/>
            <w:noWrap/>
            <w:vAlign w:val="bottom"/>
            <w:hideMark/>
          </w:tcPr>
          <w:p w14:paraId="51B6D23C" w14:textId="77777777" w:rsidR="005E5406" w:rsidRPr="005E5406" w:rsidRDefault="005E5406" w:rsidP="00BC43B4">
            <w:pPr>
              <w:spacing w:after="0"/>
              <w:jc w:val="right"/>
              <w:rPr>
                <w:lang w:eastAsia="en-AU"/>
              </w:rPr>
            </w:pPr>
            <w:r w:rsidRPr="005E5406">
              <w:rPr>
                <w:lang w:eastAsia="en-AU"/>
              </w:rPr>
              <w:t>62%</w:t>
            </w:r>
          </w:p>
        </w:tc>
        <w:tc>
          <w:tcPr>
            <w:tcW w:w="2835" w:type="dxa"/>
            <w:tcBorders>
              <w:top w:val="nil"/>
              <w:left w:val="nil"/>
              <w:bottom w:val="single" w:sz="4" w:space="0" w:color="auto"/>
              <w:right w:val="single" w:sz="4" w:space="0" w:color="auto"/>
            </w:tcBorders>
            <w:shd w:val="clear" w:color="auto" w:fill="auto"/>
            <w:noWrap/>
            <w:vAlign w:val="bottom"/>
            <w:hideMark/>
          </w:tcPr>
          <w:p w14:paraId="6DAC34F7" w14:textId="77777777" w:rsidR="005E5406" w:rsidRPr="005E5406" w:rsidRDefault="005E5406" w:rsidP="00BC43B4">
            <w:pPr>
              <w:spacing w:after="0"/>
              <w:jc w:val="right"/>
              <w:rPr>
                <w:lang w:eastAsia="en-AU"/>
              </w:rPr>
            </w:pPr>
            <w:r w:rsidRPr="005E5406">
              <w:rPr>
                <w:lang w:eastAsia="en-AU"/>
              </w:rPr>
              <w:t>38%</w:t>
            </w:r>
          </w:p>
        </w:tc>
      </w:tr>
    </w:tbl>
    <w:p w14:paraId="6B2F1330" w14:textId="77777777" w:rsidR="005E5406" w:rsidRDefault="005E5406" w:rsidP="00BC43B4">
      <w:pPr>
        <w:rPr>
          <w:rFonts w:ascii="Helvetica Light" w:hAnsi="Helvetica Light" w:cstheme="minorBidi"/>
          <w:szCs w:val="20"/>
        </w:rPr>
      </w:pPr>
    </w:p>
    <w:p w14:paraId="6FB53E58" w14:textId="03E31547" w:rsidR="00BC43B4" w:rsidRPr="007E394F" w:rsidRDefault="0080527F" w:rsidP="00BC43B4">
      <w:pPr>
        <w:rPr>
          <w:rFonts w:cs="Arial"/>
          <w:szCs w:val="20"/>
        </w:rPr>
      </w:pPr>
      <w:r w:rsidRPr="007E394F">
        <w:rPr>
          <w:rFonts w:cs="Arial"/>
          <w:szCs w:val="20"/>
        </w:rPr>
        <w:lastRenderedPageBreak/>
        <w:t>Return to</w:t>
      </w:r>
      <w:r>
        <w:rPr>
          <w:rFonts w:cs="Arial"/>
          <w:szCs w:val="20"/>
        </w:rPr>
        <w:t xml:space="preserve"> </w:t>
      </w:r>
      <w:hyperlink w:anchor="_4.3.1_Greenhouse_Gas" w:history="1">
        <w:r w:rsidRPr="0080527F">
          <w:rPr>
            <w:rStyle w:val="Hyperlink"/>
          </w:rPr>
          <w:t>Greenhouse Gas Emissions by Postcode</w:t>
        </w:r>
      </w:hyperlink>
    </w:p>
    <w:p w14:paraId="5ED9EEB2" w14:textId="3A095660" w:rsidR="00BC43B4" w:rsidRPr="00BC43B4" w:rsidRDefault="00944E9B" w:rsidP="00944E9B">
      <w:pPr>
        <w:pStyle w:val="Heading3"/>
        <w:ind w:left="1440" w:hanging="1440"/>
        <w:rPr>
          <w:rFonts w:hint="eastAsia"/>
        </w:rPr>
      </w:pPr>
      <w:bookmarkStart w:id="298" w:name="_Greenhouse_Gas_Emissions"/>
      <w:bookmarkEnd w:id="298"/>
      <w:r>
        <w:t>Table A.5</w:t>
      </w:r>
      <w:r w:rsidR="00A13E20">
        <w:t>2</w:t>
      </w:r>
      <w:r>
        <w:tab/>
      </w:r>
      <w:r w:rsidR="00BC43B4" w:rsidRPr="005E5406">
        <w:t>Greenhouse Gas Emissions by Space Use Type, City of Melbourne Built Environment, 2022</w:t>
      </w:r>
    </w:p>
    <w:tbl>
      <w:tblPr>
        <w:tblW w:w="6946" w:type="dxa"/>
        <w:tblInd w:w="-5" w:type="dxa"/>
        <w:tblLook w:val="04A0" w:firstRow="1" w:lastRow="0" w:firstColumn="1" w:lastColumn="0" w:noHBand="0" w:noVBand="1"/>
      </w:tblPr>
      <w:tblGrid>
        <w:gridCol w:w="3021"/>
        <w:gridCol w:w="3925"/>
      </w:tblGrid>
      <w:tr w:rsidR="005E5406" w:rsidRPr="005E5406" w14:paraId="462C82A8" w14:textId="77777777" w:rsidTr="001B28E0">
        <w:trPr>
          <w:trHeight w:val="300"/>
        </w:trPr>
        <w:tc>
          <w:tcPr>
            <w:tcW w:w="30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773969" w14:textId="77777777" w:rsidR="005E5406" w:rsidRPr="00BC43B4" w:rsidRDefault="005E5406" w:rsidP="00BC43B4">
            <w:pPr>
              <w:spacing w:after="0"/>
              <w:rPr>
                <w:b/>
                <w:bCs/>
                <w:lang w:eastAsia="en-AU"/>
              </w:rPr>
            </w:pPr>
            <w:bookmarkStart w:id="299" w:name="_Figure_53:_Greenhouse"/>
            <w:bookmarkEnd w:id="299"/>
            <w:r w:rsidRPr="00BC43B4">
              <w:rPr>
                <w:b/>
                <w:bCs/>
                <w:lang w:eastAsia="en-AU"/>
              </w:rPr>
              <w:t>Space Use Type</w:t>
            </w:r>
          </w:p>
        </w:tc>
        <w:tc>
          <w:tcPr>
            <w:tcW w:w="3925" w:type="dxa"/>
            <w:tcBorders>
              <w:top w:val="single" w:sz="4" w:space="0" w:color="auto"/>
              <w:left w:val="nil"/>
              <w:bottom w:val="single" w:sz="4" w:space="0" w:color="auto"/>
              <w:right w:val="single" w:sz="4" w:space="0" w:color="auto"/>
            </w:tcBorders>
            <w:shd w:val="clear" w:color="auto" w:fill="auto"/>
            <w:noWrap/>
            <w:vAlign w:val="bottom"/>
            <w:hideMark/>
          </w:tcPr>
          <w:p w14:paraId="40E256E6" w14:textId="77777777" w:rsidR="005E5406" w:rsidRPr="00BC43B4" w:rsidRDefault="005E5406" w:rsidP="00BC43B4">
            <w:pPr>
              <w:spacing w:after="0"/>
              <w:rPr>
                <w:b/>
                <w:bCs/>
                <w:lang w:eastAsia="en-AU"/>
              </w:rPr>
            </w:pPr>
            <w:r w:rsidRPr="00BC43B4">
              <w:rPr>
                <w:b/>
                <w:bCs/>
                <w:lang w:eastAsia="en-AU"/>
              </w:rPr>
              <w:t>Greenhouse Gas Emissions (kt CO</w:t>
            </w:r>
            <w:r w:rsidRPr="00725FA0">
              <w:rPr>
                <w:b/>
                <w:bCs/>
                <w:vertAlign w:val="subscript"/>
                <w:lang w:eastAsia="en-AU"/>
              </w:rPr>
              <w:t>2</w:t>
            </w:r>
            <w:r w:rsidRPr="00BC43B4">
              <w:rPr>
                <w:b/>
                <w:bCs/>
                <w:lang w:eastAsia="en-AU"/>
              </w:rPr>
              <w:t>-e)</w:t>
            </w:r>
          </w:p>
        </w:tc>
      </w:tr>
      <w:tr w:rsidR="005E5406" w:rsidRPr="005E5406" w14:paraId="40A4AE1A" w14:textId="77777777" w:rsidTr="001B28E0">
        <w:trPr>
          <w:trHeight w:val="300"/>
        </w:trPr>
        <w:tc>
          <w:tcPr>
            <w:tcW w:w="3021" w:type="dxa"/>
            <w:tcBorders>
              <w:top w:val="nil"/>
              <w:left w:val="single" w:sz="4" w:space="0" w:color="auto"/>
              <w:bottom w:val="single" w:sz="4" w:space="0" w:color="auto"/>
              <w:right w:val="single" w:sz="4" w:space="0" w:color="auto"/>
            </w:tcBorders>
            <w:shd w:val="clear" w:color="auto" w:fill="auto"/>
            <w:noWrap/>
            <w:vAlign w:val="bottom"/>
            <w:hideMark/>
          </w:tcPr>
          <w:p w14:paraId="349D3D5A" w14:textId="77777777" w:rsidR="005E5406" w:rsidRPr="005E5406" w:rsidRDefault="005E5406" w:rsidP="00BC43B4">
            <w:pPr>
              <w:spacing w:after="0"/>
              <w:rPr>
                <w:lang w:eastAsia="en-AU"/>
              </w:rPr>
            </w:pPr>
            <w:r w:rsidRPr="005E5406">
              <w:rPr>
                <w:lang w:eastAsia="en-AU"/>
              </w:rPr>
              <w:t>Office</w:t>
            </w:r>
          </w:p>
        </w:tc>
        <w:tc>
          <w:tcPr>
            <w:tcW w:w="3925" w:type="dxa"/>
            <w:tcBorders>
              <w:top w:val="nil"/>
              <w:left w:val="nil"/>
              <w:bottom w:val="single" w:sz="4" w:space="0" w:color="auto"/>
              <w:right w:val="single" w:sz="4" w:space="0" w:color="auto"/>
            </w:tcBorders>
            <w:shd w:val="clear" w:color="auto" w:fill="auto"/>
            <w:noWrap/>
            <w:vAlign w:val="bottom"/>
            <w:hideMark/>
          </w:tcPr>
          <w:p w14:paraId="0F4762C4" w14:textId="68C6C2BA" w:rsidR="005E5406" w:rsidRPr="005E5406" w:rsidRDefault="005E5406" w:rsidP="00BC43B4">
            <w:pPr>
              <w:spacing w:after="0"/>
              <w:jc w:val="right"/>
              <w:rPr>
                <w:lang w:eastAsia="en-AU"/>
              </w:rPr>
            </w:pPr>
            <w:r w:rsidRPr="005E5406">
              <w:rPr>
                <w:lang w:eastAsia="en-AU"/>
              </w:rPr>
              <w:t xml:space="preserve">1,023 </w:t>
            </w:r>
          </w:p>
        </w:tc>
      </w:tr>
      <w:tr w:rsidR="005E5406" w:rsidRPr="005E5406" w14:paraId="7A607ED9" w14:textId="77777777" w:rsidTr="001B28E0">
        <w:trPr>
          <w:trHeight w:val="300"/>
        </w:trPr>
        <w:tc>
          <w:tcPr>
            <w:tcW w:w="3021" w:type="dxa"/>
            <w:tcBorders>
              <w:top w:val="nil"/>
              <w:left w:val="single" w:sz="4" w:space="0" w:color="auto"/>
              <w:bottom w:val="single" w:sz="4" w:space="0" w:color="auto"/>
              <w:right w:val="single" w:sz="4" w:space="0" w:color="auto"/>
            </w:tcBorders>
            <w:shd w:val="clear" w:color="auto" w:fill="auto"/>
            <w:noWrap/>
            <w:vAlign w:val="bottom"/>
            <w:hideMark/>
          </w:tcPr>
          <w:p w14:paraId="08B7FE6E" w14:textId="77777777" w:rsidR="005E5406" w:rsidRPr="005E5406" w:rsidRDefault="005E5406" w:rsidP="00BC43B4">
            <w:pPr>
              <w:spacing w:after="0"/>
              <w:rPr>
                <w:lang w:eastAsia="en-AU"/>
              </w:rPr>
            </w:pPr>
            <w:r w:rsidRPr="005E5406">
              <w:rPr>
                <w:lang w:eastAsia="en-AU"/>
              </w:rPr>
              <w:t>Residential</w:t>
            </w:r>
          </w:p>
        </w:tc>
        <w:tc>
          <w:tcPr>
            <w:tcW w:w="3925" w:type="dxa"/>
            <w:tcBorders>
              <w:top w:val="nil"/>
              <w:left w:val="nil"/>
              <w:bottom w:val="single" w:sz="4" w:space="0" w:color="auto"/>
              <w:right w:val="single" w:sz="4" w:space="0" w:color="auto"/>
            </w:tcBorders>
            <w:shd w:val="clear" w:color="auto" w:fill="auto"/>
            <w:noWrap/>
            <w:vAlign w:val="bottom"/>
            <w:hideMark/>
          </w:tcPr>
          <w:p w14:paraId="15A8736B" w14:textId="2C2959ED" w:rsidR="005E5406" w:rsidRPr="005E5406" w:rsidRDefault="005E5406" w:rsidP="00BC43B4">
            <w:pPr>
              <w:spacing w:after="0"/>
              <w:jc w:val="right"/>
              <w:rPr>
                <w:lang w:eastAsia="en-AU"/>
              </w:rPr>
            </w:pPr>
            <w:r w:rsidRPr="005E5406">
              <w:rPr>
                <w:lang w:eastAsia="en-AU"/>
              </w:rPr>
              <w:t xml:space="preserve">767 </w:t>
            </w:r>
          </w:p>
        </w:tc>
      </w:tr>
      <w:tr w:rsidR="005E5406" w:rsidRPr="005E5406" w14:paraId="492B47EA" w14:textId="77777777" w:rsidTr="001B28E0">
        <w:trPr>
          <w:trHeight w:val="300"/>
        </w:trPr>
        <w:tc>
          <w:tcPr>
            <w:tcW w:w="3021" w:type="dxa"/>
            <w:tcBorders>
              <w:top w:val="nil"/>
              <w:left w:val="single" w:sz="4" w:space="0" w:color="auto"/>
              <w:bottom w:val="single" w:sz="4" w:space="0" w:color="auto"/>
              <w:right w:val="single" w:sz="4" w:space="0" w:color="auto"/>
            </w:tcBorders>
            <w:shd w:val="clear" w:color="auto" w:fill="auto"/>
            <w:noWrap/>
            <w:vAlign w:val="bottom"/>
            <w:hideMark/>
          </w:tcPr>
          <w:p w14:paraId="62EF46C3" w14:textId="77777777" w:rsidR="005E5406" w:rsidRPr="005E5406" w:rsidRDefault="005E5406" w:rsidP="00BC43B4">
            <w:pPr>
              <w:spacing w:after="0"/>
              <w:rPr>
                <w:lang w:eastAsia="en-AU"/>
              </w:rPr>
            </w:pPr>
            <w:r w:rsidRPr="005E5406">
              <w:rPr>
                <w:lang w:eastAsia="en-AU"/>
              </w:rPr>
              <w:t>Commercial accommodation</w:t>
            </w:r>
          </w:p>
        </w:tc>
        <w:tc>
          <w:tcPr>
            <w:tcW w:w="3925" w:type="dxa"/>
            <w:tcBorders>
              <w:top w:val="nil"/>
              <w:left w:val="nil"/>
              <w:bottom w:val="single" w:sz="4" w:space="0" w:color="auto"/>
              <w:right w:val="single" w:sz="4" w:space="0" w:color="auto"/>
            </w:tcBorders>
            <w:shd w:val="clear" w:color="auto" w:fill="auto"/>
            <w:noWrap/>
            <w:vAlign w:val="bottom"/>
            <w:hideMark/>
          </w:tcPr>
          <w:p w14:paraId="107A9177" w14:textId="496B9258" w:rsidR="005E5406" w:rsidRPr="005E5406" w:rsidRDefault="005E5406" w:rsidP="00BC43B4">
            <w:pPr>
              <w:spacing w:after="0"/>
              <w:jc w:val="right"/>
              <w:rPr>
                <w:lang w:eastAsia="en-AU"/>
              </w:rPr>
            </w:pPr>
            <w:r w:rsidRPr="005E5406">
              <w:rPr>
                <w:lang w:eastAsia="en-AU"/>
              </w:rPr>
              <w:t xml:space="preserve">292 </w:t>
            </w:r>
          </w:p>
        </w:tc>
      </w:tr>
      <w:tr w:rsidR="005E5406" w:rsidRPr="005E5406" w14:paraId="6799D168" w14:textId="77777777" w:rsidTr="001B28E0">
        <w:trPr>
          <w:trHeight w:val="300"/>
        </w:trPr>
        <w:tc>
          <w:tcPr>
            <w:tcW w:w="3021" w:type="dxa"/>
            <w:tcBorders>
              <w:top w:val="nil"/>
              <w:left w:val="single" w:sz="4" w:space="0" w:color="auto"/>
              <w:bottom w:val="single" w:sz="4" w:space="0" w:color="auto"/>
              <w:right w:val="single" w:sz="4" w:space="0" w:color="auto"/>
            </w:tcBorders>
            <w:shd w:val="clear" w:color="auto" w:fill="auto"/>
            <w:noWrap/>
            <w:vAlign w:val="bottom"/>
            <w:hideMark/>
          </w:tcPr>
          <w:p w14:paraId="1C72B301" w14:textId="77777777" w:rsidR="005E5406" w:rsidRPr="005E5406" w:rsidRDefault="005E5406" w:rsidP="00BC43B4">
            <w:pPr>
              <w:spacing w:after="0"/>
              <w:rPr>
                <w:lang w:eastAsia="en-AU"/>
              </w:rPr>
            </w:pPr>
            <w:r w:rsidRPr="005E5406">
              <w:rPr>
                <w:lang w:eastAsia="en-AU"/>
              </w:rPr>
              <w:t>Hospitals/healthcare</w:t>
            </w:r>
          </w:p>
        </w:tc>
        <w:tc>
          <w:tcPr>
            <w:tcW w:w="3925" w:type="dxa"/>
            <w:tcBorders>
              <w:top w:val="nil"/>
              <w:left w:val="nil"/>
              <w:bottom w:val="single" w:sz="4" w:space="0" w:color="auto"/>
              <w:right w:val="single" w:sz="4" w:space="0" w:color="auto"/>
            </w:tcBorders>
            <w:shd w:val="clear" w:color="auto" w:fill="auto"/>
            <w:noWrap/>
            <w:vAlign w:val="bottom"/>
            <w:hideMark/>
          </w:tcPr>
          <w:p w14:paraId="7749DC6A" w14:textId="3EDA0B1E" w:rsidR="005E5406" w:rsidRPr="005E5406" w:rsidRDefault="005E5406" w:rsidP="00BC43B4">
            <w:pPr>
              <w:spacing w:after="0"/>
              <w:jc w:val="right"/>
              <w:rPr>
                <w:lang w:eastAsia="en-AU"/>
              </w:rPr>
            </w:pPr>
            <w:r w:rsidRPr="005E5406">
              <w:rPr>
                <w:lang w:eastAsia="en-AU"/>
              </w:rPr>
              <w:t xml:space="preserve">270 </w:t>
            </w:r>
          </w:p>
        </w:tc>
      </w:tr>
      <w:tr w:rsidR="005E5406" w:rsidRPr="005E5406" w14:paraId="52B02658" w14:textId="77777777" w:rsidTr="001B28E0">
        <w:trPr>
          <w:trHeight w:val="300"/>
        </w:trPr>
        <w:tc>
          <w:tcPr>
            <w:tcW w:w="3021" w:type="dxa"/>
            <w:tcBorders>
              <w:top w:val="nil"/>
              <w:left w:val="single" w:sz="4" w:space="0" w:color="auto"/>
              <w:bottom w:val="single" w:sz="4" w:space="0" w:color="auto"/>
              <w:right w:val="single" w:sz="4" w:space="0" w:color="auto"/>
            </w:tcBorders>
            <w:shd w:val="clear" w:color="auto" w:fill="auto"/>
            <w:noWrap/>
            <w:vAlign w:val="bottom"/>
            <w:hideMark/>
          </w:tcPr>
          <w:p w14:paraId="13036936" w14:textId="77777777" w:rsidR="005E5406" w:rsidRPr="005E5406" w:rsidRDefault="005E5406" w:rsidP="00BC43B4">
            <w:pPr>
              <w:spacing w:after="0"/>
              <w:rPr>
                <w:lang w:eastAsia="en-AU"/>
              </w:rPr>
            </w:pPr>
            <w:r w:rsidRPr="005E5406">
              <w:rPr>
                <w:lang w:eastAsia="en-AU"/>
              </w:rPr>
              <w:t>Retail</w:t>
            </w:r>
          </w:p>
        </w:tc>
        <w:tc>
          <w:tcPr>
            <w:tcW w:w="3925" w:type="dxa"/>
            <w:tcBorders>
              <w:top w:val="nil"/>
              <w:left w:val="nil"/>
              <w:bottom w:val="single" w:sz="4" w:space="0" w:color="auto"/>
              <w:right w:val="single" w:sz="4" w:space="0" w:color="auto"/>
            </w:tcBorders>
            <w:shd w:val="clear" w:color="auto" w:fill="auto"/>
            <w:noWrap/>
            <w:vAlign w:val="bottom"/>
            <w:hideMark/>
          </w:tcPr>
          <w:p w14:paraId="04E7FBB6" w14:textId="4DE94CDF" w:rsidR="005E5406" w:rsidRPr="005E5406" w:rsidRDefault="005E5406" w:rsidP="00BC43B4">
            <w:pPr>
              <w:spacing w:after="0"/>
              <w:jc w:val="right"/>
              <w:rPr>
                <w:lang w:eastAsia="en-AU"/>
              </w:rPr>
            </w:pPr>
            <w:r w:rsidRPr="005E5406">
              <w:rPr>
                <w:lang w:eastAsia="en-AU"/>
              </w:rPr>
              <w:t xml:space="preserve">187 </w:t>
            </w:r>
          </w:p>
        </w:tc>
      </w:tr>
      <w:tr w:rsidR="005E5406" w:rsidRPr="005E5406" w14:paraId="45AB607C" w14:textId="77777777" w:rsidTr="001B28E0">
        <w:trPr>
          <w:trHeight w:val="300"/>
        </w:trPr>
        <w:tc>
          <w:tcPr>
            <w:tcW w:w="3021" w:type="dxa"/>
            <w:tcBorders>
              <w:top w:val="nil"/>
              <w:left w:val="single" w:sz="4" w:space="0" w:color="auto"/>
              <w:bottom w:val="single" w:sz="4" w:space="0" w:color="auto"/>
              <w:right w:val="single" w:sz="4" w:space="0" w:color="auto"/>
            </w:tcBorders>
            <w:shd w:val="clear" w:color="auto" w:fill="auto"/>
            <w:noWrap/>
            <w:vAlign w:val="bottom"/>
            <w:hideMark/>
          </w:tcPr>
          <w:p w14:paraId="4ABBE4C5" w14:textId="77777777" w:rsidR="005E5406" w:rsidRPr="005E5406" w:rsidRDefault="005E5406" w:rsidP="00BC43B4">
            <w:pPr>
              <w:spacing w:after="0"/>
              <w:rPr>
                <w:lang w:eastAsia="en-AU"/>
              </w:rPr>
            </w:pPr>
            <w:r w:rsidRPr="005E5406">
              <w:rPr>
                <w:lang w:eastAsia="en-AU"/>
              </w:rPr>
              <w:t>Education</w:t>
            </w:r>
          </w:p>
        </w:tc>
        <w:tc>
          <w:tcPr>
            <w:tcW w:w="3925" w:type="dxa"/>
            <w:tcBorders>
              <w:top w:val="nil"/>
              <w:left w:val="nil"/>
              <w:bottom w:val="single" w:sz="4" w:space="0" w:color="auto"/>
              <w:right w:val="single" w:sz="4" w:space="0" w:color="auto"/>
            </w:tcBorders>
            <w:shd w:val="clear" w:color="auto" w:fill="auto"/>
            <w:noWrap/>
            <w:vAlign w:val="bottom"/>
            <w:hideMark/>
          </w:tcPr>
          <w:p w14:paraId="25443B80" w14:textId="0A36F216" w:rsidR="005E5406" w:rsidRPr="005E5406" w:rsidRDefault="005E5406" w:rsidP="00BC43B4">
            <w:pPr>
              <w:spacing w:after="0"/>
              <w:jc w:val="right"/>
              <w:rPr>
                <w:lang w:eastAsia="en-AU"/>
              </w:rPr>
            </w:pPr>
            <w:r w:rsidRPr="005E5406">
              <w:rPr>
                <w:lang w:eastAsia="en-AU"/>
              </w:rPr>
              <w:t xml:space="preserve">179 </w:t>
            </w:r>
          </w:p>
        </w:tc>
      </w:tr>
      <w:tr w:rsidR="005E5406" w:rsidRPr="005E5406" w14:paraId="2A8BFA75" w14:textId="77777777" w:rsidTr="001B28E0">
        <w:trPr>
          <w:trHeight w:val="300"/>
        </w:trPr>
        <w:tc>
          <w:tcPr>
            <w:tcW w:w="3021" w:type="dxa"/>
            <w:tcBorders>
              <w:top w:val="nil"/>
              <w:left w:val="single" w:sz="4" w:space="0" w:color="auto"/>
              <w:bottom w:val="single" w:sz="4" w:space="0" w:color="auto"/>
              <w:right w:val="single" w:sz="4" w:space="0" w:color="auto"/>
            </w:tcBorders>
            <w:shd w:val="clear" w:color="auto" w:fill="auto"/>
            <w:noWrap/>
            <w:vAlign w:val="bottom"/>
            <w:hideMark/>
          </w:tcPr>
          <w:p w14:paraId="5AA15DB8" w14:textId="77777777" w:rsidR="005E5406" w:rsidRPr="005E5406" w:rsidRDefault="005E5406" w:rsidP="00BC43B4">
            <w:pPr>
              <w:spacing w:after="0"/>
              <w:rPr>
                <w:lang w:eastAsia="en-AU"/>
              </w:rPr>
            </w:pPr>
            <w:r w:rsidRPr="005E5406">
              <w:rPr>
                <w:lang w:eastAsia="en-AU"/>
              </w:rPr>
              <w:t>Entertainment/recreation</w:t>
            </w:r>
          </w:p>
        </w:tc>
        <w:tc>
          <w:tcPr>
            <w:tcW w:w="3925" w:type="dxa"/>
            <w:tcBorders>
              <w:top w:val="nil"/>
              <w:left w:val="nil"/>
              <w:bottom w:val="single" w:sz="4" w:space="0" w:color="auto"/>
              <w:right w:val="single" w:sz="4" w:space="0" w:color="auto"/>
            </w:tcBorders>
            <w:shd w:val="clear" w:color="auto" w:fill="auto"/>
            <w:noWrap/>
            <w:vAlign w:val="bottom"/>
            <w:hideMark/>
          </w:tcPr>
          <w:p w14:paraId="7B955287" w14:textId="78F1FF1E" w:rsidR="005E5406" w:rsidRPr="005E5406" w:rsidRDefault="005E5406" w:rsidP="00BC43B4">
            <w:pPr>
              <w:spacing w:after="0"/>
              <w:jc w:val="right"/>
              <w:rPr>
                <w:lang w:eastAsia="en-AU"/>
              </w:rPr>
            </w:pPr>
            <w:r w:rsidRPr="005E5406">
              <w:rPr>
                <w:lang w:eastAsia="en-AU"/>
              </w:rPr>
              <w:t xml:space="preserve">141 </w:t>
            </w:r>
          </w:p>
        </w:tc>
      </w:tr>
      <w:tr w:rsidR="005E5406" w:rsidRPr="005E5406" w14:paraId="6948DA85" w14:textId="77777777" w:rsidTr="001B28E0">
        <w:trPr>
          <w:trHeight w:val="300"/>
        </w:trPr>
        <w:tc>
          <w:tcPr>
            <w:tcW w:w="3021" w:type="dxa"/>
            <w:tcBorders>
              <w:top w:val="nil"/>
              <w:left w:val="single" w:sz="4" w:space="0" w:color="auto"/>
              <w:bottom w:val="single" w:sz="4" w:space="0" w:color="auto"/>
              <w:right w:val="single" w:sz="4" w:space="0" w:color="auto"/>
            </w:tcBorders>
            <w:shd w:val="clear" w:color="auto" w:fill="auto"/>
            <w:noWrap/>
            <w:vAlign w:val="bottom"/>
            <w:hideMark/>
          </w:tcPr>
          <w:p w14:paraId="57142641" w14:textId="77777777" w:rsidR="005E5406" w:rsidRPr="005E5406" w:rsidRDefault="005E5406" w:rsidP="00BC43B4">
            <w:pPr>
              <w:spacing w:after="0"/>
              <w:rPr>
                <w:lang w:eastAsia="en-AU"/>
              </w:rPr>
            </w:pPr>
            <w:r w:rsidRPr="005E5406">
              <w:rPr>
                <w:lang w:eastAsia="en-AU"/>
              </w:rPr>
              <w:t>Manufacturing/light industrial</w:t>
            </w:r>
          </w:p>
        </w:tc>
        <w:tc>
          <w:tcPr>
            <w:tcW w:w="3925" w:type="dxa"/>
            <w:tcBorders>
              <w:top w:val="nil"/>
              <w:left w:val="nil"/>
              <w:bottom w:val="single" w:sz="4" w:space="0" w:color="auto"/>
              <w:right w:val="single" w:sz="4" w:space="0" w:color="auto"/>
            </w:tcBorders>
            <w:shd w:val="clear" w:color="auto" w:fill="auto"/>
            <w:noWrap/>
            <w:vAlign w:val="bottom"/>
            <w:hideMark/>
          </w:tcPr>
          <w:p w14:paraId="3B0C7DF4" w14:textId="76D52CE3" w:rsidR="005E5406" w:rsidRPr="005E5406" w:rsidRDefault="005E5406" w:rsidP="00BC43B4">
            <w:pPr>
              <w:spacing w:after="0"/>
              <w:jc w:val="right"/>
              <w:rPr>
                <w:lang w:eastAsia="en-AU"/>
              </w:rPr>
            </w:pPr>
            <w:r w:rsidRPr="005E5406">
              <w:rPr>
                <w:lang w:eastAsia="en-AU"/>
              </w:rPr>
              <w:t xml:space="preserve">115 </w:t>
            </w:r>
          </w:p>
        </w:tc>
      </w:tr>
      <w:tr w:rsidR="005E5406" w:rsidRPr="005E5406" w14:paraId="1237E811" w14:textId="77777777" w:rsidTr="001B28E0">
        <w:trPr>
          <w:trHeight w:val="300"/>
        </w:trPr>
        <w:tc>
          <w:tcPr>
            <w:tcW w:w="3021" w:type="dxa"/>
            <w:tcBorders>
              <w:top w:val="nil"/>
              <w:left w:val="single" w:sz="4" w:space="0" w:color="auto"/>
              <w:bottom w:val="single" w:sz="4" w:space="0" w:color="auto"/>
              <w:right w:val="single" w:sz="4" w:space="0" w:color="auto"/>
            </w:tcBorders>
            <w:shd w:val="clear" w:color="auto" w:fill="auto"/>
            <w:noWrap/>
            <w:vAlign w:val="bottom"/>
            <w:hideMark/>
          </w:tcPr>
          <w:p w14:paraId="2AF41B33" w14:textId="77777777" w:rsidR="005E5406" w:rsidRPr="005E5406" w:rsidRDefault="005E5406" w:rsidP="00BC43B4">
            <w:pPr>
              <w:spacing w:after="0"/>
              <w:rPr>
                <w:lang w:eastAsia="en-AU"/>
              </w:rPr>
            </w:pPr>
            <w:r w:rsidRPr="005E5406">
              <w:rPr>
                <w:lang w:eastAsia="en-AU"/>
              </w:rPr>
              <w:t>Community/public use</w:t>
            </w:r>
          </w:p>
        </w:tc>
        <w:tc>
          <w:tcPr>
            <w:tcW w:w="3925" w:type="dxa"/>
            <w:tcBorders>
              <w:top w:val="nil"/>
              <w:left w:val="nil"/>
              <w:bottom w:val="single" w:sz="4" w:space="0" w:color="auto"/>
              <w:right w:val="single" w:sz="4" w:space="0" w:color="auto"/>
            </w:tcBorders>
            <w:shd w:val="clear" w:color="auto" w:fill="auto"/>
            <w:noWrap/>
            <w:vAlign w:val="bottom"/>
            <w:hideMark/>
          </w:tcPr>
          <w:p w14:paraId="71C4492B" w14:textId="6B27FE91" w:rsidR="005E5406" w:rsidRPr="005E5406" w:rsidRDefault="005E5406" w:rsidP="00BC43B4">
            <w:pPr>
              <w:spacing w:after="0"/>
              <w:jc w:val="right"/>
              <w:rPr>
                <w:lang w:eastAsia="en-AU"/>
              </w:rPr>
            </w:pPr>
            <w:r w:rsidRPr="005E5406">
              <w:rPr>
                <w:lang w:eastAsia="en-AU"/>
              </w:rPr>
              <w:t xml:space="preserve">92 </w:t>
            </w:r>
          </w:p>
        </w:tc>
      </w:tr>
      <w:tr w:rsidR="005E5406" w:rsidRPr="005E5406" w14:paraId="10D60190" w14:textId="77777777" w:rsidTr="001B28E0">
        <w:trPr>
          <w:trHeight w:val="300"/>
        </w:trPr>
        <w:tc>
          <w:tcPr>
            <w:tcW w:w="3021" w:type="dxa"/>
            <w:tcBorders>
              <w:top w:val="nil"/>
              <w:left w:val="single" w:sz="4" w:space="0" w:color="auto"/>
              <w:bottom w:val="single" w:sz="4" w:space="0" w:color="auto"/>
              <w:right w:val="single" w:sz="4" w:space="0" w:color="auto"/>
            </w:tcBorders>
            <w:shd w:val="clear" w:color="auto" w:fill="auto"/>
            <w:noWrap/>
            <w:vAlign w:val="bottom"/>
            <w:hideMark/>
          </w:tcPr>
          <w:p w14:paraId="05CE87F5" w14:textId="77777777" w:rsidR="005E5406" w:rsidRPr="005E5406" w:rsidRDefault="005E5406" w:rsidP="00BC43B4">
            <w:pPr>
              <w:spacing w:after="0"/>
              <w:rPr>
                <w:lang w:eastAsia="en-AU"/>
              </w:rPr>
            </w:pPr>
            <w:r w:rsidRPr="005E5406">
              <w:rPr>
                <w:lang w:eastAsia="en-AU"/>
              </w:rPr>
              <w:t>Transport</w:t>
            </w:r>
          </w:p>
        </w:tc>
        <w:tc>
          <w:tcPr>
            <w:tcW w:w="3925" w:type="dxa"/>
            <w:tcBorders>
              <w:top w:val="nil"/>
              <w:left w:val="nil"/>
              <w:bottom w:val="single" w:sz="4" w:space="0" w:color="auto"/>
              <w:right w:val="single" w:sz="4" w:space="0" w:color="auto"/>
            </w:tcBorders>
            <w:shd w:val="clear" w:color="auto" w:fill="auto"/>
            <w:noWrap/>
            <w:vAlign w:val="bottom"/>
            <w:hideMark/>
          </w:tcPr>
          <w:p w14:paraId="5F4262D2" w14:textId="785DF57C" w:rsidR="005E5406" w:rsidRPr="005E5406" w:rsidRDefault="005E5406" w:rsidP="00BC43B4">
            <w:pPr>
              <w:spacing w:after="0"/>
              <w:jc w:val="right"/>
              <w:rPr>
                <w:lang w:eastAsia="en-AU"/>
              </w:rPr>
            </w:pPr>
            <w:r w:rsidRPr="005E5406">
              <w:rPr>
                <w:lang w:eastAsia="en-AU"/>
              </w:rPr>
              <w:t xml:space="preserve">54 </w:t>
            </w:r>
          </w:p>
        </w:tc>
      </w:tr>
      <w:tr w:rsidR="005E5406" w:rsidRPr="005E5406" w14:paraId="25493A50" w14:textId="77777777" w:rsidTr="001B28E0">
        <w:trPr>
          <w:trHeight w:val="300"/>
        </w:trPr>
        <w:tc>
          <w:tcPr>
            <w:tcW w:w="3021" w:type="dxa"/>
            <w:tcBorders>
              <w:top w:val="nil"/>
              <w:left w:val="single" w:sz="4" w:space="0" w:color="auto"/>
              <w:bottom w:val="single" w:sz="4" w:space="0" w:color="auto"/>
              <w:right w:val="single" w:sz="4" w:space="0" w:color="auto"/>
            </w:tcBorders>
            <w:shd w:val="clear" w:color="auto" w:fill="auto"/>
            <w:noWrap/>
            <w:vAlign w:val="bottom"/>
            <w:hideMark/>
          </w:tcPr>
          <w:p w14:paraId="7D069AAB" w14:textId="77777777" w:rsidR="005E5406" w:rsidRPr="005E5406" w:rsidRDefault="005E5406" w:rsidP="00BC43B4">
            <w:pPr>
              <w:spacing w:after="0"/>
              <w:rPr>
                <w:lang w:eastAsia="en-AU"/>
              </w:rPr>
            </w:pPr>
            <w:r w:rsidRPr="005E5406">
              <w:rPr>
                <w:lang w:eastAsia="en-AU"/>
              </w:rPr>
              <w:t>Parking</w:t>
            </w:r>
          </w:p>
        </w:tc>
        <w:tc>
          <w:tcPr>
            <w:tcW w:w="3925" w:type="dxa"/>
            <w:tcBorders>
              <w:top w:val="nil"/>
              <w:left w:val="nil"/>
              <w:bottom w:val="single" w:sz="4" w:space="0" w:color="auto"/>
              <w:right w:val="single" w:sz="4" w:space="0" w:color="auto"/>
            </w:tcBorders>
            <w:shd w:val="clear" w:color="auto" w:fill="auto"/>
            <w:noWrap/>
            <w:vAlign w:val="bottom"/>
            <w:hideMark/>
          </w:tcPr>
          <w:p w14:paraId="01689C85" w14:textId="479F9D24" w:rsidR="005E5406" w:rsidRPr="005E5406" w:rsidRDefault="005E5406" w:rsidP="00BC43B4">
            <w:pPr>
              <w:spacing w:after="0"/>
              <w:jc w:val="right"/>
              <w:rPr>
                <w:lang w:eastAsia="en-AU"/>
              </w:rPr>
            </w:pPr>
            <w:r w:rsidRPr="005E5406">
              <w:rPr>
                <w:lang w:eastAsia="en-AU"/>
              </w:rPr>
              <w:t xml:space="preserve">43 </w:t>
            </w:r>
          </w:p>
        </w:tc>
      </w:tr>
      <w:tr w:rsidR="005E5406" w:rsidRPr="005E5406" w14:paraId="1FEB1FFF" w14:textId="77777777" w:rsidTr="001B28E0">
        <w:trPr>
          <w:trHeight w:val="300"/>
        </w:trPr>
        <w:tc>
          <w:tcPr>
            <w:tcW w:w="3021" w:type="dxa"/>
            <w:tcBorders>
              <w:top w:val="nil"/>
              <w:left w:val="single" w:sz="4" w:space="0" w:color="auto"/>
              <w:bottom w:val="single" w:sz="4" w:space="0" w:color="auto"/>
              <w:right w:val="single" w:sz="4" w:space="0" w:color="auto"/>
            </w:tcBorders>
            <w:shd w:val="clear" w:color="auto" w:fill="auto"/>
            <w:noWrap/>
            <w:vAlign w:val="bottom"/>
            <w:hideMark/>
          </w:tcPr>
          <w:p w14:paraId="054ED80C" w14:textId="77777777" w:rsidR="005E5406" w:rsidRPr="005E5406" w:rsidRDefault="005E5406" w:rsidP="00BC43B4">
            <w:pPr>
              <w:spacing w:after="0"/>
              <w:rPr>
                <w:lang w:eastAsia="en-AU"/>
              </w:rPr>
            </w:pPr>
            <w:r w:rsidRPr="005E5406">
              <w:rPr>
                <w:lang w:eastAsia="en-AU"/>
              </w:rPr>
              <w:t>Other</w:t>
            </w:r>
          </w:p>
        </w:tc>
        <w:tc>
          <w:tcPr>
            <w:tcW w:w="3925" w:type="dxa"/>
            <w:tcBorders>
              <w:top w:val="nil"/>
              <w:left w:val="nil"/>
              <w:bottom w:val="single" w:sz="4" w:space="0" w:color="auto"/>
              <w:right w:val="single" w:sz="4" w:space="0" w:color="auto"/>
            </w:tcBorders>
            <w:shd w:val="clear" w:color="auto" w:fill="auto"/>
            <w:noWrap/>
            <w:vAlign w:val="bottom"/>
            <w:hideMark/>
          </w:tcPr>
          <w:p w14:paraId="3CC30031" w14:textId="515C5B19" w:rsidR="005E5406" w:rsidRPr="005E5406" w:rsidRDefault="005E5406" w:rsidP="00BC43B4">
            <w:pPr>
              <w:spacing w:after="0"/>
              <w:jc w:val="right"/>
              <w:rPr>
                <w:lang w:eastAsia="en-AU"/>
              </w:rPr>
            </w:pPr>
            <w:r w:rsidRPr="005E5406">
              <w:rPr>
                <w:lang w:eastAsia="en-AU"/>
              </w:rPr>
              <w:t xml:space="preserve">24 </w:t>
            </w:r>
          </w:p>
        </w:tc>
      </w:tr>
      <w:tr w:rsidR="005E5406" w:rsidRPr="005E5406" w14:paraId="4EE2571B" w14:textId="77777777" w:rsidTr="001B28E0">
        <w:trPr>
          <w:trHeight w:val="300"/>
        </w:trPr>
        <w:tc>
          <w:tcPr>
            <w:tcW w:w="3021" w:type="dxa"/>
            <w:tcBorders>
              <w:top w:val="nil"/>
              <w:left w:val="single" w:sz="4" w:space="0" w:color="auto"/>
              <w:bottom w:val="single" w:sz="4" w:space="0" w:color="auto"/>
              <w:right w:val="single" w:sz="4" w:space="0" w:color="auto"/>
            </w:tcBorders>
            <w:shd w:val="clear" w:color="auto" w:fill="auto"/>
            <w:noWrap/>
            <w:vAlign w:val="bottom"/>
            <w:hideMark/>
          </w:tcPr>
          <w:p w14:paraId="1A3740AC" w14:textId="77777777" w:rsidR="005E5406" w:rsidRPr="005E5406" w:rsidRDefault="005E5406" w:rsidP="00BC43B4">
            <w:pPr>
              <w:spacing w:after="0"/>
              <w:rPr>
                <w:lang w:eastAsia="en-AU"/>
              </w:rPr>
            </w:pPr>
            <w:r w:rsidRPr="005E5406">
              <w:rPr>
                <w:lang w:eastAsia="en-AU"/>
              </w:rPr>
              <w:t>Unoccupied</w:t>
            </w:r>
          </w:p>
        </w:tc>
        <w:tc>
          <w:tcPr>
            <w:tcW w:w="3925" w:type="dxa"/>
            <w:tcBorders>
              <w:top w:val="nil"/>
              <w:left w:val="nil"/>
              <w:bottom w:val="single" w:sz="4" w:space="0" w:color="auto"/>
              <w:right w:val="single" w:sz="4" w:space="0" w:color="auto"/>
            </w:tcBorders>
            <w:shd w:val="clear" w:color="auto" w:fill="auto"/>
            <w:noWrap/>
            <w:vAlign w:val="bottom"/>
            <w:hideMark/>
          </w:tcPr>
          <w:p w14:paraId="54B8C174" w14:textId="5F1FB2EF" w:rsidR="005E5406" w:rsidRPr="005E5406" w:rsidRDefault="005E5406" w:rsidP="00BC43B4">
            <w:pPr>
              <w:spacing w:after="0"/>
              <w:jc w:val="right"/>
              <w:rPr>
                <w:lang w:eastAsia="en-AU"/>
              </w:rPr>
            </w:pPr>
            <w:r w:rsidRPr="005E5406">
              <w:rPr>
                <w:lang w:eastAsia="en-AU"/>
              </w:rPr>
              <w:t xml:space="preserve">15 </w:t>
            </w:r>
          </w:p>
        </w:tc>
      </w:tr>
    </w:tbl>
    <w:p w14:paraId="28F24032" w14:textId="77777777" w:rsidR="005E5406" w:rsidRDefault="005E5406" w:rsidP="001B28E0">
      <w:pPr>
        <w:rPr>
          <w:rFonts w:ascii="Helvetica Light" w:hAnsi="Helvetica Light" w:cstheme="minorBidi"/>
          <w:szCs w:val="20"/>
        </w:rPr>
      </w:pPr>
    </w:p>
    <w:p w14:paraId="63F1B70D" w14:textId="0BF7543A" w:rsidR="001B28E0" w:rsidRPr="007E394F" w:rsidRDefault="001B28E0" w:rsidP="001B28E0">
      <w:pPr>
        <w:rPr>
          <w:rFonts w:cs="Arial"/>
          <w:szCs w:val="20"/>
        </w:rPr>
      </w:pPr>
      <w:r w:rsidRPr="007E394F">
        <w:rPr>
          <w:rFonts w:cs="Arial"/>
          <w:szCs w:val="20"/>
        </w:rPr>
        <w:t>Return to</w:t>
      </w:r>
      <w:r>
        <w:rPr>
          <w:rFonts w:cs="Arial"/>
          <w:szCs w:val="20"/>
        </w:rPr>
        <w:t xml:space="preserve"> </w:t>
      </w:r>
      <w:hyperlink w:anchor="_4.3.2_Greenhouse_Gas" w:history="1">
        <w:r w:rsidRPr="00190FC7">
          <w:rPr>
            <w:rStyle w:val="Hyperlink"/>
          </w:rPr>
          <w:t>Greenhouse Gas Emissions</w:t>
        </w:r>
      </w:hyperlink>
      <w:r>
        <w:rPr>
          <w:rStyle w:val="Hyperlink"/>
        </w:rPr>
        <w:t xml:space="preserve"> by </w:t>
      </w:r>
      <w:hyperlink w:anchor="_4.3.1_Greenhouse_Gas" w:history="1">
        <w:r>
          <w:rPr>
            <w:rStyle w:val="Hyperlink"/>
          </w:rPr>
          <w:t>Space</w:t>
        </w:r>
      </w:hyperlink>
      <w:r>
        <w:rPr>
          <w:rStyle w:val="Hyperlink"/>
        </w:rPr>
        <w:t xml:space="preserve"> Use Type</w:t>
      </w:r>
    </w:p>
    <w:p w14:paraId="57A04A89" w14:textId="1FCA4484" w:rsidR="001B28E0" w:rsidRPr="001B28E0" w:rsidRDefault="00944E9B" w:rsidP="001B28E0">
      <w:pPr>
        <w:pStyle w:val="Heading3"/>
        <w:rPr>
          <w:rFonts w:hint="eastAsia"/>
        </w:rPr>
      </w:pPr>
      <w:bookmarkStart w:id="300" w:name="_Share_of_Total_1"/>
      <w:bookmarkEnd w:id="300"/>
      <w:r>
        <w:t>Table A.5</w:t>
      </w:r>
      <w:r w:rsidR="00A13E20">
        <w:t>3</w:t>
      </w:r>
      <w:r>
        <w:tab/>
      </w:r>
      <w:r w:rsidR="001B28E0" w:rsidRPr="005E5406">
        <w:t>Share of Total Emissions by Fuel by Space-Use</w:t>
      </w:r>
    </w:p>
    <w:tbl>
      <w:tblPr>
        <w:tblW w:w="8505" w:type="dxa"/>
        <w:tblInd w:w="-5" w:type="dxa"/>
        <w:tblLook w:val="04A0" w:firstRow="1" w:lastRow="0" w:firstColumn="1" w:lastColumn="0" w:noHBand="0" w:noVBand="1"/>
      </w:tblPr>
      <w:tblGrid>
        <w:gridCol w:w="2530"/>
        <w:gridCol w:w="3140"/>
        <w:gridCol w:w="2835"/>
      </w:tblGrid>
      <w:tr w:rsidR="005E5406" w:rsidRPr="005E5406" w14:paraId="08C43E02" w14:textId="77777777" w:rsidTr="001B28E0">
        <w:trPr>
          <w:trHeight w:val="300"/>
        </w:trPr>
        <w:tc>
          <w:tcPr>
            <w:tcW w:w="2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D1AF11" w14:textId="77777777" w:rsidR="005E5406" w:rsidRPr="001B28E0" w:rsidRDefault="005E5406" w:rsidP="001B28E0">
            <w:pPr>
              <w:spacing w:after="0"/>
              <w:rPr>
                <w:b/>
                <w:bCs/>
                <w:lang w:eastAsia="en-AU"/>
              </w:rPr>
            </w:pPr>
            <w:bookmarkStart w:id="301" w:name="_Figure_54:_Share"/>
            <w:bookmarkEnd w:id="301"/>
            <w:r w:rsidRPr="001B28E0">
              <w:rPr>
                <w:b/>
                <w:bCs/>
                <w:lang w:eastAsia="en-AU"/>
              </w:rPr>
              <w:t>Space Use Type</w:t>
            </w:r>
          </w:p>
        </w:tc>
        <w:tc>
          <w:tcPr>
            <w:tcW w:w="3140" w:type="dxa"/>
            <w:tcBorders>
              <w:top w:val="single" w:sz="4" w:space="0" w:color="auto"/>
              <w:left w:val="nil"/>
              <w:bottom w:val="single" w:sz="4" w:space="0" w:color="auto"/>
              <w:right w:val="single" w:sz="4" w:space="0" w:color="auto"/>
            </w:tcBorders>
            <w:shd w:val="clear" w:color="auto" w:fill="auto"/>
            <w:noWrap/>
            <w:vAlign w:val="bottom"/>
            <w:hideMark/>
          </w:tcPr>
          <w:p w14:paraId="173601EF" w14:textId="77777777" w:rsidR="005E5406" w:rsidRPr="001B28E0" w:rsidRDefault="005E5406" w:rsidP="001B28E0">
            <w:pPr>
              <w:spacing w:after="0"/>
              <w:rPr>
                <w:b/>
                <w:bCs/>
                <w:lang w:eastAsia="en-AU"/>
              </w:rPr>
            </w:pPr>
            <w:r w:rsidRPr="001B28E0">
              <w:rPr>
                <w:b/>
                <w:bCs/>
                <w:lang w:eastAsia="en-AU"/>
              </w:rPr>
              <w:t>Electricity Emissions as a Percentage of the Total (%)</w:t>
            </w:r>
          </w:p>
        </w:tc>
        <w:tc>
          <w:tcPr>
            <w:tcW w:w="2835" w:type="dxa"/>
            <w:tcBorders>
              <w:top w:val="single" w:sz="4" w:space="0" w:color="auto"/>
              <w:left w:val="nil"/>
              <w:bottom w:val="single" w:sz="4" w:space="0" w:color="auto"/>
              <w:right w:val="single" w:sz="4" w:space="0" w:color="auto"/>
            </w:tcBorders>
            <w:shd w:val="clear" w:color="auto" w:fill="auto"/>
            <w:noWrap/>
            <w:vAlign w:val="bottom"/>
            <w:hideMark/>
          </w:tcPr>
          <w:p w14:paraId="0DF4F0BD" w14:textId="77777777" w:rsidR="005E5406" w:rsidRPr="001B28E0" w:rsidRDefault="005E5406" w:rsidP="001B28E0">
            <w:pPr>
              <w:spacing w:after="0"/>
              <w:rPr>
                <w:b/>
                <w:bCs/>
                <w:lang w:eastAsia="en-AU"/>
              </w:rPr>
            </w:pPr>
            <w:r w:rsidRPr="001B28E0">
              <w:rPr>
                <w:b/>
                <w:bCs/>
                <w:lang w:eastAsia="en-AU"/>
              </w:rPr>
              <w:t>Gas Emissions as a Percentage of the Total (%)</w:t>
            </w:r>
          </w:p>
        </w:tc>
      </w:tr>
      <w:tr w:rsidR="005E5406" w:rsidRPr="005E5406" w14:paraId="102AABC3" w14:textId="77777777" w:rsidTr="001B28E0">
        <w:trPr>
          <w:trHeight w:val="300"/>
        </w:trPr>
        <w:tc>
          <w:tcPr>
            <w:tcW w:w="2530" w:type="dxa"/>
            <w:tcBorders>
              <w:top w:val="nil"/>
              <w:left w:val="single" w:sz="4" w:space="0" w:color="auto"/>
              <w:bottom w:val="single" w:sz="4" w:space="0" w:color="auto"/>
              <w:right w:val="single" w:sz="4" w:space="0" w:color="auto"/>
            </w:tcBorders>
            <w:shd w:val="clear" w:color="auto" w:fill="auto"/>
            <w:noWrap/>
            <w:vAlign w:val="bottom"/>
            <w:hideMark/>
          </w:tcPr>
          <w:p w14:paraId="6B8B80CE" w14:textId="77777777" w:rsidR="005E5406" w:rsidRPr="005E5406" w:rsidRDefault="005E5406" w:rsidP="001B28E0">
            <w:pPr>
              <w:spacing w:after="0"/>
              <w:rPr>
                <w:lang w:eastAsia="en-AU"/>
              </w:rPr>
            </w:pPr>
            <w:r w:rsidRPr="005E5406">
              <w:rPr>
                <w:lang w:eastAsia="en-AU"/>
              </w:rPr>
              <w:t>Parking</w:t>
            </w:r>
          </w:p>
        </w:tc>
        <w:tc>
          <w:tcPr>
            <w:tcW w:w="3140" w:type="dxa"/>
            <w:tcBorders>
              <w:top w:val="nil"/>
              <w:left w:val="nil"/>
              <w:bottom w:val="single" w:sz="4" w:space="0" w:color="auto"/>
              <w:right w:val="single" w:sz="4" w:space="0" w:color="auto"/>
            </w:tcBorders>
            <w:shd w:val="clear" w:color="auto" w:fill="auto"/>
            <w:noWrap/>
            <w:vAlign w:val="bottom"/>
            <w:hideMark/>
          </w:tcPr>
          <w:p w14:paraId="61D953DF" w14:textId="77777777" w:rsidR="005E5406" w:rsidRPr="005E5406" w:rsidRDefault="005E5406" w:rsidP="001B28E0">
            <w:pPr>
              <w:spacing w:after="0"/>
              <w:jc w:val="right"/>
              <w:rPr>
                <w:lang w:eastAsia="en-AU"/>
              </w:rPr>
            </w:pPr>
            <w:r w:rsidRPr="005E5406">
              <w:rPr>
                <w:lang w:eastAsia="en-AU"/>
              </w:rPr>
              <w:t>100%</w:t>
            </w:r>
          </w:p>
        </w:tc>
        <w:tc>
          <w:tcPr>
            <w:tcW w:w="2835" w:type="dxa"/>
            <w:tcBorders>
              <w:top w:val="nil"/>
              <w:left w:val="nil"/>
              <w:bottom w:val="single" w:sz="4" w:space="0" w:color="auto"/>
              <w:right w:val="single" w:sz="4" w:space="0" w:color="auto"/>
            </w:tcBorders>
            <w:shd w:val="clear" w:color="auto" w:fill="auto"/>
            <w:noWrap/>
            <w:vAlign w:val="bottom"/>
            <w:hideMark/>
          </w:tcPr>
          <w:p w14:paraId="697387B9" w14:textId="77777777" w:rsidR="005E5406" w:rsidRPr="005E5406" w:rsidRDefault="005E5406" w:rsidP="001B28E0">
            <w:pPr>
              <w:spacing w:after="0"/>
              <w:jc w:val="right"/>
              <w:rPr>
                <w:lang w:eastAsia="en-AU"/>
              </w:rPr>
            </w:pPr>
            <w:r w:rsidRPr="005E5406">
              <w:rPr>
                <w:lang w:eastAsia="en-AU"/>
              </w:rPr>
              <w:t>0%</w:t>
            </w:r>
          </w:p>
        </w:tc>
      </w:tr>
      <w:tr w:rsidR="005E5406" w:rsidRPr="005E5406" w14:paraId="1D301F19" w14:textId="77777777" w:rsidTr="001B28E0">
        <w:trPr>
          <w:trHeight w:val="300"/>
        </w:trPr>
        <w:tc>
          <w:tcPr>
            <w:tcW w:w="2530" w:type="dxa"/>
            <w:tcBorders>
              <w:top w:val="nil"/>
              <w:left w:val="single" w:sz="4" w:space="0" w:color="auto"/>
              <w:bottom w:val="single" w:sz="4" w:space="0" w:color="auto"/>
              <w:right w:val="single" w:sz="4" w:space="0" w:color="auto"/>
            </w:tcBorders>
            <w:shd w:val="clear" w:color="auto" w:fill="auto"/>
            <w:noWrap/>
            <w:vAlign w:val="bottom"/>
            <w:hideMark/>
          </w:tcPr>
          <w:p w14:paraId="500C0C5D" w14:textId="77777777" w:rsidR="005E5406" w:rsidRPr="005E5406" w:rsidRDefault="005E5406" w:rsidP="001B28E0">
            <w:pPr>
              <w:spacing w:after="0"/>
              <w:rPr>
                <w:lang w:eastAsia="en-AU"/>
              </w:rPr>
            </w:pPr>
            <w:r w:rsidRPr="005E5406">
              <w:rPr>
                <w:lang w:eastAsia="en-AU"/>
              </w:rPr>
              <w:t>Unoccupied</w:t>
            </w:r>
          </w:p>
        </w:tc>
        <w:tc>
          <w:tcPr>
            <w:tcW w:w="3140" w:type="dxa"/>
            <w:tcBorders>
              <w:top w:val="nil"/>
              <w:left w:val="nil"/>
              <w:bottom w:val="single" w:sz="4" w:space="0" w:color="auto"/>
              <w:right w:val="single" w:sz="4" w:space="0" w:color="auto"/>
            </w:tcBorders>
            <w:shd w:val="clear" w:color="auto" w:fill="auto"/>
            <w:noWrap/>
            <w:vAlign w:val="bottom"/>
            <w:hideMark/>
          </w:tcPr>
          <w:p w14:paraId="79433249" w14:textId="77777777" w:rsidR="005E5406" w:rsidRPr="005E5406" w:rsidRDefault="005E5406" w:rsidP="001B28E0">
            <w:pPr>
              <w:spacing w:after="0"/>
              <w:jc w:val="right"/>
              <w:rPr>
                <w:lang w:eastAsia="en-AU"/>
              </w:rPr>
            </w:pPr>
            <w:r w:rsidRPr="005E5406">
              <w:rPr>
                <w:lang w:eastAsia="en-AU"/>
              </w:rPr>
              <w:t>100%</w:t>
            </w:r>
          </w:p>
        </w:tc>
        <w:tc>
          <w:tcPr>
            <w:tcW w:w="2835" w:type="dxa"/>
            <w:tcBorders>
              <w:top w:val="nil"/>
              <w:left w:val="nil"/>
              <w:bottom w:val="single" w:sz="4" w:space="0" w:color="auto"/>
              <w:right w:val="single" w:sz="4" w:space="0" w:color="auto"/>
            </w:tcBorders>
            <w:shd w:val="clear" w:color="auto" w:fill="auto"/>
            <w:noWrap/>
            <w:vAlign w:val="bottom"/>
            <w:hideMark/>
          </w:tcPr>
          <w:p w14:paraId="21ED06F1" w14:textId="77777777" w:rsidR="005E5406" w:rsidRPr="005E5406" w:rsidRDefault="005E5406" w:rsidP="001B28E0">
            <w:pPr>
              <w:spacing w:after="0"/>
              <w:jc w:val="right"/>
              <w:rPr>
                <w:lang w:eastAsia="en-AU"/>
              </w:rPr>
            </w:pPr>
            <w:r w:rsidRPr="005E5406">
              <w:rPr>
                <w:lang w:eastAsia="en-AU"/>
              </w:rPr>
              <w:t>0%</w:t>
            </w:r>
          </w:p>
        </w:tc>
      </w:tr>
      <w:tr w:rsidR="005E5406" w:rsidRPr="005E5406" w14:paraId="65676657" w14:textId="77777777" w:rsidTr="001B28E0">
        <w:trPr>
          <w:trHeight w:val="300"/>
        </w:trPr>
        <w:tc>
          <w:tcPr>
            <w:tcW w:w="2530" w:type="dxa"/>
            <w:tcBorders>
              <w:top w:val="nil"/>
              <w:left w:val="single" w:sz="4" w:space="0" w:color="auto"/>
              <w:bottom w:val="single" w:sz="4" w:space="0" w:color="auto"/>
              <w:right w:val="single" w:sz="4" w:space="0" w:color="auto"/>
            </w:tcBorders>
            <w:shd w:val="clear" w:color="auto" w:fill="auto"/>
            <w:noWrap/>
            <w:vAlign w:val="bottom"/>
            <w:hideMark/>
          </w:tcPr>
          <w:p w14:paraId="5A25C9DD" w14:textId="77777777" w:rsidR="005E5406" w:rsidRPr="005E5406" w:rsidRDefault="005E5406" w:rsidP="001B28E0">
            <w:pPr>
              <w:spacing w:after="0"/>
              <w:rPr>
                <w:lang w:eastAsia="en-AU"/>
              </w:rPr>
            </w:pPr>
            <w:r w:rsidRPr="005E5406">
              <w:rPr>
                <w:lang w:eastAsia="en-AU"/>
              </w:rPr>
              <w:t>Transport</w:t>
            </w:r>
          </w:p>
        </w:tc>
        <w:tc>
          <w:tcPr>
            <w:tcW w:w="3140" w:type="dxa"/>
            <w:tcBorders>
              <w:top w:val="nil"/>
              <w:left w:val="nil"/>
              <w:bottom w:val="single" w:sz="4" w:space="0" w:color="auto"/>
              <w:right w:val="single" w:sz="4" w:space="0" w:color="auto"/>
            </w:tcBorders>
            <w:shd w:val="clear" w:color="auto" w:fill="auto"/>
            <w:noWrap/>
            <w:vAlign w:val="bottom"/>
            <w:hideMark/>
          </w:tcPr>
          <w:p w14:paraId="76BDFD92" w14:textId="77777777" w:rsidR="005E5406" w:rsidRPr="005E5406" w:rsidRDefault="005E5406" w:rsidP="001B28E0">
            <w:pPr>
              <w:spacing w:after="0"/>
              <w:jc w:val="right"/>
              <w:rPr>
                <w:lang w:eastAsia="en-AU"/>
              </w:rPr>
            </w:pPr>
            <w:r w:rsidRPr="005E5406">
              <w:rPr>
                <w:lang w:eastAsia="en-AU"/>
              </w:rPr>
              <w:t>100%</w:t>
            </w:r>
          </w:p>
        </w:tc>
        <w:tc>
          <w:tcPr>
            <w:tcW w:w="2835" w:type="dxa"/>
            <w:tcBorders>
              <w:top w:val="nil"/>
              <w:left w:val="nil"/>
              <w:bottom w:val="single" w:sz="4" w:space="0" w:color="auto"/>
              <w:right w:val="single" w:sz="4" w:space="0" w:color="auto"/>
            </w:tcBorders>
            <w:shd w:val="clear" w:color="auto" w:fill="auto"/>
            <w:noWrap/>
            <w:vAlign w:val="bottom"/>
            <w:hideMark/>
          </w:tcPr>
          <w:p w14:paraId="71B5C585" w14:textId="77777777" w:rsidR="005E5406" w:rsidRPr="005E5406" w:rsidRDefault="005E5406" w:rsidP="001B28E0">
            <w:pPr>
              <w:spacing w:after="0"/>
              <w:jc w:val="right"/>
              <w:rPr>
                <w:lang w:eastAsia="en-AU"/>
              </w:rPr>
            </w:pPr>
            <w:r w:rsidRPr="005E5406">
              <w:rPr>
                <w:lang w:eastAsia="en-AU"/>
              </w:rPr>
              <w:t>0%</w:t>
            </w:r>
          </w:p>
        </w:tc>
      </w:tr>
      <w:tr w:rsidR="005E5406" w:rsidRPr="005E5406" w14:paraId="09739181" w14:textId="77777777" w:rsidTr="001B28E0">
        <w:trPr>
          <w:trHeight w:val="300"/>
        </w:trPr>
        <w:tc>
          <w:tcPr>
            <w:tcW w:w="2530" w:type="dxa"/>
            <w:tcBorders>
              <w:top w:val="nil"/>
              <w:left w:val="single" w:sz="4" w:space="0" w:color="auto"/>
              <w:bottom w:val="single" w:sz="4" w:space="0" w:color="auto"/>
              <w:right w:val="single" w:sz="4" w:space="0" w:color="auto"/>
            </w:tcBorders>
            <w:shd w:val="clear" w:color="auto" w:fill="auto"/>
            <w:noWrap/>
            <w:vAlign w:val="bottom"/>
            <w:hideMark/>
          </w:tcPr>
          <w:p w14:paraId="4ACE0E84" w14:textId="77777777" w:rsidR="005E5406" w:rsidRPr="005E5406" w:rsidRDefault="005E5406" w:rsidP="001B28E0">
            <w:pPr>
              <w:spacing w:after="0"/>
              <w:rPr>
                <w:lang w:eastAsia="en-AU"/>
              </w:rPr>
            </w:pPr>
            <w:r w:rsidRPr="005E5406">
              <w:rPr>
                <w:lang w:eastAsia="en-AU"/>
              </w:rPr>
              <w:t>Other</w:t>
            </w:r>
          </w:p>
        </w:tc>
        <w:tc>
          <w:tcPr>
            <w:tcW w:w="3140" w:type="dxa"/>
            <w:tcBorders>
              <w:top w:val="nil"/>
              <w:left w:val="nil"/>
              <w:bottom w:val="single" w:sz="4" w:space="0" w:color="auto"/>
              <w:right w:val="single" w:sz="4" w:space="0" w:color="auto"/>
            </w:tcBorders>
            <w:shd w:val="clear" w:color="auto" w:fill="auto"/>
            <w:noWrap/>
            <w:vAlign w:val="bottom"/>
            <w:hideMark/>
          </w:tcPr>
          <w:p w14:paraId="5E0FC1E8" w14:textId="77777777" w:rsidR="005E5406" w:rsidRPr="005E5406" w:rsidRDefault="005E5406" w:rsidP="001B28E0">
            <w:pPr>
              <w:spacing w:after="0"/>
              <w:jc w:val="right"/>
              <w:rPr>
                <w:lang w:eastAsia="en-AU"/>
              </w:rPr>
            </w:pPr>
            <w:r w:rsidRPr="005E5406">
              <w:rPr>
                <w:lang w:eastAsia="en-AU"/>
              </w:rPr>
              <w:t>99%</w:t>
            </w:r>
          </w:p>
        </w:tc>
        <w:tc>
          <w:tcPr>
            <w:tcW w:w="2835" w:type="dxa"/>
            <w:tcBorders>
              <w:top w:val="nil"/>
              <w:left w:val="nil"/>
              <w:bottom w:val="single" w:sz="4" w:space="0" w:color="auto"/>
              <w:right w:val="single" w:sz="4" w:space="0" w:color="auto"/>
            </w:tcBorders>
            <w:shd w:val="clear" w:color="auto" w:fill="auto"/>
            <w:noWrap/>
            <w:vAlign w:val="bottom"/>
            <w:hideMark/>
          </w:tcPr>
          <w:p w14:paraId="1D8EC6F6" w14:textId="77777777" w:rsidR="005E5406" w:rsidRPr="005E5406" w:rsidRDefault="005E5406" w:rsidP="001B28E0">
            <w:pPr>
              <w:spacing w:after="0"/>
              <w:jc w:val="right"/>
              <w:rPr>
                <w:lang w:eastAsia="en-AU"/>
              </w:rPr>
            </w:pPr>
            <w:r w:rsidRPr="005E5406">
              <w:rPr>
                <w:lang w:eastAsia="en-AU"/>
              </w:rPr>
              <w:t>1%</w:t>
            </w:r>
          </w:p>
        </w:tc>
      </w:tr>
      <w:tr w:rsidR="005E5406" w:rsidRPr="005E5406" w14:paraId="49193FEC" w14:textId="77777777" w:rsidTr="001B28E0">
        <w:trPr>
          <w:trHeight w:val="300"/>
        </w:trPr>
        <w:tc>
          <w:tcPr>
            <w:tcW w:w="2530" w:type="dxa"/>
            <w:tcBorders>
              <w:top w:val="nil"/>
              <w:left w:val="single" w:sz="4" w:space="0" w:color="auto"/>
              <w:bottom w:val="single" w:sz="4" w:space="0" w:color="auto"/>
              <w:right w:val="single" w:sz="4" w:space="0" w:color="auto"/>
            </w:tcBorders>
            <w:shd w:val="clear" w:color="auto" w:fill="auto"/>
            <w:noWrap/>
            <w:vAlign w:val="bottom"/>
            <w:hideMark/>
          </w:tcPr>
          <w:p w14:paraId="31A1B5F1" w14:textId="77777777" w:rsidR="005E5406" w:rsidRPr="005E5406" w:rsidRDefault="005E5406" w:rsidP="001B28E0">
            <w:pPr>
              <w:spacing w:after="0"/>
              <w:rPr>
                <w:lang w:eastAsia="en-AU"/>
              </w:rPr>
            </w:pPr>
            <w:r w:rsidRPr="005E5406">
              <w:rPr>
                <w:lang w:eastAsia="en-AU"/>
              </w:rPr>
              <w:t>Retail</w:t>
            </w:r>
          </w:p>
        </w:tc>
        <w:tc>
          <w:tcPr>
            <w:tcW w:w="3140" w:type="dxa"/>
            <w:tcBorders>
              <w:top w:val="nil"/>
              <w:left w:val="nil"/>
              <w:bottom w:val="single" w:sz="4" w:space="0" w:color="auto"/>
              <w:right w:val="single" w:sz="4" w:space="0" w:color="auto"/>
            </w:tcBorders>
            <w:shd w:val="clear" w:color="auto" w:fill="auto"/>
            <w:noWrap/>
            <w:vAlign w:val="bottom"/>
            <w:hideMark/>
          </w:tcPr>
          <w:p w14:paraId="23CD9B3F" w14:textId="77777777" w:rsidR="005E5406" w:rsidRPr="005E5406" w:rsidRDefault="005E5406" w:rsidP="001B28E0">
            <w:pPr>
              <w:spacing w:after="0"/>
              <w:jc w:val="right"/>
              <w:rPr>
                <w:lang w:eastAsia="en-AU"/>
              </w:rPr>
            </w:pPr>
            <w:r w:rsidRPr="005E5406">
              <w:rPr>
                <w:lang w:eastAsia="en-AU"/>
              </w:rPr>
              <w:t>95%</w:t>
            </w:r>
          </w:p>
        </w:tc>
        <w:tc>
          <w:tcPr>
            <w:tcW w:w="2835" w:type="dxa"/>
            <w:tcBorders>
              <w:top w:val="nil"/>
              <w:left w:val="nil"/>
              <w:bottom w:val="single" w:sz="4" w:space="0" w:color="auto"/>
              <w:right w:val="single" w:sz="4" w:space="0" w:color="auto"/>
            </w:tcBorders>
            <w:shd w:val="clear" w:color="auto" w:fill="auto"/>
            <w:noWrap/>
            <w:vAlign w:val="bottom"/>
            <w:hideMark/>
          </w:tcPr>
          <w:p w14:paraId="21C9784F" w14:textId="77777777" w:rsidR="005E5406" w:rsidRPr="005E5406" w:rsidRDefault="005E5406" w:rsidP="001B28E0">
            <w:pPr>
              <w:spacing w:after="0"/>
              <w:jc w:val="right"/>
              <w:rPr>
                <w:lang w:eastAsia="en-AU"/>
              </w:rPr>
            </w:pPr>
            <w:r w:rsidRPr="005E5406">
              <w:rPr>
                <w:lang w:eastAsia="en-AU"/>
              </w:rPr>
              <w:t>5%</w:t>
            </w:r>
          </w:p>
        </w:tc>
      </w:tr>
      <w:tr w:rsidR="005E5406" w:rsidRPr="005E5406" w14:paraId="46274DED" w14:textId="77777777" w:rsidTr="001B28E0">
        <w:trPr>
          <w:trHeight w:val="300"/>
        </w:trPr>
        <w:tc>
          <w:tcPr>
            <w:tcW w:w="2530" w:type="dxa"/>
            <w:tcBorders>
              <w:top w:val="nil"/>
              <w:left w:val="single" w:sz="4" w:space="0" w:color="auto"/>
              <w:bottom w:val="single" w:sz="4" w:space="0" w:color="auto"/>
              <w:right w:val="single" w:sz="4" w:space="0" w:color="auto"/>
            </w:tcBorders>
            <w:shd w:val="clear" w:color="auto" w:fill="auto"/>
            <w:noWrap/>
            <w:vAlign w:val="bottom"/>
            <w:hideMark/>
          </w:tcPr>
          <w:p w14:paraId="68B616AD" w14:textId="77777777" w:rsidR="005E5406" w:rsidRPr="005E5406" w:rsidRDefault="005E5406" w:rsidP="001B28E0">
            <w:pPr>
              <w:spacing w:after="0"/>
              <w:rPr>
                <w:lang w:eastAsia="en-AU"/>
              </w:rPr>
            </w:pPr>
            <w:r w:rsidRPr="005E5406">
              <w:rPr>
                <w:lang w:eastAsia="en-AU"/>
              </w:rPr>
              <w:t>Entertainment/recreation</w:t>
            </w:r>
          </w:p>
        </w:tc>
        <w:tc>
          <w:tcPr>
            <w:tcW w:w="3140" w:type="dxa"/>
            <w:tcBorders>
              <w:top w:val="nil"/>
              <w:left w:val="nil"/>
              <w:bottom w:val="single" w:sz="4" w:space="0" w:color="auto"/>
              <w:right w:val="single" w:sz="4" w:space="0" w:color="auto"/>
            </w:tcBorders>
            <w:shd w:val="clear" w:color="auto" w:fill="auto"/>
            <w:noWrap/>
            <w:vAlign w:val="bottom"/>
            <w:hideMark/>
          </w:tcPr>
          <w:p w14:paraId="2C90D1CD" w14:textId="77777777" w:rsidR="005E5406" w:rsidRPr="005E5406" w:rsidRDefault="005E5406" w:rsidP="001B28E0">
            <w:pPr>
              <w:spacing w:after="0"/>
              <w:jc w:val="right"/>
              <w:rPr>
                <w:lang w:eastAsia="en-AU"/>
              </w:rPr>
            </w:pPr>
            <w:r w:rsidRPr="005E5406">
              <w:rPr>
                <w:lang w:eastAsia="en-AU"/>
              </w:rPr>
              <w:t>94%</w:t>
            </w:r>
          </w:p>
        </w:tc>
        <w:tc>
          <w:tcPr>
            <w:tcW w:w="2835" w:type="dxa"/>
            <w:tcBorders>
              <w:top w:val="nil"/>
              <w:left w:val="nil"/>
              <w:bottom w:val="single" w:sz="4" w:space="0" w:color="auto"/>
              <w:right w:val="single" w:sz="4" w:space="0" w:color="auto"/>
            </w:tcBorders>
            <w:shd w:val="clear" w:color="auto" w:fill="auto"/>
            <w:noWrap/>
            <w:vAlign w:val="bottom"/>
            <w:hideMark/>
          </w:tcPr>
          <w:p w14:paraId="4ACD6EFA" w14:textId="77777777" w:rsidR="005E5406" w:rsidRPr="005E5406" w:rsidRDefault="005E5406" w:rsidP="001B28E0">
            <w:pPr>
              <w:spacing w:after="0"/>
              <w:jc w:val="right"/>
              <w:rPr>
                <w:lang w:eastAsia="en-AU"/>
              </w:rPr>
            </w:pPr>
            <w:r w:rsidRPr="005E5406">
              <w:rPr>
                <w:lang w:eastAsia="en-AU"/>
              </w:rPr>
              <w:t>6%</w:t>
            </w:r>
          </w:p>
        </w:tc>
      </w:tr>
      <w:tr w:rsidR="005E5406" w:rsidRPr="005E5406" w14:paraId="386A5835" w14:textId="77777777" w:rsidTr="001B28E0">
        <w:trPr>
          <w:trHeight w:val="300"/>
        </w:trPr>
        <w:tc>
          <w:tcPr>
            <w:tcW w:w="2530" w:type="dxa"/>
            <w:tcBorders>
              <w:top w:val="nil"/>
              <w:left w:val="single" w:sz="4" w:space="0" w:color="auto"/>
              <w:bottom w:val="single" w:sz="4" w:space="0" w:color="auto"/>
              <w:right w:val="single" w:sz="4" w:space="0" w:color="auto"/>
            </w:tcBorders>
            <w:shd w:val="clear" w:color="auto" w:fill="auto"/>
            <w:noWrap/>
            <w:vAlign w:val="bottom"/>
            <w:hideMark/>
          </w:tcPr>
          <w:p w14:paraId="6CE56685" w14:textId="77777777" w:rsidR="005E5406" w:rsidRPr="005E5406" w:rsidRDefault="005E5406" w:rsidP="001B28E0">
            <w:pPr>
              <w:spacing w:after="0"/>
              <w:rPr>
                <w:lang w:eastAsia="en-AU"/>
              </w:rPr>
            </w:pPr>
            <w:r w:rsidRPr="005E5406">
              <w:rPr>
                <w:lang w:eastAsia="en-AU"/>
              </w:rPr>
              <w:t>Community/public use</w:t>
            </w:r>
          </w:p>
        </w:tc>
        <w:tc>
          <w:tcPr>
            <w:tcW w:w="3140" w:type="dxa"/>
            <w:tcBorders>
              <w:top w:val="nil"/>
              <w:left w:val="nil"/>
              <w:bottom w:val="single" w:sz="4" w:space="0" w:color="auto"/>
              <w:right w:val="single" w:sz="4" w:space="0" w:color="auto"/>
            </w:tcBorders>
            <w:shd w:val="clear" w:color="auto" w:fill="auto"/>
            <w:noWrap/>
            <w:vAlign w:val="bottom"/>
            <w:hideMark/>
          </w:tcPr>
          <w:p w14:paraId="379AEBF6" w14:textId="77777777" w:rsidR="005E5406" w:rsidRPr="005E5406" w:rsidRDefault="005E5406" w:rsidP="001B28E0">
            <w:pPr>
              <w:spacing w:after="0"/>
              <w:jc w:val="right"/>
              <w:rPr>
                <w:lang w:eastAsia="en-AU"/>
              </w:rPr>
            </w:pPr>
            <w:r w:rsidRPr="005E5406">
              <w:rPr>
                <w:lang w:eastAsia="en-AU"/>
              </w:rPr>
              <w:t>94%</w:t>
            </w:r>
          </w:p>
        </w:tc>
        <w:tc>
          <w:tcPr>
            <w:tcW w:w="2835" w:type="dxa"/>
            <w:tcBorders>
              <w:top w:val="nil"/>
              <w:left w:val="nil"/>
              <w:bottom w:val="single" w:sz="4" w:space="0" w:color="auto"/>
              <w:right w:val="single" w:sz="4" w:space="0" w:color="auto"/>
            </w:tcBorders>
            <w:shd w:val="clear" w:color="auto" w:fill="auto"/>
            <w:noWrap/>
            <w:vAlign w:val="bottom"/>
            <w:hideMark/>
          </w:tcPr>
          <w:p w14:paraId="4D5B08B8" w14:textId="77777777" w:rsidR="005E5406" w:rsidRPr="005E5406" w:rsidRDefault="005E5406" w:rsidP="001B28E0">
            <w:pPr>
              <w:spacing w:after="0"/>
              <w:jc w:val="right"/>
              <w:rPr>
                <w:lang w:eastAsia="en-AU"/>
              </w:rPr>
            </w:pPr>
            <w:r w:rsidRPr="005E5406">
              <w:rPr>
                <w:lang w:eastAsia="en-AU"/>
              </w:rPr>
              <w:t>6%</w:t>
            </w:r>
          </w:p>
        </w:tc>
      </w:tr>
      <w:tr w:rsidR="005E5406" w:rsidRPr="005E5406" w14:paraId="041D64FE" w14:textId="77777777" w:rsidTr="001B28E0">
        <w:trPr>
          <w:trHeight w:val="300"/>
        </w:trPr>
        <w:tc>
          <w:tcPr>
            <w:tcW w:w="2530" w:type="dxa"/>
            <w:tcBorders>
              <w:top w:val="nil"/>
              <w:left w:val="single" w:sz="4" w:space="0" w:color="auto"/>
              <w:bottom w:val="single" w:sz="4" w:space="0" w:color="auto"/>
              <w:right w:val="single" w:sz="4" w:space="0" w:color="auto"/>
            </w:tcBorders>
            <w:shd w:val="clear" w:color="auto" w:fill="auto"/>
            <w:noWrap/>
            <w:vAlign w:val="bottom"/>
            <w:hideMark/>
          </w:tcPr>
          <w:p w14:paraId="62C6A92A" w14:textId="77777777" w:rsidR="005E5406" w:rsidRPr="005E5406" w:rsidRDefault="005E5406" w:rsidP="001B28E0">
            <w:pPr>
              <w:spacing w:after="0"/>
              <w:rPr>
                <w:lang w:eastAsia="en-AU"/>
              </w:rPr>
            </w:pPr>
            <w:r w:rsidRPr="005E5406">
              <w:rPr>
                <w:lang w:eastAsia="en-AU"/>
              </w:rPr>
              <w:t>Manufacturing/light industrial</w:t>
            </w:r>
          </w:p>
        </w:tc>
        <w:tc>
          <w:tcPr>
            <w:tcW w:w="3140" w:type="dxa"/>
            <w:tcBorders>
              <w:top w:val="nil"/>
              <w:left w:val="nil"/>
              <w:bottom w:val="single" w:sz="4" w:space="0" w:color="auto"/>
              <w:right w:val="single" w:sz="4" w:space="0" w:color="auto"/>
            </w:tcBorders>
            <w:shd w:val="clear" w:color="auto" w:fill="auto"/>
            <w:noWrap/>
            <w:vAlign w:val="bottom"/>
            <w:hideMark/>
          </w:tcPr>
          <w:p w14:paraId="7A54AE22" w14:textId="77777777" w:rsidR="005E5406" w:rsidRPr="005E5406" w:rsidRDefault="005E5406" w:rsidP="001B28E0">
            <w:pPr>
              <w:spacing w:after="0"/>
              <w:jc w:val="right"/>
              <w:rPr>
                <w:lang w:eastAsia="en-AU"/>
              </w:rPr>
            </w:pPr>
            <w:r w:rsidRPr="005E5406">
              <w:rPr>
                <w:lang w:eastAsia="en-AU"/>
              </w:rPr>
              <w:t>94%</w:t>
            </w:r>
          </w:p>
        </w:tc>
        <w:tc>
          <w:tcPr>
            <w:tcW w:w="2835" w:type="dxa"/>
            <w:tcBorders>
              <w:top w:val="nil"/>
              <w:left w:val="nil"/>
              <w:bottom w:val="single" w:sz="4" w:space="0" w:color="auto"/>
              <w:right w:val="single" w:sz="4" w:space="0" w:color="auto"/>
            </w:tcBorders>
            <w:shd w:val="clear" w:color="auto" w:fill="auto"/>
            <w:noWrap/>
            <w:vAlign w:val="bottom"/>
            <w:hideMark/>
          </w:tcPr>
          <w:p w14:paraId="1DA9548D" w14:textId="77777777" w:rsidR="005E5406" w:rsidRPr="005E5406" w:rsidRDefault="005E5406" w:rsidP="001B28E0">
            <w:pPr>
              <w:spacing w:after="0"/>
              <w:jc w:val="right"/>
              <w:rPr>
                <w:lang w:eastAsia="en-AU"/>
              </w:rPr>
            </w:pPr>
            <w:r w:rsidRPr="005E5406">
              <w:rPr>
                <w:lang w:eastAsia="en-AU"/>
              </w:rPr>
              <w:t>6%</w:t>
            </w:r>
          </w:p>
        </w:tc>
      </w:tr>
      <w:tr w:rsidR="005E5406" w:rsidRPr="005E5406" w14:paraId="41E69639" w14:textId="77777777" w:rsidTr="001B28E0">
        <w:trPr>
          <w:trHeight w:val="300"/>
        </w:trPr>
        <w:tc>
          <w:tcPr>
            <w:tcW w:w="2530" w:type="dxa"/>
            <w:tcBorders>
              <w:top w:val="nil"/>
              <w:left w:val="single" w:sz="4" w:space="0" w:color="auto"/>
              <w:bottom w:val="single" w:sz="4" w:space="0" w:color="auto"/>
              <w:right w:val="single" w:sz="4" w:space="0" w:color="auto"/>
            </w:tcBorders>
            <w:shd w:val="clear" w:color="auto" w:fill="auto"/>
            <w:noWrap/>
            <w:vAlign w:val="bottom"/>
            <w:hideMark/>
          </w:tcPr>
          <w:p w14:paraId="76B8077D" w14:textId="77777777" w:rsidR="005E5406" w:rsidRPr="005E5406" w:rsidRDefault="005E5406" w:rsidP="001B28E0">
            <w:pPr>
              <w:spacing w:after="0"/>
              <w:rPr>
                <w:lang w:eastAsia="en-AU"/>
              </w:rPr>
            </w:pPr>
            <w:r w:rsidRPr="005E5406">
              <w:rPr>
                <w:lang w:eastAsia="en-AU"/>
              </w:rPr>
              <w:t>Education</w:t>
            </w:r>
          </w:p>
        </w:tc>
        <w:tc>
          <w:tcPr>
            <w:tcW w:w="3140" w:type="dxa"/>
            <w:tcBorders>
              <w:top w:val="nil"/>
              <w:left w:val="nil"/>
              <w:bottom w:val="single" w:sz="4" w:space="0" w:color="auto"/>
              <w:right w:val="single" w:sz="4" w:space="0" w:color="auto"/>
            </w:tcBorders>
            <w:shd w:val="clear" w:color="auto" w:fill="auto"/>
            <w:noWrap/>
            <w:vAlign w:val="bottom"/>
            <w:hideMark/>
          </w:tcPr>
          <w:p w14:paraId="0D042E7D" w14:textId="77777777" w:rsidR="005E5406" w:rsidRPr="005E5406" w:rsidRDefault="005E5406" w:rsidP="001B28E0">
            <w:pPr>
              <w:spacing w:after="0"/>
              <w:jc w:val="right"/>
              <w:rPr>
                <w:lang w:eastAsia="en-AU"/>
              </w:rPr>
            </w:pPr>
            <w:r w:rsidRPr="005E5406">
              <w:rPr>
                <w:lang w:eastAsia="en-AU"/>
              </w:rPr>
              <w:t>94%</w:t>
            </w:r>
          </w:p>
        </w:tc>
        <w:tc>
          <w:tcPr>
            <w:tcW w:w="2835" w:type="dxa"/>
            <w:tcBorders>
              <w:top w:val="nil"/>
              <w:left w:val="nil"/>
              <w:bottom w:val="single" w:sz="4" w:space="0" w:color="auto"/>
              <w:right w:val="single" w:sz="4" w:space="0" w:color="auto"/>
            </w:tcBorders>
            <w:shd w:val="clear" w:color="auto" w:fill="auto"/>
            <w:noWrap/>
            <w:vAlign w:val="bottom"/>
            <w:hideMark/>
          </w:tcPr>
          <w:p w14:paraId="7478306C" w14:textId="77777777" w:rsidR="005E5406" w:rsidRPr="005E5406" w:rsidRDefault="005E5406" w:rsidP="001B28E0">
            <w:pPr>
              <w:spacing w:after="0"/>
              <w:jc w:val="right"/>
              <w:rPr>
                <w:lang w:eastAsia="en-AU"/>
              </w:rPr>
            </w:pPr>
            <w:r w:rsidRPr="005E5406">
              <w:rPr>
                <w:lang w:eastAsia="en-AU"/>
              </w:rPr>
              <w:t>6%</w:t>
            </w:r>
          </w:p>
        </w:tc>
      </w:tr>
      <w:tr w:rsidR="005E5406" w:rsidRPr="005E5406" w14:paraId="2E7B0EC0" w14:textId="77777777" w:rsidTr="001B28E0">
        <w:trPr>
          <w:trHeight w:val="300"/>
        </w:trPr>
        <w:tc>
          <w:tcPr>
            <w:tcW w:w="2530" w:type="dxa"/>
            <w:tcBorders>
              <w:top w:val="nil"/>
              <w:left w:val="single" w:sz="4" w:space="0" w:color="auto"/>
              <w:bottom w:val="single" w:sz="4" w:space="0" w:color="auto"/>
              <w:right w:val="single" w:sz="4" w:space="0" w:color="auto"/>
            </w:tcBorders>
            <w:shd w:val="clear" w:color="auto" w:fill="auto"/>
            <w:noWrap/>
            <w:vAlign w:val="bottom"/>
            <w:hideMark/>
          </w:tcPr>
          <w:p w14:paraId="461DCD44" w14:textId="77777777" w:rsidR="005E5406" w:rsidRPr="005E5406" w:rsidRDefault="005E5406" w:rsidP="001B28E0">
            <w:pPr>
              <w:spacing w:after="0"/>
              <w:rPr>
                <w:lang w:eastAsia="en-AU"/>
              </w:rPr>
            </w:pPr>
            <w:r w:rsidRPr="005E5406">
              <w:rPr>
                <w:lang w:eastAsia="en-AU"/>
              </w:rPr>
              <w:t>Commercial accommodation</w:t>
            </w:r>
          </w:p>
        </w:tc>
        <w:tc>
          <w:tcPr>
            <w:tcW w:w="3140" w:type="dxa"/>
            <w:tcBorders>
              <w:top w:val="nil"/>
              <w:left w:val="nil"/>
              <w:bottom w:val="single" w:sz="4" w:space="0" w:color="auto"/>
              <w:right w:val="single" w:sz="4" w:space="0" w:color="auto"/>
            </w:tcBorders>
            <w:shd w:val="clear" w:color="auto" w:fill="auto"/>
            <w:noWrap/>
            <w:vAlign w:val="bottom"/>
            <w:hideMark/>
          </w:tcPr>
          <w:p w14:paraId="00588B44" w14:textId="77777777" w:rsidR="005E5406" w:rsidRPr="005E5406" w:rsidRDefault="005E5406" w:rsidP="001B28E0">
            <w:pPr>
              <w:spacing w:after="0"/>
              <w:jc w:val="right"/>
              <w:rPr>
                <w:lang w:eastAsia="en-AU"/>
              </w:rPr>
            </w:pPr>
            <w:r w:rsidRPr="005E5406">
              <w:rPr>
                <w:lang w:eastAsia="en-AU"/>
              </w:rPr>
              <w:t>91%</w:t>
            </w:r>
          </w:p>
        </w:tc>
        <w:tc>
          <w:tcPr>
            <w:tcW w:w="2835" w:type="dxa"/>
            <w:tcBorders>
              <w:top w:val="nil"/>
              <w:left w:val="nil"/>
              <w:bottom w:val="single" w:sz="4" w:space="0" w:color="auto"/>
              <w:right w:val="single" w:sz="4" w:space="0" w:color="auto"/>
            </w:tcBorders>
            <w:shd w:val="clear" w:color="auto" w:fill="auto"/>
            <w:noWrap/>
            <w:vAlign w:val="bottom"/>
            <w:hideMark/>
          </w:tcPr>
          <w:p w14:paraId="5FE34FD9" w14:textId="77777777" w:rsidR="005E5406" w:rsidRPr="005E5406" w:rsidRDefault="005E5406" w:rsidP="001B28E0">
            <w:pPr>
              <w:spacing w:after="0"/>
              <w:jc w:val="right"/>
              <w:rPr>
                <w:lang w:eastAsia="en-AU"/>
              </w:rPr>
            </w:pPr>
            <w:r w:rsidRPr="005E5406">
              <w:rPr>
                <w:lang w:eastAsia="en-AU"/>
              </w:rPr>
              <w:t>9%</w:t>
            </w:r>
          </w:p>
        </w:tc>
      </w:tr>
      <w:tr w:rsidR="005E5406" w:rsidRPr="005E5406" w14:paraId="392547BC" w14:textId="77777777" w:rsidTr="001B28E0">
        <w:trPr>
          <w:trHeight w:val="300"/>
        </w:trPr>
        <w:tc>
          <w:tcPr>
            <w:tcW w:w="2530" w:type="dxa"/>
            <w:tcBorders>
              <w:top w:val="nil"/>
              <w:left w:val="single" w:sz="4" w:space="0" w:color="auto"/>
              <w:bottom w:val="single" w:sz="4" w:space="0" w:color="auto"/>
              <w:right w:val="single" w:sz="4" w:space="0" w:color="auto"/>
            </w:tcBorders>
            <w:shd w:val="clear" w:color="auto" w:fill="auto"/>
            <w:noWrap/>
            <w:vAlign w:val="bottom"/>
            <w:hideMark/>
          </w:tcPr>
          <w:p w14:paraId="41F1B896" w14:textId="77777777" w:rsidR="005E5406" w:rsidRPr="005E5406" w:rsidRDefault="005E5406" w:rsidP="001B28E0">
            <w:pPr>
              <w:spacing w:after="0"/>
              <w:rPr>
                <w:lang w:eastAsia="en-AU"/>
              </w:rPr>
            </w:pPr>
            <w:r w:rsidRPr="005E5406">
              <w:rPr>
                <w:lang w:eastAsia="en-AU"/>
              </w:rPr>
              <w:t>Office</w:t>
            </w:r>
          </w:p>
        </w:tc>
        <w:tc>
          <w:tcPr>
            <w:tcW w:w="3140" w:type="dxa"/>
            <w:tcBorders>
              <w:top w:val="nil"/>
              <w:left w:val="nil"/>
              <w:bottom w:val="single" w:sz="4" w:space="0" w:color="auto"/>
              <w:right w:val="single" w:sz="4" w:space="0" w:color="auto"/>
            </w:tcBorders>
            <w:shd w:val="clear" w:color="auto" w:fill="auto"/>
            <w:noWrap/>
            <w:vAlign w:val="bottom"/>
            <w:hideMark/>
          </w:tcPr>
          <w:p w14:paraId="71432E5A" w14:textId="77777777" w:rsidR="005E5406" w:rsidRPr="005E5406" w:rsidRDefault="005E5406" w:rsidP="001B28E0">
            <w:pPr>
              <w:spacing w:after="0"/>
              <w:jc w:val="right"/>
              <w:rPr>
                <w:lang w:eastAsia="en-AU"/>
              </w:rPr>
            </w:pPr>
            <w:r w:rsidRPr="005E5406">
              <w:rPr>
                <w:lang w:eastAsia="en-AU"/>
              </w:rPr>
              <w:t>89%</w:t>
            </w:r>
          </w:p>
        </w:tc>
        <w:tc>
          <w:tcPr>
            <w:tcW w:w="2835" w:type="dxa"/>
            <w:tcBorders>
              <w:top w:val="nil"/>
              <w:left w:val="nil"/>
              <w:bottom w:val="single" w:sz="4" w:space="0" w:color="auto"/>
              <w:right w:val="single" w:sz="4" w:space="0" w:color="auto"/>
            </w:tcBorders>
            <w:shd w:val="clear" w:color="auto" w:fill="auto"/>
            <w:noWrap/>
            <w:vAlign w:val="bottom"/>
            <w:hideMark/>
          </w:tcPr>
          <w:p w14:paraId="3956270F" w14:textId="77777777" w:rsidR="005E5406" w:rsidRPr="005E5406" w:rsidRDefault="005E5406" w:rsidP="001B28E0">
            <w:pPr>
              <w:spacing w:after="0"/>
              <w:jc w:val="right"/>
              <w:rPr>
                <w:lang w:eastAsia="en-AU"/>
              </w:rPr>
            </w:pPr>
            <w:r w:rsidRPr="005E5406">
              <w:rPr>
                <w:lang w:eastAsia="en-AU"/>
              </w:rPr>
              <w:t>11%</w:t>
            </w:r>
          </w:p>
        </w:tc>
      </w:tr>
      <w:tr w:rsidR="005E5406" w:rsidRPr="005E5406" w14:paraId="1561883D" w14:textId="77777777" w:rsidTr="001B28E0">
        <w:trPr>
          <w:trHeight w:val="300"/>
        </w:trPr>
        <w:tc>
          <w:tcPr>
            <w:tcW w:w="2530" w:type="dxa"/>
            <w:tcBorders>
              <w:top w:val="nil"/>
              <w:left w:val="single" w:sz="4" w:space="0" w:color="auto"/>
              <w:bottom w:val="single" w:sz="4" w:space="0" w:color="auto"/>
              <w:right w:val="single" w:sz="4" w:space="0" w:color="auto"/>
            </w:tcBorders>
            <w:shd w:val="clear" w:color="auto" w:fill="auto"/>
            <w:noWrap/>
            <w:vAlign w:val="bottom"/>
            <w:hideMark/>
          </w:tcPr>
          <w:p w14:paraId="663DD69B" w14:textId="77777777" w:rsidR="005E5406" w:rsidRPr="005E5406" w:rsidRDefault="005E5406" w:rsidP="001B28E0">
            <w:pPr>
              <w:spacing w:after="0"/>
              <w:rPr>
                <w:lang w:eastAsia="en-AU"/>
              </w:rPr>
            </w:pPr>
            <w:r w:rsidRPr="005E5406">
              <w:rPr>
                <w:lang w:eastAsia="en-AU"/>
              </w:rPr>
              <w:t>Residential</w:t>
            </w:r>
          </w:p>
        </w:tc>
        <w:tc>
          <w:tcPr>
            <w:tcW w:w="3140" w:type="dxa"/>
            <w:tcBorders>
              <w:top w:val="nil"/>
              <w:left w:val="nil"/>
              <w:bottom w:val="single" w:sz="4" w:space="0" w:color="auto"/>
              <w:right w:val="single" w:sz="4" w:space="0" w:color="auto"/>
            </w:tcBorders>
            <w:shd w:val="clear" w:color="auto" w:fill="auto"/>
            <w:noWrap/>
            <w:vAlign w:val="bottom"/>
            <w:hideMark/>
          </w:tcPr>
          <w:p w14:paraId="6D5ED3F2" w14:textId="77777777" w:rsidR="005E5406" w:rsidRPr="005E5406" w:rsidRDefault="005E5406" w:rsidP="001B28E0">
            <w:pPr>
              <w:spacing w:after="0"/>
              <w:jc w:val="right"/>
              <w:rPr>
                <w:lang w:eastAsia="en-AU"/>
              </w:rPr>
            </w:pPr>
            <w:r w:rsidRPr="005E5406">
              <w:rPr>
                <w:lang w:eastAsia="en-AU"/>
              </w:rPr>
              <w:t>82%</w:t>
            </w:r>
          </w:p>
        </w:tc>
        <w:tc>
          <w:tcPr>
            <w:tcW w:w="2835" w:type="dxa"/>
            <w:tcBorders>
              <w:top w:val="nil"/>
              <w:left w:val="nil"/>
              <w:bottom w:val="single" w:sz="4" w:space="0" w:color="auto"/>
              <w:right w:val="single" w:sz="4" w:space="0" w:color="auto"/>
            </w:tcBorders>
            <w:shd w:val="clear" w:color="auto" w:fill="auto"/>
            <w:noWrap/>
            <w:vAlign w:val="bottom"/>
            <w:hideMark/>
          </w:tcPr>
          <w:p w14:paraId="69F5CA5F" w14:textId="77777777" w:rsidR="005E5406" w:rsidRPr="005E5406" w:rsidRDefault="005E5406" w:rsidP="001B28E0">
            <w:pPr>
              <w:spacing w:after="0"/>
              <w:jc w:val="right"/>
              <w:rPr>
                <w:lang w:eastAsia="en-AU"/>
              </w:rPr>
            </w:pPr>
            <w:r w:rsidRPr="005E5406">
              <w:rPr>
                <w:lang w:eastAsia="en-AU"/>
              </w:rPr>
              <w:t>18%</w:t>
            </w:r>
          </w:p>
        </w:tc>
      </w:tr>
      <w:tr w:rsidR="005E5406" w:rsidRPr="005E5406" w14:paraId="71C62066" w14:textId="77777777" w:rsidTr="001B28E0">
        <w:trPr>
          <w:trHeight w:val="300"/>
        </w:trPr>
        <w:tc>
          <w:tcPr>
            <w:tcW w:w="2530" w:type="dxa"/>
            <w:tcBorders>
              <w:top w:val="nil"/>
              <w:left w:val="single" w:sz="4" w:space="0" w:color="auto"/>
              <w:bottom w:val="single" w:sz="4" w:space="0" w:color="auto"/>
              <w:right w:val="single" w:sz="4" w:space="0" w:color="auto"/>
            </w:tcBorders>
            <w:shd w:val="clear" w:color="auto" w:fill="auto"/>
            <w:noWrap/>
            <w:vAlign w:val="bottom"/>
            <w:hideMark/>
          </w:tcPr>
          <w:p w14:paraId="59B44AF3" w14:textId="77777777" w:rsidR="005E5406" w:rsidRPr="005E5406" w:rsidRDefault="005E5406" w:rsidP="001B28E0">
            <w:pPr>
              <w:spacing w:after="0"/>
              <w:rPr>
                <w:lang w:eastAsia="en-AU"/>
              </w:rPr>
            </w:pPr>
            <w:r w:rsidRPr="005E5406">
              <w:rPr>
                <w:lang w:eastAsia="en-AU"/>
              </w:rPr>
              <w:t>Hospitals/healthcare</w:t>
            </w:r>
          </w:p>
        </w:tc>
        <w:tc>
          <w:tcPr>
            <w:tcW w:w="3140" w:type="dxa"/>
            <w:tcBorders>
              <w:top w:val="nil"/>
              <w:left w:val="nil"/>
              <w:bottom w:val="single" w:sz="4" w:space="0" w:color="auto"/>
              <w:right w:val="single" w:sz="4" w:space="0" w:color="auto"/>
            </w:tcBorders>
            <w:shd w:val="clear" w:color="auto" w:fill="auto"/>
            <w:noWrap/>
            <w:vAlign w:val="bottom"/>
            <w:hideMark/>
          </w:tcPr>
          <w:p w14:paraId="74AC2E5B" w14:textId="77777777" w:rsidR="005E5406" w:rsidRPr="005E5406" w:rsidRDefault="005E5406" w:rsidP="001B28E0">
            <w:pPr>
              <w:spacing w:after="0"/>
              <w:jc w:val="right"/>
              <w:rPr>
                <w:lang w:eastAsia="en-AU"/>
              </w:rPr>
            </w:pPr>
            <w:r w:rsidRPr="005E5406">
              <w:rPr>
                <w:lang w:eastAsia="en-AU"/>
              </w:rPr>
              <w:t>80%</w:t>
            </w:r>
          </w:p>
        </w:tc>
        <w:tc>
          <w:tcPr>
            <w:tcW w:w="2835" w:type="dxa"/>
            <w:tcBorders>
              <w:top w:val="nil"/>
              <w:left w:val="nil"/>
              <w:bottom w:val="single" w:sz="4" w:space="0" w:color="auto"/>
              <w:right w:val="single" w:sz="4" w:space="0" w:color="auto"/>
            </w:tcBorders>
            <w:shd w:val="clear" w:color="auto" w:fill="auto"/>
            <w:noWrap/>
            <w:vAlign w:val="bottom"/>
            <w:hideMark/>
          </w:tcPr>
          <w:p w14:paraId="0C7B5059" w14:textId="77777777" w:rsidR="005E5406" w:rsidRPr="005E5406" w:rsidRDefault="005E5406" w:rsidP="001B28E0">
            <w:pPr>
              <w:spacing w:after="0"/>
              <w:jc w:val="right"/>
              <w:rPr>
                <w:lang w:eastAsia="en-AU"/>
              </w:rPr>
            </w:pPr>
            <w:r w:rsidRPr="005E5406">
              <w:rPr>
                <w:lang w:eastAsia="en-AU"/>
              </w:rPr>
              <w:t>20%</w:t>
            </w:r>
          </w:p>
        </w:tc>
      </w:tr>
    </w:tbl>
    <w:p w14:paraId="287277AB" w14:textId="77777777" w:rsidR="005E5406" w:rsidRDefault="005E5406" w:rsidP="001B28E0">
      <w:pPr>
        <w:rPr>
          <w:rFonts w:ascii="Helvetica Light" w:hAnsi="Helvetica Light" w:cstheme="minorBidi"/>
          <w:szCs w:val="20"/>
        </w:rPr>
      </w:pPr>
    </w:p>
    <w:p w14:paraId="796ECE98" w14:textId="693B7D54" w:rsidR="001B28E0" w:rsidRPr="007E394F" w:rsidRDefault="001B28E0" w:rsidP="001B28E0">
      <w:pPr>
        <w:rPr>
          <w:rFonts w:cs="Arial"/>
          <w:szCs w:val="20"/>
        </w:rPr>
      </w:pPr>
      <w:r w:rsidRPr="007E394F">
        <w:rPr>
          <w:rFonts w:cs="Arial"/>
          <w:szCs w:val="20"/>
        </w:rPr>
        <w:t>Return to</w:t>
      </w:r>
      <w:r>
        <w:rPr>
          <w:rFonts w:cs="Arial"/>
          <w:szCs w:val="20"/>
        </w:rPr>
        <w:t xml:space="preserve"> </w:t>
      </w:r>
      <w:hyperlink w:anchor="_4.3.2_Greenhouse_Gas" w:history="1">
        <w:r w:rsidRPr="00190FC7">
          <w:rPr>
            <w:rStyle w:val="Hyperlink"/>
          </w:rPr>
          <w:t>Greenhouse Gas Emissions</w:t>
        </w:r>
      </w:hyperlink>
      <w:r>
        <w:rPr>
          <w:rStyle w:val="Hyperlink"/>
        </w:rPr>
        <w:t xml:space="preserve"> by </w:t>
      </w:r>
      <w:hyperlink w:anchor="_4.3.1_Greenhouse_Gas" w:history="1">
        <w:r>
          <w:rPr>
            <w:rStyle w:val="Hyperlink"/>
          </w:rPr>
          <w:t>Space</w:t>
        </w:r>
      </w:hyperlink>
      <w:r>
        <w:rPr>
          <w:rStyle w:val="Hyperlink"/>
        </w:rPr>
        <w:t xml:space="preserve"> Use Type</w:t>
      </w:r>
    </w:p>
    <w:p w14:paraId="6BF054B8" w14:textId="5006CB6C" w:rsidR="00DF37E7" w:rsidRPr="001B28E0" w:rsidRDefault="00944E9B" w:rsidP="001B28E0">
      <w:pPr>
        <w:pStyle w:val="Heading3"/>
        <w:rPr>
          <w:rFonts w:hint="eastAsia"/>
        </w:rPr>
      </w:pPr>
      <w:bookmarkStart w:id="302" w:name="_Composition_of_Shortfall"/>
      <w:bookmarkEnd w:id="302"/>
      <w:r>
        <w:t>Table A.5</w:t>
      </w:r>
      <w:r w:rsidR="00A13E20">
        <w:t>4</w:t>
      </w:r>
      <w:r>
        <w:tab/>
      </w:r>
      <w:r w:rsidR="001B28E0" w:rsidRPr="005E5406">
        <w:t>Composition of Shortfall between Modelled and Actual Consumption</w:t>
      </w:r>
    </w:p>
    <w:tbl>
      <w:tblPr>
        <w:tblW w:w="5529" w:type="dxa"/>
        <w:tblInd w:w="-5" w:type="dxa"/>
        <w:tblLook w:val="04A0" w:firstRow="1" w:lastRow="0" w:firstColumn="1" w:lastColumn="0" w:noHBand="0" w:noVBand="1"/>
      </w:tblPr>
      <w:tblGrid>
        <w:gridCol w:w="2268"/>
        <w:gridCol w:w="3261"/>
      </w:tblGrid>
      <w:tr w:rsidR="005E5406" w:rsidRPr="005E5406" w14:paraId="68492E38" w14:textId="77777777" w:rsidTr="001B28E0">
        <w:trPr>
          <w:trHeight w:val="300"/>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F639A4" w14:textId="77777777" w:rsidR="005E5406" w:rsidRPr="001B28E0" w:rsidRDefault="005E5406" w:rsidP="001B28E0">
            <w:pPr>
              <w:spacing w:after="0"/>
              <w:rPr>
                <w:b/>
                <w:bCs/>
                <w:lang w:eastAsia="en-AU"/>
              </w:rPr>
            </w:pPr>
            <w:bookmarkStart w:id="303" w:name="_Figure_55:_Composition"/>
            <w:bookmarkEnd w:id="303"/>
            <w:r w:rsidRPr="001B28E0">
              <w:rPr>
                <w:b/>
                <w:bCs/>
                <w:lang w:eastAsia="en-AU"/>
              </w:rPr>
              <w:lastRenderedPageBreak/>
              <w:t>End-Use Category</w:t>
            </w:r>
          </w:p>
        </w:tc>
        <w:tc>
          <w:tcPr>
            <w:tcW w:w="3261" w:type="dxa"/>
            <w:tcBorders>
              <w:top w:val="single" w:sz="4" w:space="0" w:color="auto"/>
              <w:left w:val="nil"/>
              <w:bottom w:val="single" w:sz="4" w:space="0" w:color="auto"/>
              <w:right w:val="single" w:sz="4" w:space="0" w:color="auto"/>
            </w:tcBorders>
            <w:shd w:val="clear" w:color="auto" w:fill="auto"/>
            <w:noWrap/>
            <w:vAlign w:val="bottom"/>
            <w:hideMark/>
          </w:tcPr>
          <w:p w14:paraId="440E0100" w14:textId="77777777" w:rsidR="005E5406" w:rsidRPr="001B28E0" w:rsidRDefault="005E5406" w:rsidP="001B28E0">
            <w:pPr>
              <w:spacing w:after="0"/>
              <w:rPr>
                <w:b/>
                <w:bCs/>
                <w:lang w:eastAsia="en-AU"/>
              </w:rPr>
            </w:pPr>
            <w:r w:rsidRPr="001B28E0">
              <w:rPr>
                <w:b/>
                <w:bCs/>
                <w:lang w:eastAsia="en-AU"/>
              </w:rPr>
              <w:t>Shortfall between Modelled and Actual Consumption (TJ)</w:t>
            </w:r>
          </w:p>
        </w:tc>
      </w:tr>
      <w:tr w:rsidR="005E5406" w:rsidRPr="005E5406" w14:paraId="5E603E7B" w14:textId="77777777" w:rsidTr="001B28E0">
        <w:trPr>
          <w:trHeight w:val="30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5A7F16A6" w14:textId="77777777" w:rsidR="005E5406" w:rsidRPr="005E5406" w:rsidRDefault="005E5406" w:rsidP="001B28E0">
            <w:pPr>
              <w:spacing w:after="0"/>
              <w:rPr>
                <w:lang w:eastAsia="en-AU"/>
              </w:rPr>
            </w:pPr>
            <w:r w:rsidRPr="005E5406">
              <w:rPr>
                <w:lang w:eastAsia="en-AU"/>
              </w:rPr>
              <w:t>Outlier Manufacturing</w:t>
            </w:r>
          </w:p>
        </w:tc>
        <w:tc>
          <w:tcPr>
            <w:tcW w:w="3261" w:type="dxa"/>
            <w:tcBorders>
              <w:top w:val="nil"/>
              <w:left w:val="nil"/>
              <w:bottom w:val="single" w:sz="4" w:space="0" w:color="auto"/>
              <w:right w:val="single" w:sz="4" w:space="0" w:color="auto"/>
            </w:tcBorders>
            <w:shd w:val="clear" w:color="auto" w:fill="auto"/>
            <w:noWrap/>
            <w:vAlign w:val="bottom"/>
            <w:hideMark/>
          </w:tcPr>
          <w:p w14:paraId="5894C541" w14:textId="77777777" w:rsidR="005E5406" w:rsidRPr="005E5406" w:rsidRDefault="005E5406" w:rsidP="001B28E0">
            <w:pPr>
              <w:spacing w:after="0"/>
              <w:jc w:val="right"/>
              <w:rPr>
                <w:lang w:eastAsia="en-AU"/>
              </w:rPr>
            </w:pPr>
            <w:r w:rsidRPr="005E5406">
              <w:rPr>
                <w:lang w:eastAsia="en-AU"/>
              </w:rPr>
              <w:t>265</w:t>
            </w:r>
          </w:p>
        </w:tc>
      </w:tr>
      <w:tr w:rsidR="005E5406" w:rsidRPr="005E5406" w14:paraId="5EE8C17A" w14:textId="77777777" w:rsidTr="001B28E0">
        <w:trPr>
          <w:trHeight w:val="30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2D49D5CB" w14:textId="77777777" w:rsidR="005E5406" w:rsidRPr="005E5406" w:rsidRDefault="005E5406" w:rsidP="001B28E0">
            <w:pPr>
              <w:spacing w:after="0"/>
              <w:rPr>
                <w:lang w:eastAsia="en-AU"/>
              </w:rPr>
            </w:pPr>
            <w:r w:rsidRPr="005E5406">
              <w:rPr>
                <w:lang w:eastAsia="en-AU"/>
              </w:rPr>
              <w:t>Public Transport</w:t>
            </w:r>
          </w:p>
        </w:tc>
        <w:tc>
          <w:tcPr>
            <w:tcW w:w="3261" w:type="dxa"/>
            <w:tcBorders>
              <w:top w:val="nil"/>
              <w:left w:val="nil"/>
              <w:bottom w:val="single" w:sz="4" w:space="0" w:color="auto"/>
              <w:right w:val="single" w:sz="4" w:space="0" w:color="auto"/>
            </w:tcBorders>
            <w:shd w:val="clear" w:color="auto" w:fill="auto"/>
            <w:noWrap/>
            <w:vAlign w:val="bottom"/>
            <w:hideMark/>
          </w:tcPr>
          <w:p w14:paraId="049B8FD0" w14:textId="77777777" w:rsidR="005E5406" w:rsidRPr="005E5406" w:rsidRDefault="005E5406" w:rsidP="001B28E0">
            <w:pPr>
              <w:spacing w:after="0"/>
              <w:jc w:val="right"/>
              <w:rPr>
                <w:lang w:eastAsia="en-AU"/>
              </w:rPr>
            </w:pPr>
            <w:r w:rsidRPr="005E5406">
              <w:rPr>
                <w:lang w:eastAsia="en-AU"/>
              </w:rPr>
              <w:t>362</w:t>
            </w:r>
          </w:p>
        </w:tc>
      </w:tr>
      <w:tr w:rsidR="005E5406" w:rsidRPr="005E5406" w14:paraId="522DE8FC" w14:textId="77777777" w:rsidTr="001B28E0">
        <w:trPr>
          <w:trHeight w:val="30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225357E3" w14:textId="7E064C03" w:rsidR="005E5406" w:rsidRPr="005E5406" w:rsidRDefault="001B28E0" w:rsidP="001B28E0">
            <w:pPr>
              <w:spacing w:after="0"/>
              <w:rPr>
                <w:lang w:eastAsia="en-AU"/>
              </w:rPr>
            </w:pPr>
            <w:r w:rsidRPr="005E5406">
              <w:rPr>
                <w:lang w:eastAsia="en-AU"/>
              </w:rPr>
              <w:t>Unaccounted</w:t>
            </w:r>
          </w:p>
        </w:tc>
        <w:tc>
          <w:tcPr>
            <w:tcW w:w="3261" w:type="dxa"/>
            <w:tcBorders>
              <w:top w:val="nil"/>
              <w:left w:val="nil"/>
              <w:bottom w:val="single" w:sz="4" w:space="0" w:color="auto"/>
              <w:right w:val="single" w:sz="4" w:space="0" w:color="auto"/>
            </w:tcBorders>
            <w:shd w:val="clear" w:color="auto" w:fill="auto"/>
            <w:noWrap/>
            <w:vAlign w:val="bottom"/>
            <w:hideMark/>
          </w:tcPr>
          <w:p w14:paraId="725F6EE3" w14:textId="77777777" w:rsidR="005E5406" w:rsidRPr="005E5406" w:rsidRDefault="005E5406" w:rsidP="001B28E0">
            <w:pPr>
              <w:spacing w:after="0"/>
              <w:jc w:val="right"/>
              <w:rPr>
                <w:lang w:eastAsia="en-AU"/>
              </w:rPr>
            </w:pPr>
            <w:r w:rsidRPr="005E5406">
              <w:rPr>
                <w:lang w:eastAsia="en-AU"/>
              </w:rPr>
              <w:t>350</w:t>
            </w:r>
          </w:p>
        </w:tc>
      </w:tr>
    </w:tbl>
    <w:p w14:paraId="41086DBE" w14:textId="77777777" w:rsidR="005E5406" w:rsidRDefault="005E5406" w:rsidP="001B28E0">
      <w:pPr>
        <w:rPr>
          <w:rFonts w:ascii="Helvetica Light" w:hAnsi="Helvetica Light" w:cstheme="minorBidi"/>
          <w:szCs w:val="20"/>
        </w:rPr>
      </w:pPr>
    </w:p>
    <w:p w14:paraId="713DD2D2" w14:textId="77777777" w:rsidR="00725FA0" w:rsidRDefault="001B28E0" w:rsidP="00725FA0">
      <w:r w:rsidRPr="007E394F">
        <w:rPr>
          <w:rFonts w:cs="Arial"/>
          <w:szCs w:val="20"/>
        </w:rPr>
        <w:t>Return to</w:t>
      </w:r>
      <w:r>
        <w:rPr>
          <w:rFonts w:cs="Arial"/>
          <w:szCs w:val="20"/>
        </w:rPr>
        <w:t xml:space="preserve"> </w:t>
      </w:r>
      <w:hyperlink w:anchor="_4.3.3_Power_Purchase" w:history="1">
        <w:r w:rsidRPr="001B28E0">
          <w:rPr>
            <w:rStyle w:val="Hyperlink"/>
          </w:rPr>
          <w:t>Power Purchase Agreements</w:t>
        </w:r>
      </w:hyperlink>
    </w:p>
    <w:p w14:paraId="4E647080" w14:textId="110112E0" w:rsidR="00FD670A" w:rsidRDefault="00540725" w:rsidP="00725FA0">
      <w:pPr>
        <w:jc w:val="center"/>
        <w:rPr>
          <w:rFonts w:ascii="Arial Bold" w:eastAsia="MS Gothic" w:hAnsi="Arial Bold" w:hint="eastAsia"/>
          <w:bCs/>
          <w:sz w:val="28"/>
          <w:szCs w:val="32"/>
          <w:lang w:val="en-US"/>
        </w:rPr>
      </w:pPr>
      <w:r w:rsidRPr="006A0EC1">
        <w:rPr>
          <w:rFonts w:ascii="Helvetica Light" w:hAnsi="Helvetica Light" w:cstheme="minorBidi"/>
          <w:b/>
          <w:bCs/>
          <w:szCs w:val="20"/>
        </w:rPr>
        <w:t>END OF REPORT</w:t>
      </w:r>
      <w:bookmarkEnd w:id="149"/>
      <w:bookmarkEnd w:id="150"/>
      <w:bookmarkEnd w:id="151"/>
    </w:p>
    <w:p w14:paraId="00C8CBF5" w14:textId="5865D6D3" w:rsidR="00FD670A" w:rsidRPr="004A26E3" w:rsidRDefault="00FD670A" w:rsidP="00FD670A"/>
    <w:sectPr w:rsidR="00FD670A" w:rsidRPr="004A26E3" w:rsidSect="004F225E">
      <w:footerReference w:type="default" r:id="rId64"/>
      <w:endnotePr>
        <w:numFmt w:val="decimal"/>
      </w:endnotePr>
      <w:pgSz w:w="11900" w:h="16840"/>
      <w:pgMar w:top="1418" w:right="98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1B6242" w14:textId="77777777" w:rsidR="004F225E" w:rsidRDefault="004F225E" w:rsidP="00BC719D">
      <w:pPr>
        <w:spacing w:after="0"/>
      </w:pPr>
      <w:r>
        <w:separator/>
      </w:r>
    </w:p>
  </w:endnote>
  <w:endnote w:type="continuationSeparator" w:id="0">
    <w:p w14:paraId="582300ED" w14:textId="77777777" w:rsidR="004F225E" w:rsidRDefault="004F225E" w:rsidP="00EA2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Helvetica Light">
    <w:altName w:val="Calibri"/>
    <w:charset w:val="00"/>
    <w:family w:val="auto"/>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3B333" w14:textId="77777777" w:rsidR="00540725" w:rsidRDefault="00540725" w:rsidP="00C30455">
    <w:pPr>
      <w:pStyle w:val="Footer"/>
      <w:ind w:left="-1134" w:right="-1134"/>
    </w:pPr>
    <w:r>
      <w:t xml:space="preserve">                  </w:t>
    </w:r>
  </w:p>
  <w:p w14:paraId="4EAE4E12" w14:textId="5962846E" w:rsidR="00540725" w:rsidRPr="00D83A2F" w:rsidRDefault="00540725" w:rsidP="00C30455">
    <w:pPr>
      <w:pStyle w:val="Footer"/>
      <w:ind w:left="-1134" w:right="-1134"/>
    </w:pPr>
    <w:r w:rsidRPr="00FF229F">
      <w:rPr>
        <w:i/>
      </w:rPr>
      <w:tab/>
    </w:r>
    <w:r>
      <w:tab/>
    </w:r>
    <w:r>
      <w:tab/>
    </w:r>
    <w:r>
      <w:tab/>
    </w:r>
    <w:r>
      <w:tab/>
    </w:r>
    <w:r>
      <w:tab/>
    </w:r>
    <w:r>
      <w:tab/>
    </w:r>
    <w:r>
      <w:tab/>
    </w:r>
    <w:r>
      <w:tab/>
    </w:r>
    <w:r>
      <w:tab/>
    </w:r>
    <w:r>
      <w:tab/>
    </w:r>
    <w:r>
      <w:tab/>
    </w:r>
    <w:r w:rsidRPr="00D83A2F">
      <w:rPr>
        <w:rStyle w:val="PageNumber"/>
        <w:szCs w:val="16"/>
      </w:rPr>
      <w:fldChar w:fldCharType="begin"/>
    </w:r>
    <w:r w:rsidRPr="00D83A2F">
      <w:rPr>
        <w:rStyle w:val="PageNumber"/>
        <w:szCs w:val="16"/>
      </w:rPr>
      <w:instrText xml:space="preserve"> PAGE </w:instrText>
    </w:r>
    <w:r w:rsidRPr="00D83A2F">
      <w:rPr>
        <w:rStyle w:val="PageNumber"/>
        <w:szCs w:val="16"/>
      </w:rPr>
      <w:fldChar w:fldCharType="separate"/>
    </w:r>
    <w:r>
      <w:rPr>
        <w:rStyle w:val="PageNumber"/>
        <w:noProof/>
        <w:szCs w:val="16"/>
      </w:rPr>
      <w:t>1</w:t>
    </w:r>
    <w:r w:rsidRPr="00D83A2F">
      <w:rPr>
        <w:rStyle w:val="PageNumber"/>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CC925A" w14:textId="77777777" w:rsidR="004F225E" w:rsidRDefault="004F225E" w:rsidP="00577A39">
      <w:pPr>
        <w:spacing w:after="40" w:line="240" w:lineRule="auto"/>
      </w:pPr>
      <w:r>
        <w:separator/>
      </w:r>
    </w:p>
  </w:footnote>
  <w:footnote w:type="continuationSeparator" w:id="0">
    <w:p w14:paraId="5A6BE798" w14:textId="77777777" w:rsidR="004F225E" w:rsidRDefault="004F225E" w:rsidP="00EA2130">
      <w:r>
        <w:continuationSeparator/>
      </w:r>
    </w:p>
  </w:footnote>
  <w:footnote w:id="1">
    <w:p w14:paraId="3E869634" w14:textId="77777777" w:rsidR="00ED416A" w:rsidRPr="00B42D47" w:rsidRDefault="00ED416A" w:rsidP="00ED416A">
      <w:pPr>
        <w:pStyle w:val="FootnoteText"/>
        <w:rPr>
          <w:lang w:val="en-US"/>
        </w:rPr>
      </w:pPr>
      <w:r>
        <w:rPr>
          <w:rStyle w:val="FootnoteReference"/>
        </w:rPr>
        <w:footnoteRef/>
      </w:r>
      <w:r>
        <w:t xml:space="preserve"> </w:t>
      </w:r>
      <w:r>
        <w:rPr>
          <w:lang w:val="en-US"/>
        </w:rPr>
        <w:t xml:space="preserve">This excludes public outdoor spaces but includes carparks (open air and enclosed) and transport facilities. </w:t>
      </w:r>
    </w:p>
  </w:footnote>
  <w:footnote w:id="2">
    <w:p w14:paraId="4C3D1E62" w14:textId="77777777" w:rsidR="00ED416A" w:rsidRPr="00F27AD8" w:rsidRDefault="00ED416A" w:rsidP="00ED416A">
      <w:pPr>
        <w:pStyle w:val="FootnoteText"/>
        <w:rPr>
          <w:lang w:val="en-US"/>
        </w:rPr>
      </w:pPr>
      <w:r>
        <w:rPr>
          <w:rStyle w:val="FootnoteReference"/>
        </w:rPr>
        <w:footnoteRef/>
      </w:r>
      <w:r>
        <w:t xml:space="preserve"> </w:t>
      </w:r>
      <w:r>
        <w:rPr>
          <w:lang w:val="en-US"/>
        </w:rPr>
        <w:t>These totals include associated common areas (walkways, shared facilities, etc).</w:t>
      </w:r>
    </w:p>
  </w:footnote>
  <w:footnote w:id="3">
    <w:p w14:paraId="6371E9AE" w14:textId="77777777" w:rsidR="00ED416A" w:rsidRPr="00991A52" w:rsidRDefault="00ED416A" w:rsidP="00ED416A">
      <w:pPr>
        <w:pStyle w:val="FootnoteText"/>
        <w:rPr>
          <w:lang w:val="en-US"/>
        </w:rPr>
      </w:pPr>
      <w:r>
        <w:rPr>
          <w:rStyle w:val="FootnoteReference"/>
        </w:rPr>
        <w:footnoteRef/>
      </w:r>
      <w:r>
        <w:t xml:space="preserve"> </w:t>
      </w:r>
      <w:r w:rsidRPr="00991A52">
        <w:t>Goldsworthy, M., Toscas, P. and Berry, A</w:t>
      </w:r>
      <w:r w:rsidRPr="00991A52">
        <w:rPr>
          <w:i/>
          <w:iCs/>
        </w:rPr>
        <w:t>, CoM apartment emissions baseline project – Final Report</w:t>
      </w:r>
      <w:r>
        <w:t>, CSIRO, June 2018.</w:t>
      </w:r>
    </w:p>
  </w:footnote>
  <w:footnote w:id="4">
    <w:p w14:paraId="6814BDFD" w14:textId="77777777" w:rsidR="00ED416A" w:rsidRDefault="00ED416A" w:rsidP="00ED416A">
      <w:pPr>
        <w:pStyle w:val="FootnoteText"/>
      </w:pPr>
      <w:r>
        <w:rPr>
          <w:rStyle w:val="FootnoteReference"/>
        </w:rPr>
        <w:footnoteRef/>
      </w:r>
      <w:r>
        <w:t xml:space="preserve"> Note: Shared spaces in buildings occupied by a single establishment may not be separately identified in the CLUE database.</w:t>
      </w:r>
    </w:p>
  </w:footnote>
  <w:footnote w:id="5">
    <w:p w14:paraId="7EC97D61" w14:textId="77777777" w:rsidR="00ED416A" w:rsidRPr="00223B21" w:rsidRDefault="00ED416A" w:rsidP="00ED416A">
      <w:pPr>
        <w:pStyle w:val="FootnoteText"/>
        <w:rPr>
          <w:lang w:val="en-US"/>
        </w:rPr>
      </w:pPr>
      <w:r>
        <w:rPr>
          <w:rStyle w:val="FootnoteReference"/>
        </w:rPr>
        <w:footnoteRef/>
      </w:r>
      <w:r>
        <w:t xml:space="preserve"> </w:t>
      </w:r>
      <w:r>
        <w:rPr>
          <w:lang w:val="en-US"/>
        </w:rPr>
        <w:t>Exceptions are post codes 3050 and 3181 where data from energy suppliers is suppressed due to an insufficient number of separate parties being metered within that post code.</w:t>
      </w:r>
    </w:p>
  </w:footnote>
  <w:footnote w:id="6">
    <w:p w14:paraId="7D84BE42" w14:textId="77777777" w:rsidR="00D65473" w:rsidRPr="00FE2F89" w:rsidRDefault="00D65473" w:rsidP="00D65473">
      <w:pPr>
        <w:pStyle w:val="FootnoteText"/>
        <w:rPr>
          <w:lang w:val="en-US"/>
        </w:rPr>
      </w:pPr>
      <w:r>
        <w:rPr>
          <w:rStyle w:val="FootnoteReference"/>
        </w:rPr>
        <w:footnoteRef/>
      </w:r>
      <w:r>
        <w:t xml:space="preserve"> </w:t>
      </w:r>
      <w:r w:rsidRPr="009D7AD6">
        <w:t>The Garnaut Climate Change Review: Final Report © Commonwealth of Australia 2008</w:t>
      </w:r>
      <w:r>
        <w:t xml:space="preserve">, p. 412.  </w:t>
      </w:r>
    </w:p>
  </w:footnote>
  <w:footnote w:id="7">
    <w:p w14:paraId="5E89965D" w14:textId="77777777" w:rsidR="00D65473" w:rsidRDefault="00D65473" w:rsidP="00D65473">
      <w:pPr>
        <w:pStyle w:val="FootnoteText"/>
      </w:pPr>
      <w:r>
        <w:rPr>
          <w:rStyle w:val="FootnoteReference"/>
        </w:rPr>
        <w:footnoteRef/>
      </w:r>
      <w:r>
        <w:t xml:space="preserve"> Note: These space-use categories are unrelated to the energy intensities applied to spaces. See Table 4 for more information.</w:t>
      </w:r>
    </w:p>
  </w:footnote>
  <w:footnote w:id="8">
    <w:p w14:paraId="62CA9DC3" w14:textId="77777777" w:rsidR="00D516FC" w:rsidRDefault="00D516FC" w:rsidP="00D516FC">
      <w:pPr>
        <w:pStyle w:val="FootnoteText"/>
      </w:pPr>
      <w:r>
        <w:rPr>
          <w:rStyle w:val="FootnoteReference"/>
        </w:rPr>
        <w:footnoteRef/>
      </w:r>
      <w:r>
        <w:t xml:space="preserve"> </w:t>
      </w:r>
      <w:r w:rsidRPr="004C7D43">
        <w:t>https://www.aer.gov.au/industry/registers/resources/guidelines/electricity-and-gas-consumption-benchmarks-residential-customers-2020</w:t>
      </w:r>
    </w:p>
  </w:footnote>
  <w:footnote w:id="9">
    <w:p w14:paraId="1213347C" w14:textId="77777777" w:rsidR="00D516FC" w:rsidRDefault="00D516FC" w:rsidP="00D516FC">
      <w:pPr>
        <w:pStyle w:val="FootnoteText"/>
      </w:pPr>
      <w:r>
        <w:rPr>
          <w:rStyle w:val="FootnoteReference"/>
        </w:rPr>
        <w:footnoteRef/>
      </w:r>
      <w:r>
        <w:t xml:space="preserve"> </w:t>
      </w:r>
      <w:r w:rsidRPr="00A81748">
        <w:t>https://www.vhba.vic.gov.au/news/sustainability-performance-report-2018-2020</w:t>
      </w:r>
    </w:p>
  </w:footnote>
  <w:footnote w:id="10">
    <w:p w14:paraId="05D12914" w14:textId="77777777" w:rsidR="00D516FC" w:rsidRDefault="00D516FC" w:rsidP="00D516FC">
      <w:pPr>
        <w:pStyle w:val="FootnoteText"/>
      </w:pPr>
      <w:r>
        <w:rPr>
          <w:rStyle w:val="FootnoteReference"/>
        </w:rPr>
        <w:footnoteRef/>
      </w:r>
      <w:r>
        <w:t xml:space="preserve"> This work is not currently publicly available.</w:t>
      </w:r>
    </w:p>
  </w:footnote>
  <w:footnote w:id="11">
    <w:p w14:paraId="4421A84D" w14:textId="77777777" w:rsidR="00D516FC" w:rsidRDefault="00D516FC" w:rsidP="00D516FC">
      <w:pPr>
        <w:pStyle w:val="FootnoteText"/>
      </w:pPr>
      <w:r>
        <w:rPr>
          <w:rStyle w:val="FootnoteReference"/>
        </w:rPr>
        <w:footnoteRef/>
      </w:r>
      <w:r>
        <w:t xml:space="preserve"> </w:t>
      </w:r>
      <w:r w:rsidRPr="0026661E">
        <w:t>https://www.gbca.org.au/docs/greenstar_bmmethodology.pdf</w:t>
      </w:r>
    </w:p>
  </w:footnote>
  <w:footnote w:id="12">
    <w:p w14:paraId="76D2E20E" w14:textId="77777777" w:rsidR="00D65473" w:rsidRDefault="00D65473" w:rsidP="00D65473">
      <w:pPr>
        <w:pStyle w:val="FootnoteText"/>
      </w:pPr>
      <w:r>
        <w:rPr>
          <w:rStyle w:val="FootnoteReference"/>
        </w:rPr>
        <w:footnoteRef/>
      </w:r>
      <w:r>
        <w:t xml:space="preserve"> </w:t>
      </w:r>
      <w:r w:rsidRPr="008B6F4E">
        <w:t>https://www.energy.gov.au/solar/get-know-solar-technology/solar-panels</w:t>
      </w:r>
    </w:p>
  </w:footnote>
  <w:footnote w:id="13">
    <w:p w14:paraId="133729C7" w14:textId="77777777" w:rsidR="00D65473" w:rsidRDefault="00D65473" w:rsidP="00D65473">
      <w:pPr>
        <w:pStyle w:val="FootnoteText"/>
      </w:pPr>
      <w:r>
        <w:rPr>
          <w:rStyle w:val="FootnoteReference"/>
        </w:rPr>
        <w:footnoteRef/>
      </w:r>
      <w:r>
        <w:t xml:space="preserve"> </w:t>
      </w:r>
      <w:r w:rsidRPr="008B449E">
        <w:t>https://cer.gov.au/schemes/national-greenhouse-and-energy-reporting-scheme/report-emissions-and-energy/amendments-to-national-greenhouse-and-energy-reporting-legislation</w:t>
      </w:r>
    </w:p>
  </w:footnote>
  <w:footnote w:id="14">
    <w:p w14:paraId="464A5FFB" w14:textId="77777777" w:rsidR="00D65473" w:rsidRDefault="00D65473" w:rsidP="00D65473">
      <w:pPr>
        <w:pStyle w:val="FootnoteText"/>
      </w:pPr>
      <w:r>
        <w:rPr>
          <w:rStyle w:val="FootnoteReference"/>
        </w:rPr>
        <w:footnoteRef/>
      </w:r>
      <w:r>
        <w:t xml:space="preserve"> </w:t>
      </w:r>
      <w:r w:rsidRPr="00053229">
        <w:t>https://aemo.com.au/en/energy-systems/electricity/national-electricity-market-nem/market-operations/settlements-and-payments/settlements/carbon-dioxide-equivalent-intensity-index</w:t>
      </w:r>
    </w:p>
  </w:footnote>
  <w:footnote w:id="15">
    <w:p w14:paraId="38E87F79" w14:textId="77777777" w:rsidR="00D516FC" w:rsidRDefault="00D516FC" w:rsidP="00D516FC">
      <w:pPr>
        <w:pStyle w:val="FootnoteText"/>
      </w:pPr>
      <w:r>
        <w:rPr>
          <w:rStyle w:val="FootnoteReference"/>
        </w:rPr>
        <w:footnoteRef/>
      </w:r>
      <w:r>
        <w:t xml:space="preserve"> Note: P</w:t>
      </w:r>
      <w:r w:rsidRPr="00E3073F">
        <w:t>ostcodes with less than 20,000 sqm of office space excluded for readability</w:t>
      </w:r>
    </w:p>
  </w:footnote>
  <w:footnote w:id="16">
    <w:p w14:paraId="2E798B26" w14:textId="77777777" w:rsidR="005922A0" w:rsidRDefault="005922A0" w:rsidP="005922A0">
      <w:pPr>
        <w:pStyle w:val="FootnoteText"/>
      </w:pPr>
      <w:r>
        <w:rPr>
          <w:rStyle w:val="FootnoteReference"/>
        </w:rPr>
        <w:footnoteRef/>
      </w:r>
      <w:r>
        <w:t xml:space="preserve"> Note: Lower rated buildings have been grouped to compensate for a small sample size.</w:t>
      </w:r>
    </w:p>
  </w:footnote>
  <w:footnote w:id="17">
    <w:p w14:paraId="216A8D34" w14:textId="77777777" w:rsidR="008B72FA" w:rsidRDefault="008B72FA" w:rsidP="008B72FA">
      <w:pPr>
        <w:pStyle w:val="FootnoteText"/>
      </w:pPr>
      <w:r>
        <w:rPr>
          <w:rStyle w:val="FootnoteReference"/>
        </w:rPr>
        <w:footnoteRef/>
      </w:r>
      <w:r>
        <w:t xml:space="preserve"> This total does not include institutional accommodation as the wide range of dwelling types included in this residential space-use type makes an accurate estimate difficult, and the number of dwellings is likely to be very small.  </w:t>
      </w:r>
    </w:p>
  </w:footnote>
  <w:footnote w:id="18">
    <w:p w14:paraId="029FC54E" w14:textId="77777777" w:rsidR="008B72FA" w:rsidRDefault="008B72FA" w:rsidP="008B72FA">
      <w:pPr>
        <w:pStyle w:val="FootnoteText"/>
      </w:pPr>
      <w:r>
        <w:rPr>
          <w:rStyle w:val="FootnoteReference"/>
        </w:rPr>
        <w:footnoteRef/>
      </w:r>
      <w:r>
        <w:t xml:space="preserve"> Note: This data relates only to the portion of the listed postcodes in the City of Melbourne LGA area. The small area of postcode 3141 in the City is not representative of the wider postcode.</w:t>
      </w:r>
    </w:p>
  </w:footnote>
  <w:footnote w:id="19">
    <w:p w14:paraId="790E3989" w14:textId="77777777" w:rsidR="008B72FA" w:rsidRPr="00D65310" w:rsidRDefault="008B72FA" w:rsidP="008B72FA">
      <w:pPr>
        <w:pStyle w:val="FootnoteText"/>
        <w:rPr>
          <w:lang w:val="en-US"/>
        </w:rPr>
      </w:pPr>
      <w:r>
        <w:rPr>
          <w:rStyle w:val="FootnoteReference"/>
        </w:rPr>
        <w:footnoteRef/>
      </w:r>
      <w:r>
        <w:t xml:space="preserve"> </w:t>
      </w:r>
      <w:r>
        <w:rPr>
          <w:lang w:val="en-US"/>
        </w:rPr>
        <w:t xml:space="preserve">Noting that this will not </w:t>
      </w:r>
      <w:r w:rsidRPr="00D65310">
        <w:rPr>
          <w:i/>
          <w:iCs/>
          <w:lang w:val="en-US"/>
        </w:rPr>
        <w:t>always</w:t>
      </w:r>
      <w:r>
        <w:rPr>
          <w:lang w:val="en-US"/>
        </w:rPr>
        <w:t xml:space="preserve"> be the case, depending on factors such as the nature of building controls, building management systems, and management practices.  However, spaces that are able to be depowered are likely be so when left vacant for any material length of time.</w:t>
      </w:r>
    </w:p>
  </w:footnote>
  <w:footnote w:id="20">
    <w:p w14:paraId="60177EF4" w14:textId="77777777" w:rsidR="008B72FA" w:rsidRPr="00DD6E22" w:rsidRDefault="008B72FA" w:rsidP="008B72FA">
      <w:pPr>
        <w:pStyle w:val="FootnoteText"/>
        <w:rPr>
          <w:lang w:val="en-US"/>
        </w:rPr>
      </w:pPr>
      <w:r>
        <w:rPr>
          <w:rStyle w:val="FootnoteReference"/>
        </w:rPr>
        <w:footnoteRef/>
      </w:r>
      <w:r>
        <w:t xml:space="preserve"> </w:t>
      </w:r>
      <w:r>
        <w:rPr>
          <w:lang w:val="en-US"/>
        </w:rPr>
        <w:t xml:space="preserve">See, for example, Victorian Government, Department of Environment, Land, Water and Planning, </w:t>
      </w:r>
      <w:r w:rsidRPr="00DD6E22">
        <w:rPr>
          <w:i/>
          <w:iCs/>
          <w:lang w:val="en-US"/>
        </w:rPr>
        <w:t>Embedded Networks Review – Final Recommendations Report</w:t>
      </w:r>
      <w:r>
        <w:rPr>
          <w:lang w:val="en-US"/>
        </w:rPr>
        <w:t xml:space="preserve">, January 2022. </w:t>
      </w:r>
    </w:p>
  </w:footnote>
  <w:footnote w:id="21">
    <w:p w14:paraId="006E4730" w14:textId="77777777" w:rsidR="008B72FA" w:rsidRDefault="008B72FA" w:rsidP="008B72FA">
      <w:pPr>
        <w:pStyle w:val="FootnoteText"/>
      </w:pPr>
      <w:r>
        <w:rPr>
          <w:rStyle w:val="FootnoteReference"/>
        </w:rPr>
        <w:footnoteRef/>
      </w:r>
      <w:r>
        <w:t xml:space="preserve"> </w:t>
      </w:r>
      <w:r w:rsidRPr="00304C85">
        <w:t>https://www.ewov.com.au/members/find-an-embedded-network-member</w:t>
      </w:r>
    </w:p>
  </w:footnote>
  <w:footnote w:id="22">
    <w:p w14:paraId="2C736C43" w14:textId="77777777" w:rsidR="008B72FA" w:rsidRDefault="008B72FA" w:rsidP="008B72FA">
      <w:pPr>
        <w:pStyle w:val="FootnoteText"/>
      </w:pPr>
      <w:r>
        <w:rPr>
          <w:rStyle w:val="FootnoteReference"/>
        </w:rPr>
        <w:footnoteRef/>
      </w:r>
      <w:r>
        <w:t xml:space="preserve"> Note: </w:t>
      </w:r>
      <w:r>
        <w:rPr>
          <w:lang w:val="en-GB"/>
        </w:rPr>
        <w:t>Results are not representative for postcodes in which only a small portion of the area falls withing the LGA, such as 3032 or 3141.</w:t>
      </w:r>
    </w:p>
  </w:footnote>
  <w:footnote w:id="23">
    <w:p w14:paraId="2F2D2618" w14:textId="77777777" w:rsidR="008B72FA" w:rsidRDefault="008B72FA" w:rsidP="008B72FA">
      <w:pPr>
        <w:pStyle w:val="FootnoteText"/>
      </w:pPr>
      <w:r>
        <w:rPr>
          <w:rStyle w:val="FootnoteReference"/>
        </w:rPr>
        <w:footnoteRef/>
      </w:r>
      <w:r>
        <w:t xml:space="preserve"> Note: Our model does not capture the full extent of industrial gas use in the LGA, as discussed in Section 2.4.5</w:t>
      </w:r>
    </w:p>
  </w:footnote>
  <w:footnote w:id="24">
    <w:p w14:paraId="73012E7A" w14:textId="77777777" w:rsidR="00540725" w:rsidRDefault="00540725" w:rsidP="00540725">
      <w:pPr>
        <w:pStyle w:val="FootnoteText"/>
      </w:pPr>
      <w:r>
        <w:rPr>
          <w:rStyle w:val="FootnoteReference"/>
        </w:rPr>
        <w:footnoteRef/>
      </w:r>
      <w:r>
        <w:t xml:space="preserve"> See section 1.1.2 of AEMO’s Victorian Gas Planning Report: Update </w:t>
      </w:r>
      <w:r w:rsidRPr="00F02E0D">
        <w:t>https://aemo.com.au/-/media/files/gas/national_planning_and_forecasting/vgpr/2024/2024-victorian-gas-planning-report-update.pdf</w:t>
      </w:r>
    </w:p>
  </w:footnote>
  <w:footnote w:id="25">
    <w:p w14:paraId="0EAED95F" w14:textId="77777777" w:rsidR="00540725" w:rsidRDefault="00540725" w:rsidP="00540725">
      <w:pPr>
        <w:pStyle w:val="FootnoteText"/>
      </w:pPr>
      <w:r>
        <w:rPr>
          <w:rStyle w:val="FootnoteReference"/>
        </w:rPr>
        <w:footnoteRef/>
      </w:r>
      <w:r>
        <w:t xml:space="preserve"> </w:t>
      </w:r>
      <w:r w:rsidRPr="00EE37F2">
        <w:t>https://www.energycouncil.com.au/media/bytccxig/australian-energy-council-solar-report-q2-2023.pdf</w:t>
      </w:r>
    </w:p>
  </w:footnote>
  <w:footnote w:id="26">
    <w:p w14:paraId="1EA31E15" w14:textId="77777777" w:rsidR="00540725" w:rsidRDefault="00540725" w:rsidP="00540725">
      <w:pPr>
        <w:pStyle w:val="FootnoteText"/>
      </w:pPr>
      <w:r>
        <w:rPr>
          <w:rStyle w:val="FootnoteReference"/>
        </w:rPr>
        <w:footnoteRef/>
      </w:r>
      <w:r>
        <w:t xml:space="preserve"> Note: Space-use is the primary unit of analysis in this report, and limited work was done to interrogate how establishment counts interacted with space-use in multi-use/multi-establishment buildings. Many of these buildings offer shared services, similar to apartment buildings, which may mean multiple establishments are serviced by a single connection. As such, this number should be treated with caution as it will not represent the true number of businesses in the LGA that rely on gas for cooking, space heating or hot water provision. </w:t>
      </w:r>
    </w:p>
  </w:footnote>
  <w:footnote w:id="27">
    <w:p w14:paraId="19F67BBF" w14:textId="77777777" w:rsidR="00540725" w:rsidRDefault="00540725" w:rsidP="00540725">
      <w:pPr>
        <w:pStyle w:val="FootnoteText"/>
      </w:pPr>
      <w:r>
        <w:rPr>
          <w:rStyle w:val="FootnoteReference"/>
        </w:rPr>
        <w:footnoteRef/>
      </w:r>
      <w:r>
        <w:t xml:space="preserve"> Note: All electricity emission figures are net of solar generation consumed behind the meter.</w:t>
      </w:r>
    </w:p>
  </w:footnote>
  <w:footnote w:id="28">
    <w:p w14:paraId="064044F0" w14:textId="77777777" w:rsidR="00540725" w:rsidRDefault="00540725" w:rsidP="00540725">
      <w:pPr>
        <w:pStyle w:val="FootnoteText"/>
      </w:pPr>
      <w:r>
        <w:rPr>
          <w:rStyle w:val="FootnoteReference"/>
        </w:rPr>
        <w:footnoteRef/>
      </w:r>
      <w:r>
        <w:t xml:space="preserve"> </w:t>
      </w:r>
      <w:r w:rsidRPr="00D723CA">
        <w:t>https://www.energy.vic.gov.au/renewable-energy/victorian-renewable-energy-and-storage-targets</w:t>
      </w:r>
    </w:p>
  </w:footnote>
  <w:footnote w:id="29">
    <w:p w14:paraId="6CEF75D3" w14:textId="77777777" w:rsidR="00540725" w:rsidRDefault="00540725" w:rsidP="00540725">
      <w:pPr>
        <w:pStyle w:val="FootnoteText"/>
      </w:pPr>
      <w:r>
        <w:rPr>
          <w:rStyle w:val="FootnoteReference"/>
        </w:rPr>
        <w:footnoteRef/>
      </w:r>
      <w:r>
        <w:t xml:space="preserve"> Note: </w:t>
      </w:r>
      <w:r>
        <w:rPr>
          <w:lang w:val="en-GB"/>
        </w:rPr>
        <w:t>Results are not representative for postcodes in which only a small portion of the area falls withing the LGA, such as 3032 or 3141.</w:t>
      </w:r>
    </w:p>
  </w:footnote>
  <w:footnote w:id="30">
    <w:p w14:paraId="3C842806" w14:textId="77777777" w:rsidR="00540725" w:rsidRDefault="00540725" w:rsidP="00540725">
      <w:pPr>
        <w:pStyle w:val="FootnoteText"/>
      </w:pPr>
      <w:r>
        <w:rPr>
          <w:rStyle w:val="FootnoteReference"/>
        </w:rPr>
        <w:footnoteRef/>
      </w:r>
      <w:r>
        <w:t xml:space="preserve"> Note: </w:t>
      </w:r>
      <w:r>
        <w:rPr>
          <w:lang w:val="en-GB"/>
        </w:rPr>
        <w:t>Results are not representative for postcodes in which only a small portion of the area falls withing the LGA, such as 3032 or 3141.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036AB"/>
    <w:multiLevelType w:val="hybridMultilevel"/>
    <w:tmpl w:val="6C96502C"/>
    <w:lvl w:ilvl="0" w:tplc="8EE8C2C4">
      <w:start w:val="1"/>
      <w:numFmt w:val="bullet"/>
      <w:pStyle w:val="ListParagraph"/>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66C119A"/>
    <w:multiLevelType w:val="hybridMultilevel"/>
    <w:tmpl w:val="1E88C3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761B0F"/>
    <w:multiLevelType w:val="hybridMultilevel"/>
    <w:tmpl w:val="9CB451BA"/>
    <w:lvl w:ilvl="0" w:tplc="1444E26C">
      <w:start w:val="5"/>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A1157B0"/>
    <w:multiLevelType w:val="hybridMultilevel"/>
    <w:tmpl w:val="C61A8E6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A5D51CC"/>
    <w:multiLevelType w:val="multilevel"/>
    <w:tmpl w:val="41269988"/>
    <w:styleLink w:val="ListBullets"/>
    <w:lvl w:ilvl="0">
      <w:start w:val="1"/>
      <w:numFmt w:val="bullet"/>
      <w:pStyle w:val="ListBullet"/>
      <w:lvlText w:val=""/>
      <w:lvlJc w:val="left"/>
      <w:pPr>
        <w:ind w:left="357" w:hanging="357"/>
      </w:pPr>
      <w:rPr>
        <w:rFonts w:ascii="Symbol" w:hAnsi="Symbol" w:hint="default"/>
      </w:rPr>
    </w:lvl>
    <w:lvl w:ilvl="1">
      <w:start w:val="1"/>
      <w:numFmt w:val="bullet"/>
      <w:pStyle w:val="ListBullet2"/>
      <w:lvlText w:val="o"/>
      <w:lvlJc w:val="left"/>
      <w:pPr>
        <w:tabs>
          <w:tab w:val="num" w:pos="717"/>
        </w:tabs>
        <w:ind w:left="714" w:hanging="357"/>
      </w:pPr>
      <w:rPr>
        <w:rFonts w:ascii="Courier New" w:hAnsi="Courier New" w:hint="default"/>
      </w:rPr>
    </w:lvl>
    <w:lvl w:ilvl="2">
      <w:start w:val="1"/>
      <w:numFmt w:val="bullet"/>
      <w:pStyle w:val="ListBullet3"/>
      <w:lvlText w:val=""/>
      <w:lvlJc w:val="left"/>
      <w:pPr>
        <w:tabs>
          <w:tab w:val="num" w:pos="1074"/>
        </w:tabs>
        <w:ind w:left="1071" w:hanging="357"/>
      </w:pPr>
      <w:rPr>
        <w:rFonts w:ascii="Symbol" w:hAnsi="Symbol" w:hint="default"/>
      </w:rPr>
    </w:lvl>
    <w:lvl w:ilvl="3">
      <w:start w:val="1"/>
      <w:numFmt w:val="bullet"/>
      <w:pStyle w:val="ListBullet4"/>
      <w:lvlText w:val="o"/>
      <w:lvlJc w:val="left"/>
      <w:pPr>
        <w:tabs>
          <w:tab w:val="num" w:pos="1431"/>
        </w:tabs>
        <w:ind w:left="1428" w:hanging="357"/>
      </w:pPr>
      <w:rPr>
        <w:rFonts w:ascii="Courier New" w:hAnsi="Courier New" w:hint="default"/>
      </w:rPr>
    </w:lvl>
    <w:lvl w:ilvl="4">
      <w:start w:val="1"/>
      <w:numFmt w:val="bullet"/>
      <w:pStyle w:val="ListBullet5"/>
      <w:lvlText w:val=""/>
      <w:lvlJc w:val="left"/>
      <w:pPr>
        <w:tabs>
          <w:tab w:val="num" w:pos="1788"/>
        </w:tabs>
        <w:ind w:left="1785" w:hanging="357"/>
      </w:pPr>
      <w:rPr>
        <w:rFonts w:ascii="Symbol" w:hAnsi="Symbol" w:hint="default"/>
      </w:rPr>
    </w:lvl>
    <w:lvl w:ilvl="5">
      <w:start w:val="1"/>
      <w:numFmt w:val="none"/>
      <w:lvlText w:val=""/>
      <w:lvlJc w:val="left"/>
      <w:pPr>
        <w:tabs>
          <w:tab w:val="num" w:pos="2145"/>
        </w:tabs>
        <w:ind w:left="2142" w:hanging="357"/>
      </w:pPr>
      <w:rPr>
        <w:rFonts w:hint="default"/>
      </w:rPr>
    </w:lvl>
    <w:lvl w:ilvl="6">
      <w:start w:val="1"/>
      <w:numFmt w:val="none"/>
      <w:lvlText w:val=""/>
      <w:lvlJc w:val="left"/>
      <w:pPr>
        <w:tabs>
          <w:tab w:val="num" w:pos="2502"/>
        </w:tabs>
        <w:ind w:left="2499" w:hanging="357"/>
      </w:pPr>
      <w:rPr>
        <w:rFonts w:hint="default"/>
      </w:rPr>
    </w:lvl>
    <w:lvl w:ilvl="7">
      <w:start w:val="1"/>
      <w:numFmt w:val="none"/>
      <w:lvlText w:val=""/>
      <w:lvlJc w:val="left"/>
      <w:pPr>
        <w:tabs>
          <w:tab w:val="num" w:pos="2859"/>
        </w:tabs>
        <w:ind w:left="2856" w:hanging="357"/>
      </w:pPr>
      <w:rPr>
        <w:rFonts w:hint="default"/>
      </w:rPr>
    </w:lvl>
    <w:lvl w:ilvl="8">
      <w:start w:val="1"/>
      <w:numFmt w:val="none"/>
      <w:lvlText w:val=""/>
      <w:lvlJc w:val="left"/>
      <w:pPr>
        <w:tabs>
          <w:tab w:val="num" w:pos="3216"/>
        </w:tabs>
        <w:ind w:left="3213" w:hanging="357"/>
      </w:pPr>
      <w:rPr>
        <w:rFonts w:hint="default"/>
      </w:rPr>
    </w:lvl>
  </w:abstractNum>
  <w:abstractNum w:abstractNumId="5" w15:restartNumberingAfterBreak="0">
    <w:nsid w:val="247C5791"/>
    <w:multiLevelType w:val="hybridMultilevel"/>
    <w:tmpl w:val="2BE2E3D6"/>
    <w:lvl w:ilvl="0" w:tplc="FCEC862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4911A35"/>
    <w:multiLevelType w:val="hybridMultilevel"/>
    <w:tmpl w:val="54CA2030"/>
    <w:lvl w:ilvl="0" w:tplc="EDDA5ECE">
      <w:start w:val="7"/>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58776E8"/>
    <w:multiLevelType w:val="hybridMultilevel"/>
    <w:tmpl w:val="08C615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5AA25E9"/>
    <w:multiLevelType w:val="multilevel"/>
    <w:tmpl w:val="16506B6C"/>
    <w:styleLink w:val="ListNumbers"/>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964"/>
        </w:tabs>
        <w:ind w:left="964" w:hanging="607"/>
      </w:pPr>
      <w:rPr>
        <w:rFonts w:hint="default"/>
      </w:rPr>
    </w:lvl>
    <w:lvl w:ilvl="2">
      <w:start w:val="1"/>
      <w:numFmt w:val="decimal"/>
      <w:lvlText w:val="%1.%2.%3"/>
      <w:lvlJc w:val="left"/>
      <w:pPr>
        <w:tabs>
          <w:tab w:val="num" w:pos="1731"/>
        </w:tabs>
        <w:ind w:left="1731" w:hanging="767"/>
      </w:pPr>
      <w:rPr>
        <w:rFonts w:hint="default"/>
      </w:rPr>
    </w:lvl>
    <w:lvl w:ilvl="3">
      <w:start w:val="1"/>
      <w:numFmt w:val="decimal"/>
      <w:lvlText w:val="%1.%2.%3.%4."/>
      <w:lvlJc w:val="left"/>
      <w:pPr>
        <w:tabs>
          <w:tab w:val="num" w:pos="2722"/>
        </w:tabs>
        <w:ind w:left="2722" w:hanging="993"/>
      </w:pPr>
      <w:rPr>
        <w:rFonts w:hint="default"/>
      </w:rPr>
    </w:lvl>
    <w:lvl w:ilvl="4">
      <w:start w:val="1"/>
      <w:numFmt w:val="none"/>
      <w:lvlRestart w:val="0"/>
      <w:lvlText w:val=""/>
      <w:lvlJc w:val="left"/>
      <w:pPr>
        <w:tabs>
          <w:tab w:val="num" w:pos="1785"/>
        </w:tabs>
        <w:ind w:left="1785" w:hanging="357"/>
      </w:pPr>
      <w:rPr>
        <w:rFonts w:hint="default"/>
      </w:rPr>
    </w:lvl>
    <w:lvl w:ilvl="5">
      <w:start w:val="1"/>
      <w:numFmt w:val="none"/>
      <w:lvlRestart w:val="0"/>
      <w:lvlText w:val=""/>
      <w:lvlJc w:val="left"/>
      <w:pPr>
        <w:tabs>
          <w:tab w:val="num" w:pos="2142"/>
        </w:tabs>
        <w:ind w:left="2142" w:hanging="357"/>
      </w:pPr>
      <w:rPr>
        <w:rFonts w:hint="default"/>
      </w:rPr>
    </w:lvl>
    <w:lvl w:ilvl="6">
      <w:start w:val="1"/>
      <w:numFmt w:val="none"/>
      <w:lvlRestart w:val="0"/>
      <w:lvlText w:val=""/>
      <w:lvlJc w:val="left"/>
      <w:pPr>
        <w:tabs>
          <w:tab w:val="num" w:pos="2499"/>
        </w:tabs>
        <w:ind w:left="2499" w:hanging="357"/>
      </w:pPr>
      <w:rPr>
        <w:rFonts w:hint="default"/>
      </w:rPr>
    </w:lvl>
    <w:lvl w:ilvl="7">
      <w:start w:val="1"/>
      <w:numFmt w:val="none"/>
      <w:lvlRestart w:val="0"/>
      <w:lvlText w:val=""/>
      <w:lvlJc w:val="left"/>
      <w:pPr>
        <w:tabs>
          <w:tab w:val="num" w:pos="2856"/>
        </w:tabs>
        <w:ind w:left="2856" w:hanging="357"/>
      </w:pPr>
      <w:rPr>
        <w:rFonts w:hint="default"/>
      </w:rPr>
    </w:lvl>
    <w:lvl w:ilvl="8">
      <w:start w:val="1"/>
      <w:numFmt w:val="none"/>
      <w:lvlRestart w:val="0"/>
      <w:lvlText w:val=""/>
      <w:lvlJc w:val="left"/>
      <w:pPr>
        <w:tabs>
          <w:tab w:val="num" w:pos="3213"/>
        </w:tabs>
        <w:ind w:left="3213" w:hanging="357"/>
      </w:pPr>
      <w:rPr>
        <w:rFonts w:hint="default"/>
      </w:rPr>
    </w:lvl>
  </w:abstractNum>
  <w:abstractNum w:abstractNumId="9" w15:restartNumberingAfterBreak="0">
    <w:nsid w:val="298F10F6"/>
    <w:multiLevelType w:val="hybridMultilevel"/>
    <w:tmpl w:val="AD6CBE7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87511E5"/>
    <w:multiLevelType w:val="hybridMultilevel"/>
    <w:tmpl w:val="5B7E54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EB9744B"/>
    <w:multiLevelType w:val="hybridMultilevel"/>
    <w:tmpl w:val="5330C38E"/>
    <w:lvl w:ilvl="0" w:tplc="FCEC862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89B1509"/>
    <w:multiLevelType w:val="hybridMultilevel"/>
    <w:tmpl w:val="4FB66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9AD2F2A"/>
    <w:multiLevelType w:val="hybridMultilevel"/>
    <w:tmpl w:val="359C1522"/>
    <w:lvl w:ilvl="0" w:tplc="FCEC862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D197E35"/>
    <w:multiLevelType w:val="hybridMultilevel"/>
    <w:tmpl w:val="00562C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0964E3F"/>
    <w:multiLevelType w:val="hybridMultilevel"/>
    <w:tmpl w:val="0A5241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3D827C7"/>
    <w:multiLevelType w:val="hybridMultilevel"/>
    <w:tmpl w:val="01464808"/>
    <w:lvl w:ilvl="0" w:tplc="E2E2B3F8">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6313EB9"/>
    <w:multiLevelType w:val="hybridMultilevel"/>
    <w:tmpl w:val="DFD20F46"/>
    <w:lvl w:ilvl="0" w:tplc="FFFFFFF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8F967D2"/>
    <w:multiLevelType w:val="hybridMultilevel"/>
    <w:tmpl w:val="63401C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B8522EC"/>
    <w:multiLevelType w:val="hybridMultilevel"/>
    <w:tmpl w:val="ED6871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C616EDA"/>
    <w:multiLevelType w:val="hybridMultilevel"/>
    <w:tmpl w:val="C8760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CAB0F1C"/>
    <w:multiLevelType w:val="hybridMultilevel"/>
    <w:tmpl w:val="A9302D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D7E0DAC"/>
    <w:multiLevelType w:val="hybridMultilevel"/>
    <w:tmpl w:val="5148AE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DD1201F"/>
    <w:multiLevelType w:val="multilevel"/>
    <w:tmpl w:val="16506B6C"/>
    <w:lvl w:ilvl="0">
      <w:start w:val="1"/>
      <w:numFmt w:val="decimal"/>
      <w:pStyle w:val="ListNumber"/>
      <w:lvlText w:val="%1."/>
      <w:lvlJc w:val="left"/>
      <w:pPr>
        <w:tabs>
          <w:tab w:val="num" w:pos="357"/>
        </w:tabs>
        <w:ind w:left="357" w:hanging="357"/>
      </w:pPr>
      <w:rPr>
        <w:rFonts w:hint="default"/>
      </w:rPr>
    </w:lvl>
    <w:lvl w:ilvl="1">
      <w:start w:val="1"/>
      <w:numFmt w:val="decimal"/>
      <w:pStyle w:val="ListNumber2"/>
      <w:lvlText w:val="%1.%2."/>
      <w:lvlJc w:val="left"/>
      <w:pPr>
        <w:tabs>
          <w:tab w:val="num" w:pos="964"/>
        </w:tabs>
        <w:ind w:left="964" w:hanging="607"/>
      </w:pPr>
      <w:rPr>
        <w:rFonts w:hint="default"/>
      </w:rPr>
    </w:lvl>
    <w:lvl w:ilvl="2">
      <w:start w:val="1"/>
      <w:numFmt w:val="decimal"/>
      <w:pStyle w:val="ListNumber3"/>
      <w:lvlText w:val="%1.%2.%3"/>
      <w:lvlJc w:val="left"/>
      <w:pPr>
        <w:tabs>
          <w:tab w:val="num" w:pos="1731"/>
        </w:tabs>
        <w:ind w:left="1731" w:hanging="767"/>
      </w:pPr>
      <w:rPr>
        <w:rFonts w:hint="default"/>
      </w:rPr>
    </w:lvl>
    <w:lvl w:ilvl="3">
      <w:start w:val="1"/>
      <w:numFmt w:val="decimal"/>
      <w:pStyle w:val="ListNumber4"/>
      <w:lvlText w:val="%1.%2.%3.%4."/>
      <w:lvlJc w:val="left"/>
      <w:pPr>
        <w:tabs>
          <w:tab w:val="num" w:pos="2722"/>
        </w:tabs>
        <w:ind w:left="2722" w:hanging="993"/>
      </w:pPr>
      <w:rPr>
        <w:rFonts w:hint="default"/>
      </w:rPr>
    </w:lvl>
    <w:lvl w:ilvl="4">
      <w:start w:val="1"/>
      <w:numFmt w:val="none"/>
      <w:lvlRestart w:val="0"/>
      <w:lvlText w:val=""/>
      <w:lvlJc w:val="left"/>
      <w:pPr>
        <w:tabs>
          <w:tab w:val="num" w:pos="1785"/>
        </w:tabs>
        <w:ind w:left="1785" w:hanging="357"/>
      </w:pPr>
      <w:rPr>
        <w:rFonts w:hint="default"/>
      </w:rPr>
    </w:lvl>
    <w:lvl w:ilvl="5">
      <w:start w:val="1"/>
      <w:numFmt w:val="none"/>
      <w:lvlRestart w:val="0"/>
      <w:lvlText w:val=""/>
      <w:lvlJc w:val="left"/>
      <w:pPr>
        <w:tabs>
          <w:tab w:val="num" w:pos="2142"/>
        </w:tabs>
        <w:ind w:left="2142" w:hanging="357"/>
      </w:pPr>
      <w:rPr>
        <w:rFonts w:hint="default"/>
      </w:rPr>
    </w:lvl>
    <w:lvl w:ilvl="6">
      <w:start w:val="1"/>
      <w:numFmt w:val="none"/>
      <w:lvlRestart w:val="0"/>
      <w:lvlText w:val=""/>
      <w:lvlJc w:val="left"/>
      <w:pPr>
        <w:tabs>
          <w:tab w:val="num" w:pos="2499"/>
        </w:tabs>
        <w:ind w:left="2499" w:hanging="357"/>
      </w:pPr>
      <w:rPr>
        <w:rFonts w:hint="default"/>
      </w:rPr>
    </w:lvl>
    <w:lvl w:ilvl="7">
      <w:start w:val="1"/>
      <w:numFmt w:val="none"/>
      <w:lvlRestart w:val="0"/>
      <w:lvlText w:val=""/>
      <w:lvlJc w:val="left"/>
      <w:pPr>
        <w:tabs>
          <w:tab w:val="num" w:pos="2856"/>
        </w:tabs>
        <w:ind w:left="2856" w:hanging="357"/>
      </w:pPr>
      <w:rPr>
        <w:rFonts w:hint="default"/>
      </w:rPr>
    </w:lvl>
    <w:lvl w:ilvl="8">
      <w:start w:val="1"/>
      <w:numFmt w:val="none"/>
      <w:lvlRestart w:val="0"/>
      <w:lvlText w:val=""/>
      <w:lvlJc w:val="left"/>
      <w:pPr>
        <w:tabs>
          <w:tab w:val="num" w:pos="3213"/>
        </w:tabs>
        <w:ind w:left="3213" w:hanging="357"/>
      </w:pPr>
      <w:rPr>
        <w:rFonts w:hint="default"/>
      </w:rPr>
    </w:lvl>
  </w:abstractNum>
  <w:num w:numId="1" w16cid:durableId="1691224991">
    <w:abstractNumId w:val="4"/>
  </w:num>
  <w:num w:numId="2" w16cid:durableId="570963775">
    <w:abstractNumId w:val="8"/>
  </w:num>
  <w:num w:numId="3" w16cid:durableId="1606309890">
    <w:abstractNumId w:val="23"/>
  </w:num>
  <w:num w:numId="4" w16cid:durableId="851338132">
    <w:abstractNumId w:val="0"/>
  </w:num>
  <w:num w:numId="5" w16cid:durableId="390226350">
    <w:abstractNumId w:val="3"/>
  </w:num>
  <w:num w:numId="6" w16cid:durableId="892540852">
    <w:abstractNumId w:val="21"/>
  </w:num>
  <w:num w:numId="7" w16cid:durableId="1172523011">
    <w:abstractNumId w:val="15"/>
  </w:num>
  <w:num w:numId="8" w16cid:durableId="921529063">
    <w:abstractNumId w:val="16"/>
  </w:num>
  <w:num w:numId="9" w16cid:durableId="1405296068">
    <w:abstractNumId w:val="9"/>
  </w:num>
  <w:num w:numId="10" w16cid:durableId="900479436">
    <w:abstractNumId w:val="20"/>
  </w:num>
  <w:num w:numId="11" w16cid:durableId="1308903357">
    <w:abstractNumId w:val="18"/>
  </w:num>
  <w:num w:numId="12" w16cid:durableId="1740321843">
    <w:abstractNumId w:val="14"/>
  </w:num>
  <w:num w:numId="13" w16cid:durableId="142086294">
    <w:abstractNumId w:val="22"/>
  </w:num>
  <w:num w:numId="14" w16cid:durableId="1911108997">
    <w:abstractNumId w:val="17"/>
  </w:num>
  <w:num w:numId="15" w16cid:durableId="1518352504">
    <w:abstractNumId w:val="7"/>
  </w:num>
  <w:num w:numId="16" w16cid:durableId="1107773924">
    <w:abstractNumId w:val="19"/>
  </w:num>
  <w:num w:numId="17" w16cid:durableId="2056082379">
    <w:abstractNumId w:val="1"/>
  </w:num>
  <w:num w:numId="18" w16cid:durableId="2110276804">
    <w:abstractNumId w:val="12"/>
  </w:num>
  <w:num w:numId="19" w16cid:durableId="1893730929">
    <w:abstractNumId w:val="10"/>
  </w:num>
  <w:num w:numId="20" w16cid:durableId="2110929146">
    <w:abstractNumId w:val="2"/>
  </w:num>
  <w:num w:numId="21" w16cid:durableId="762073577">
    <w:abstractNumId w:val="6"/>
  </w:num>
  <w:num w:numId="22" w16cid:durableId="279458630">
    <w:abstractNumId w:val="11"/>
  </w:num>
  <w:num w:numId="23" w16cid:durableId="486015059">
    <w:abstractNumId w:val="5"/>
  </w:num>
  <w:num w:numId="24" w16cid:durableId="1875919611">
    <w:abstractNumId w:val="1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0DA"/>
    <w:rsid w:val="00004E7E"/>
    <w:rsid w:val="00020B35"/>
    <w:rsid w:val="00036F8A"/>
    <w:rsid w:val="000437C5"/>
    <w:rsid w:val="000474AE"/>
    <w:rsid w:val="00054CA6"/>
    <w:rsid w:val="00071857"/>
    <w:rsid w:val="00077DBC"/>
    <w:rsid w:val="000A2BDA"/>
    <w:rsid w:val="000A48D5"/>
    <w:rsid w:val="000B5EAA"/>
    <w:rsid w:val="000F3535"/>
    <w:rsid w:val="001006A3"/>
    <w:rsid w:val="00104913"/>
    <w:rsid w:val="00140B0D"/>
    <w:rsid w:val="001529D0"/>
    <w:rsid w:val="001901CF"/>
    <w:rsid w:val="00190B0E"/>
    <w:rsid w:val="00190FC7"/>
    <w:rsid w:val="001B0095"/>
    <w:rsid w:val="001B23B1"/>
    <w:rsid w:val="001B28E0"/>
    <w:rsid w:val="001B51BF"/>
    <w:rsid w:val="001F008C"/>
    <w:rsid w:val="001F46B4"/>
    <w:rsid w:val="001F554D"/>
    <w:rsid w:val="00206D3D"/>
    <w:rsid w:val="0023196F"/>
    <w:rsid w:val="002436A6"/>
    <w:rsid w:val="002438B7"/>
    <w:rsid w:val="0024773F"/>
    <w:rsid w:val="002523CC"/>
    <w:rsid w:val="002730DA"/>
    <w:rsid w:val="00273E03"/>
    <w:rsid w:val="00283DE5"/>
    <w:rsid w:val="002A18F2"/>
    <w:rsid w:val="002D630D"/>
    <w:rsid w:val="002E4153"/>
    <w:rsid w:val="002F47B6"/>
    <w:rsid w:val="002F6A88"/>
    <w:rsid w:val="00302708"/>
    <w:rsid w:val="00380F44"/>
    <w:rsid w:val="0038472A"/>
    <w:rsid w:val="00392688"/>
    <w:rsid w:val="003A6133"/>
    <w:rsid w:val="003B04A4"/>
    <w:rsid w:val="003B3A7A"/>
    <w:rsid w:val="003B45CC"/>
    <w:rsid w:val="003D3BBC"/>
    <w:rsid w:val="003D5935"/>
    <w:rsid w:val="003D63A8"/>
    <w:rsid w:val="003E3A9F"/>
    <w:rsid w:val="00407429"/>
    <w:rsid w:val="00421A8A"/>
    <w:rsid w:val="00426584"/>
    <w:rsid w:val="00426F15"/>
    <w:rsid w:val="00431C94"/>
    <w:rsid w:val="00431D45"/>
    <w:rsid w:val="004564F4"/>
    <w:rsid w:val="00457042"/>
    <w:rsid w:val="004878DB"/>
    <w:rsid w:val="00493E0A"/>
    <w:rsid w:val="00494A2D"/>
    <w:rsid w:val="004A26E3"/>
    <w:rsid w:val="004A4E44"/>
    <w:rsid w:val="004B7BF7"/>
    <w:rsid w:val="004C0B93"/>
    <w:rsid w:val="004D00DD"/>
    <w:rsid w:val="004E1ECE"/>
    <w:rsid w:val="004F225E"/>
    <w:rsid w:val="004F54F5"/>
    <w:rsid w:val="0050072A"/>
    <w:rsid w:val="00504313"/>
    <w:rsid w:val="005077FB"/>
    <w:rsid w:val="00535159"/>
    <w:rsid w:val="0053666A"/>
    <w:rsid w:val="00540725"/>
    <w:rsid w:val="00546FCA"/>
    <w:rsid w:val="005507F5"/>
    <w:rsid w:val="005537EC"/>
    <w:rsid w:val="005552C5"/>
    <w:rsid w:val="005620A0"/>
    <w:rsid w:val="0056634E"/>
    <w:rsid w:val="0057264C"/>
    <w:rsid w:val="00577A39"/>
    <w:rsid w:val="005814F5"/>
    <w:rsid w:val="005922A0"/>
    <w:rsid w:val="005A2447"/>
    <w:rsid w:val="005D30BA"/>
    <w:rsid w:val="005E5406"/>
    <w:rsid w:val="005F4391"/>
    <w:rsid w:val="006055B2"/>
    <w:rsid w:val="00617DC4"/>
    <w:rsid w:val="00687245"/>
    <w:rsid w:val="00687D4A"/>
    <w:rsid w:val="006A2F63"/>
    <w:rsid w:val="006A3718"/>
    <w:rsid w:val="006C7F7B"/>
    <w:rsid w:val="006D687C"/>
    <w:rsid w:val="00712950"/>
    <w:rsid w:val="00715B3E"/>
    <w:rsid w:val="00725FA0"/>
    <w:rsid w:val="0073401D"/>
    <w:rsid w:val="007361D8"/>
    <w:rsid w:val="00737A99"/>
    <w:rsid w:val="00782E37"/>
    <w:rsid w:val="007A0AA6"/>
    <w:rsid w:val="007E0B0B"/>
    <w:rsid w:val="007E291E"/>
    <w:rsid w:val="007E394F"/>
    <w:rsid w:val="007F0661"/>
    <w:rsid w:val="007F68F3"/>
    <w:rsid w:val="00802A52"/>
    <w:rsid w:val="0080527F"/>
    <w:rsid w:val="00806F0F"/>
    <w:rsid w:val="00817B84"/>
    <w:rsid w:val="00831224"/>
    <w:rsid w:val="00832481"/>
    <w:rsid w:val="00835883"/>
    <w:rsid w:val="00850D66"/>
    <w:rsid w:val="00855F84"/>
    <w:rsid w:val="00881C97"/>
    <w:rsid w:val="008B1FFB"/>
    <w:rsid w:val="008B72FA"/>
    <w:rsid w:val="008D2DDA"/>
    <w:rsid w:val="008E1EF1"/>
    <w:rsid w:val="008E2476"/>
    <w:rsid w:val="008F51FF"/>
    <w:rsid w:val="009043FC"/>
    <w:rsid w:val="009050C6"/>
    <w:rsid w:val="009072C4"/>
    <w:rsid w:val="00907604"/>
    <w:rsid w:val="0091365A"/>
    <w:rsid w:val="009443E1"/>
    <w:rsid w:val="00944E9B"/>
    <w:rsid w:val="009546F6"/>
    <w:rsid w:val="00955E32"/>
    <w:rsid w:val="0097181E"/>
    <w:rsid w:val="00974F92"/>
    <w:rsid w:val="00990B3C"/>
    <w:rsid w:val="009D1FBA"/>
    <w:rsid w:val="009F4681"/>
    <w:rsid w:val="00A01D13"/>
    <w:rsid w:val="00A121B3"/>
    <w:rsid w:val="00A12C95"/>
    <w:rsid w:val="00A13E20"/>
    <w:rsid w:val="00A361FC"/>
    <w:rsid w:val="00A564FF"/>
    <w:rsid w:val="00A75648"/>
    <w:rsid w:val="00A84F31"/>
    <w:rsid w:val="00A8651A"/>
    <w:rsid w:val="00A91679"/>
    <w:rsid w:val="00AA4303"/>
    <w:rsid w:val="00AB6132"/>
    <w:rsid w:val="00AC0F27"/>
    <w:rsid w:val="00AD2B6E"/>
    <w:rsid w:val="00AF02E0"/>
    <w:rsid w:val="00AF3749"/>
    <w:rsid w:val="00B152AF"/>
    <w:rsid w:val="00B22CDC"/>
    <w:rsid w:val="00B33DB1"/>
    <w:rsid w:val="00B53D5A"/>
    <w:rsid w:val="00B61F7F"/>
    <w:rsid w:val="00B93B1F"/>
    <w:rsid w:val="00BA509B"/>
    <w:rsid w:val="00BA5569"/>
    <w:rsid w:val="00BC43B4"/>
    <w:rsid w:val="00BC5E8E"/>
    <w:rsid w:val="00BC719D"/>
    <w:rsid w:val="00BD56CE"/>
    <w:rsid w:val="00BE100F"/>
    <w:rsid w:val="00BE1269"/>
    <w:rsid w:val="00BE12EF"/>
    <w:rsid w:val="00BE4B49"/>
    <w:rsid w:val="00BE6801"/>
    <w:rsid w:val="00C0291B"/>
    <w:rsid w:val="00C05740"/>
    <w:rsid w:val="00C07190"/>
    <w:rsid w:val="00C14F9F"/>
    <w:rsid w:val="00C2007C"/>
    <w:rsid w:val="00C37F6A"/>
    <w:rsid w:val="00C40A34"/>
    <w:rsid w:val="00C42412"/>
    <w:rsid w:val="00C73DA2"/>
    <w:rsid w:val="00C825F9"/>
    <w:rsid w:val="00C85F2D"/>
    <w:rsid w:val="00CA3730"/>
    <w:rsid w:val="00CB6145"/>
    <w:rsid w:val="00CD195B"/>
    <w:rsid w:val="00CD382D"/>
    <w:rsid w:val="00CE1AD4"/>
    <w:rsid w:val="00D00427"/>
    <w:rsid w:val="00D02C4A"/>
    <w:rsid w:val="00D1663C"/>
    <w:rsid w:val="00D452F9"/>
    <w:rsid w:val="00D516FC"/>
    <w:rsid w:val="00D65473"/>
    <w:rsid w:val="00D77363"/>
    <w:rsid w:val="00DA19BE"/>
    <w:rsid w:val="00DB3494"/>
    <w:rsid w:val="00DB61D7"/>
    <w:rsid w:val="00DF3189"/>
    <w:rsid w:val="00DF37E7"/>
    <w:rsid w:val="00DF6521"/>
    <w:rsid w:val="00E4646D"/>
    <w:rsid w:val="00E5089C"/>
    <w:rsid w:val="00E86DCD"/>
    <w:rsid w:val="00E94A1C"/>
    <w:rsid w:val="00EA2130"/>
    <w:rsid w:val="00EC4AF9"/>
    <w:rsid w:val="00ED416A"/>
    <w:rsid w:val="00ED7629"/>
    <w:rsid w:val="00EF11AE"/>
    <w:rsid w:val="00F03DF7"/>
    <w:rsid w:val="00F07FBE"/>
    <w:rsid w:val="00F113F9"/>
    <w:rsid w:val="00F24B46"/>
    <w:rsid w:val="00F4048D"/>
    <w:rsid w:val="00F41FC6"/>
    <w:rsid w:val="00F570B2"/>
    <w:rsid w:val="00F61B69"/>
    <w:rsid w:val="00F63593"/>
    <w:rsid w:val="00F83261"/>
    <w:rsid w:val="00F86B01"/>
    <w:rsid w:val="00F874C0"/>
    <w:rsid w:val="00FA2DFF"/>
    <w:rsid w:val="00FC6D23"/>
    <w:rsid w:val="00FD670A"/>
    <w:rsid w:val="00FE5606"/>
    <w:rsid w:val="00FF149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E70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365A"/>
    <w:pPr>
      <w:spacing w:after="200" w:line="276" w:lineRule="auto"/>
    </w:pPr>
    <w:rPr>
      <w:rFonts w:ascii="Arial" w:hAnsi="Arial"/>
      <w:szCs w:val="24"/>
      <w:lang w:eastAsia="en-US"/>
    </w:rPr>
  </w:style>
  <w:style w:type="paragraph" w:styleId="Heading1">
    <w:name w:val="heading 1"/>
    <w:next w:val="Normal"/>
    <w:link w:val="Heading1Char"/>
    <w:qFormat/>
    <w:rsid w:val="00802A52"/>
    <w:pPr>
      <w:spacing w:before="400" w:after="240" w:line="276" w:lineRule="auto"/>
      <w:outlineLvl w:val="0"/>
    </w:pPr>
    <w:rPr>
      <w:rFonts w:ascii="Arial Bold" w:eastAsia="MS Gothic" w:hAnsi="Arial Bold"/>
      <w:bCs/>
      <w:sz w:val="28"/>
      <w:szCs w:val="32"/>
      <w:lang w:val="en-US" w:eastAsia="en-US"/>
    </w:rPr>
  </w:style>
  <w:style w:type="paragraph" w:styleId="Heading2">
    <w:name w:val="heading 2"/>
    <w:next w:val="Normal"/>
    <w:link w:val="Heading2Char"/>
    <w:qFormat/>
    <w:rsid w:val="00802A52"/>
    <w:pPr>
      <w:spacing w:before="320" w:after="200" w:line="276" w:lineRule="auto"/>
      <w:outlineLvl w:val="1"/>
    </w:pPr>
    <w:rPr>
      <w:rFonts w:ascii="Arial Bold" w:eastAsia="MS Gothic" w:hAnsi="Arial Bold"/>
      <w:bCs/>
      <w:sz w:val="24"/>
      <w:szCs w:val="26"/>
      <w:lang w:val="en-US" w:eastAsia="en-US"/>
    </w:rPr>
  </w:style>
  <w:style w:type="paragraph" w:styleId="Heading3">
    <w:name w:val="heading 3"/>
    <w:basedOn w:val="Heading2"/>
    <w:next w:val="Normal"/>
    <w:link w:val="Heading3Char"/>
    <w:qFormat/>
    <w:rsid w:val="00802A52"/>
    <w:pPr>
      <w:spacing w:before="280" w:after="160"/>
      <w:outlineLvl w:val="2"/>
    </w:pPr>
    <w:rPr>
      <w:bCs w:val="0"/>
      <w:sz w:val="22"/>
    </w:rPr>
  </w:style>
  <w:style w:type="paragraph" w:styleId="Heading4">
    <w:name w:val="heading 4"/>
    <w:basedOn w:val="Heading3"/>
    <w:next w:val="Normal"/>
    <w:link w:val="Heading4Char"/>
    <w:rsid w:val="00802A52"/>
    <w:pPr>
      <w:spacing w:before="200" w:after="120"/>
      <w:outlineLvl w:val="3"/>
    </w:pPr>
    <w:rPr>
      <w:rFonts w:eastAsia="MS Mincho"/>
      <w:bCs/>
      <w:sz w:val="20"/>
      <w:szCs w:val="28"/>
    </w:rPr>
  </w:style>
  <w:style w:type="paragraph" w:styleId="Heading5">
    <w:name w:val="heading 5"/>
    <w:basedOn w:val="Heading4"/>
    <w:next w:val="Normal"/>
    <w:link w:val="Heading5Char"/>
    <w:rsid w:val="00802A52"/>
    <w:pPr>
      <w:spacing w:after="80"/>
      <w:outlineLvl w:val="4"/>
    </w:pPr>
    <w:rPr>
      <w:rFonts w:ascii="Arial" w:hAnsi="Arial"/>
      <w:bCs w:val="0"/>
      <w:iCs/>
      <w:szCs w:val="26"/>
    </w:rPr>
  </w:style>
  <w:style w:type="paragraph" w:styleId="Heading6">
    <w:name w:val="heading 6"/>
    <w:basedOn w:val="Normal"/>
    <w:next w:val="Normal"/>
    <w:link w:val="Heading6Char"/>
    <w:rsid w:val="00C2007C"/>
    <w:pPr>
      <w:spacing w:before="240" w:after="60"/>
      <w:outlineLvl w:val="5"/>
    </w:pPr>
    <w:rPr>
      <w:bCs/>
      <w:szCs w:val="22"/>
    </w:rPr>
  </w:style>
  <w:style w:type="paragraph" w:styleId="Heading7">
    <w:name w:val="heading 7"/>
    <w:basedOn w:val="Normal"/>
    <w:next w:val="Normal"/>
    <w:link w:val="Heading7Char"/>
    <w:rsid w:val="00C2007C"/>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02A52"/>
    <w:rPr>
      <w:rFonts w:ascii="Arial Bold" w:eastAsia="MS Gothic" w:hAnsi="Arial Bold"/>
      <w:bCs/>
      <w:sz w:val="28"/>
      <w:szCs w:val="32"/>
      <w:lang w:val="en-US" w:eastAsia="en-US"/>
    </w:rPr>
  </w:style>
  <w:style w:type="character" w:customStyle="1" w:styleId="Heading2Char">
    <w:name w:val="Heading 2 Char"/>
    <w:link w:val="Heading2"/>
    <w:rsid w:val="00802A52"/>
    <w:rPr>
      <w:rFonts w:ascii="Arial Bold" w:eastAsia="MS Gothic" w:hAnsi="Arial Bold"/>
      <w:bCs/>
      <w:sz w:val="24"/>
      <w:szCs w:val="26"/>
      <w:lang w:val="en-US" w:eastAsia="en-US"/>
    </w:rPr>
  </w:style>
  <w:style w:type="character" w:customStyle="1" w:styleId="Heading3Char">
    <w:name w:val="Heading 3 Char"/>
    <w:link w:val="Heading3"/>
    <w:rsid w:val="00802A52"/>
    <w:rPr>
      <w:rFonts w:ascii="Arial Bold" w:eastAsia="MS Gothic" w:hAnsi="Arial Bold"/>
      <w:sz w:val="22"/>
      <w:szCs w:val="26"/>
      <w:lang w:val="en-US" w:eastAsia="en-US"/>
    </w:rPr>
  </w:style>
  <w:style w:type="paragraph" w:styleId="BalloonText">
    <w:name w:val="Balloon Text"/>
    <w:basedOn w:val="Normal"/>
    <w:link w:val="BalloonTextChar"/>
    <w:uiPriority w:val="99"/>
    <w:semiHidden/>
    <w:unhideWhenUsed/>
    <w:rsid w:val="00EA2130"/>
    <w:rPr>
      <w:rFonts w:ascii="Lucida Grande" w:hAnsi="Lucida Grande"/>
      <w:sz w:val="18"/>
      <w:szCs w:val="18"/>
    </w:rPr>
  </w:style>
  <w:style w:type="character" w:customStyle="1" w:styleId="BalloonTextChar">
    <w:name w:val="Balloon Text Char"/>
    <w:link w:val="BalloonText"/>
    <w:uiPriority w:val="99"/>
    <w:semiHidden/>
    <w:rsid w:val="00EA2130"/>
    <w:rPr>
      <w:rFonts w:ascii="Lucida Grande" w:hAnsi="Lucida Grande"/>
      <w:sz w:val="18"/>
      <w:szCs w:val="18"/>
    </w:rPr>
  </w:style>
  <w:style w:type="paragraph" w:styleId="Footer">
    <w:name w:val="footer"/>
    <w:basedOn w:val="Normal"/>
    <w:link w:val="FooterChar"/>
    <w:uiPriority w:val="99"/>
    <w:unhideWhenUsed/>
    <w:rsid w:val="00EF11AE"/>
    <w:pPr>
      <w:tabs>
        <w:tab w:val="center" w:pos="4320"/>
        <w:tab w:val="right" w:pos="8640"/>
      </w:tabs>
      <w:spacing w:after="0" w:line="240" w:lineRule="auto"/>
    </w:pPr>
    <w:rPr>
      <w:sz w:val="18"/>
    </w:rPr>
  </w:style>
  <w:style w:type="character" w:customStyle="1" w:styleId="FooterChar">
    <w:name w:val="Footer Char"/>
    <w:link w:val="Footer"/>
    <w:uiPriority w:val="99"/>
    <w:rsid w:val="00EF11AE"/>
    <w:rPr>
      <w:rFonts w:ascii="Arial" w:hAnsi="Arial"/>
      <w:sz w:val="18"/>
      <w:szCs w:val="24"/>
      <w:lang w:eastAsia="en-US"/>
    </w:rPr>
  </w:style>
  <w:style w:type="table" w:styleId="TableGrid">
    <w:name w:val="Table Grid"/>
    <w:basedOn w:val="TableNormal"/>
    <w:uiPriority w:val="59"/>
    <w:rsid w:val="00190B0E"/>
    <w:rPr>
      <w:rFonts w:ascii="Arial" w:eastAsia="Cambria" w:hAnsi="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DocumentMap">
    <w:name w:val="Document Map"/>
    <w:basedOn w:val="Normal"/>
    <w:link w:val="DocumentMapChar"/>
    <w:uiPriority w:val="99"/>
    <w:unhideWhenUsed/>
    <w:rsid w:val="00881C97"/>
    <w:rPr>
      <w:rFonts w:ascii="Lucida Grande" w:hAnsi="Lucida Grande" w:cs="Lucida Grande"/>
    </w:rPr>
  </w:style>
  <w:style w:type="character" w:customStyle="1" w:styleId="DocumentMapChar">
    <w:name w:val="Document Map Char"/>
    <w:link w:val="DocumentMap"/>
    <w:uiPriority w:val="99"/>
    <w:rsid w:val="00881C97"/>
    <w:rPr>
      <w:rFonts w:ascii="Lucida Grande" w:hAnsi="Lucida Grande" w:cs="Lucida Grande"/>
    </w:rPr>
  </w:style>
  <w:style w:type="paragraph" w:styleId="TOCHeading">
    <w:name w:val="TOC Heading"/>
    <w:basedOn w:val="Heading1"/>
    <w:next w:val="TOC1"/>
    <w:uiPriority w:val="39"/>
    <w:qFormat/>
    <w:rsid w:val="00C14F9F"/>
    <w:pPr>
      <w:outlineLvl w:val="9"/>
    </w:pPr>
    <w:rPr>
      <w:bCs w:val="0"/>
    </w:rPr>
  </w:style>
  <w:style w:type="paragraph" w:styleId="TOC1">
    <w:name w:val="toc 1"/>
    <w:basedOn w:val="Normal"/>
    <w:next w:val="Normal"/>
    <w:uiPriority w:val="39"/>
    <w:rsid w:val="00F07FBE"/>
    <w:pPr>
      <w:spacing w:after="120"/>
    </w:pPr>
  </w:style>
  <w:style w:type="character" w:customStyle="1" w:styleId="ItalicText">
    <w:name w:val="Italic Text"/>
    <w:qFormat/>
    <w:rsid w:val="00F63593"/>
    <w:rPr>
      <w:rFonts w:ascii="Arial" w:hAnsi="Arial"/>
      <w:i/>
      <w:sz w:val="20"/>
    </w:rPr>
  </w:style>
  <w:style w:type="paragraph" w:styleId="Header">
    <w:name w:val="header"/>
    <w:basedOn w:val="Normal"/>
    <w:next w:val="Normal"/>
    <w:link w:val="HeaderChar"/>
    <w:rsid w:val="00A121B3"/>
    <w:pPr>
      <w:tabs>
        <w:tab w:val="center" w:pos="4513"/>
        <w:tab w:val="right" w:pos="9026"/>
      </w:tabs>
    </w:pPr>
  </w:style>
  <w:style w:type="character" w:customStyle="1" w:styleId="HeaderChar">
    <w:name w:val="Header Char"/>
    <w:link w:val="Header"/>
    <w:rsid w:val="00A121B3"/>
    <w:rPr>
      <w:sz w:val="24"/>
      <w:szCs w:val="24"/>
      <w:lang w:val="en-US" w:eastAsia="en-US"/>
    </w:rPr>
  </w:style>
  <w:style w:type="paragraph" w:styleId="ListBullet">
    <w:name w:val="List Bullet"/>
    <w:basedOn w:val="Normal"/>
    <w:qFormat/>
    <w:rsid w:val="007E291E"/>
    <w:pPr>
      <w:numPr>
        <w:numId w:val="1"/>
      </w:numPr>
      <w:spacing w:after="120"/>
    </w:pPr>
    <w:rPr>
      <w:lang w:val="en-US"/>
    </w:rPr>
  </w:style>
  <w:style w:type="paragraph" w:styleId="EndnoteText">
    <w:name w:val="endnote text"/>
    <w:basedOn w:val="Normal"/>
    <w:link w:val="EndnoteTextChar"/>
    <w:rsid w:val="00EF11AE"/>
    <w:pPr>
      <w:spacing w:after="40"/>
    </w:pPr>
    <w:rPr>
      <w:sz w:val="16"/>
      <w:szCs w:val="20"/>
    </w:rPr>
  </w:style>
  <w:style w:type="character" w:customStyle="1" w:styleId="EndnoteTextChar">
    <w:name w:val="Endnote Text Char"/>
    <w:link w:val="EndnoteText"/>
    <w:rsid w:val="00EF11AE"/>
    <w:rPr>
      <w:rFonts w:ascii="Arial" w:hAnsi="Arial"/>
      <w:sz w:val="16"/>
      <w:lang w:eastAsia="en-US"/>
    </w:rPr>
  </w:style>
  <w:style w:type="character" w:styleId="EndnoteReference">
    <w:name w:val="endnote reference"/>
    <w:rsid w:val="001F554D"/>
    <w:rPr>
      <w:vertAlign w:val="superscript"/>
    </w:rPr>
  </w:style>
  <w:style w:type="paragraph" w:styleId="FootnoteText">
    <w:name w:val="footnote text"/>
    <w:aliases w:val="Footnote Text Char Char"/>
    <w:basedOn w:val="Normal"/>
    <w:link w:val="FootnoteTextChar"/>
    <w:qFormat/>
    <w:rsid w:val="00EF11AE"/>
    <w:pPr>
      <w:spacing w:after="0" w:line="240" w:lineRule="auto"/>
    </w:pPr>
    <w:rPr>
      <w:sz w:val="16"/>
      <w:szCs w:val="20"/>
    </w:rPr>
  </w:style>
  <w:style w:type="character" w:customStyle="1" w:styleId="FootnoteTextChar">
    <w:name w:val="Footnote Text Char"/>
    <w:aliases w:val="Footnote Text Char Char Char"/>
    <w:link w:val="FootnoteText"/>
    <w:uiPriority w:val="99"/>
    <w:rsid w:val="00EF11AE"/>
    <w:rPr>
      <w:rFonts w:ascii="Arial" w:hAnsi="Arial"/>
      <w:sz w:val="16"/>
      <w:lang w:eastAsia="en-US"/>
    </w:rPr>
  </w:style>
  <w:style w:type="character" w:styleId="FootnoteReference">
    <w:name w:val="footnote reference"/>
    <w:aliases w:val="(NECG) Footnote Reference,(NECG) Footnote Reference1,(NECG) Footnote Reference2,(NECG) Footnote Reference3,(NECG) Footnote Reference4,(NECG) Footnote Reference5,(NECG) Footnote Reference6,(NECG) Footnote Reference7,o,Style 3,Style 12"/>
    <w:rsid w:val="001F554D"/>
    <w:rPr>
      <w:vertAlign w:val="superscript"/>
    </w:rPr>
  </w:style>
  <w:style w:type="paragraph" w:styleId="ListNumber">
    <w:name w:val="List Number"/>
    <w:basedOn w:val="Normal"/>
    <w:qFormat/>
    <w:rsid w:val="004878DB"/>
    <w:pPr>
      <w:numPr>
        <w:numId w:val="3"/>
      </w:numPr>
      <w:spacing w:after="120"/>
    </w:pPr>
  </w:style>
  <w:style w:type="paragraph" w:styleId="ListNumber2">
    <w:name w:val="List Number 2"/>
    <w:basedOn w:val="ListNumber"/>
    <w:rsid w:val="004878DB"/>
    <w:pPr>
      <w:numPr>
        <w:ilvl w:val="1"/>
      </w:numPr>
    </w:pPr>
  </w:style>
  <w:style w:type="paragraph" w:styleId="TableofFigures">
    <w:name w:val="table of figures"/>
    <w:basedOn w:val="Normal"/>
    <w:qFormat/>
    <w:rsid w:val="00493E0A"/>
    <w:pPr>
      <w:spacing w:after="0"/>
    </w:pPr>
    <w:rPr>
      <w:lang w:val="en-US"/>
    </w:rPr>
  </w:style>
  <w:style w:type="numbering" w:customStyle="1" w:styleId="ListBullets">
    <w:name w:val="ListBullets"/>
    <w:uiPriority w:val="99"/>
    <w:rsid w:val="00CA3730"/>
    <w:pPr>
      <w:numPr>
        <w:numId w:val="1"/>
      </w:numPr>
    </w:pPr>
  </w:style>
  <w:style w:type="paragraph" w:styleId="ListBullet2">
    <w:name w:val="List Bullet 2"/>
    <w:basedOn w:val="Normal"/>
    <w:rsid w:val="007E291E"/>
    <w:pPr>
      <w:numPr>
        <w:ilvl w:val="1"/>
        <w:numId w:val="1"/>
      </w:numPr>
      <w:spacing w:after="120"/>
    </w:pPr>
    <w:rPr>
      <w:lang w:val="en-US"/>
    </w:rPr>
  </w:style>
  <w:style w:type="paragraph" w:styleId="ListParagraph">
    <w:name w:val="List Paragraph"/>
    <w:basedOn w:val="Normal"/>
    <w:rsid w:val="004A26E3"/>
    <w:pPr>
      <w:numPr>
        <w:numId w:val="4"/>
      </w:numPr>
      <w:spacing w:after="120"/>
    </w:pPr>
    <w:rPr>
      <w:lang w:val="en-US"/>
    </w:rPr>
  </w:style>
  <w:style w:type="paragraph" w:styleId="ListBullet3">
    <w:name w:val="List Bullet 3"/>
    <w:basedOn w:val="Normal"/>
    <w:rsid w:val="007E291E"/>
    <w:pPr>
      <w:numPr>
        <w:ilvl w:val="2"/>
        <w:numId w:val="1"/>
      </w:numPr>
      <w:spacing w:after="120"/>
    </w:pPr>
  </w:style>
  <w:style w:type="paragraph" w:styleId="ListBullet4">
    <w:name w:val="List Bullet 4"/>
    <w:basedOn w:val="Normal"/>
    <w:rsid w:val="007E291E"/>
    <w:pPr>
      <w:numPr>
        <w:ilvl w:val="3"/>
        <w:numId w:val="1"/>
      </w:numPr>
      <w:spacing w:after="120"/>
      <w:ind w:left="1429"/>
    </w:pPr>
  </w:style>
  <w:style w:type="paragraph" w:styleId="ListBullet5">
    <w:name w:val="List Bullet 5"/>
    <w:basedOn w:val="Normal"/>
    <w:rsid w:val="007E291E"/>
    <w:pPr>
      <w:numPr>
        <w:ilvl w:val="4"/>
        <w:numId w:val="1"/>
      </w:numPr>
      <w:spacing w:after="120"/>
      <w:ind w:left="1786"/>
    </w:pPr>
  </w:style>
  <w:style w:type="paragraph" w:styleId="ListNumber3">
    <w:name w:val="List Number 3"/>
    <w:basedOn w:val="Normal"/>
    <w:rsid w:val="004878DB"/>
    <w:pPr>
      <w:numPr>
        <w:ilvl w:val="2"/>
        <w:numId w:val="3"/>
      </w:numPr>
      <w:spacing w:after="120"/>
    </w:pPr>
  </w:style>
  <w:style w:type="paragraph" w:styleId="ListNumber4">
    <w:name w:val="List Number 4"/>
    <w:basedOn w:val="Normal"/>
    <w:rsid w:val="004878DB"/>
    <w:pPr>
      <w:numPr>
        <w:ilvl w:val="3"/>
        <w:numId w:val="3"/>
      </w:numPr>
      <w:spacing w:after="120"/>
    </w:pPr>
  </w:style>
  <w:style w:type="numbering" w:customStyle="1" w:styleId="ListNumbers">
    <w:name w:val="ListNumbers"/>
    <w:uiPriority w:val="99"/>
    <w:rsid w:val="00D02C4A"/>
    <w:pPr>
      <w:numPr>
        <w:numId w:val="2"/>
      </w:numPr>
    </w:pPr>
  </w:style>
  <w:style w:type="character" w:customStyle="1" w:styleId="Heading4Char">
    <w:name w:val="Heading 4 Char"/>
    <w:link w:val="Heading4"/>
    <w:rsid w:val="00802A52"/>
    <w:rPr>
      <w:rFonts w:ascii="Arial Bold" w:hAnsi="Arial Bold"/>
      <w:bCs/>
      <w:szCs w:val="28"/>
      <w:lang w:val="en-US" w:eastAsia="en-US"/>
    </w:rPr>
  </w:style>
  <w:style w:type="paragraph" w:customStyle="1" w:styleId="Bold">
    <w:name w:val="Bold"/>
    <w:basedOn w:val="Normal"/>
    <w:next w:val="Normal"/>
    <w:link w:val="BoldChar"/>
    <w:qFormat/>
    <w:rsid w:val="008D2DDA"/>
    <w:rPr>
      <w:b/>
    </w:rPr>
  </w:style>
  <w:style w:type="paragraph" w:styleId="TOC2">
    <w:name w:val="toc 2"/>
    <w:basedOn w:val="Normal"/>
    <w:next w:val="Normal"/>
    <w:autoRedefine/>
    <w:uiPriority w:val="39"/>
    <w:rsid w:val="00C14F9F"/>
    <w:pPr>
      <w:tabs>
        <w:tab w:val="right" w:leader="dot" w:pos="9769"/>
      </w:tabs>
      <w:spacing w:after="120"/>
      <w:ind w:left="284"/>
    </w:pPr>
  </w:style>
  <w:style w:type="paragraph" w:styleId="TOC3">
    <w:name w:val="toc 3"/>
    <w:basedOn w:val="Normal"/>
    <w:next w:val="Normal"/>
    <w:autoRedefine/>
    <w:uiPriority w:val="39"/>
    <w:rsid w:val="00C2007C"/>
    <w:pPr>
      <w:tabs>
        <w:tab w:val="right" w:leader="dot" w:pos="9769"/>
      </w:tabs>
      <w:spacing w:after="120"/>
      <w:ind w:left="567"/>
    </w:pPr>
  </w:style>
  <w:style w:type="character" w:styleId="Hyperlink">
    <w:name w:val="Hyperlink"/>
    <w:uiPriority w:val="99"/>
    <w:unhideWhenUsed/>
    <w:rsid w:val="004E1ECE"/>
    <w:rPr>
      <w:color w:val="0000FF"/>
      <w:u w:val="single"/>
    </w:rPr>
  </w:style>
  <w:style w:type="paragraph" w:styleId="TOC4">
    <w:name w:val="toc 4"/>
    <w:basedOn w:val="Normal"/>
    <w:next w:val="Normal"/>
    <w:autoRedefine/>
    <w:uiPriority w:val="39"/>
    <w:rsid w:val="00C2007C"/>
    <w:pPr>
      <w:spacing w:after="120"/>
      <w:ind w:left="851"/>
    </w:pPr>
  </w:style>
  <w:style w:type="character" w:customStyle="1" w:styleId="Heading5Char">
    <w:name w:val="Heading 5 Char"/>
    <w:link w:val="Heading5"/>
    <w:rsid w:val="00802A52"/>
    <w:rPr>
      <w:rFonts w:ascii="Arial" w:hAnsi="Arial"/>
      <w:iCs/>
      <w:szCs w:val="26"/>
      <w:lang w:val="en-US" w:eastAsia="en-US"/>
    </w:rPr>
  </w:style>
  <w:style w:type="character" w:customStyle="1" w:styleId="Heading6Char">
    <w:name w:val="Heading 6 Char"/>
    <w:link w:val="Heading6"/>
    <w:rsid w:val="00C2007C"/>
    <w:rPr>
      <w:rFonts w:ascii="Arial" w:eastAsia="MS Mincho" w:hAnsi="Arial" w:cs="Times New Roman"/>
      <w:bCs/>
      <w:szCs w:val="22"/>
      <w:lang w:eastAsia="en-US"/>
    </w:rPr>
  </w:style>
  <w:style w:type="character" w:customStyle="1" w:styleId="Heading7Char">
    <w:name w:val="Heading 7 Char"/>
    <w:link w:val="Heading7"/>
    <w:rsid w:val="00C2007C"/>
    <w:rPr>
      <w:rFonts w:ascii="Arial" w:eastAsia="MS Mincho" w:hAnsi="Arial" w:cs="Times New Roman"/>
      <w:szCs w:val="24"/>
      <w:lang w:eastAsia="en-US"/>
    </w:rPr>
  </w:style>
  <w:style w:type="paragraph" w:styleId="TOC5">
    <w:name w:val="toc 5"/>
    <w:basedOn w:val="Normal"/>
    <w:next w:val="Normal"/>
    <w:autoRedefine/>
    <w:uiPriority w:val="39"/>
    <w:rsid w:val="00B152AF"/>
    <w:pPr>
      <w:spacing w:after="120"/>
      <w:ind w:left="1134"/>
    </w:pPr>
  </w:style>
  <w:style w:type="character" w:customStyle="1" w:styleId="BoldChar">
    <w:name w:val="Bold Char"/>
    <w:link w:val="Bold"/>
    <w:rsid w:val="00190B0E"/>
    <w:rPr>
      <w:rFonts w:ascii="Arial" w:hAnsi="Arial"/>
      <w:b/>
      <w:szCs w:val="24"/>
      <w:lang w:eastAsia="en-US"/>
    </w:rPr>
  </w:style>
  <w:style w:type="paragraph" w:styleId="Caption">
    <w:name w:val="caption"/>
    <w:basedOn w:val="Normal"/>
    <w:next w:val="Normal"/>
    <w:qFormat/>
    <w:rsid w:val="0091365A"/>
    <w:pPr>
      <w:spacing w:before="240"/>
    </w:pPr>
    <w:rPr>
      <w:rFonts w:ascii="Arial Bold" w:hAnsi="Arial Bold"/>
      <w:b/>
      <w:bCs/>
      <w:szCs w:val="18"/>
    </w:rPr>
  </w:style>
  <w:style w:type="paragraph" w:styleId="TOAHeading">
    <w:name w:val="toa heading"/>
    <w:basedOn w:val="Normal"/>
    <w:next w:val="Normal"/>
    <w:rsid w:val="00380F44"/>
    <w:pPr>
      <w:spacing w:before="120"/>
    </w:pPr>
    <w:rPr>
      <w:rFonts w:ascii="Calibri" w:eastAsia="MS Gothic" w:hAnsi="Calibri"/>
      <w:b/>
      <w:bCs/>
      <w:sz w:val="24"/>
    </w:rPr>
  </w:style>
  <w:style w:type="character" w:styleId="Strong">
    <w:name w:val="Strong"/>
    <w:rsid w:val="00380F44"/>
    <w:rPr>
      <w:b/>
      <w:bCs/>
    </w:rPr>
  </w:style>
  <w:style w:type="paragraph" w:customStyle="1" w:styleId="DocumentTitle">
    <w:name w:val="Document Title"/>
    <w:basedOn w:val="Normal"/>
    <w:next w:val="Subtitle"/>
    <w:qFormat/>
    <w:rsid w:val="00C14F9F"/>
    <w:pPr>
      <w:spacing w:before="600" w:after="480"/>
    </w:pPr>
    <w:rPr>
      <w:noProof/>
      <w:sz w:val="52"/>
    </w:rPr>
  </w:style>
  <w:style w:type="paragraph" w:styleId="Title">
    <w:name w:val="Title"/>
    <w:basedOn w:val="Normal"/>
    <w:next w:val="Normal"/>
    <w:link w:val="TitleChar"/>
    <w:rsid w:val="00380F44"/>
    <w:pPr>
      <w:pBdr>
        <w:bottom w:val="single" w:sz="8" w:space="4" w:color="4F81BD"/>
      </w:pBdr>
      <w:spacing w:after="300" w:line="240" w:lineRule="auto"/>
      <w:contextualSpacing/>
    </w:pPr>
    <w:rPr>
      <w:rFonts w:ascii="Calibri" w:eastAsia="MS Gothic" w:hAnsi="Calibri"/>
      <w:color w:val="17365D"/>
      <w:spacing w:val="5"/>
      <w:kern w:val="28"/>
      <w:sz w:val="52"/>
      <w:szCs w:val="52"/>
    </w:rPr>
  </w:style>
  <w:style w:type="paragraph" w:styleId="Subtitle">
    <w:name w:val="Subtitle"/>
    <w:basedOn w:val="Normal"/>
    <w:next w:val="Normal"/>
    <w:link w:val="SubtitleChar"/>
    <w:rsid w:val="000F3535"/>
    <w:pPr>
      <w:spacing w:after="360"/>
    </w:pPr>
    <w:rPr>
      <w:rFonts w:eastAsia="MS Gothic"/>
      <w:sz w:val="44"/>
    </w:rPr>
  </w:style>
  <w:style w:type="character" w:customStyle="1" w:styleId="SubtitleChar">
    <w:name w:val="Subtitle Char"/>
    <w:link w:val="Subtitle"/>
    <w:rsid w:val="000F3535"/>
    <w:rPr>
      <w:rFonts w:ascii="Arial" w:eastAsia="MS Gothic" w:hAnsi="Arial" w:cs="Times New Roman"/>
      <w:sz w:val="44"/>
      <w:szCs w:val="24"/>
      <w:lang w:eastAsia="en-US"/>
    </w:rPr>
  </w:style>
  <w:style w:type="paragraph" w:customStyle="1" w:styleId="Subtitle2">
    <w:name w:val="Subtitle2"/>
    <w:basedOn w:val="Subtitle"/>
    <w:next w:val="Heading1"/>
    <w:qFormat/>
    <w:rsid w:val="00380F44"/>
    <w:rPr>
      <w:sz w:val="36"/>
    </w:rPr>
  </w:style>
  <w:style w:type="character" w:customStyle="1" w:styleId="TitleChar">
    <w:name w:val="Title Char"/>
    <w:link w:val="Title"/>
    <w:rsid w:val="00380F44"/>
    <w:rPr>
      <w:rFonts w:ascii="Calibri" w:eastAsia="MS Gothic" w:hAnsi="Calibri" w:cs="Times New Roman"/>
      <w:color w:val="17365D"/>
      <w:spacing w:val="5"/>
      <w:kern w:val="28"/>
      <w:sz w:val="52"/>
      <w:szCs w:val="52"/>
      <w:lang w:eastAsia="en-US"/>
    </w:rPr>
  </w:style>
  <w:style w:type="paragraph" w:customStyle="1" w:styleId="Nospace">
    <w:name w:val="No space"/>
    <w:basedOn w:val="Normal"/>
    <w:qFormat/>
    <w:rsid w:val="00E86DCD"/>
    <w:pPr>
      <w:spacing w:after="0"/>
    </w:pPr>
    <w:rPr>
      <w:noProof/>
      <w:lang w:eastAsia="en-AU"/>
    </w:rPr>
  </w:style>
  <w:style w:type="paragraph" w:customStyle="1" w:styleId="SmallHeading">
    <w:name w:val="Small Heading"/>
    <w:next w:val="BodyText"/>
    <w:qFormat/>
    <w:rsid w:val="00546FCA"/>
    <w:pPr>
      <w:jc w:val="both"/>
    </w:pPr>
    <w:rPr>
      <w:rFonts w:ascii="Calibri" w:eastAsia="Times New Roman" w:hAnsi="Calibri"/>
      <w:b/>
      <w:sz w:val="26"/>
      <w:szCs w:val="24"/>
      <w:lang w:eastAsia="en-US"/>
    </w:rPr>
  </w:style>
  <w:style w:type="paragraph" w:styleId="BodyText">
    <w:name w:val="Body Text"/>
    <w:basedOn w:val="Normal"/>
    <w:link w:val="BodyTextChar"/>
    <w:unhideWhenUsed/>
    <w:rsid w:val="00546FCA"/>
    <w:pPr>
      <w:spacing w:after="120"/>
    </w:pPr>
  </w:style>
  <w:style w:type="character" w:customStyle="1" w:styleId="BodyTextChar">
    <w:name w:val="Body Text Char"/>
    <w:basedOn w:val="DefaultParagraphFont"/>
    <w:link w:val="BodyText"/>
    <w:rsid w:val="00546FCA"/>
    <w:rPr>
      <w:rFonts w:ascii="Arial" w:hAnsi="Arial"/>
      <w:szCs w:val="24"/>
      <w:lang w:eastAsia="en-US"/>
    </w:rPr>
  </w:style>
  <w:style w:type="paragraph" w:customStyle="1" w:styleId="reference-url">
    <w:name w:val="reference-url"/>
    <w:basedOn w:val="Normal"/>
    <w:qFormat/>
    <w:rsid w:val="00540725"/>
    <w:pPr>
      <w:spacing w:after="0" w:line="240" w:lineRule="auto"/>
      <w:ind w:left="1134"/>
    </w:pPr>
    <w:rPr>
      <w:rFonts w:eastAsia="Calibri" w:cs="Arial"/>
      <w:sz w:val="18"/>
      <w:szCs w:val="18"/>
    </w:rPr>
  </w:style>
  <w:style w:type="character" w:styleId="PageNumber">
    <w:name w:val="page number"/>
    <w:basedOn w:val="DefaultParagraphFont"/>
    <w:rsid w:val="00540725"/>
    <w:rPr>
      <w:rFonts w:ascii="Trebuchet MS" w:hAnsi="Trebuchet MS"/>
      <w:sz w:val="16"/>
    </w:rPr>
  </w:style>
  <w:style w:type="paragraph" w:styleId="TOC6">
    <w:name w:val="toc 6"/>
    <w:basedOn w:val="Normal"/>
    <w:next w:val="Normal"/>
    <w:autoRedefine/>
    <w:uiPriority w:val="39"/>
    <w:unhideWhenUsed/>
    <w:rsid w:val="00CE1AD4"/>
    <w:pPr>
      <w:spacing w:after="100" w:line="259" w:lineRule="auto"/>
      <w:ind w:left="1100"/>
    </w:pPr>
    <w:rPr>
      <w:rFonts w:asciiTheme="minorHAnsi" w:eastAsiaTheme="minorEastAsia" w:hAnsiTheme="minorHAnsi" w:cstheme="minorBidi"/>
      <w:kern w:val="2"/>
      <w:sz w:val="22"/>
      <w:szCs w:val="22"/>
      <w:lang w:eastAsia="en-AU"/>
      <w14:ligatures w14:val="standardContextual"/>
    </w:rPr>
  </w:style>
  <w:style w:type="paragraph" w:styleId="TOC7">
    <w:name w:val="toc 7"/>
    <w:basedOn w:val="Normal"/>
    <w:next w:val="Normal"/>
    <w:autoRedefine/>
    <w:uiPriority w:val="39"/>
    <w:unhideWhenUsed/>
    <w:rsid w:val="00CE1AD4"/>
    <w:pPr>
      <w:spacing w:after="100" w:line="259" w:lineRule="auto"/>
      <w:ind w:left="1320"/>
    </w:pPr>
    <w:rPr>
      <w:rFonts w:asciiTheme="minorHAnsi" w:eastAsiaTheme="minorEastAsia" w:hAnsiTheme="minorHAnsi" w:cstheme="minorBidi"/>
      <w:kern w:val="2"/>
      <w:sz w:val="22"/>
      <w:szCs w:val="22"/>
      <w:lang w:eastAsia="en-AU"/>
      <w14:ligatures w14:val="standardContextual"/>
    </w:rPr>
  </w:style>
  <w:style w:type="paragraph" w:styleId="TOC8">
    <w:name w:val="toc 8"/>
    <w:basedOn w:val="Normal"/>
    <w:next w:val="Normal"/>
    <w:autoRedefine/>
    <w:uiPriority w:val="39"/>
    <w:unhideWhenUsed/>
    <w:rsid w:val="00CE1AD4"/>
    <w:pPr>
      <w:spacing w:after="100" w:line="259" w:lineRule="auto"/>
      <w:ind w:left="1540"/>
    </w:pPr>
    <w:rPr>
      <w:rFonts w:asciiTheme="minorHAnsi" w:eastAsiaTheme="minorEastAsia" w:hAnsiTheme="minorHAnsi" w:cstheme="minorBidi"/>
      <w:kern w:val="2"/>
      <w:sz w:val="22"/>
      <w:szCs w:val="22"/>
      <w:lang w:eastAsia="en-AU"/>
      <w14:ligatures w14:val="standardContextual"/>
    </w:rPr>
  </w:style>
  <w:style w:type="paragraph" w:styleId="TOC9">
    <w:name w:val="toc 9"/>
    <w:basedOn w:val="Normal"/>
    <w:next w:val="Normal"/>
    <w:autoRedefine/>
    <w:uiPriority w:val="39"/>
    <w:unhideWhenUsed/>
    <w:rsid w:val="00CE1AD4"/>
    <w:pPr>
      <w:spacing w:after="100" w:line="259" w:lineRule="auto"/>
      <w:ind w:left="1760"/>
    </w:pPr>
    <w:rPr>
      <w:rFonts w:asciiTheme="minorHAnsi" w:eastAsiaTheme="minorEastAsia" w:hAnsiTheme="minorHAnsi" w:cstheme="minorBidi"/>
      <w:kern w:val="2"/>
      <w:sz w:val="22"/>
      <w:szCs w:val="22"/>
      <w:lang w:eastAsia="en-AU"/>
      <w14:ligatures w14:val="standardContextual"/>
    </w:rPr>
  </w:style>
  <w:style w:type="character" w:styleId="UnresolvedMention">
    <w:name w:val="Unresolved Mention"/>
    <w:basedOn w:val="DefaultParagraphFont"/>
    <w:uiPriority w:val="99"/>
    <w:semiHidden/>
    <w:unhideWhenUsed/>
    <w:rsid w:val="00CE1AD4"/>
    <w:rPr>
      <w:color w:val="605E5C"/>
      <w:shd w:val="clear" w:color="auto" w:fill="E1DFDD"/>
    </w:rPr>
  </w:style>
  <w:style w:type="table" w:customStyle="1" w:styleId="GridTable2-Accent52">
    <w:name w:val="Grid Table 2 - Accent 52"/>
    <w:basedOn w:val="TableNormal"/>
    <w:uiPriority w:val="47"/>
    <w:rsid w:val="00617DC4"/>
    <w:rPr>
      <w:rFonts w:ascii="Times New Roman" w:eastAsia="Times New Roman" w:hAnsi="Times New Roman"/>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styleId="FollowedHyperlink">
    <w:name w:val="FollowedHyperlink"/>
    <w:basedOn w:val="DefaultParagraphFont"/>
    <w:semiHidden/>
    <w:unhideWhenUsed/>
    <w:rsid w:val="008B1FF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51523">
      <w:bodyDiv w:val="1"/>
      <w:marLeft w:val="0"/>
      <w:marRight w:val="0"/>
      <w:marTop w:val="0"/>
      <w:marBottom w:val="0"/>
      <w:divBdr>
        <w:top w:val="none" w:sz="0" w:space="0" w:color="auto"/>
        <w:left w:val="none" w:sz="0" w:space="0" w:color="auto"/>
        <w:bottom w:val="none" w:sz="0" w:space="0" w:color="auto"/>
        <w:right w:val="none" w:sz="0" w:space="0" w:color="auto"/>
      </w:divBdr>
    </w:div>
    <w:div w:id="28730144">
      <w:bodyDiv w:val="1"/>
      <w:marLeft w:val="0"/>
      <w:marRight w:val="0"/>
      <w:marTop w:val="0"/>
      <w:marBottom w:val="0"/>
      <w:divBdr>
        <w:top w:val="none" w:sz="0" w:space="0" w:color="auto"/>
        <w:left w:val="none" w:sz="0" w:space="0" w:color="auto"/>
        <w:bottom w:val="none" w:sz="0" w:space="0" w:color="auto"/>
        <w:right w:val="none" w:sz="0" w:space="0" w:color="auto"/>
      </w:divBdr>
    </w:div>
    <w:div w:id="64256825">
      <w:bodyDiv w:val="1"/>
      <w:marLeft w:val="0"/>
      <w:marRight w:val="0"/>
      <w:marTop w:val="0"/>
      <w:marBottom w:val="0"/>
      <w:divBdr>
        <w:top w:val="none" w:sz="0" w:space="0" w:color="auto"/>
        <w:left w:val="none" w:sz="0" w:space="0" w:color="auto"/>
        <w:bottom w:val="none" w:sz="0" w:space="0" w:color="auto"/>
        <w:right w:val="none" w:sz="0" w:space="0" w:color="auto"/>
      </w:divBdr>
    </w:div>
    <w:div w:id="79765670">
      <w:bodyDiv w:val="1"/>
      <w:marLeft w:val="0"/>
      <w:marRight w:val="0"/>
      <w:marTop w:val="0"/>
      <w:marBottom w:val="0"/>
      <w:divBdr>
        <w:top w:val="none" w:sz="0" w:space="0" w:color="auto"/>
        <w:left w:val="none" w:sz="0" w:space="0" w:color="auto"/>
        <w:bottom w:val="none" w:sz="0" w:space="0" w:color="auto"/>
        <w:right w:val="none" w:sz="0" w:space="0" w:color="auto"/>
      </w:divBdr>
    </w:div>
    <w:div w:id="105468772">
      <w:bodyDiv w:val="1"/>
      <w:marLeft w:val="0"/>
      <w:marRight w:val="0"/>
      <w:marTop w:val="0"/>
      <w:marBottom w:val="0"/>
      <w:divBdr>
        <w:top w:val="none" w:sz="0" w:space="0" w:color="auto"/>
        <w:left w:val="none" w:sz="0" w:space="0" w:color="auto"/>
        <w:bottom w:val="none" w:sz="0" w:space="0" w:color="auto"/>
        <w:right w:val="none" w:sz="0" w:space="0" w:color="auto"/>
      </w:divBdr>
    </w:div>
    <w:div w:id="107436607">
      <w:bodyDiv w:val="1"/>
      <w:marLeft w:val="0"/>
      <w:marRight w:val="0"/>
      <w:marTop w:val="0"/>
      <w:marBottom w:val="0"/>
      <w:divBdr>
        <w:top w:val="none" w:sz="0" w:space="0" w:color="auto"/>
        <w:left w:val="none" w:sz="0" w:space="0" w:color="auto"/>
        <w:bottom w:val="none" w:sz="0" w:space="0" w:color="auto"/>
        <w:right w:val="none" w:sz="0" w:space="0" w:color="auto"/>
      </w:divBdr>
    </w:div>
    <w:div w:id="135492265">
      <w:bodyDiv w:val="1"/>
      <w:marLeft w:val="0"/>
      <w:marRight w:val="0"/>
      <w:marTop w:val="0"/>
      <w:marBottom w:val="0"/>
      <w:divBdr>
        <w:top w:val="none" w:sz="0" w:space="0" w:color="auto"/>
        <w:left w:val="none" w:sz="0" w:space="0" w:color="auto"/>
        <w:bottom w:val="none" w:sz="0" w:space="0" w:color="auto"/>
        <w:right w:val="none" w:sz="0" w:space="0" w:color="auto"/>
      </w:divBdr>
    </w:div>
    <w:div w:id="137187759">
      <w:bodyDiv w:val="1"/>
      <w:marLeft w:val="0"/>
      <w:marRight w:val="0"/>
      <w:marTop w:val="0"/>
      <w:marBottom w:val="0"/>
      <w:divBdr>
        <w:top w:val="none" w:sz="0" w:space="0" w:color="auto"/>
        <w:left w:val="none" w:sz="0" w:space="0" w:color="auto"/>
        <w:bottom w:val="none" w:sz="0" w:space="0" w:color="auto"/>
        <w:right w:val="none" w:sz="0" w:space="0" w:color="auto"/>
      </w:divBdr>
    </w:div>
    <w:div w:id="142738864">
      <w:bodyDiv w:val="1"/>
      <w:marLeft w:val="0"/>
      <w:marRight w:val="0"/>
      <w:marTop w:val="0"/>
      <w:marBottom w:val="0"/>
      <w:divBdr>
        <w:top w:val="none" w:sz="0" w:space="0" w:color="auto"/>
        <w:left w:val="none" w:sz="0" w:space="0" w:color="auto"/>
        <w:bottom w:val="none" w:sz="0" w:space="0" w:color="auto"/>
        <w:right w:val="none" w:sz="0" w:space="0" w:color="auto"/>
      </w:divBdr>
    </w:div>
    <w:div w:id="155000800">
      <w:bodyDiv w:val="1"/>
      <w:marLeft w:val="0"/>
      <w:marRight w:val="0"/>
      <w:marTop w:val="0"/>
      <w:marBottom w:val="0"/>
      <w:divBdr>
        <w:top w:val="none" w:sz="0" w:space="0" w:color="auto"/>
        <w:left w:val="none" w:sz="0" w:space="0" w:color="auto"/>
        <w:bottom w:val="none" w:sz="0" w:space="0" w:color="auto"/>
        <w:right w:val="none" w:sz="0" w:space="0" w:color="auto"/>
      </w:divBdr>
    </w:div>
    <w:div w:id="188227370">
      <w:bodyDiv w:val="1"/>
      <w:marLeft w:val="0"/>
      <w:marRight w:val="0"/>
      <w:marTop w:val="0"/>
      <w:marBottom w:val="0"/>
      <w:divBdr>
        <w:top w:val="none" w:sz="0" w:space="0" w:color="auto"/>
        <w:left w:val="none" w:sz="0" w:space="0" w:color="auto"/>
        <w:bottom w:val="none" w:sz="0" w:space="0" w:color="auto"/>
        <w:right w:val="none" w:sz="0" w:space="0" w:color="auto"/>
      </w:divBdr>
    </w:div>
    <w:div w:id="204567536">
      <w:bodyDiv w:val="1"/>
      <w:marLeft w:val="0"/>
      <w:marRight w:val="0"/>
      <w:marTop w:val="0"/>
      <w:marBottom w:val="0"/>
      <w:divBdr>
        <w:top w:val="none" w:sz="0" w:space="0" w:color="auto"/>
        <w:left w:val="none" w:sz="0" w:space="0" w:color="auto"/>
        <w:bottom w:val="none" w:sz="0" w:space="0" w:color="auto"/>
        <w:right w:val="none" w:sz="0" w:space="0" w:color="auto"/>
      </w:divBdr>
    </w:div>
    <w:div w:id="206573452">
      <w:bodyDiv w:val="1"/>
      <w:marLeft w:val="0"/>
      <w:marRight w:val="0"/>
      <w:marTop w:val="0"/>
      <w:marBottom w:val="0"/>
      <w:divBdr>
        <w:top w:val="none" w:sz="0" w:space="0" w:color="auto"/>
        <w:left w:val="none" w:sz="0" w:space="0" w:color="auto"/>
        <w:bottom w:val="none" w:sz="0" w:space="0" w:color="auto"/>
        <w:right w:val="none" w:sz="0" w:space="0" w:color="auto"/>
      </w:divBdr>
    </w:div>
    <w:div w:id="214121619">
      <w:bodyDiv w:val="1"/>
      <w:marLeft w:val="0"/>
      <w:marRight w:val="0"/>
      <w:marTop w:val="0"/>
      <w:marBottom w:val="0"/>
      <w:divBdr>
        <w:top w:val="none" w:sz="0" w:space="0" w:color="auto"/>
        <w:left w:val="none" w:sz="0" w:space="0" w:color="auto"/>
        <w:bottom w:val="none" w:sz="0" w:space="0" w:color="auto"/>
        <w:right w:val="none" w:sz="0" w:space="0" w:color="auto"/>
      </w:divBdr>
    </w:div>
    <w:div w:id="275908370">
      <w:bodyDiv w:val="1"/>
      <w:marLeft w:val="0"/>
      <w:marRight w:val="0"/>
      <w:marTop w:val="0"/>
      <w:marBottom w:val="0"/>
      <w:divBdr>
        <w:top w:val="none" w:sz="0" w:space="0" w:color="auto"/>
        <w:left w:val="none" w:sz="0" w:space="0" w:color="auto"/>
        <w:bottom w:val="none" w:sz="0" w:space="0" w:color="auto"/>
        <w:right w:val="none" w:sz="0" w:space="0" w:color="auto"/>
      </w:divBdr>
    </w:div>
    <w:div w:id="277493318">
      <w:bodyDiv w:val="1"/>
      <w:marLeft w:val="0"/>
      <w:marRight w:val="0"/>
      <w:marTop w:val="0"/>
      <w:marBottom w:val="0"/>
      <w:divBdr>
        <w:top w:val="none" w:sz="0" w:space="0" w:color="auto"/>
        <w:left w:val="none" w:sz="0" w:space="0" w:color="auto"/>
        <w:bottom w:val="none" w:sz="0" w:space="0" w:color="auto"/>
        <w:right w:val="none" w:sz="0" w:space="0" w:color="auto"/>
      </w:divBdr>
    </w:div>
    <w:div w:id="281813934">
      <w:bodyDiv w:val="1"/>
      <w:marLeft w:val="0"/>
      <w:marRight w:val="0"/>
      <w:marTop w:val="0"/>
      <w:marBottom w:val="0"/>
      <w:divBdr>
        <w:top w:val="none" w:sz="0" w:space="0" w:color="auto"/>
        <w:left w:val="none" w:sz="0" w:space="0" w:color="auto"/>
        <w:bottom w:val="none" w:sz="0" w:space="0" w:color="auto"/>
        <w:right w:val="none" w:sz="0" w:space="0" w:color="auto"/>
      </w:divBdr>
    </w:div>
    <w:div w:id="291062886">
      <w:bodyDiv w:val="1"/>
      <w:marLeft w:val="0"/>
      <w:marRight w:val="0"/>
      <w:marTop w:val="0"/>
      <w:marBottom w:val="0"/>
      <w:divBdr>
        <w:top w:val="none" w:sz="0" w:space="0" w:color="auto"/>
        <w:left w:val="none" w:sz="0" w:space="0" w:color="auto"/>
        <w:bottom w:val="none" w:sz="0" w:space="0" w:color="auto"/>
        <w:right w:val="none" w:sz="0" w:space="0" w:color="auto"/>
      </w:divBdr>
    </w:div>
    <w:div w:id="320039424">
      <w:bodyDiv w:val="1"/>
      <w:marLeft w:val="0"/>
      <w:marRight w:val="0"/>
      <w:marTop w:val="0"/>
      <w:marBottom w:val="0"/>
      <w:divBdr>
        <w:top w:val="none" w:sz="0" w:space="0" w:color="auto"/>
        <w:left w:val="none" w:sz="0" w:space="0" w:color="auto"/>
        <w:bottom w:val="none" w:sz="0" w:space="0" w:color="auto"/>
        <w:right w:val="none" w:sz="0" w:space="0" w:color="auto"/>
      </w:divBdr>
    </w:div>
    <w:div w:id="322006794">
      <w:bodyDiv w:val="1"/>
      <w:marLeft w:val="0"/>
      <w:marRight w:val="0"/>
      <w:marTop w:val="0"/>
      <w:marBottom w:val="0"/>
      <w:divBdr>
        <w:top w:val="none" w:sz="0" w:space="0" w:color="auto"/>
        <w:left w:val="none" w:sz="0" w:space="0" w:color="auto"/>
        <w:bottom w:val="none" w:sz="0" w:space="0" w:color="auto"/>
        <w:right w:val="none" w:sz="0" w:space="0" w:color="auto"/>
      </w:divBdr>
    </w:div>
    <w:div w:id="334307426">
      <w:bodyDiv w:val="1"/>
      <w:marLeft w:val="0"/>
      <w:marRight w:val="0"/>
      <w:marTop w:val="0"/>
      <w:marBottom w:val="0"/>
      <w:divBdr>
        <w:top w:val="none" w:sz="0" w:space="0" w:color="auto"/>
        <w:left w:val="none" w:sz="0" w:space="0" w:color="auto"/>
        <w:bottom w:val="none" w:sz="0" w:space="0" w:color="auto"/>
        <w:right w:val="none" w:sz="0" w:space="0" w:color="auto"/>
      </w:divBdr>
    </w:div>
    <w:div w:id="349377714">
      <w:bodyDiv w:val="1"/>
      <w:marLeft w:val="0"/>
      <w:marRight w:val="0"/>
      <w:marTop w:val="0"/>
      <w:marBottom w:val="0"/>
      <w:divBdr>
        <w:top w:val="none" w:sz="0" w:space="0" w:color="auto"/>
        <w:left w:val="none" w:sz="0" w:space="0" w:color="auto"/>
        <w:bottom w:val="none" w:sz="0" w:space="0" w:color="auto"/>
        <w:right w:val="none" w:sz="0" w:space="0" w:color="auto"/>
      </w:divBdr>
    </w:div>
    <w:div w:id="349986960">
      <w:bodyDiv w:val="1"/>
      <w:marLeft w:val="0"/>
      <w:marRight w:val="0"/>
      <w:marTop w:val="0"/>
      <w:marBottom w:val="0"/>
      <w:divBdr>
        <w:top w:val="none" w:sz="0" w:space="0" w:color="auto"/>
        <w:left w:val="none" w:sz="0" w:space="0" w:color="auto"/>
        <w:bottom w:val="none" w:sz="0" w:space="0" w:color="auto"/>
        <w:right w:val="none" w:sz="0" w:space="0" w:color="auto"/>
      </w:divBdr>
    </w:div>
    <w:div w:id="362097870">
      <w:bodyDiv w:val="1"/>
      <w:marLeft w:val="0"/>
      <w:marRight w:val="0"/>
      <w:marTop w:val="0"/>
      <w:marBottom w:val="0"/>
      <w:divBdr>
        <w:top w:val="none" w:sz="0" w:space="0" w:color="auto"/>
        <w:left w:val="none" w:sz="0" w:space="0" w:color="auto"/>
        <w:bottom w:val="none" w:sz="0" w:space="0" w:color="auto"/>
        <w:right w:val="none" w:sz="0" w:space="0" w:color="auto"/>
      </w:divBdr>
    </w:div>
    <w:div w:id="386612184">
      <w:bodyDiv w:val="1"/>
      <w:marLeft w:val="0"/>
      <w:marRight w:val="0"/>
      <w:marTop w:val="0"/>
      <w:marBottom w:val="0"/>
      <w:divBdr>
        <w:top w:val="none" w:sz="0" w:space="0" w:color="auto"/>
        <w:left w:val="none" w:sz="0" w:space="0" w:color="auto"/>
        <w:bottom w:val="none" w:sz="0" w:space="0" w:color="auto"/>
        <w:right w:val="none" w:sz="0" w:space="0" w:color="auto"/>
      </w:divBdr>
    </w:div>
    <w:div w:id="397097104">
      <w:bodyDiv w:val="1"/>
      <w:marLeft w:val="0"/>
      <w:marRight w:val="0"/>
      <w:marTop w:val="0"/>
      <w:marBottom w:val="0"/>
      <w:divBdr>
        <w:top w:val="none" w:sz="0" w:space="0" w:color="auto"/>
        <w:left w:val="none" w:sz="0" w:space="0" w:color="auto"/>
        <w:bottom w:val="none" w:sz="0" w:space="0" w:color="auto"/>
        <w:right w:val="none" w:sz="0" w:space="0" w:color="auto"/>
      </w:divBdr>
    </w:div>
    <w:div w:id="423572929">
      <w:bodyDiv w:val="1"/>
      <w:marLeft w:val="0"/>
      <w:marRight w:val="0"/>
      <w:marTop w:val="0"/>
      <w:marBottom w:val="0"/>
      <w:divBdr>
        <w:top w:val="none" w:sz="0" w:space="0" w:color="auto"/>
        <w:left w:val="none" w:sz="0" w:space="0" w:color="auto"/>
        <w:bottom w:val="none" w:sz="0" w:space="0" w:color="auto"/>
        <w:right w:val="none" w:sz="0" w:space="0" w:color="auto"/>
      </w:divBdr>
    </w:div>
    <w:div w:id="431320290">
      <w:bodyDiv w:val="1"/>
      <w:marLeft w:val="0"/>
      <w:marRight w:val="0"/>
      <w:marTop w:val="0"/>
      <w:marBottom w:val="0"/>
      <w:divBdr>
        <w:top w:val="none" w:sz="0" w:space="0" w:color="auto"/>
        <w:left w:val="none" w:sz="0" w:space="0" w:color="auto"/>
        <w:bottom w:val="none" w:sz="0" w:space="0" w:color="auto"/>
        <w:right w:val="none" w:sz="0" w:space="0" w:color="auto"/>
      </w:divBdr>
    </w:div>
    <w:div w:id="458886411">
      <w:bodyDiv w:val="1"/>
      <w:marLeft w:val="0"/>
      <w:marRight w:val="0"/>
      <w:marTop w:val="0"/>
      <w:marBottom w:val="0"/>
      <w:divBdr>
        <w:top w:val="none" w:sz="0" w:space="0" w:color="auto"/>
        <w:left w:val="none" w:sz="0" w:space="0" w:color="auto"/>
        <w:bottom w:val="none" w:sz="0" w:space="0" w:color="auto"/>
        <w:right w:val="none" w:sz="0" w:space="0" w:color="auto"/>
      </w:divBdr>
    </w:div>
    <w:div w:id="487720255">
      <w:bodyDiv w:val="1"/>
      <w:marLeft w:val="0"/>
      <w:marRight w:val="0"/>
      <w:marTop w:val="0"/>
      <w:marBottom w:val="0"/>
      <w:divBdr>
        <w:top w:val="none" w:sz="0" w:space="0" w:color="auto"/>
        <w:left w:val="none" w:sz="0" w:space="0" w:color="auto"/>
        <w:bottom w:val="none" w:sz="0" w:space="0" w:color="auto"/>
        <w:right w:val="none" w:sz="0" w:space="0" w:color="auto"/>
      </w:divBdr>
    </w:div>
    <w:div w:id="502084186">
      <w:bodyDiv w:val="1"/>
      <w:marLeft w:val="0"/>
      <w:marRight w:val="0"/>
      <w:marTop w:val="0"/>
      <w:marBottom w:val="0"/>
      <w:divBdr>
        <w:top w:val="none" w:sz="0" w:space="0" w:color="auto"/>
        <w:left w:val="none" w:sz="0" w:space="0" w:color="auto"/>
        <w:bottom w:val="none" w:sz="0" w:space="0" w:color="auto"/>
        <w:right w:val="none" w:sz="0" w:space="0" w:color="auto"/>
      </w:divBdr>
    </w:div>
    <w:div w:id="515778206">
      <w:bodyDiv w:val="1"/>
      <w:marLeft w:val="0"/>
      <w:marRight w:val="0"/>
      <w:marTop w:val="0"/>
      <w:marBottom w:val="0"/>
      <w:divBdr>
        <w:top w:val="none" w:sz="0" w:space="0" w:color="auto"/>
        <w:left w:val="none" w:sz="0" w:space="0" w:color="auto"/>
        <w:bottom w:val="none" w:sz="0" w:space="0" w:color="auto"/>
        <w:right w:val="none" w:sz="0" w:space="0" w:color="auto"/>
      </w:divBdr>
    </w:div>
    <w:div w:id="517424475">
      <w:bodyDiv w:val="1"/>
      <w:marLeft w:val="0"/>
      <w:marRight w:val="0"/>
      <w:marTop w:val="0"/>
      <w:marBottom w:val="0"/>
      <w:divBdr>
        <w:top w:val="none" w:sz="0" w:space="0" w:color="auto"/>
        <w:left w:val="none" w:sz="0" w:space="0" w:color="auto"/>
        <w:bottom w:val="none" w:sz="0" w:space="0" w:color="auto"/>
        <w:right w:val="none" w:sz="0" w:space="0" w:color="auto"/>
      </w:divBdr>
    </w:div>
    <w:div w:id="534003874">
      <w:bodyDiv w:val="1"/>
      <w:marLeft w:val="0"/>
      <w:marRight w:val="0"/>
      <w:marTop w:val="0"/>
      <w:marBottom w:val="0"/>
      <w:divBdr>
        <w:top w:val="none" w:sz="0" w:space="0" w:color="auto"/>
        <w:left w:val="none" w:sz="0" w:space="0" w:color="auto"/>
        <w:bottom w:val="none" w:sz="0" w:space="0" w:color="auto"/>
        <w:right w:val="none" w:sz="0" w:space="0" w:color="auto"/>
      </w:divBdr>
    </w:div>
    <w:div w:id="554782630">
      <w:bodyDiv w:val="1"/>
      <w:marLeft w:val="0"/>
      <w:marRight w:val="0"/>
      <w:marTop w:val="0"/>
      <w:marBottom w:val="0"/>
      <w:divBdr>
        <w:top w:val="none" w:sz="0" w:space="0" w:color="auto"/>
        <w:left w:val="none" w:sz="0" w:space="0" w:color="auto"/>
        <w:bottom w:val="none" w:sz="0" w:space="0" w:color="auto"/>
        <w:right w:val="none" w:sz="0" w:space="0" w:color="auto"/>
      </w:divBdr>
    </w:div>
    <w:div w:id="555510765">
      <w:bodyDiv w:val="1"/>
      <w:marLeft w:val="0"/>
      <w:marRight w:val="0"/>
      <w:marTop w:val="0"/>
      <w:marBottom w:val="0"/>
      <w:divBdr>
        <w:top w:val="none" w:sz="0" w:space="0" w:color="auto"/>
        <w:left w:val="none" w:sz="0" w:space="0" w:color="auto"/>
        <w:bottom w:val="none" w:sz="0" w:space="0" w:color="auto"/>
        <w:right w:val="none" w:sz="0" w:space="0" w:color="auto"/>
      </w:divBdr>
    </w:div>
    <w:div w:id="587156281">
      <w:bodyDiv w:val="1"/>
      <w:marLeft w:val="0"/>
      <w:marRight w:val="0"/>
      <w:marTop w:val="0"/>
      <w:marBottom w:val="0"/>
      <w:divBdr>
        <w:top w:val="none" w:sz="0" w:space="0" w:color="auto"/>
        <w:left w:val="none" w:sz="0" w:space="0" w:color="auto"/>
        <w:bottom w:val="none" w:sz="0" w:space="0" w:color="auto"/>
        <w:right w:val="none" w:sz="0" w:space="0" w:color="auto"/>
      </w:divBdr>
    </w:div>
    <w:div w:id="589461006">
      <w:bodyDiv w:val="1"/>
      <w:marLeft w:val="0"/>
      <w:marRight w:val="0"/>
      <w:marTop w:val="0"/>
      <w:marBottom w:val="0"/>
      <w:divBdr>
        <w:top w:val="none" w:sz="0" w:space="0" w:color="auto"/>
        <w:left w:val="none" w:sz="0" w:space="0" w:color="auto"/>
        <w:bottom w:val="none" w:sz="0" w:space="0" w:color="auto"/>
        <w:right w:val="none" w:sz="0" w:space="0" w:color="auto"/>
      </w:divBdr>
    </w:div>
    <w:div w:id="598416674">
      <w:bodyDiv w:val="1"/>
      <w:marLeft w:val="0"/>
      <w:marRight w:val="0"/>
      <w:marTop w:val="0"/>
      <w:marBottom w:val="0"/>
      <w:divBdr>
        <w:top w:val="none" w:sz="0" w:space="0" w:color="auto"/>
        <w:left w:val="none" w:sz="0" w:space="0" w:color="auto"/>
        <w:bottom w:val="none" w:sz="0" w:space="0" w:color="auto"/>
        <w:right w:val="none" w:sz="0" w:space="0" w:color="auto"/>
      </w:divBdr>
    </w:div>
    <w:div w:id="618493270">
      <w:bodyDiv w:val="1"/>
      <w:marLeft w:val="0"/>
      <w:marRight w:val="0"/>
      <w:marTop w:val="0"/>
      <w:marBottom w:val="0"/>
      <w:divBdr>
        <w:top w:val="none" w:sz="0" w:space="0" w:color="auto"/>
        <w:left w:val="none" w:sz="0" w:space="0" w:color="auto"/>
        <w:bottom w:val="none" w:sz="0" w:space="0" w:color="auto"/>
        <w:right w:val="none" w:sz="0" w:space="0" w:color="auto"/>
      </w:divBdr>
    </w:div>
    <w:div w:id="622463056">
      <w:bodyDiv w:val="1"/>
      <w:marLeft w:val="0"/>
      <w:marRight w:val="0"/>
      <w:marTop w:val="0"/>
      <w:marBottom w:val="0"/>
      <w:divBdr>
        <w:top w:val="none" w:sz="0" w:space="0" w:color="auto"/>
        <w:left w:val="none" w:sz="0" w:space="0" w:color="auto"/>
        <w:bottom w:val="none" w:sz="0" w:space="0" w:color="auto"/>
        <w:right w:val="none" w:sz="0" w:space="0" w:color="auto"/>
      </w:divBdr>
    </w:div>
    <w:div w:id="642731339">
      <w:bodyDiv w:val="1"/>
      <w:marLeft w:val="0"/>
      <w:marRight w:val="0"/>
      <w:marTop w:val="0"/>
      <w:marBottom w:val="0"/>
      <w:divBdr>
        <w:top w:val="none" w:sz="0" w:space="0" w:color="auto"/>
        <w:left w:val="none" w:sz="0" w:space="0" w:color="auto"/>
        <w:bottom w:val="none" w:sz="0" w:space="0" w:color="auto"/>
        <w:right w:val="none" w:sz="0" w:space="0" w:color="auto"/>
      </w:divBdr>
    </w:div>
    <w:div w:id="666401795">
      <w:bodyDiv w:val="1"/>
      <w:marLeft w:val="0"/>
      <w:marRight w:val="0"/>
      <w:marTop w:val="0"/>
      <w:marBottom w:val="0"/>
      <w:divBdr>
        <w:top w:val="none" w:sz="0" w:space="0" w:color="auto"/>
        <w:left w:val="none" w:sz="0" w:space="0" w:color="auto"/>
        <w:bottom w:val="none" w:sz="0" w:space="0" w:color="auto"/>
        <w:right w:val="none" w:sz="0" w:space="0" w:color="auto"/>
      </w:divBdr>
    </w:div>
    <w:div w:id="682366310">
      <w:bodyDiv w:val="1"/>
      <w:marLeft w:val="0"/>
      <w:marRight w:val="0"/>
      <w:marTop w:val="0"/>
      <w:marBottom w:val="0"/>
      <w:divBdr>
        <w:top w:val="none" w:sz="0" w:space="0" w:color="auto"/>
        <w:left w:val="none" w:sz="0" w:space="0" w:color="auto"/>
        <w:bottom w:val="none" w:sz="0" w:space="0" w:color="auto"/>
        <w:right w:val="none" w:sz="0" w:space="0" w:color="auto"/>
      </w:divBdr>
    </w:div>
    <w:div w:id="724573809">
      <w:bodyDiv w:val="1"/>
      <w:marLeft w:val="0"/>
      <w:marRight w:val="0"/>
      <w:marTop w:val="0"/>
      <w:marBottom w:val="0"/>
      <w:divBdr>
        <w:top w:val="none" w:sz="0" w:space="0" w:color="auto"/>
        <w:left w:val="none" w:sz="0" w:space="0" w:color="auto"/>
        <w:bottom w:val="none" w:sz="0" w:space="0" w:color="auto"/>
        <w:right w:val="none" w:sz="0" w:space="0" w:color="auto"/>
      </w:divBdr>
    </w:div>
    <w:div w:id="750199606">
      <w:bodyDiv w:val="1"/>
      <w:marLeft w:val="0"/>
      <w:marRight w:val="0"/>
      <w:marTop w:val="0"/>
      <w:marBottom w:val="0"/>
      <w:divBdr>
        <w:top w:val="none" w:sz="0" w:space="0" w:color="auto"/>
        <w:left w:val="none" w:sz="0" w:space="0" w:color="auto"/>
        <w:bottom w:val="none" w:sz="0" w:space="0" w:color="auto"/>
        <w:right w:val="none" w:sz="0" w:space="0" w:color="auto"/>
      </w:divBdr>
    </w:div>
    <w:div w:id="766388324">
      <w:bodyDiv w:val="1"/>
      <w:marLeft w:val="0"/>
      <w:marRight w:val="0"/>
      <w:marTop w:val="0"/>
      <w:marBottom w:val="0"/>
      <w:divBdr>
        <w:top w:val="none" w:sz="0" w:space="0" w:color="auto"/>
        <w:left w:val="none" w:sz="0" w:space="0" w:color="auto"/>
        <w:bottom w:val="none" w:sz="0" w:space="0" w:color="auto"/>
        <w:right w:val="none" w:sz="0" w:space="0" w:color="auto"/>
      </w:divBdr>
    </w:div>
    <w:div w:id="768428755">
      <w:bodyDiv w:val="1"/>
      <w:marLeft w:val="0"/>
      <w:marRight w:val="0"/>
      <w:marTop w:val="0"/>
      <w:marBottom w:val="0"/>
      <w:divBdr>
        <w:top w:val="none" w:sz="0" w:space="0" w:color="auto"/>
        <w:left w:val="none" w:sz="0" w:space="0" w:color="auto"/>
        <w:bottom w:val="none" w:sz="0" w:space="0" w:color="auto"/>
        <w:right w:val="none" w:sz="0" w:space="0" w:color="auto"/>
      </w:divBdr>
    </w:div>
    <w:div w:id="779909286">
      <w:bodyDiv w:val="1"/>
      <w:marLeft w:val="0"/>
      <w:marRight w:val="0"/>
      <w:marTop w:val="0"/>
      <w:marBottom w:val="0"/>
      <w:divBdr>
        <w:top w:val="none" w:sz="0" w:space="0" w:color="auto"/>
        <w:left w:val="none" w:sz="0" w:space="0" w:color="auto"/>
        <w:bottom w:val="none" w:sz="0" w:space="0" w:color="auto"/>
        <w:right w:val="none" w:sz="0" w:space="0" w:color="auto"/>
      </w:divBdr>
    </w:div>
    <w:div w:id="823013274">
      <w:bodyDiv w:val="1"/>
      <w:marLeft w:val="0"/>
      <w:marRight w:val="0"/>
      <w:marTop w:val="0"/>
      <w:marBottom w:val="0"/>
      <w:divBdr>
        <w:top w:val="none" w:sz="0" w:space="0" w:color="auto"/>
        <w:left w:val="none" w:sz="0" w:space="0" w:color="auto"/>
        <w:bottom w:val="none" w:sz="0" w:space="0" w:color="auto"/>
        <w:right w:val="none" w:sz="0" w:space="0" w:color="auto"/>
      </w:divBdr>
    </w:div>
    <w:div w:id="829560938">
      <w:bodyDiv w:val="1"/>
      <w:marLeft w:val="0"/>
      <w:marRight w:val="0"/>
      <w:marTop w:val="0"/>
      <w:marBottom w:val="0"/>
      <w:divBdr>
        <w:top w:val="none" w:sz="0" w:space="0" w:color="auto"/>
        <w:left w:val="none" w:sz="0" w:space="0" w:color="auto"/>
        <w:bottom w:val="none" w:sz="0" w:space="0" w:color="auto"/>
        <w:right w:val="none" w:sz="0" w:space="0" w:color="auto"/>
      </w:divBdr>
    </w:div>
    <w:div w:id="833183515">
      <w:bodyDiv w:val="1"/>
      <w:marLeft w:val="0"/>
      <w:marRight w:val="0"/>
      <w:marTop w:val="0"/>
      <w:marBottom w:val="0"/>
      <w:divBdr>
        <w:top w:val="none" w:sz="0" w:space="0" w:color="auto"/>
        <w:left w:val="none" w:sz="0" w:space="0" w:color="auto"/>
        <w:bottom w:val="none" w:sz="0" w:space="0" w:color="auto"/>
        <w:right w:val="none" w:sz="0" w:space="0" w:color="auto"/>
      </w:divBdr>
    </w:div>
    <w:div w:id="836842894">
      <w:bodyDiv w:val="1"/>
      <w:marLeft w:val="0"/>
      <w:marRight w:val="0"/>
      <w:marTop w:val="0"/>
      <w:marBottom w:val="0"/>
      <w:divBdr>
        <w:top w:val="none" w:sz="0" w:space="0" w:color="auto"/>
        <w:left w:val="none" w:sz="0" w:space="0" w:color="auto"/>
        <w:bottom w:val="none" w:sz="0" w:space="0" w:color="auto"/>
        <w:right w:val="none" w:sz="0" w:space="0" w:color="auto"/>
      </w:divBdr>
    </w:div>
    <w:div w:id="845096448">
      <w:bodyDiv w:val="1"/>
      <w:marLeft w:val="0"/>
      <w:marRight w:val="0"/>
      <w:marTop w:val="0"/>
      <w:marBottom w:val="0"/>
      <w:divBdr>
        <w:top w:val="none" w:sz="0" w:space="0" w:color="auto"/>
        <w:left w:val="none" w:sz="0" w:space="0" w:color="auto"/>
        <w:bottom w:val="none" w:sz="0" w:space="0" w:color="auto"/>
        <w:right w:val="none" w:sz="0" w:space="0" w:color="auto"/>
      </w:divBdr>
    </w:div>
    <w:div w:id="855389374">
      <w:bodyDiv w:val="1"/>
      <w:marLeft w:val="0"/>
      <w:marRight w:val="0"/>
      <w:marTop w:val="0"/>
      <w:marBottom w:val="0"/>
      <w:divBdr>
        <w:top w:val="none" w:sz="0" w:space="0" w:color="auto"/>
        <w:left w:val="none" w:sz="0" w:space="0" w:color="auto"/>
        <w:bottom w:val="none" w:sz="0" w:space="0" w:color="auto"/>
        <w:right w:val="none" w:sz="0" w:space="0" w:color="auto"/>
      </w:divBdr>
    </w:div>
    <w:div w:id="856163533">
      <w:bodyDiv w:val="1"/>
      <w:marLeft w:val="0"/>
      <w:marRight w:val="0"/>
      <w:marTop w:val="0"/>
      <w:marBottom w:val="0"/>
      <w:divBdr>
        <w:top w:val="none" w:sz="0" w:space="0" w:color="auto"/>
        <w:left w:val="none" w:sz="0" w:space="0" w:color="auto"/>
        <w:bottom w:val="none" w:sz="0" w:space="0" w:color="auto"/>
        <w:right w:val="none" w:sz="0" w:space="0" w:color="auto"/>
      </w:divBdr>
    </w:div>
    <w:div w:id="865796536">
      <w:bodyDiv w:val="1"/>
      <w:marLeft w:val="0"/>
      <w:marRight w:val="0"/>
      <w:marTop w:val="0"/>
      <w:marBottom w:val="0"/>
      <w:divBdr>
        <w:top w:val="none" w:sz="0" w:space="0" w:color="auto"/>
        <w:left w:val="none" w:sz="0" w:space="0" w:color="auto"/>
        <w:bottom w:val="none" w:sz="0" w:space="0" w:color="auto"/>
        <w:right w:val="none" w:sz="0" w:space="0" w:color="auto"/>
      </w:divBdr>
    </w:div>
    <w:div w:id="877397932">
      <w:bodyDiv w:val="1"/>
      <w:marLeft w:val="0"/>
      <w:marRight w:val="0"/>
      <w:marTop w:val="0"/>
      <w:marBottom w:val="0"/>
      <w:divBdr>
        <w:top w:val="none" w:sz="0" w:space="0" w:color="auto"/>
        <w:left w:val="none" w:sz="0" w:space="0" w:color="auto"/>
        <w:bottom w:val="none" w:sz="0" w:space="0" w:color="auto"/>
        <w:right w:val="none" w:sz="0" w:space="0" w:color="auto"/>
      </w:divBdr>
    </w:div>
    <w:div w:id="890769239">
      <w:bodyDiv w:val="1"/>
      <w:marLeft w:val="0"/>
      <w:marRight w:val="0"/>
      <w:marTop w:val="0"/>
      <w:marBottom w:val="0"/>
      <w:divBdr>
        <w:top w:val="none" w:sz="0" w:space="0" w:color="auto"/>
        <w:left w:val="none" w:sz="0" w:space="0" w:color="auto"/>
        <w:bottom w:val="none" w:sz="0" w:space="0" w:color="auto"/>
        <w:right w:val="none" w:sz="0" w:space="0" w:color="auto"/>
      </w:divBdr>
    </w:div>
    <w:div w:id="892233520">
      <w:bodyDiv w:val="1"/>
      <w:marLeft w:val="0"/>
      <w:marRight w:val="0"/>
      <w:marTop w:val="0"/>
      <w:marBottom w:val="0"/>
      <w:divBdr>
        <w:top w:val="none" w:sz="0" w:space="0" w:color="auto"/>
        <w:left w:val="none" w:sz="0" w:space="0" w:color="auto"/>
        <w:bottom w:val="none" w:sz="0" w:space="0" w:color="auto"/>
        <w:right w:val="none" w:sz="0" w:space="0" w:color="auto"/>
      </w:divBdr>
    </w:div>
    <w:div w:id="901596711">
      <w:bodyDiv w:val="1"/>
      <w:marLeft w:val="0"/>
      <w:marRight w:val="0"/>
      <w:marTop w:val="0"/>
      <w:marBottom w:val="0"/>
      <w:divBdr>
        <w:top w:val="none" w:sz="0" w:space="0" w:color="auto"/>
        <w:left w:val="none" w:sz="0" w:space="0" w:color="auto"/>
        <w:bottom w:val="none" w:sz="0" w:space="0" w:color="auto"/>
        <w:right w:val="none" w:sz="0" w:space="0" w:color="auto"/>
      </w:divBdr>
    </w:div>
    <w:div w:id="917860543">
      <w:bodyDiv w:val="1"/>
      <w:marLeft w:val="0"/>
      <w:marRight w:val="0"/>
      <w:marTop w:val="0"/>
      <w:marBottom w:val="0"/>
      <w:divBdr>
        <w:top w:val="none" w:sz="0" w:space="0" w:color="auto"/>
        <w:left w:val="none" w:sz="0" w:space="0" w:color="auto"/>
        <w:bottom w:val="none" w:sz="0" w:space="0" w:color="auto"/>
        <w:right w:val="none" w:sz="0" w:space="0" w:color="auto"/>
      </w:divBdr>
    </w:div>
    <w:div w:id="946425779">
      <w:bodyDiv w:val="1"/>
      <w:marLeft w:val="0"/>
      <w:marRight w:val="0"/>
      <w:marTop w:val="0"/>
      <w:marBottom w:val="0"/>
      <w:divBdr>
        <w:top w:val="none" w:sz="0" w:space="0" w:color="auto"/>
        <w:left w:val="none" w:sz="0" w:space="0" w:color="auto"/>
        <w:bottom w:val="none" w:sz="0" w:space="0" w:color="auto"/>
        <w:right w:val="none" w:sz="0" w:space="0" w:color="auto"/>
      </w:divBdr>
    </w:div>
    <w:div w:id="948659438">
      <w:bodyDiv w:val="1"/>
      <w:marLeft w:val="0"/>
      <w:marRight w:val="0"/>
      <w:marTop w:val="0"/>
      <w:marBottom w:val="0"/>
      <w:divBdr>
        <w:top w:val="none" w:sz="0" w:space="0" w:color="auto"/>
        <w:left w:val="none" w:sz="0" w:space="0" w:color="auto"/>
        <w:bottom w:val="none" w:sz="0" w:space="0" w:color="auto"/>
        <w:right w:val="none" w:sz="0" w:space="0" w:color="auto"/>
      </w:divBdr>
    </w:div>
    <w:div w:id="949320161">
      <w:bodyDiv w:val="1"/>
      <w:marLeft w:val="0"/>
      <w:marRight w:val="0"/>
      <w:marTop w:val="0"/>
      <w:marBottom w:val="0"/>
      <w:divBdr>
        <w:top w:val="none" w:sz="0" w:space="0" w:color="auto"/>
        <w:left w:val="none" w:sz="0" w:space="0" w:color="auto"/>
        <w:bottom w:val="none" w:sz="0" w:space="0" w:color="auto"/>
        <w:right w:val="none" w:sz="0" w:space="0" w:color="auto"/>
      </w:divBdr>
    </w:div>
    <w:div w:id="962420455">
      <w:bodyDiv w:val="1"/>
      <w:marLeft w:val="0"/>
      <w:marRight w:val="0"/>
      <w:marTop w:val="0"/>
      <w:marBottom w:val="0"/>
      <w:divBdr>
        <w:top w:val="none" w:sz="0" w:space="0" w:color="auto"/>
        <w:left w:val="none" w:sz="0" w:space="0" w:color="auto"/>
        <w:bottom w:val="none" w:sz="0" w:space="0" w:color="auto"/>
        <w:right w:val="none" w:sz="0" w:space="0" w:color="auto"/>
      </w:divBdr>
    </w:div>
    <w:div w:id="964509259">
      <w:bodyDiv w:val="1"/>
      <w:marLeft w:val="0"/>
      <w:marRight w:val="0"/>
      <w:marTop w:val="0"/>
      <w:marBottom w:val="0"/>
      <w:divBdr>
        <w:top w:val="none" w:sz="0" w:space="0" w:color="auto"/>
        <w:left w:val="none" w:sz="0" w:space="0" w:color="auto"/>
        <w:bottom w:val="none" w:sz="0" w:space="0" w:color="auto"/>
        <w:right w:val="none" w:sz="0" w:space="0" w:color="auto"/>
      </w:divBdr>
    </w:div>
    <w:div w:id="977415872">
      <w:bodyDiv w:val="1"/>
      <w:marLeft w:val="0"/>
      <w:marRight w:val="0"/>
      <w:marTop w:val="0"/>
      <w:marBottom w:val="0"/>
      <w:divBdr>
        <w:top w:val="none" w:sz="0" w:space="0" w:color="auto"/>
        <w:left w:val="none" w:sz="0" w:space="0" w:color="auto"/>
        <w:bottom w:val="none" w:sz="0" w:space="0" w:color="auto"/>
        <w:right w:val="none" w:sz="0" w:space="0" w:color="auto"/>
      </w:divBdr>
    </w:div>
    <w:div w:id="979380083">
      <w:bodyDiv w:val="1"/>
      <w:marLeft w:val="0"/>
      <w:marRight w:val="0"/>
      <w:marTop w:val="0"/>
      <w:marBottom w:val="0"/>
      <w:divBdr>
        <w:top w:val="none" w:sz="0" w:space="0" w:color="auto"/>
        <w:left w:val="none" w:sz="0" w:space="0" w:color="auto"/>
        <w:bottom w:val="none" w:sz="0" w:space="0" w:color="auto"/>
        <w:right w:val="none" w:sz="0" w:space="0" w:color="auto"/>
      </w:divBdr>
    </w:div>
    <w:div w:id="1008337715">
      <w:bodyDiv w:val="1"/>
      <w:marLeft w:val="0"/>
      <w:marRight w:val="0"/>
      <w:marTop w:val="0"/>
      <w:marBottom w:val="0"/>
      <w:divBdr>
        <w:top w:val="none" w:sz="0" w:space="0" w:color="auto"/>
        <w:left w:val="none" w:sz="0" w:space="0" w:color="auto"/>
        <w:bottom w:val="none" w:sz="0" w:space="0" w:color="auto"/>
        <w:right w:val="none" w:sz="0" w:space="0" w:color="auto"/>
      </w:divBdr>
    </w:div>
    <w:div w:id="1013607514">
      <w:bodyDiv w:val="1"/>
      <w:marLeft w:val="0"/>
      <w:marRight w:val="0"/>
      <w:marTop w:val="0"/>
      <w:marBottom w:val="0"/>
      <w:divBdr>
        <w:top w:val="none" w:sz="0" w:space="0" w:color="auto"/>
        <w:left w:val="none" w:sz="0" w:space="0" w:color="auto"/>
        <w:bottom w:val="none" w:sz="0" w:space="0" w:color="auto"/>
        <w:right w:val="none" w:sz="0" w:space="0" w:color="auto"/>
      </w:divBdr>
    </w:div>
    <w:div w:id="1018696065">
      <w:bodyDiv w:val="1"/>
      <w:marLeft w:val="0"/>
      <w:marRight w:val="0"/>
      <w:marTop w:val="0"/>
      <w:marBottom w:val="0"/>
      <w:divBdr>
        <w:top w:val="none" w:sz="0" w:space="0" w:color="auto"/>
        <w:left w:val="none" w:sz="0" w:space="0" w:color="auto"/>
        <w:bottom w:val="none" w:sz="0" w:space="0" w:color="auto"/>
        <w:right w:val="none" w:sz="0" w:space="0" w:color="auto"/>
      </w:divBdr>
    </w:div>
    <w:div w:id="1022972135">
      <w:bodyDiv w:val="1"/>
      <w:marLeft w:val="0"/>
      <w:marRight w:val="0"/>
      <w:marTop w:val="0"/>
      <w:marBottom w:val="0"/>
      <w:divBdr>
        <w:top w:val="none" w:sz="0" w:space="0" w:color="auto"/>
        <w:left w:val="none" w:sz="0" w:space="0" w:color="auto"/>
        <w:bottom w:val="none" w:sz="0" w:space="0" w:color="auto"/>
        <w:right w:val="none" w:sz="0" w:space="0" w:color="auto"/>
      </w:divBdr>
    </w:div>
    <w:div w:id="1040395615">
      <w:bodyDiv w:val="1"/>
      <w:marLeft w:val="0"/>
      <w:marRight w:val="0"/>
      <w:marTop w:val="0"/>
      <w:marBottom w:val="0"/>
      <w:divBdr>
        <w:top w:val="none" w:sz="0" w:space="0" w:color="auto"/>
        <w:left w:val="none" w:sz="0" w:space="0" w:color="auto"/>
        <w:bottom w:val="none" w:sz="0" w:space="0" w:color="auto"/>
        <w:right w:val="none" w:sz="0" w:space="0" w:color="auto"/>
      </w:divBdr>
    </w:div>
    <w:div w:id="1046950317">
      <w:bodyDiv w:val="1"/>
      <w:marLeft w:val="0"/>
      <w:marRight w:val="0"/>
      <w:marTop w:val="0"/>
      <w:marBottom w:val="0"/>
      <w:divBdr>
        <w:top w:val="none" w:sz="0" w:space="0" w:color="auto"/>
        <w:left w:val="none" w:sz="0" w:space="0" w:color="auto"/>
        <w:bottom w:val="none" w:sz="0" w:space="0" w:color="auto"/>
        <w:right w:val="none" w:sz="0" w:space="0" w:color="auto"/>
      </w:divBdr>
    </w:div>
    <w:div w:id="1050228325">
      <w:bodyDiv w:val="1"/>
      <w:marLeft w:val="0"/>
      <w:marRight w:val="0"/>
      <w:marTop w:val="0"/>
      <w:marBottom w:val="0"/>
      <w:divBdr>
        <w:top w:val="none" w:sz="0" w:space="0" w:color="auto"/>
        <w:left w:val="none" w:sz="0" w:space="0" w:color="auto"/>
        <w:bottom w:val="none" w:sz="0" w:space="0" w:color="auto"/>
        <w:right w:val="none" w:sz="0" w:space="0" w:color="auto"/>
      </w:divBdr>
    </w:div>
    <w:div w:id="1077828315">
      <w:bodyDiv w:val="1"/>
      <w:marLeft w:val="0"/>
      <w:marRight w:val="0"/>
      <w:marTop w:val="0"/>
      <w:marBottom w:val="0"/>
      <w:divBdr>
        <w:top w:val="none" w:sz="0" w:space="0" w:color="auto"/>
        <w:left w:val="none" w:sz="0" w:space="0" w:color="auto"/>
        <w:bottom w:val="none" w:sz="0" w:space="0" w:color="auto"/>
        <w:right w:val="none" w:sz="0" w:space="0" w:color="auto"/>
      </w:divBdr>
    </w:div>
    <w:div w:id="1080062513">
      <w:bodyDiv w:val="1"/>
      <w:marLeft w:val="0"/>
      <w:marRight w:val="0"/>
      <w:marTop w:val="0"/>
      <w:marBottom w:val="0"/>
      <w:divBdr>
        <w:top w:val="none" w:sz="0" w:space="0" w:color="auto"/>
        <w:left w:val="none" w:sz="0" w:space="0" w:color="auto"/>
        <w:bottom w:val="none" w:sz="0" w:space="0" w:color="auto"/>
        <w:right w:val="none" w:sz="0" w:space="0" w:color="auto"/>
      </w:divBdr>
    </w:div>
    <w:div w:id="1081097909">
      <w:bodyDiv w:val="1"/>
      <w:marLeft w:val="0"/>
      <w:marRight w:val="0"/>
      <w:marTop w:val="0"/>
      <w:marBottom w:val="0"/>
      <w:divBdr>
        <w:top w:val="none" w:sz="0" w:space="0" w:color="auto"/>
        <w:left w:val="none" w:sz="0" w:space="0" w:color="auto"/>
        <w:bottom w:val="none" w:sz="0" w:space="0" w:color="auto"/>
        <w:right w:val="none" w:sz="0" w:space="0" w:color="auto"/>
      </w:divBdr>
    </w:div>
    <w:div w:id="1094932483">
      <w:bodyDiv w:val="1"/>
      <w:marLeft w:val="0"/>
      <w:marRight w:val="0"/>
      <w:marTop w:val="0"/>
      <w:marBottom w:val="0"/>
      <w:divBdr>
        <w:top w:val="none" w:sz="0" w:space="0" w:color="auto"/>
        <w:left w:val="none" w:sz="0" w:space="0" w:color="auto"/>
        <w:bottom w:val="none" w:sz="0" w:space="0" w:color="auto"/>
        <w:right w:val="none" w:sz="0" w:space="0" w:color="auto"/>
      </w:divBdr>
    </w:div>
    <w:div w:id="1123157251">
      <w:bodyDiv w:val="1"/>
      <w:marLeft w:val="0"/>
      <w:marRight w:val="0"/>
      <w:marTop w:val="0"/>
      <w:marBottom w:val="0"/>
      <w:divBdr>
        <w:top w:val="none" w:sz="0" w:space="0" w:color="auto"/>
        <w:left w:val="none" w:sz="0" w:space="0" w:color="auto"/>
        <w:bottom w:val="none" w:sz="0" w:space="0" w:color="auto"/>
        <w:right w:val="none" w:sz="0" w:space="0" w:color="auto"/>
      </w:divBdr>
    </w:div>
    <w:div w:id="1154494917">
      <w:bodyDiv w:val="1"/>
      <w:marLeft w:val="0"/>
      <w:marRight w:val="0"/>
      <w:marTop w:val="0"/>
      <w:marBottom w:val="0"/>
      <w:divBdr>
        <w:top w:val="none" w:sz="0" w:space="0" w:color="auto"/>
        <w:left w:val="none" w:sz="0" w:space="0" w:color="auto"/>
        <w:bottom w:val="none" w:sz="0" w:space="0" w:color="auto"/>
        <w:right w:val="none" w:sz="0" w:space="0" w:color="auto"/>
      </w:divBdr>
    </w:div>
    <w:div w:id="1160273022">
      <w:bodyDiv w:val="1"/>
      <w:marLeft w:val="0"/>
      <w:marRight w:val="0"/>
      <w:marTop w:val="0"/>
      <w:marBottom w:val="0"/>
      <w:divBdr>
        <w:top w:val="none" w:sz="0" w:space="0" w:color="auto"/>
        <w:left w:val="none" w:sz="0" w:space="0" w:color="auto"/>
        <w:bottom w:val="none" w:sz="0" w:space="0" w:color="auto"/>
        <w:right w:val="none" w:sz="0" w:space="0" w:color="auto"/>
      </w:divBdr>
    </w:div>
    <w:div w:id="1248228584">
      <w:bodyDiv w:val="1"/>
      <w:marLeft w:val="0"/>
      <w:marRight w:val="0"/>
      <w:marTop w:val="0"/>
      <w:marBottom w:val="0"/>
      <w:divBdr>
        <w:top w:val="none" w:sz="0" w:space="0" w:color="auto"/>
        <w:left w:val="none" w:sz="0" w:space="0" w:color="auto"/>
        <w:bottom w:val="none" w:sz="0" w:space="0" w:color="auto"/>
        <w:right w:val="none" w:sz="0" w:space="0" w:color="auto"/>
      </w:divBdr>
    </w:div>
    <w:div w:id="1269121791">
      <w:bodyDiv w:val="1"/>
      <w:marLeft w:val="0"/>
      <w:marRight w:val="0"/>
      <w:marTop w:val="0"/>
      <w:marBottom w:val="0"/>
      <w:divBdr>
        <w:top w:val="none" w:sz="0" w:space="0" w:color="auto"/>
        <w:left w:val="none" w:sz="0" w:space="0" w:color="auto"/>
        <w:bottom w:val="none" w:sz="0" w:space="0" w:color="auto"/>
        <w:right w:val="none" w:sz="0" w:space="0" w:color="auto"/>
      </w:divBdr>
    </w:div>
    <w:div w:id="1321277383">
      <w:bodyDiv w:val="1"/>
      <w:marLeft w:val="0"/>
      <w:marRight w:val="0"/>
      <w:marTop w:val="0"/>
      <w:marBottom w:val="0"/>
      <w:divBdr>
        <w:top w:val="none" w:sz="0" w:space="0" w:color="auto"/>
        <w:left w:val="none" w:sz="0" w:space="0" w:color="auto"/>
        <w:bottom w:val="none" w:sz="0" w:space="0" w:color="auto"/>
        <w:right w:val="none" w:sz="0" w:space="0" w:color="auto"/>
      </w:divBdr>
    </w:div>
    <w:div w:id="1336571696">
      <w:bodyDiv w:val="1"/>
      <w:marLeft w:val="0"/>
      <w:marRight w:val="0"/>
      <w:marTop w:val="0"/>
      <w:marBottom w:val="0"/>
      <w:divBdr>
        <w:top w:val="none" w:sz="0" w:space="0" w:color="auto"/>
        <w:left w:val="none" w:sz="0" w:space="0" w:color="auto"/>
        <w:bottom w:val="none" w:sz="0" w:space="0" w:color="auto"/>
        <w:right w:val="none" w:sz="0" w:space="0" w:color="auto"/>
      </w:divBdr>
    </w:div>
    <w:div w:id="1359695628">
      <w:bodyDiv w:val="1"/>
      <w:marLeft w:val="0"/>
      <w:marRight w:val="0"/>
      <w:marTop w:val="0"/>
      <w:marBottom w:val="0"/>
      <w:divBdr>
        <w:top w:val="none" w:sz="0" w:space="0" w:color="auto"/>
        <w:left w:val="none" w:sz="0" w:space="0" w:color="auto"/>
        <w:bottom w:val="none" w:sz="0" w:space="0" w:color="auto"/>
        <w:right w:val="none" w:sz="0" w:space="0" w:color="auto"/>
      </w:divBdr>
    </w:div>
    <w:div w:id="1395540978">
      <w:bodyDiv w:val="1"/>
      <w:marLeft w:val="0"/>
      <w:marRight w:val="0"/>
      <w:marTop w:val="0"/>
      <w:marBottom w:val="0"/>
      <w:divBdr>
        <w:top w:val="none" w:sz="0" w:space="0" w:color="auto"/>
        <w:left w:val="none" w:sz="0" w:space="0" w:color="auto"/>
        <w:bottom w:val="none" w:sz="0" w:space="0" w:color="auto"/>
        <w:right w:val="none" w:sz="0" w:space="0" w:color="auto"/>
      </w:divBdr>
    </w:div>
    <w:div w:id="1400860977">
      <w:bodyDiv w:val="1"/>
      <w:marLeft w:val="0"/>
      <w:marRight w:val="0"/>
      <w:marTop w:val="0"/>
      <w:marBottom w:val="0"/>
      <w:divBdr>
        <w:top w:val="none" w:sz="0" w:space="0" w:color="auto"/>
        <w:left w:val="none" w:sz="0" w:space="0" w:color="auto"/>
        <w:bottom w:val="none" w:sz="0" w:space="0" w:color="auto"/>
        <w:right w:val="none" w:sz="0" w:space="0" w:color="auto"/>
      </w:divBdr>
    </w:div>
    <w:div w:id="1408460397">
      <w:bodyDiv w:val="1"/>
      <w:marLeft w:val="0"/>
      <w:marRight w:val="0"/>
      <w:marTop w:val="0"/>
      <w:marBottom w:val="0"/>
      <w:divBdr>
        <w:top w:val="none" w:sz="0" w:space="0" w:color="auto"/>
        <w:left w:val="none" w:sz="0" w:space="0" w:color="auto"/>
        <w:bottom w:val="none" w:sz="0" w:space="0" w:color="auto"/>
        <w:right w:val="none" w:sz="0" w:space="0" w:color="auto"/>
      </w:divBdr>
    </w:div>
    <w:div w:id="1411854765">
      <w:bodyDiv w:val="1"/>
      <w:marLeft w:val="0"/>
      <w:marRight w:val="0"/>
      <w:marTop w:val="0"/>
      <w:marBottom w:val="0"/>
      <w:divBdr>
        <w:top w:val="none" w:sz="0" w:space="0" w:color="auto"/>
        <w:left w:val="none" w:sz="0" w:space="0" w:color="auto"/>
        <w:bottom w:val="none" w:sz="0" w:space="0" w:color="auto"/>
        <w:right w:val="none" w:sz="0" w:space="0" w:color="auto"/>
      </w:divBdr>
    </w:div>
    <w:div w:id="1422986439">
      <w:bodyDiv w:val="1"/>
      <w:marLeft w:val="0"/>
      <w:marRight w:val="0"/>
      <w:marTop w:val="0"/>
      <w:marBottom w:val="0"/>
      <w:divBdr>
        <w:top w:val="none" w:sz="0" w:space="0" w:color="auto"/>
        <w:left w:val="none" w:sz="0" w:space="0" w:color="auto"/>
        <w:bottom w:val="none" w:sz="0" w:space="0" w:color="auto"/>
        <w:right w:val="none" w:sz="0" w:space="0" w:color="auto"/>
      </w:divBdr>
    </w:div>
    <w:div w:id="1431969261">
      <w:bodyDiv w:val="1"/>
      <w:marLeft w:val="0"/>
      <w:marRight w:val="0"/>
      <w:marTop w:val="0"/>
      <w:marBottom w:val="0"/>
      <w:divBdr>
        <w:top w:val="none" w:sz="0" w:space="0" w:color="auto"/>
        <w:left w:val="none" w:sz="0" w:space="0" w:color="auto"/>
        <w:bottom w:val="none" w:sz="0" w:space="0" w:color="auto"/>
        <w:right w:val="none" w:sz="0" w:space="0" w:color="auto"/>
      </w:divBdr>
    </w:div>
    <w:div w:id="1440102311">
      <w:bodyDiv w:val="1"/>
      <w:marLeft w:val="0"/>
      <w:marRight w:val="0"/>
      <w:marTop w:val="0"/>
      <w:marBottom w:val="0"/>
      <w:divBdr>
        <w:top w:val="none" w:sz="0" w:space="0" w:color="auto"/>
        <w:left w:val="none" w:sz="0" w:space="0" w:color="auto"/>
        <w:bottom w:val="none" w:sz="0" w:space="0" w:color="auto"/>
        <w:right w:val="none" w:sz="0" w:space="0" w:color="auto"/>
      </w:divBdr>
    </w:div>
    <w:div w:id="1449200635">
      <w:bodyDiv w:val="1"/>
      <w:marLeft w:val="0"/>
      <w:marRight w:val="0"/>
      <w:marTop w:val="0"/>
      <w:marBottom w:val="0"/>
      <w:divBdr>
        <w:top w:val="none" w:sz="0" w:space="0" w:color="auto"/>
        <w:left w:val="none" w:sz="0" w:space="0" w:color="auto"/>
        <w:bottom w:val="none" w:sz="0" w:space="0" w:color="auto"/>
        <w:right w:val="none" w:sz="0" w:space="0" w:color="auto"/>
      </w:divBdr>
    </w:div>
    <w:div w:id="1492482669">
      <w:bodyDiv w:val="1"/>
      <w:marLeft w:val="0"/>
      <w:marRight w:val="0"/>
      <w:marTop w:val="0"/>
      <w:marBottom w:val="0"/>
      <w:divBdr>
        <w:top w:val="none" w:sz="0" w:space="0" w:color="auto"/>
        <w:left w:val="none" w:sz="0" w:space="0" w:color="auto"/>
        <w:bottom w:val="none" w:sz="0" w:space="0" w:color="auto"/>
        <w:right w:val="none" w:sz="0" w:space="0" w:color="auto"/>
      </w:divBdr>
    </w:div>
    <w:div w:id="1510096625">
      <w:bodyDiv w:val="1"/>
      <w:marLeft w:val="0"/>
      <w:marRight w:val="0"/>
      <w:marTop w:val="0"/>
      <w:marBottom w:val="0"/>
      <w:divBdr>
        <w:top w:val="none" w:sz="0" w:space="0" w:color="auto"/>
        <w:left w:val="none" w:sz="0" w:space="0" w:color="auto"/>
        <w:bottom w:val="none" w:sz="0" w:space="0" w:color="auto"/>
        <w:right w:val="none" w:sz="0" w:space="0" w:color="auto"/>
      </w:divBdr>
    </w:div>
    <w:div w:id="1527865603">
      <w:bodyDiv w:val="1"/>
      <w:marLeft w:val="0"/>
      <w:marRight w:val="0"/>
      <w:marTop w:val="0"/>
      <w:marBottom w:val="0"/>
      <w:divBdr>
        <w:top w:val="none" w:sz="0" w:space="0" w:color="auto"/>
        <w:left w:val="none" w:sz="0" w:space="0" w:color="auto"/>
        <w:bottom w:val="none" w:sz="0" w:space="0" w:color="auto"/>
        <w:right w:val="none" w:sz="0" w:space="0" w:color="auto"/>
      </w:divBdr>
    </w:div>
    <w:div w:id="1573465380">
      <w:bodyDiv w:val="1"/>
      <w:marLeft w:val="0"/>
      <w:marRight w:val="0"/>
      <w:marTop w:val="0"/>
      <w:marBottom w:val="0"/>
      <w:divBdr>
        <w:top w:val="none" w:sz="0" w:space="0" w:color="auto"/>
        <w:left w:val="none" w:sz="0" w:space="0" w:color="auto"/>
        <w:bottom w:val="none" w:sz="0" w:space="0" w:color="auto"/>
        <w:right w:val="none" w:sz="0" w:space="0" w:color="auto"/>
      </w:divBdr>
    </w:div>
    <w:div w:id="1592811283">
      <w:bodyDiv w:val="1"/>
      <w:marLeft w:val="0"/>
      <w:marRight w:val="0"/>
      <w:marTop w:val="0"/>
      <w:marBottom w:val="0"/>
      <w:divBdr>
        <w:top w:val="none" w:sz="0" w:space="0" w:color="auto"/>
        <w:left w:val="none" w:sz="0" w:space="0" w:color="auto"/>
        <w:bottom w:val="none" w:sz="0" w:space="0" w:color="auto"/>
        <w:right w:val="none" w:sz="0" w:space="0" w:color="auto"/>
      </w:divBdr>
    </w:div>
    <w:div w:id="1595625286">
      <w:bodyDiv w:val="1"/>
      <w:marLeft w:val="0"/>
      <w:marRight w:val="0"/>
      <w:marTop w:val="0"/>
      <w:marBottom w:val="0"/>
      <w:divBdr>
        <w:top w:val="none" w:sz="0" w:space="0" w:color="auto"/>
        <w:left w:val="none" w:sz="0" w:space="0" w:color="auto"/>
        <w:bottom w:val="none" w:sz="0" w:space="0" w:color="auto"/>
        <w:right w:val="none" w:sz="0" w:space="0" w:color="auto"/>
      </w:divBdr>
    </w:div>
    <w:div w:id="1631474435">
      <w:bodyDiv w:val="1"/>
      <w:marLeft w:val="0"/>
      <w:marRight w:val="0"/>
      <w:marTop w:val="0"/>
      <w:marBottom w:val="0"/>
      <w:divBdr>
        <w:top w:val="none" w:sz="0" w:space="0" w:color="auto"/>
        <w:left w:val="none" w:sz="0" w:space="0" w:color="auto"/>
        <w:bottom w:val="none" w:sz="0" w:space="0" w:color="auto"/>
        <w:right w:val="none" w:sz="0" w:space="0" w:color="auto"/>
      </w:divBdr>
    </w:div>
    <w:div w:id="1633367594">
      <w:bodyDiv w:val="1"/>
      <w:marLeft w:val="0"/>
      <w:marRight w:val="0"/>
      <w:marTop w:val="0"/>
      <w:marBottom w:val="0"/>
      <w:divBdr>
        <w:top w:val="none" w:sz="0" w:space="0" w:color="auto"/>
        <w:left w:val="none" w:sz="0" w:space="0" w:color="auto"/>
        <w:bottom w:val="none" w:sz="0" w:space="0" w:color="auto"/>
        <w:right w:val="none" w:sz="0" w:space="0" w:color="auto"/>
      </w:divBdr>
    </w:div>
    <w:div w:id="1636253652">
      <w:bodyDiv w:val="1"/>
      <w:marLeft w:val="0"/>
      <w:marRight w:val="0"/>
      <w:marTop w:val="0"/>
      <w:marBottom w:val="0"/>
      <w:divBdr>
        <w:top w:val="none" w:sz="0" w:space="0" w:color="auto"/>
        <w:left w:val="none" w:sz="0" w:space="0" w:color="auto"/>
        <w:bottom w:val="none" w:sz="0" w:space="0" w:color="auto"/>
        <w:right w:val="none" w:sz="0" w:space="0" w:color="auto"/>
      </w:divBdr>
    </w:div>
    <w:div w:id="1663309601">
      <w:bodyDiv w:val="1"/>
      <w:marLeft w:val="0"/>
      <w:marRight w:val="0"/>
      <w:marTop w:val="0"/>
      <w:marBottom w:val="0"/>
      <w:divBdr>
        <w:top w:val="none" w:sz="0" w:space="0" w:color="auto"/>
        <w:left w:val="none" w:sz="0" w:space="0" w:color="auto"/>
        <w:bottom w:val="none" w:sz="0" w:space="0" w:color="auto"/>
        <w:right w:val="none" w:sz="0" w:space="0" w:color="auto"/>
      </w:divBdr>
    </w:div>
    <w:div w:id="1663854149">
      <w:bodyDiv w:val="1"/>
      <w:marLeft w:val="0"/>
      <w:marRight w:val="0"/>
      <w:marTop w:val="0"/>
      <w:marBottom w:val="0"/>
      <w:divBdr>
        <w:top w:val="none" w:sz="0" w:space="0" w:color="auto"/>
        <w:left w:val="none" w:sz="0" w:space="0" w:color="auto"/>
        <w:bottom w:val="none" w:sz="0" w:space="0" w:color="auto"/>
        <w:right w:val="none" w:sz="0" w:space="0" w:color="auto"/>
      </w:divBdr>
    </w:div>
    <w:div w:id="1671254767">
      <w:bodyDiv w:val="1"/>
      <w:marLeft w:val="0"/>
      <w:marRight w:val="0"/>
      <w:marTop w:val="0"/>
      <w:marBottom w:val="0"/>
      <w:divBdr>
        <w:top w:val="none" w:sz="0" w:space="0" w:color="auto"/>
        <w:left w:val="none" w:sz="0" w:space="0" w:color="auto"/>
        <w:bottom w:val="none" w:sz="0" w:space="0" w:color="auto"/>
        <w:right w:val="none" w:sz="0" w:space="0" w:color="auto"/>
      </w:divBdr>
    </w:div>
    <w:div w:id="1686981578">
      <w:bodyDiv w:val="1"/>
      <w:marLeft w:val="0"/>
      <w:marRight w:val="0"/>
      <w:marTop w:val="0"/>
      <w:marBottom w:val="0"/>
      <w:divBdr>
        <w:top w:val="none" w:sz="0" w:space="0" w:color="auto"/>
        <w:left w:val="none" w:sz="0" w:space="0" w:color="auto"/>
        <w:bottom w:val="none" w:sz="0" w:space="0" w:color="auto"/>
        <w:right w:val="none" w:sz="0" w:space="0" w:color="auto"/>
      </w:divBdr>
    </w:div>
    <w:div w:id="1690059829">
      <w:bodyDiv w:val="1"/>
      <w:marLeft w:val="0"/>
      <w:marRight w:val="0"/>
      <w:marTop w:val="0"/>
      <w:marBottom w:val="0"/>
      <w:divBdr>
        <w:top w:val="none" w:sz="0" w:space="0" w:color="auto"/>
        <w:left w:val="none" w:sz="0" w:space="0" w:color="auto"/>
        <w:bottom w:val="none" w:sz="0" w:space="0" w:color="auto"/>
        <w:right w:val="none" w:sz="0" w:space="0" w:color="auto"/>
      </w:divBdr>
    </w:div>
    <w:div w:id="1708094218">
      <w:bodyDiv w:val="1"/>
      <w:marLeft w:val="0"/>
      <w:marRight w:val="0"/>
      <w:marTop w:val="0"/>
      <w:marBottom w:val="0"/>
      <w:divBdr>
        <w:top w:val="none" w:sz="0" w:space="0" w:color="auto"/>
        <w:left w:val="none" w:sz="0" w:space="0" w:color="auto"/>
        <w:bottom w:val="none" w:sz="0" w:space="0" w:color="auto"/>
        <w:right w:val="none" w:sz="0" w:space="0" w:color="auto"/>
      </w:divBdr>
    </w:div>
    <w:div w:id="1717581134">
      <w:bodyDiv w:val="1"/>
      <w:marLeft w:val="0"/>
      <w:marRight w:val="0"/>
      <w:marTop w:val="0"/>
      <w:marBottom w:val="0"/>
      <w:divBdr>
        <w:top w:val="none" w:sz="0" w:space="0" w:color="auto"/>
        <w:left w:val="none" w:sz="0" w:space="0" w:color="auto"/>
        <w:bottom w:val="none" w:sz="0" w:space="0" w:color="auto"/>
        <w:right w:val="none" w:sz="0" w:space="0" w:color="auto"/>
      </w:divBdr>
    </w:div>
    <w:div w:id="1828084025">
      <w:bodyDiv w:val="1"/>
      <w:marLeft w:val="0"/>
      <w:marRight w:val="0"/>
      <w:marTop w:val="0"/>
      <w:marBottom w:val="0"/>
      <w:divBdr>
        <w:top w:val="none" w:sz="0" w:space="0" w:color="auto"/>
        <w:left w:val="none" w:sz="0" w:space="0" w:color="auto"/>
        <w:bottom w:val="none" w:sz="0" w:space="0" w:color="auto"/>
        <w:right w:val="none" w:sz="0" w:space="0" w:color="auto"/>
      </w:divBdr>
    </w:div>
    <w:div w:id="1848864068">
      <w:bodyDiv w:val="1"/>
      <w:marLeft w:val="0"/>
      <w:marRight w:val="0"/>
      <w:marTop w:val="0"/>
      <w:marBottom w:val="0"/>
      <w:divBdr>
        <w:top w:val="none" w:sz="0" w:space="0" w:color="auto"/>
        <w:left w:val="none" w:sz="0" w:space="0" w:color="auto"/>
        <w:bottom w:val="none" w:sz="0" w:space="0" w:color="auto"/>
        <w:right w:val="none" w:sz="0" w:space="0" w:color="auto"/>
      </w:divBdr>
    </w:div>
    <w:div w:id="1909416821">
      <w:bodyDiv w:val="1"/>
      <w:marLeft w:val="0"/>
      <w:marRight w:val="0"/>
      <w:marTop w:val="0"/>
      <w:marBottom w:val="0"/>
      <w:divBdr>
        <w:top w:val="none" w:sz="0" w:space="0" w:color="auto"/>
        <w:left w:val="none" w:sz="0" w:space="0" w:color="auto"/>
        <w:bottom w:val="none" w:sz="0" w:space="0" w:color="auto"/>
        <w:right w:val="none" w:sz="0" w:space="0" w:color="auto"/>
      </w:divBdr>
    </w:div>
    <w:div w:id="1925020617">
      <w:bodyDiv w:val="1"/>
      <w:marLeft w:val="0"/>
      <w:marRight w:val="0"/>
      <w:marTop w:val="0"/>
      <w:marBottom w:val="0"/>
      <w:divBdr>
        <w:top w:val="none" w:sz="0" w:space="0" w:color="auto"/>
        <w:left w:val="none" w:sz="0" w:space="0" w:color="auto"/>
        <w:bottom w:val="none" w:sz="0" w:space="0" w:color="auto"/>
        <w:right w:val="none" w:sz="0" w:space="0" w:color="auto"/>
      </w:divBdr>
    </w:div>
    <w:div w:id="2015913462">
      <w:bodyDiv w:val="1"/>
      <w:marLeft w:val="0"/>
      <w:marRight w:val="0"/>
      <w:marTop w:val="0"/>
      <w:marBottom w:val="0"/>
      <w:divBdr>
        <w:top w:val="none" w:sz="0" w:space="0" w:color="auto"/>
        <w:left w:val="none" w:sz="0" w:space="0" w:color="auto"/>
        <w:bottom w:val="none" w:sz="0" w:space="0" w:color="auto"/>
        <w:right w:val="none" w:sz="0" w:space="0" w:color="auto"/>
      </w:divBdr>
    </w:div>
    <w:div w:id="2017533769">
      <w:bodyDiv w:val="1"/>
      <w:marLeft w:val="0"/>
      <w:marRight w:val="0"/>
      <w:marTop w:val="0"/>
      <w:marBottom w:val="0"/>
      <w:divBdr>
        <w:top w:val="none" w:sz="0" w:space="0" w:color="auto"/>
        <w:left w:val="none" w:sz="0" w:space="0" w:color="auto"/>
        <w:bottom w:val="none" w:sz="0" w:space="0" w:color="auto"/>
        <w:right w:val="none" w:sz="0" w:space="0" w:color="auto"/>
      </w:divBdr>
    </w:div>
    <w:div w:id="2031295329">
      <w:bodyDiv w:val="1"/>
      <w:marLeft w:val="0"/>
      <w:marRight w:val="0"/>
      <w:marTop w:val="0"/>
      <w:marBottom w:val="0"/>
      <w:divBdr>
        <w:top w:val="none" w:sz="0" w:space="0" w:color="auto"/>
        <w:left w:val="none" w:sz="0" w:space="0" w:color="auto"/>
        <w:bottom w:val="none" w:sz="0" w:space="0" w:color="auto"/>
        <w:right w:val="none" w:sz="0" w:space="0" w:color="auto"/>
      </w:divBdr>
    </w:div>
    <w:div w:id="2043510620">
      <w:bodyDiv w:val="1"/>
      <w:marLeft w:val="0"/>
      <w:marRight w:val="0"/>
      <w:marTop w:val="0"/>
      <w:marBottom w:val="0"/>
      <w:divBdr>
        <w:top w:val="none" w:sz="0" w:space="0" w:color="auto"/>
        <w:left w:val="none" w:sz="0" w:space="0" w:color="auto"/>
        <w:bottom w:val="none" w:sz="0" w:space="0" w:color="auto"/>
        <w:right w:val="none" w:sz="0" w:space="0" w:color="auto"/>
      </w:divBdr>
    </w:div>
    <w:div w:id="2056925162">
      <w:bodyDiv w:val="1"/>
      <w:marLeft w:val="0"/>
      <w:marRight w:val="0"/>
      <w:marTop w:val="0"/>
      <w:marBottom w:val="0"/>
      <w:divBdr>
        <w:top w:val="none" w:sz="0" w:space="0" w:color="auto"/>
        <w:left w:val="none" w:sz="0" w:space="0" w:color="auto"/>
        <w:bottom w:val="none" w:sz="0" w:space="0" w:color="auto"/>
        <w:right w:val="none" w:sz="0" w:space="0" w:color="auto"/>
      </w:divBdr>
    </w:div>
    <w:div w:id="2088380512">
      <w:bodyDiv w:val="1"/>
      <w:marLeft w:val="0"/>
      <w:marRight w:val="0"/>
      <w:marTop w:val="0"/>
      <w:marBottom w:val="0"/>
      <w:divBdr>
        <w:top w:val="none" w:sz="0" w:space="0" w:color="auto"/>
        <w:left w:val="none" w:sz="0" w:space="0" w:color="auto"/>
        <w:bottom w:val="none" w:sz="0" w:space="0" w:color="auto"/>
        <w:right w:val="none" w:sz="0" w:space="0" w:color="auto"/>
      </w:divBdr>
    </w:div>
    <w:div w:id="210294870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4.xml"/><Relationship Id="rId18" Type="http://schemas.openxmlformats.org/officeDocument/2006/relationships/chart" Target="charts/chart9.xml"/><Relationship Id="rId26" Type="http://schemas.openxmlformats.org/officeDocument/2006/relationships/chart" Target="charts/chart17.xml"/><Relationship Id="rId39" Type="http://schemas.openxmlformats.org/officeDocument/2006/relationships/chart" Target="charts/chart30.xml"/><Relationship Id="rId21" Type="http://schemas.openxmlformats.org/officeDocument/2006/relationships/chart" Target="charts/chart12.xml"/><Relationship Id="rId34" Type="http://schemas.openxmlformats.org/officeDocument/2006/relationships/chart" Target="charts/chart25.xml"/><Relationship Id="rId42" Type="http://schemas.openxmlformats.org/officeDocument/2006/relationships/chart" Target="charts/chart33.xml"/><Relationship Id="rId47" Type="http://schemas.openxmlformats.org/officeDocument/2006/relationships/chart" Target="charts/chart38.xml"/><Relationship Id="rId50" Type="http://schemas.openxmlformats.org/officeDocument/2006/relationships/chart" Target="charts/chart41.xml"/><Relationship Id="rId55" Type="http://schemas.openxmlformats.org/officeDocument/2006/relationships/chart" Target="charts/chart46.xml"/><Relationship Id="rId63" Type="http://schemas.openxmlformats.org/officeDocument/2006/relationships/chart" Target="charts/chart5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chart" Target="charts/chart11.xml"/><Relationship Id="rId29" Type="http://schemas.openxmlformats.org/officeDocument/2006/relationships/chart" Target="charts/chart20.xml"/><Relationship Id="rId41" Type="http://schemas.openxmlformats.org/officeDocument/2006/relationships/chart" Target="charts/chart32.xml"/><Relationship Id="rId54" Type="http://schemas.openxmlformats.org/officeDocument/2006/relationships/chart" Target="charts/chart45.xml"/><Relationship Id="rId62" Type="http://schemas.openxmlformats.org/officeDocument/2006/relationships/chart" Target="charts/chart5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chart" Target="charts/chart15.xml"/><Relationship Id="rId32" Type="http://schemas.openxmlformats.org/officeDocument/2006/relationships/chart" Target="charts/chart23.xml"/><Relationship Id="rId37" Type="http://schemas.openxmlformats.org/officeDocument/2006/relationships/chart" Target="charts/chart28.xml"/><Relationship Id="rId40" Type="http://schemas.openxmlformats.org/officeDocument/2006/relationships/chart" Target="charts/chart31.xml"/><Relationship Id="rId45" Type="http://schemas.openxmlformats.org/officeDocument/2006/relationships/chart" Target="charts/chart36.xml"/><Relationship Id="rId53" Type="http://schemas.openxmlformats.org/officeDocument/2006/relationships/chart" Target="charts/chart44.xml"/><Relationship Id="rId58" Type="http://schemas.openxmlformats.org/officeDocument/2006/relationships/chart" Target="charts/chart49.xml"/><Relationship Id="rId66"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6.xml"/><Relationship Id="rId23" Type="http://schemas.openxmlformats.org/officeDocument/2006/relationships/chart" Target="charts/chart14.xml"/><Relationship Id="rId28" Type="http://schemas.openxmlformats.org/officeDocument/2006/relationships/chart" Target="charts/chart19.xml"/><Relationship Id="rId36" Type="http://schemas.openxmlformats.org/officeDocument/2006/relationships/chart" Target="charts/chart27.xml"/><Relationship Id="rId49" Type="http://schemas.openxmlformats.org/officeDocument/2006/relationships/chart" Target="charts/chart40.xml"/><Relationship Id="rId57" Type="http://schemas.openxmlformats.org/officeDocument/2006/relationships/chart" Target="charts/chart48.xml"/><Relationship Id="rId61" Type="http://schemas.openxmlformats.org/officeDocument/2006/relationships/chart" Target="charts/chart52.xml"/><Relationship Id="rId10" Type="http://schemas.openxmlformats.org/officeDocument/2006/relationships/chart" Target="charts/chart2.xml"/><Relationship Id="rId19" Type="http://schemas.openxmlformats.org/officeDocument/2006/relationships/chart" Target="charts/chart10.xml"/><Relationship Id="rId31" Type="http://schemas.openxmlformats.org/officeDocument/2006/relationships/chart" Target="charts/chart22.xml"/><Relationship Id="rId44" Type="http://schemas.openxmlformats.org/officeDocument/2006/relationships/chart" Target="charts/chart35.xml"/><Relationship Id="rId52" Type="http://schemas.openxmlformats.org/officeDocument/2006/relationships/chart" Target="charts/chart43.xml"/><Relationship Id="rId60" Type="http://schemas.openxmlformats.org/officeDocument/2006/relationships/chart" Target="charts/chart51.xm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5.xml"/><Relationship Id="rId22" Type="http://schemas.openxmlformats.org/officeDocument/2006/relationships/chart" Target="charts/chart13.xml"/><Relationship Id="rId27" Type="http://schemas.openxmlformats.org/officeDocument/2006/relationships/chart" Target="charts/chart18.xml"/><Relationship Id="rId30" Type="http://schemas.openxmlformats.org/officeDocument/2006/relationships/chart" Target="charts/chart21.xml"/><Relationship Id="rId35" Type="http://schemas.openxmlformats.org/officeDocument/2006/relationships/chart" Target="charts/chart26.xml"/><Relationship Id="rId43" Type="http://schemas.openxmlformats.org/officeDocument/2006/relationships/chart" Target="charts/chart34.xml"/><Relationship Id="rId48" Type="http://schemas.openxmlformats.org/officeDocument/2006/relationships/chart" Target="charts/chart39.xml"/><Relationship Id="rId56" Type="http://schemas.openxmlformats.org/officeDocument/2006/relationships/chart" Target="charts/chart47.xml"/><Relationship Id="rId64" Type="http://schemas.openxmlformats.org/officeDocument/2006/relationships/footer" Target="footer1.xml"/><Relationship Id="rId8" Type="http://schemas.openxmlformats.org/officeDocument/2006/relationships/image" Target="media/image1.jpeg"/><Relationship Id="rId51" Type="http://schemas.openxmlformats.org/officeDocument/2006/relationships/chart" Target="charts/chart42.xm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chart" Target="charts/chart8.xml"/><Relationship Id="rId25" Type="http://schemas.openxmlformats.org/officeDocument/2006/relationships/chart" Target="charts/chart16.xml"/><Relationship Id="rId33" Type="http://schemas.openxmlformats.org/officeDocument/2006/relationships/chart" Target="charts/chart24.xml"/><Relationship Id="rId38" Type="http://schemas.openxmlformats.org/officeDocument/2006/relationships/chart" Target="charts/chart29.xml"/><Relationship Id="rId46" Type="http://schemas.openxmlformats.org/officeDocument/2006/relationships/chart" Target="charts/chart37.xml"/><Relationship Id="rId59" Type="http://schemas.openxmlformats.org/officeDocument/2006/relationships/chart" Target="charts/chart50.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lachl\Dropbox\SPR%20Documents\City%20of%20Melbourne%20Baseline%20Study\New%20working%20building%20database%20-%20current.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lachl\Dropbox\SPR%20Documents\City%20of%20Melbourne%20Baseline%20Study\New%20working%20building%20database%20-%20current.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lachl\Dropbox\SPR%20Documents\City%20of%20Melbourne%20Baseline%20Study\New%20working%20building%20database%20-%20current.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C:\Users\lachl\Dropbox\SPR%20Documents\City%20of%20Melbourne%20Baseline%20Study\New%20working%20building%20database%20-%20current.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C:\Users\lachl\Dropbox\SPR%20Documents\City%20of%20Melbourne%20Baseline%20Study\New%20working%20building%20database%20-%20current.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file:///C:\Users\lachl\Dropbox\SPR%20Documents\City%20of%20Melbourne%20Baseline%20Study\New%20working%20building%20database%20-%20current.xlsx"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file:///C:\Users\lachl\Dropbox\SPR%20Documents\City%20of%20Melbourne%20Baseline%20Study\New%20working%20building%20database%20-%20current.xlsx" TargetMode="External"/><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oleObject" Target="https://d.docs.live.net/a8ef97995cb43878/Desktop/SPR%20documents/City%20of%20Melbourne%20baseline/New%20working%20building%20database%20-%20backup.xlsx" TargetMode="External"/><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oleObject" Target="file:///C:\Users\lachl\Dropbox\SPR%20Documents\City%20of%20Melbourne%20Baseline%20Study\New%20working%20building%20database%20-%20current.xlsx" TargetMode="External"/><Relationship Id="rId2" Type="http://schemas.microsoft.com/office/2011/relationships/chartColorStyle" Target="colors17.xml"/><Relationship Id="rId1" Type="http://schemas.microsoft.com/office/2011/relationships/chartStyle" Target="style17.xml"/></Relationships>
</file>

<file path=word/charts/_rels/chart18.xml.rels><?xml version="1.0" encoding="UTF-8" standalone="yes"?>
<Relationships xmlns="http://schemas.openxmlformats.org/package/2006/relationships"><Relationship Id="rId3" Type="http://schemas.openxmlformats.org/officeDocument/2006/relationships/oleObject" Target="file:///C:\Users\lachl\Dropbox\SPR%20Documents\City%20of%20Melbourne%20Baseline%20Study\New%20working%20building%20database%20-%20current.xlsx" TargetMode="External"/><Relationship Id="rId2" Type="http://schemas.microsoft.com/office/2011/relationships/chartColorStyle" Target="colors18.xml"/><Relationship Id="rId1" Type="http://schemas.microsoft.com/office/2011/relationships/chartStyle" Target="style18.xml"/></Relationships>
</file>

<file path=word/charts/_rels/chart19.xml.rels><?xml version="1.0" encoding="UTF-8" standalone="yes"?>
<Relationships xmlns="http://schemas.openxmlformats.org/package/2006/relationships"><Relationship Id="rId3" Type="http://schemas.openxmlformats.org/officeDocument/2006/relationships/oleObject" Target="file:///C:\Users\lachl\Dropbox\SPR%20Documents\City%20of%20Melbourne%20Baseline%20Study\New%20working%20building%20database%20-%20current.xlsx" TargetMode="External"/><Relationship Id="rId2" Type="http://schemas.microsoft.com/office/2011/relationships/chartColorStyle" Target="colors19.xml"/><Relationship Id="rId1" Type="http://schemas.microsoft.com/office/2011/relationships/chartStyle" Target="style19.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lachl\Dropbox\SPR%20Documents\City%20of%20Melbourne%20Baseline%20Study\New%20working%20building%20database%20-%20clean%20copy%20for%20Maria.xlsx" TargetMode="External"/><Relationship Id="rId2" Type="http://schemas.microsoft.com/office/2011/relationships/chartColorStyle" Target="colors2.xml"/><Relationship Id="rId1" Type="http://schemas.microsoft.com/office/2011/relationships/chartStyle" Target="style2.xml"/></Relationships>
</file>

<file path=word/charts/_rels/chart20.xml.rels><?xml version="1.0" encoding="UTF-8" standalone="yes"?>
<Relationships xmlns="http://schemas.openxmlformats.org/package/2006/relationships"><Relationship Id="rId3" Type="http://schemas.openxmlformats.org/officeDocument/2006/relationships/oleObject" Target="file:///C:\Users\lachl\Dropbox\SPR%20Documents\City%20of%20Melbourne%20Baseline%20Study\New%20working%20building%20database%20-%20current.xlsx" TargetMode="External"/><Relationship Id="rId2" Type="http://schemas.microsoft.com/office/2011/relationships/chartColorStyle" Target="colors20.xml"/><Relationship Id="rId1" Type="http://schemas.microsoft.com/office/2011/relationships/chartStyle" Target="style20.xml"/></Relationships>
</file>

<file path=word/charts/_rels/chart21.xml.rels><?xml version="1.0" encoding="UTF-8" standalone="yes"?>
<Relationships xmlns="http://schemas.openxmlformats.org/package/2006/relationships"><Relationship Id="rId3" Type="http://schemas.openxmlformats.org/officeDocument/2006/relationships/oleObject" Target="file:///C:\Users\lachl\Dropbox\SPR%20Documents\City%20of%20Melbourne%20Baseline%20Study\New%20working%20building%20database%20-%20current.xlsx" TargetMode="External"/><Relationship Id="rId2" Type="http://schemas.microsoft.com/office/2011/relationships/chartColorStyle" Target="colors21.xml"/><Relationship Id="rId1" Type="http://schemas.microsoft.com/office/2011/relationships/chartStyle" Target="style21.xml"/></Relationships>
</file>

<file path=word/charts/_rels/chart22.xml.rels><?xml version="1.0" encoding="UTF-8" standalone="yes"?>
<Relationships xmlns="http://schemas.openxmlformats.org/package/2006/relationships"><Relationship Id="rId3" Type="http://schemas.openxmlformats.org/officeDocument/2006/relationships/oleObject" Target="file:///C:\Users\lachl\Dropbox\SPR%20Documents\City%20of%20Melbourne%20Baseline%20Study\New%20working%20building%20database%20-%20current.xlsx" TargetMode="External"/><Relationship Id="rId2" Type="http://schemas.microsoft.com/office/2011/relationships/chartColorStyle" Target="colors22.xml"/><Relationship Id="rId1" Type="http://schemas.microsoft.com/office/2011/relationships/chartStyle" Target="style22.xml"/></Relationships>
</file>

<file path=word/charts/_rels/chart23.xml.rels><?xml version="1.0" encoding="UTF-8" standalone="yes"?>
<Relationships xmlns="http://schemas.openxmlformats.org/package/2006/relationships"><Relationship Id="rId3" Type="http://schemas.openxmlformats.org/officeDocument/2006/relationships/oleObject" Target="file:///C:\Users\lachl\Dropbox\SPR%20Documents\City%20of%20Melbourne%20Baseline%20Study\New%20working%20building%20database%20-%20clean%20copy%20for%20Maria.xlsx" TargetMode="External"/><Relationship Id="rId2" Type="http://schemas.microsoft.com/office/2011/relationships/chartColorStyle" Target="colors23.xml"/><Relationship Id="rId1" Type="http://schemas.microsoft.com/office/2011/relationships/chartStyle" Target="style23.xml"/></Relationships>
</file>

<file path=word/charts/_rels/chart24.xml.rels><?xml version="1.0" encoding="UTF-8" standalone="yes"?>
<Relationships xmlns="http://schemas.openxmlformats.org/package/2006/relationships"><Relationship Id="rId3" Type="http://schemas.openxmlformats.org/officeDocument/2006/relationships/oleObject" Target="file:///C:\Users\lachl\Dropbox\SPR%20Documents\City%20of%20Melbourne%20Baseline%20Study\New%20working%20building%20database%20-%20clean%20copy%20for%20Maria.xlsx" TargetMode="External"/><Relationship Id="rId2" Type="http://schemas.microsoft.com/office/2011/relationships/chartColorStyle" Target="colors24.xml"/><Relationship Id="rId1" Type="http://schemas.microsoft.com/office/2011/relationships/chartStyle" Target="style24.xml"/></Relationships>
</file>

<file path=word/charts/_rels/chart25.xml.rels><?xml version="1.0" encoding="UTF-8" standalone="yes"?>
<Relationships xmlns="http://schemas.openxmlformats.org/package/2006/relationships"><Relationship Id="rId3" Type="http://schemas.openxmlformats.org/officeDocument/2006/relationships/oleObject" Target="https://d.docs.live.net/a8ef97995cb43878/Desktop/SPR%20documents/City%20of%20Melbourne%20baseline/New%20working%20building%20database%20-%20backup.xlsx" TargetMode="External"/><Relationship Id="rId2" Type="http://schemas.microsoft.com/office/2011/relationships/chartColorStyle" Target="colors25.xml"/><Relationship Id="rId1" Type="http://schemas.microsoft.com/office/2011/relationships/chartStyle" Target="style25.xml"/></Relationships>
</file>

<file path=word/charts/_rels/chart26.xml.rels><?xml version="1.0" encoding="UTF-8" standalone="yes"?>
<Relationships xmlns="http://schemas.openxmlformats.org/package/2006/relationships"><Relationship Id="rId3" Type="http://schemas.openxmlformats.org/officeDocument/2006/relationships/oleObject" Target="https://d.docs.live.net/a8ef97995cb43878/Desktop/SPR%20documents/City%20of%20Melbourne%20baseline/New%20working%20building%20database%20-%20backup.xlsx" TargetMode="External"/><Relationship Id="rId2" Type="http://schemas.microsoft.com/office/2011/relationships/chartColorStyle" Target="colors26.xml"/><Relationship Id="rId1" Type="http://schemas.microsoft.com/office/2011/relationships/chartStyle" Target="style26.xml"/></Relationships>
</file>

<file path=word/charts/_rels/chart27.xml.rels><?xml version="1.0" encoding="UTF-8" standalone="yes"?>
<Relationships xmlns="http://schemas.openxmlformats.org/package/2006/relationships"><Relationship Id="rId3" Type="http://schemas.openxmlformats.org/officeDocument/2006/relationships/oleObject" Target="https://d.docs.live.net/a8ef97995cb43878/Desktop/SPR%20documents/City%20of%20Melbourne%20baseline/New%20working%20building%20database%20-%20backup.xlsx" TargetMode="External"/><Relationship Id="rId2" Type="http://schemas.microsoft.com/office/2011/relationships/chartColorStyle" Target="colors27.xml"/><Relationship Id="rId1" Type="http://schemas.microsoft.com/office/2011/relationships/chartStyle" Target="style27.xml"/></Relationships>
</file>

<file path=word/charts/_rels/chart28.xml.rels><?xml version="1.0" encoding="UTF-8" standalone="yes"?>
<Relationships xmlns="http://schemas.openxmlformats.org/package/2006/relationships"><Relationship Id="rId3" Type="http://schemas.openxmlformats.org/officeDocument/2006/relationships/oleObject" Target="file:///C:\Users\lachl\Dropbox\SPR%20Documents\City%20of%20Melbourne%20Baseline%20Study\New%20working%20building%20database%20-%20current.xlsx" TargetMode="External"/><Relationship Id="rId2" Type="http://schemas.microsoft.com/office/2011/relationships/chartColorStyle" Target="colors28.xml"/><Relationship Id="rId1" Type="http://schemas.microsoft.com/office/2011/relationships/chartStyle" Target="style28.xml"/></Relationships>
</file>

<file path=word/charts/_rels/chart29.xml.rels><?xml version="1.0" encoding="UTF-8" standalone="yes"?>
<Relationships xmlns="http://schemas.openxmlformats.org/package/2006/relationships"><Relationship Id="rId3" Type="http://schemas.openxmlformats.org/officeDocument/2006/relationships/oleObject" Target="file:///C:\Users\lachl\Dropbox\SPR%20Documents\City%20of%20Melbourne%20Baseline%20Study\New%20working%20building%20database%20-%20clean%20copy%20for%20Maria.xlsx" TargetMode="External"/><Relationship Id="rId2" Type="http://schemas.microsoft.com/office/2011/relationships/chartColorStyle" Target="colors29.xml"/><Relationship Id="rId1" Type="http://schemas.microsoft.com/office/2011/relationships/chartStyle" Target="style29.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lachl\Dropbox\SPR%20Documents\City%20of%20Melbourne%20Baseline%20Study\New%20working%20building%20database%20-%20clean%20copy%20for%20Maria.xlsx" TargetMode="External"/><Relationship Id="rId2" Type="http://schemas.microsoft.com/office/2011/relationships/chartColorStyle" Target="colors3.xml"/><Relationship Id="rId1" Type="http://schemas.microsoft.com/office/2011/relationships/chartStyle" Target="style3.xml"/></Relationships>
</file>

<file path=word/charts/_rels/chart30.xml.rels><?xml version="1.0" encoding="UTF-8" standalone="yes"?>
<Relationships xmlns="http://schemas.openxmlformats.org/package/2006/relationships"><Relationship Id="rId3" Type="http://schemas.openxmlformats.org/officeDocument/2006/relationships/oleObject" Target="file:///C:\Users\lachl\Dropbox\SPR%20Documents\City%20of%20Melbourne%20Baseline%20Study\New%20working%20building%20database%20-%20clean%20copy%20for%20Maria.xlsx" TargetMode="External"/><Relationship Id="rId2" Type="http://schemas.microsoft.com/office/2011/relationships/chartColorStyle" Target="colors30.xml"/><Relationship Id="rId1" Type="http://schemas.microsoft.com/office/2011/relationships/chartStyle" Target="style30.xml"/></Relationships>
</file>

<file path=word/charts/_rels/chart31.xml.rels><?xml version="1.0" encoding="UTF-8" standalone="yes"?>
<Relationships xmlns="http://schemas.openxmlformats.org/package/2006/relationships"><Relationship Id="rId3" Type="http://schemas.openxmlformats.org/officeDocument/2006/relationships/oleObject" Target="file:///C:\Users\lachl\Dropbox\SPR%20Documents\City%20of%20Melbourne%20Baseline%20Study\New%20working%20building%20database%20-%20clean%20copy%20for%20Maria.xlsx" TargetMode="External"/><Relationship Id="rId2" Type="http://schemas.microsoft.com/office/2011/relationships/chartColorStyle" Target="colors31.xml"/><Relationship Id="rId1" Type="http://schemas.microsoft.com/office/2011/relationships/chartStyle" Target="style31.xml"/></Relationships>
</file>

<file path=word/charts/_rels/chart32.xml.rels><?xml version="1.0" encoding="UTF-8" standalone="yes"?>
<Relationships xmlns="http://schemas.openxmlformats.org/package/2006/relationships"><Relationship Id="rId3" Type="http://schemas.openxmlformats.org/officeDocument/2006/relationships/oleObject" Target="file:///C:\Users\lachl\Dropbox\SPR%20Documents\City%20of%20Melbourne%20Baseline%20Study\New%20working%20building%20database%20-%20clean%20copy%20for%20Maria.xlsx" TargetMode="External"/><Relationship Id="rId2" Type="http://schemas.microsoft.com/office/2011/relationships/chartColorStyle" Target="colors32.xml"/><Relationship Id="rId1" Type="http://schemas.microsoft.com/office/2011/relationships/chartStyle" Target="style32.xml"/></Relationships>
</file>

<file path=word/charts/_rels/chart33.xml.rels><?xml version="1.0" encoding="UTF-8" standalone="yes"?>
<Relationships xmlns="http://schemas.openxmlformats.org/package/2006/relationships"><Relationship Id="rId3" Type="http://schemas.openxmlformats.org/officeDocument/2006/relationships/oleObject" Target="file:///C:\Users\lachl\Dropbox\SPR%20Documents\City%20of%20Melbourne%20Baseline%20Study\New%20working%20building%20database%20-%20clean%20copy%20for%20Maria.xlsx" TargetMode="External"/><Relationship Id="rId2" Type="http://schemas.microsoft.com/office/2011/relationships/chartColorStyle" Target="colors33.xml"/><Relationship Id="rId1" Type="http://schemas.microsoft.com/office/2011/relationships/chartStyle" Target="style33.xml"/></Relationships>
</file>

<file path=word/charts/_rels/chart34.xml.rels><?xml version="1.0" encoding="UTF-8" standalone="yes"?>
<Relationships xmlns="http://schemas.openxmlformats.org/package/2006/relationships"><Relationship Id="rId3" Type="http://schemas.openxmlformats.org/officeDocument/2006/relationships/oleObject" Target="file:///C:\Users\lachl\Dropbox\SPR%20Documents\City%20of%20Melbourne%20Baseline%20Study\New%20working%20building%20database%20-%20clean%20copy%20for%20Maria.xlsx" TargetMode="External"/><Relationship Id="rId2" Type="http://schemas.microsoft.com/office/2011/relationships/chartColorStyle" Target="colors34.xml"/><Relationship Id="rId1" Type="http://schemas.microsoft.com/office/2011/relationships/chartStyle" Target="style34.xml"/></Relationships>
</file>

<file path=word/charts/_rels/chart35.xml.rels><?xml version="1.0" encoding="UTF-8" standalone="yes"?>
<Relationships xmlns="http://schemas.openxmlformats.org/package/2006/relationships"><Relationship Id="rId3" Type="http://schemas.openxmlformats.org/officeDocument/2006/relationships/oleObject" Target="file:///C:\Users\lachl\Dropbox\SPR%20Documents\City%20of%20Melbourne%20Baseline%20Study\New%20working%20building%20database%20-%20clean%20copy%20for%20Maria.xlsx" TargetMode="External"/><Relationship Id="rId2" Type="http://schemas.microsoft.com/office/2011/relationships/chartColorStyle" Target="colors35.xml"/><Relationship Id="rId1" Type="http://schemas.microsoft.com/office/2011/relationships/chartStyle" Target="style35.xml"/></Relationships>
</file>

<file path=word/charts/_rels/chart36.xml.rels><?xml version="1.0" encoding="UTF-8" standalone="yes"?>
<Relationships xmlns="http://schemas.openxmlformats.org/package/2006/relationships"><Relationship Id="rId3" Type="http://schemas.openxmlformats.org/officeDocument/2006/relationships/oleObject" Target="https://d.docs.live.net/a8ef97995cb43878/Desktop/SPR%20documents/City%20of%20Melbourne%20baseline/New%20working%20building%20database%20-%20backup.xlsx" TargetMode="External"/><Relationship Id="rId2" Type="http://schemas.microsoft.com/office/2011/relationships/chartColorStyle" Target="colors36.xml"/><Relationship Id="rId1" Type="http://schemas.microsoft.com/office/2011/relationships/chartStyle" Target="style36.xml"/></Relationships>
</file>

<file path=word/charts/_rels/chart37.xml.rels><?xml version="1.0" encoding="UTF-8" standalone="yes"?>
<Relationships xmlns="http://schemas.openxmlformats.org/package/2006/relationships"><Relationship Id="rId3" Type="http://schemas.openxmlformats.org/officeDocument/2006/relationships/oleObject" Target="file:///C:\Users\lachl\Dropbox\SPR%20Documents\City%20of%20Melbourne%20Baseline%20Study\New%20working%20building%20database%20-%20current.xlsx" TargetMode="External"/><Relationship Id="rId2" Type="http://schemas.microsoft.com/office/2011/relationships/chartColorStyle" Target="colors37.xml"/><Relationship Id="rId1" Type="http://schemas.microsoft.com/office/2011/relationships/chartStyle" Target="style37.xml"/></Relationships>
</file>

<file path=word/charts/_rels/chart38.xml.rels><?xml version="1.0" encoding="UTF-8" standalone="yes"?>
<Relationships xmlns="http://schemas.openxmlformats.org/package/2006/relationships"><Relationship Id="rId3" Type="http://schemas.openxmlformats.org/officeDocument/2006/relationships/oleObject" Target="https://d.docs.live.net/a8ef97995cb43878/Desktop/SPR%20documents/City%20of%20Melbourne%20baseline/Office%20calcs%20V2.xlsx" TargetMode="External"/><Relationship Id="rId2" Type="http://schemas.microsoft.com/office/2011/relationships/chartColorStyle" Target="colors38.xml"/><Relationship Id="rId1" Type="http://schemas.microsoft.com/office/2011/relationships/chartStyle" Target="style38.xml"/></Relationships>
</file>

<file path=word/charts/_rels/chart39.xml.rels><?xml version="1.0" encoding="UTF-8" standalone="yes"?>
<Relationships xmlns="http://schemas.openxmlformats.org/package/2006/relationships"><Relationship Id="rId3" Type="http://schemas.openxmlformats.org/officeDocument/2006/relationships/oleObject" Target="file:///C:\Users\lachl\Dropbox\SPR%20Documents\City%20of%20Melbourne%20Baseline%20Study\New%20working%20building%20database%20-%20current.xlsx" TargetMode="External"/><Relationship Id="rId2" Type="http://schemas.microsoft.com/office/2011/relationships/chartColorStyle" Target="colors39.xml"/><Relationship Id="rId1" Type="http://schemas.microsoft.com/office/2011/relationships/chartStyle" Target="style39.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lachl\Dropbox\SPR%20Documents\City%20of%20Melbourne%20Baseline%20Study\New%20working%20building%20database%20-%20clean%20copy%20for%20Maria.xlsx" TargetMode="External"/><Relationship Id="rId2" Type="http://schemas.microsoft.com/office/2011/relationships/chartColorStyle" Target="colors4.xml"/><Relationship Id="rId1" Type="http://schemas.microsoft.com/office/2011/relationships/chartStyle" Target="style4.xml"/></Relationships>
</file>

<file path=word/charts/_rels/chart40.xml.rels><?xml version="1.0" encoding="UTF-8" standalone="yes"?>
<Relationships xmlns="http://schemas.openxmlformats.org/package/2006/relationships"><Relationship Id="rId3" Type="http://schemas.openxmlformats.org/officeDocument/2006/relationships/oleObject" Target="file:///C:\Users\lachl\Dropbox\SPR%20Documents\City%20of%20Melbourne%20Baseline%20Study\New%20working%20building%20database%20-%20clean%20copy%20for%20Maria.xlsx" TargetMode="External"/><Relationship Id="rId2" Type="http://schemas.microsoft.com/office/2011/relationships/chartColorStyle" Target="colors40.xml"/><Relationship Id="rId1" Type="http://schemas.microsoft.com/office/2011/relationships/chartStyle" Target="style40.xml"/></Relationships>
</file>

<file path=word/charts/_rels/chart41.xml.rels><?xml version="1.0" encoding="UTF-8" standalone="yes"?>
<Relationships xmlns="http://schemas.openxmlformats.org/package/2006/relationships"><Relationship Id="rId3" Type="http://schemas.openxmlformats.org/officeDocument/2006/relationships/oleObject" Target="https://d.docs.live.net/a8ef97995cb43878/Desktop/SPR%20documents/City%20of%20Melbourne%20baseline/New%20working%20building%20database%20-%20backup.xlsx" TargetMode="External"/><Relationship Id="rId2" Type="http://schemas.microsoft.com/office/2011/relationships/chartColorStyle" Target="colors41.xml"/><Relationship Id="rId1" Type="http://schemas.microsoft.com/office/2011/relationships/chartStyle" Target="style41.xml"/></Relationships>
</file>

<file path=word/charts/_rels/chart42.xml.rels><?xml version="1.0" encoding="UTF-8" standalone="yes"?>
<Relationships xmlns="http://schemas.openxmlformats.org/package/2006/relationships"><Relationship Id="rId3" Type="http://schemas.openxmlformats.org/officeDocument/2006/relationships/oleObject" Target="https://d.docs.live.net/a8ef97995cb43878/Desktop/SPR%20documents/City%20of%20Melbourne%20baseline/New%20working%20building%20database%20-%20backup.xlsx" TargetMode="External"/><Relationship Id="rId2" Type="http://schemas.microsoft.com/office/2011/relationships/chartColorStyle" Target="colors42.xml"/><Relationship Id="rId1" Type="http://schemas.microsoft.com/office/2011/relationships/chartStyle" Target="style42.xml"/></Relationships>
</file>

<file path=word/charts/_rels/chart43.xml.rels><?xml version="1.0" encoding="UTF-8" standalone="yes"?>
<Relationships xmlns="http://schemas.openxmlformats.org/package/2006/relationships"><Relationship Id="rId3" Type="http://schemas.openxmlformats.org/officeDocument/2006/relationships/oleObject" Target="https://d.docs.live.net/a8ef97995cb43878/Desktop/SPR%20documents/City%20of%20Melbourne%20baseline/New%20working%20building%20database%20-%20backup.xlsx" TargetMode="External"/><Relationship Id="rId2" Type="http://schemas.microsoft.com/office/2011/relationships/chartColorStyle" Target="colors43.xml"/><Relationship Id="rId1" Type="http://schemas.microsoft.com/office/2011/relationships/chartStyle" Target="style43.xml"/></Relationships>
</file>

<file path=word/charts/_rels/chart44.xml.rels><?xml version="1.0" encoding="UTF-8" standalone="yes"?>
<Relationships xmlns="http://schemas.openxmlformats.org/package/2006/relationships"><Relationship Id="rId3" Type="http://schemas.openxmlformats.org/officeDocument/2006/relationships/oleObject" Target="https://d.docs.live.net/a8ef97995cb43878/Desktop/SPR%20documents/City%20of%20Melbourne%20baseline/Gas%20calcs.xlsx" TargetMode="External"/><Relationship Id="rId2" Type="http://schemas.microsoft.com/office/2011/relationships/chartColorStyle" Target="colors44.xml"/><Relationship Id="rId1" Type="http://schemas.microsoft.com/office/2011/relationships/chartStyle" Target="style44.xml"/></Relationships>
</file>

<file path=word/charts/_rels/chart45.xml.rels><?xml version="1.0" encoding="UTF-8" standalone="yes"?>
<Relationships xmlns="http://schemas.openxmlformats.org/package/2006/relationships"><Relationship Id="rId3" Type="http://schemas.openxmlformats.org/officeDocument/2006/relationships/oleObject" Target="https://d.docs.live.net/a8ef97995cb43878/Desktop/SPR%20documents/City%20of%20Melbourne%20baseline/Gas%20calcs.xlsx" TargetMode="External"/><Relationship Id="rId2" Type="http://schemas.microsoft.com/office/2011/relationships/chartColorStyle" Target="colors45.xml"/><Relationship Id="rId1" Type="http://schemas.microsoft.com/office/2011/relationships/chartStyle" Target="style45.xml"/></Relationships>
</file>

<file path=word/charts/_rels/chart46.xml.rels><?xml version="1.0" encoding="UTF-8" standalone="yes"?>
<Relationships xmlns="http://schemas.openxmlformats.org/package/2006/relationships"><Relationship Id="rId3" Type="http://schemas.openxmlformats.org/officeDocument/2006/relationships/oleObject" Target="https://d.docs.live.net/a8ef97995cb43878/Desktop/SPR%20documents/City%20of%20Melbourne%20baseline/New%20working%20building%20database%20-%20backup.xlsx" TargetMode="External"/><Relationship Id="rId2" Type="http://schemas.microsoft.com/office/2011/relationships/chartColorStyle" Target="colors46.xml"/><Relationship Id="rId1" Type="http://schemas.microsoft.com/office/2011/relationships/chartStyle" Target="style46.xml"/></Relationships>
</file>

<file path=word/charts/_rels/chart47.xml.rels><?xml version="1.0" encoding="UTF-8" standalone="yes"?>
<Relationships xmlns="http://schemas.openxmlformats.org/package/2006/relationships"><Relationship Id="rId3" Type="http://schemas.openxmlformats.org/officeDocument/2006/relationships/oleObject" Target="file:///C:\Users\lachl\Dropbox\SPR%20Documents\City%20of%20Melbourne%20Baseline%20Study\New%20working%20building%20database%20-%20clean%20copy%20for%20Maria.xlsx" TargetMode="External"/><Relationship Id="rId2" Type="http://schemas.microsoft.com/office/2011/relationships/chartColorStyle" Target="colors47.xml"/><Relationship Id="rId1" Type="http://schemas.microsoft.com/office/2011/relationships/chartStyle" Target="style47.xml"/></Relationships>
</file>

<file path=word/charts/_rels/chart48.xml.rels><?xml version="1.0" encoding="UTF-8" standalone="yes"?>
<Relationships xmlns="http://schemas.openxmlformats.org/package/2006/relationships"><Relationship Id="rId3" Type="http://schemas.openxmlformats.org/officeDocument/2006/relationships/oleObject" Target="file:///C:\Users\lachl\Dropbox\SPR%20Documents\City%20of%20Melbourne%20Baseline%20Study\New%20working%20building%20database%20-%20current.xlsx" TargetMode="External"/><Relationship Id="rId2" Type="http://schemas.microsoft.com/office/2011/relationships/chartColorStyle" Target="colors48.xml"/><Relationship Id="rId1" Type="http://schemas.microsoft.com/office/2011/relationships/chartStyle" Target="style48.xml"/></Relationships>
</file>

<file path=word/charts/_rels/chart49.xml.rels><?xml version="1.0" encoding="UTF-8" standalone="yes"?>
<Relationships xmlns="http://schemas.openxmlformats.org/package/2006/relationships"><Relationship Id="rId3" Type="http://schemas.openxmlformats.org/officeDocument/2006/relationships/oleObject" Target="file:///C:\Users\lachl\Dropbox\SPR%20Documents\City%20of%20Melbourne%20Baseline%20Study\New%20working%20building%20database%20-%20clean%20copy%20for%20Maria.xlsx" TargetMode="External"/><Relationship Id="rId2" Type="http://schemas.microsoft.com/office/2011/relationships/chartColorStyle" Target="colors49.xml"/><Relationship Id="rId1" Type="http://schemas.microsoft.com/office/2011/relationships/chartStyle" Target="style49.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lachl\Dropbox\SPR%20Documents\City%20of%20Melbourne%20Baseline%20Study\New%20working%20building%20database%20-%20clean%20copy%20for%20Maria.xlsx" TargetMode="External"/><Relationship Id="rId2" Type="http://schemas.microsoft.com/office/2011/relationships/chartColorStyle" Target="colors5.xml"/><Relationship Id="rId1" Type="http://schemas.microsoft.com/office/2011/relationships/chartStyle" Target="style5.xml"/></Relationships>
</file>

<file path=word/charts/_rels/chart50.xml.rels><?xml version="1.0" encoding="UTF-8" standalone="yes"?>
<Relationships xmlns="http://schemas.openxmlformats.org/package/2006/relationships"><Relationship Id="rId3" Type="http://schemas.openxmlformats.org/officeDocument/2006/relationships/oleObject" Target="file:///C:\Users\lachl\Dropbox\SPR%20Documents\City%20of%20Melbourne%20Baseline%20Study\New%20working%20building%20database%20-%20clean%20copy%20for%20Maria.xlsx" TargetMode="External"/><Relationship Id="rId2" Type="http://schemas.microsoft.com/office/2011/relationships/chartColorStyle" Target="colors50.xml"/><Relationship Id="rId1" Type="http://schemas.microsoft.com/office/2011/relationships/chartStyle" Target="style50.xml"/></Relationships>
</file>

<file path=word/charts/_rels/chart51.xml.rels><?xml version="1.0" encoding="UTF-8" standalone="yes"?>
<Relationships xmlns="http://schemas.openxmlformats.org/package/2006/relationships"><Relationship Id="rId3" Type="http://schemas.openxmlformats.org/officeDocument/2006/relationships/oleObject" Target="file:///C:\Users\lachl\Dropbox\SPR%20Documents\City%20of%20Melbourne%20Baseline%20Study\New%20working%20building%20database%20-%20clean%20copy%20for%20Maria.xlsx" TargetMode="External"/><Relationship Id="rId2" Type="http://schemas.microsoft.com/office/2011/relationships/chartColorStyle" Target="colors51.xml"/><Relationship Id="rId1" Type="http://schemas.microsoft.com/office/2011/relationships/chartStyle" Target="style51.xml"/></Relationships>
</file>

<file path=word/charts/_rels/chart52.xml.rels><?xml version="1.0" encoding="UTF-8" standalone="yes"?>
<Relationships xmlns="http://schemas.openxmlformats.org/package/2006/relationships"><Relationship Id="rId3" Type="http://schemas.openxmlformats.org/officeDocument/2006/relationships/oleObject" Target="file:///C:\Users\lachl\Dropbox\SPR%20Documents\City%20of%20Melbourne%20Baseline%20Study\New%20working%20building%20database%20-%20clean%20copy%20for%20Maria.xlsx" TargetMode="External"/><Relationship Id="rId2" Type="http://schemas.microsoft.com/office/2011/relationships/chartColorStyle" Target="colors52.xml"/><Relationship Id="rId1" Type="http://schemas.microsoft.com/office/2011/relationships/chartStyle" Target="style52.xml"/></Relationships>
</file>

<file path=word/charts/_rels/chart53.xml.rels><?xml version="1.0" encoding="UTF-8" standalone="yes"?>
<Relationships xmlns="http://schemas.openxmlformats.org/package/2006/relationships"><Relationship Id="rId3" Type="http://schemas.openxmlformats.org/officeDocument/2006/relationships/oleObject" Target="file:///C:\Users\lachl\Dropbox\SPR%20Documents\City%20of%20Melbourne%20Baseline%20Study\New%20working%20building%20database%20-%20clean%20copy%20for%20Maria.xlsx" TargetMode="External"/><Relationship Id="rId2" Type="http://schemas.microsoft.com/office/2011/relationships/chartColorStyle" Target="colors53.xml"/><Relationship Id="rId1" Type="http://schemas.microsoft.com/office/2011/relationships/chartStyle" Target="style53.xml"/></Relationships>
</file>

<file path=word/charts/_rels/chart54.xml.rels><?xml version="1.0" encoding="UTF-8" standalone="yes"?>
<Relationships xmlns="http://schemas.openxmlformats.org/package/2006/relationships"><Relationship Id="rId3" Type="http://schemas.openxmlformats.org/officeDocument/2006/relationships/oleObject" Target="file:///C:\Users\lachl\Dropbox\SPR%20Documents\City%20of%20Melbourne%20Baseline%20Study\New%20working%20building%20database%20-%20current.xlsx" TargetMode="External"/><Relationship Id="rId2" Type="http://schemas.microsoft.com/office/2011/relationships/chartColorStyle" Target="colors54.xml"/><Relationship Id="rId1" Type="http://schemas.microsoft.com/office/2011/relationships/chartStyle" Target="style54.xml"/></Relationships>
</file>

<file path=word/charts/_rels/chart6.xml.rels><?xml version="1.0" encoding="UTF-8" standalone="yes"?>
<Relationships xmlns="http://schemas.openxmlformats.org/package/2006/relationships"><Relationship Id="rId3" Type="http://schemas.openxmlformats.org/officeDocument/2006/relationships/oleObject" Target="https://d.docs.live.net/a8ef97995cb43878/Desktop/SPR%20documents/City%20of%20Melbourne%20baseline/New%20working%20building%20database%20-%20backup.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lachl\Dropbox\SPR%20Documents\City%20of%20Melbourne%20Baseline%20Study\New%20working%20building%20database%20-%20clean%20copy%20for%20Maria.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lachl\Dropbox\SPR%20Documents\City%20of%20Melbourne%20Baseline%20Study\New%20working%20building%20database%20-%20current.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lachl\Dropbox\SPR%20Documents\City%20of%20Melbourne%20Baseline%20Study\New%20working%20building%20database%20-%20current.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C9CD-49C9-854A-E173CB94B7E6}"/>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C9CD-49C9-854A-E173CB94B7E6}"/>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C9CD-49C9-854A-E173CB94B7E6}"/>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C9CD-49C9-854A-E173CB94B7E6}"/>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C9CD-49C9-854A-E173CB94B7E6}"/>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C9CD-49C9-854A-E173CB94B7E6}"/>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C9CD-49C9-854A-E173CB94B7E6}"/>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C9CD-49C9-854A-E173CB94B7E6}"/>
              </c:ext>
            </c:extLst>
          </c:dPt>
          <c:dPt>
            <c:idx val="8"/>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1-C9CD-49C9-854A-E173CB94B7E6}"/>
              </c:ext>
            </c:extLst>
          </c:dPt>
          <c:dPt>
            <c:idx val="9"/>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13-C9CD-49C9-854A-E173CB94B7E6}"/>
              </c:ext>
            </c:extLst>
          </c:dPt>
          <c:dPt>
            <c:idx val="10"/>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15-C9CD-49C9-854A-E173CB94B7E6}"/>
              </c:ext>
            </c:extLst>
          </c:dPt>
          <c:dPt>
            <c:idx val="11"/>
            <c:bubble3D val="0"/>
            <c:spPr>
              <a:solidFill>
                <a:schemeClr val="accent6">
                  <a:lumMod val="60000"/>
                </a:schemeClr>
              </a:solidFill>
              <a:ln w="19050">
                <a:solidFill>
                  <a:schemeClr val="lt1"/>
                </a:solidFill>
              </a:ln>
              <a:effectLst/>
            </c:spPr>
            <c:extLst>
              <c:ext xmlns:c16="http://schemas.microsoft.com/office/drawing/2014/chart" uri="{C3380CC4-5D6E-409C-BE32-E72D297353CC}">
                <c16:uniqueId val="{00000017-C9CD-49C9-854A-E173CB94B7E6}"/>
              </c:ext>
            </c:extLst>
          </c:dPt>
          <c:dPt>
            <c:idx val="12"/>
            <c:bubble3D val="0"/>
            <c:spPr>
              <a:solidFill>
                <a:schemeClr val="accent1">
                  <a:lumMod val="80000"/>
                  <a:lumOff val="20000"/>
                </a:schemeClr>
              </a:solidFill>
              <a:ln w="19050">
                <a:solidFill>
                  <a:schemeClr val="lt1"/>
                </a:solidFill>
              </a:ln>
              <a:effectLst/>
            </c:spPr>
            <c:extLst>
              <c:ext xmlns:c16="http://schemas.microsoft.com/office/drawing/2014/chart" uri="{C3380CC4-5D6E-409C-BE32-E72D297353CC}">
                <c16:uniqueId val="{00000019-C9CD-49C9-854A-E173CB94B7E6}"/>
              </c:ext>
            </c:extLst>
          </c:dPt>
          <c:dLbls>
            <c:dLbl>
              <c:idx val="0"/>
              <c:layout>
                <c:manualLayout>
                  <c:x val="2.822588862089194E-2"/>
                  <c:y val="6.3710642150976451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9CD-49C9-854A-E173CB94B7E6}"/>
                </c:ext>
              </c:extLst>
            </c:dLbl>
            <c:dLbl>
              <c:idx val="1"/>
              <c:layout>
                <c:manualLayout>
                  <c:x val="6.9353134950073225E-2"/>
                  <c:y val="-3.7335150340893165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9CD-49C9-854A-E173CB94B7E6}"/>
                </c:ext>
              </c:extLst>
            </c:dLbl>
            <c:dLbl>
              <c:idx val="2"/>
              <c:layout>
                <c:manualLayout>
                  <c:x val="-2.6250236117211258E-2"/>
                  <c:y val="-1.5078319891015943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9CD-49C9-854A-E173CB94B7E6}"/>
                </c:ext>
              </c:extLst>
            </c:dLbl>
            <c:dLbl>
              <c:idx val="3"/>
              <c:layout>
                <c:manualLayout>
                  <c:x val="-7.4646279435885456E-3"/>
                  <c:y val="-3.489974627521767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7-C9CD-49C9-854A-E173CB94B7E6}"/>
                </c:ext>
              </c:extLst>
            </c:dLbl>
            <c:dLbl>
              <c:idx val="4"/>
              <c:layout>
                <c:manualLayout>
                  <c:x val="-9.7008584622023854E-3"/>
                  <c:y val="7.9091090962126367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9-C9CD-49C9-854A-E173CB94B7E6}"/>
                </c:ext>
              </c:extLst>
            </c:dLbl>
            <c:dLbl>
              <c:idx val="5"/>
              <c:layout>
                <c:manualLayout>
                  <c:x val="-1.7273518611094611E-2"/>
                  <c:y val="0.10438781014146076"/>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B-C9CD-49C9-854A-E173CB94B7E6}"/>
                </c:ext>
              </c:extLst>
            </c:dLbl>
            <c:dLbl>
              <c:idx val="6"/>
              <c:layout>
                <c:manualLayout>
                  <c:x val="-5.0771089801427416E-2"/>
                  <c:y val="0.15340233002186124"/>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D-C9CD-49C9-854A-E173CB94B7E6}"/>
                </c:ext>
              </c:extLst>
            </c:dLbl>
            <c:dLbl>
              <c:idx val="7"/>
              <c:layout>
                <c:manualLayout>
                  <c:x val="-6.0240267478987003E-2"/>
                  <c:y val="0.11012190856562708"/>
                </c:manualLayout>
              </c:layout>
              <c:showLegendKey val="0"/>
              <c:showVal val="1"/>
              <c:showCatName val="1"/>
              <c:showSerName val="0"/>
              <c:showPercent val="0"/>
              <c:showBubbleSize val="0"/>
              <c:extLst>
                <c:ext xmlns:c15="http://schemas.microsoft.com/office/drawing/2012/chart" uri="{CE6537A1-D6FC-4f65-9D91-7224C49458BB}">
                  <c15:layout>
                    <c:manualLayout>
                      <c:w val="0.21778377256692255"/>
                      <c:h val="8.1322260218205503E-2"/>
                    </c:manualLayout>
                  </c15:layout>
                </c:ext>
                <c:ext xmlns:c16="http://schemas.microsoft.com/office/drawing/2014/chart" uri="{C3380CC4-5D6E-409C-BE32-E72D297353CC}">
                  <c16:uniqueId val="{0000000F-C9CD-49C9-854A-E173CB94B7E6}"/>
                </c:ext>
              </c:extLst>
            </c:dLbl>
            <c:dLbl>
              <c:idx val="8"/>
              <c:layout>
                <c:manualLayout>
                  <c:x val="-0.14757560556206156"/>
                  <c:y val="2.5017499434075333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11-C9CD-49C9-854A-E173CB94B7E6}"/>
                </c:ext>
              </c:extLst>
            </c:dLbl>
            <c:dLbl>
              <c:idx val="11"/>
              <c:layout>
                <c:manualLayout>
                  <c:x val="8.463643746129576E-2"/>
                  <c:y val="5.2088261805574255E-3"/>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17-C9CD-49C9-854A-E173CB94B7E6}"/>
                </c:ext>
              </c:extLst>
            </c:dLbl>
            <c:dLbl>
              <c:idx val="12"/>
              <c:layout>
                <c:manualLayout>
                  <c:x val="0.1146488346323935"/>
                  <c:y val="1.6342180508874024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19-C9CD-49C9-854A-E173CB94B7E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'Top-down matching'!$M$255:$M$267</c:f>
              <c:strCache>
                <c:ptCount val="13"/>
                <c:pt idx="0">
                  <c:v>Residential</c:v>
                </c:pt>
                <c:pt idx="1">
                  <c:v>Office</c:v>
                </c:pt>
                <c:pt idx="2">
                  <c:v>Unoccupied</c:v>
                </c:pt>
                <c:pt idx="3">
                  <c:v>Transport</c:v>
                </c:pt>
                <c:pt idx="4">
                  <c:v>Parking</c:v>
                </c:pt>
                <c:pt idx="5">
                  <c:v>Education</c:v>
                </c:pt>
                <c:pt idx="6">
                  <c:v>Commercial accomodation</c:v>
                </c:pt>
                <c:pt idx="7">
                  <c:v>Entertainment/recreation</c:v>
                </c:pt>
                <c:pt idx="8">
                  <c:v>Manufacturing/light industrial</c:v>
                </c:pt>
                <c:pt idx="9">
                  <c:v>Retail</c:v>
                </c:pt>
                <c:pt idx="10">
                  <c:v>Community/public use</c:v>
                </c:pt>
                <c:pt idx="11">
                  <c:v>Hospitals/healthcare</c:v>
                </c:pt>
                <c:pt idx="12">
                  <c:v>Other</c:v>
                </c:pt>
              </c:strCache>
            </c:strRef>
          </c:cat>
          <c:val>
            <c:numRef>
              <c:f>'Top-down matching'!$O$255:$O$267</c:f>
              <c:numCache>
                <c:formatCode>0%</c:formatCode>
                <c:ptCount val="13"/>
                <c:pt idx="0">
                  <c:v>0.32778625744594886</c:v>
                </c:pt>
                <c:pt idx="1">
                  <c:v>0.18998608375449375</c:v>
                </c:pt>
                <c:pt idx="2">
                  <c:v>0.11684780409513928</c:v>
                </c:pt>
                <c:pt idx="3">
                  <c:v>8.7438904693044439E-2</c:v>
                </c:pt>
                <c:pt idx="4">
                  <c:v>5.8169765093118615E-2</c:v>
                </c:pt>
                <c:pt idx="5">
                  <c:v>4.5658420397366783E-2</c:v>
                </c:pt>
                <c:pt idx="6">
                  <c:v>3.9895276828985374E-2</c:v>
                </c:pt>
                <c:pt idx="7">
                  <c:v>3.3220241589140678E-2</c:v>
                </c:pt>
                <c:pt idx="8">
                  <c:v>3.2099327475354988E-2</c:v>
                </c:pt>
                <c:pt idx="9">
                  <c:v>2.2978198989477103E-2</c:v>
                </c:pt>
                <c:pt idx="10">
                  <c:v>2.2793757592168479E-2</c:v>
                </c:pt>
                <c:pt idx="11">
                  <c:v>2.2190229322643765E-2</c:v>
                </c:pt>
                <c:pt idx="12">
                  <c:v>9.3573272311789748E-4</c:v>
                </c:pt>
              </c:numCache>
            </c:numRef>
          </c:val>
          <c:extLst>
            <c:ext xmlns:c16="http://schemas.microsoft.com/office/drawing/2014/chart" uri="{C3380CC4-5D6E-409C-BE32-E72D297353CC}">
              <c16:uniqueId val="{0000001A-C9CD-49C9-854A-E173CB94B7E6}"/>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Sheet16!$Q$199:$Q$203</c:f>
              <c:strCache>
                <c:ptCount val="5"/>
                <c:pt idx="0">
                  <c:v>D Grade</c:v>
                </c:pt>
                <c:pt idx="1">
                  <c:v>C Grade</c:v>
                </c:pt>
                <c:pt idx="2">
                  <c:v>B Grade</c:v>
                </c:pt>
                <c:pt idx="3">
                  <c:v>A Grade</c:v>
                </c:pt>
                <c:pt idx="4">
                  <c:v>Premium</c:v>
                </c:pt>
              </c:strCache>
            </c:strRef>
          </c:cat>
          <c:val>
            <c:numRef>
              <c:f>Sheet16!$R$199:$R$203</c:f>
              <c:numCache>
                <c:formatCode>0.0</c:formatCode>
                <c:ptCount val="5"/>
                <c:pt idx="0">
                  <c:v>3.5</c:v>
                </c:pt>
                <c:pt idx="1">
                  <c:v>4.0454545454545459</c:v>
                </c:pt>
                <c:pt idx="2">
                  <c:v>3.989795918367347</c:v>
                </c:pt>
                <c:pt idx="3">
                  <c:v>4.8359375</c:v>
                </c:pt>
                <c:pt idx="4">
                  <c:v>5.2142857142857144</c:v>
                </c:pt>
              </c:numCache>
            </c:numRef>
          </c:val>
          <c:extLst>
            <c:ext xmlns:c16="http://schemas.microsoft.com/office/drawing/2014/chart" uri="{C3380CC4-5D6E-409C-BE32-E72D297353CC}">
              <c16:uniqueId val="{00000000-2236-4904-B544-796E01E0BDF9}"/>
            </c:ext>
          </c:extLst>
        </c:ser>
        <c:dLbls>
          <c:showLegendKey val="0"/>
          <c:showVal val="0"/>
          <c:showCatName val="0"/>
          <c:showSerName val="0"/>
          <c:showPercent val="0"/>
          <c:showBubbleSize val="0"/>
        </c:dLbls>
        <c:gapWidth val="219"/>
        <c:overlap val="-27"/>
        <c:axId val="631564512"/>
        <c:axId val="631561152"/>
      </c:barChart>
      <c:catAx>
        <c:axId val="6315645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31561152"/>
        <c:crosses val="autoZero"/>
        <c:auto val="1"/>
        <c:lblAlgn val="ctr"/>
        <c:lblOffset val="100"/>
        <c:noMultiLvlLbl val="0"/>
      </c:catAx>
      <c:valAx>
        <c:axId val="63156115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NABERS</a:t>
                </a:r>
                <a:r>
                  <a:rPr lang="en-AU" baseline="0"/>
                  <a:t> rating</a:t>
                </a:r>
                <a:endParaRPr lang="en-AU"/>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3156451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Sheet16!$T$221:$T$227</c:f>
              <c:strCache>
                <c:ptCount val="7"/>
                <c:pt idx="0">
                  <c:v>0-3</c:v>
                </c:pt>
                <c:pt idx="1">
                  <c:v>3.5</c:v>
                </c:pt>
                <c:pt idx="2">
                  <c:v>4</c:v>
                </c:pt>
                <c:pt idx="3">
                  <c:v>4.5</c:v>
                </c:pt>
                <c:pt idx="4">
                  <c:v>5</c:v>
                </c:pt>
                <c:pt idx="5">
                  <c:v>5.5</c:v>
                </c:pt>
                <c:pt idx="6">
                  <c:v>6</c:v>
                </c:pt>
              </c:strCache>
            </c:strRef>
          </c:cat>
          <c:val>
            <c:numRef>
              <c:f>Sheet16!$U$221:$U$227</c:f>
              <c:numCache>
                <c:formatCode>0</c:formatCode>
                <c:ptCount val="7"/>
                <c:pt idx="0">
                  <c:v>1987.2222222222222</c:v>
                </c:pt>
                <c:pt idx="1">
                  <c:v>2000.4285714285713</c:v>
                </c:pt>
                <c:pt idx="2">
                  <c:v>1998.4</c:v>
                </c:pt>
                <c:pt idx="3">
                  <c:v>2002.2727272727273</c:v>
                </c:pt>
                <c:pt idx="4">
                  <c:v>2002</c:v>
                </c:pt>
                <c:pt idx="5">
                  <c:v>2004.32</c:v>
                </c:pt>
                <c:pt idx="6">
                  <c:v>2009.625</c:v>
                </c:pt>
              </c:numCache>
            </c:numRef>
          </c:val>
          <c:extLst>
            <c:ext xmlns:c16="http://schemas.microsoft.com/office/drawing/2014/chart" uri="{C3380CC4-5D6E-409C-BE32-E72D297353CC}">
              <c16:uniqueId val="{00000000-7C57-4FF6-865B-85F7A3736C5A}"/>
            </c:ext>
          </c:extLst>
        </c:ser>
        <c:dLbls>
          <c:showLegendKey val="0"/>
          <c:showVal val="0"/>
          <c:showCatName val="0"/>
          <c:showSerName val="0"/>
          <c:showPercent val="0"/>
          <c:showBubbleSize val="0"/>
        </c:dLbls>
        <c:gapWidth val="219"/>
        <c:overlap val="-27"/>
        <c:axId val="631506912"/>
        <c:axId val="631517952"/>
      </c:barChart>
      <c:catAx>
        <c:axId val="6315069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31517952"/>
        <c:crosses val="autoZero"/>
        <c:auto val="1"/>
        <c:lblAlgn val="ctr"/>
        <c:lblOffset val="100"/>
        <c:noMultiLvlLbl val="0"/>
      </c:catAx>
      <c:valAx>
        <c:axId val="631517952"/>
        <c:scaling>
          <c:orientation val="minMax"/>
          <c:min val="1985"/>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3150691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Sheet16!$J$48:$J$53</c:f>
              <c:strCache>
                <c:ptCount val="6"/>
                <c:pt idx="0">
                  <c:v>0 - 5,000 m2</c:v>
                </c:pt>
                <c:pt idx="1">
                  <c:v>5,000 - 10,000 m2</c:v>
                </c:pt>
                <c:pt idx="2">
                  <c:v>10,000 - 20,000 m2</c:v>
                </c:pt>
                <c:pt idx="3">
                  <c:v>20,000 - 40,000 m2</c:v>
                </c:pt>
                <c:pt idx="4">
                  <c:v>40,000 - 60,000 m2</c:v>
                </c:pt>
                <c:pt idx="5">
                  <c:v>60,000+ m2</c:v>
                </c:pt>
              </c:strCache>
            </c:strRef>
          </c:cat>
          <c:val>
            <c:numRef>
              <c:f>Sheet16!$K$48:$K$53</c:f>
              <c:numCache>
                <c:formatCode>0.0</c:formatCode>
                <c:ptCount val="6"/>
                <c:pt idx="0">
                  <c:v>3.6818181818181817</c:v>
                </c:pt>
                <c:pt idx="1">
                  <c:v>4.1904761904761907</c:v>
                </c:pt>
                <c:pt idx="2">
                  <c:v>4.1333333333333337</c:v>
                </c:pt>
                <c:pt idx="3">
                  <c:v>4.6388888888888893</c:v>
                </c:pt>
                <c:pt idx="4">
                  <c:v>5.041666666666667</c:v>
                </c:pt>
                <c:pt idx="5">
                  <c:v>5.3125</c:v>
                </c:pt>
              </c:numCache>
            </c:numRef>
          </c:val>
          <c:extLst>
            <c:ext xmlns:c16="http://schemas.microsoft.com/office/drawing/2014/chart" uri="{C3380CC4-5D6E-409C-BE32-E72D297353CC}">
              <c16:uniqueId val="{00000000-1C38-4A20-8F03-6C2A5EF3E2DA}"/>
            </c:ext>
          </c:extLst>
        </c:ser>
        <c:dLbls>
          <c:showLegendKey val="0"/>
          <c:showVal val="0"/>
          <c:showCatName val="0"/>
          <c:showSerName val="0"/>
          <c:showPercent val="0"/>
          <c:showBubbleSize val="0"/>
        </c:dLbls>
        <c:gapWidth val="219"/>
        <c:overlap val="-27"/>
        <c:axId val="701810735"/>
        <c:axId val="701809775"/>
      </c:barChart>
      <c:catAx>
        <c:axId val="701810735"/>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Building office floor area</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01809775"/>
        <c:crosses val="autoZero"/>
        <c:auto val="1"/>
        <c:lblAlgn val="ctr"/>
        <c:lblOffset val="100"/>
        <c:noMultiLvlLbl val="0"/>
      </c:catAx>
      <c:valAx>
        <c:axId val="70180977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NABERS rating</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01810735"/>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w="19050">
              <a:solidFill>
                <a:schemeClr val="lt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'Residential take two'!$B$22:$B$27</c:f>
              <c:strCache>
                <c:ptCount val="6"/>
                <c:pt idx="0">
                  <c:v>High-rise apartment</c:v>
                </c:pt>
                <c:pt idx="1">
                  <c:v>Mid-rise apartment</c:v>
                </c:pt>
                <c:pt idx="2">
                  <c:v>Low-rise apartment</c:v>
                </c:pt>
                <c:pt idx="3">
                  <c:v>Townhouse/terrace</c:v>
                </c:pt>
                <c:pt idx="4">
                  <c:v>Standalone house</c:v>
                </c:pt>
                <c:pt idx="5">
                  <c:v>Student accomodation</c:v>
                </c:pt>
              </c:strCache>
            </c:strRef>
          </c:cat>
          <c:val>
            <c:numRef>
              <c:f>'Residential take two'!$H$22:$H$27</c:f>
              <c:numCache>
                <c:formatCode>_-* #,##0_-;\-* #,##0_-;_-* "-"??_-;_-@_-</c:formatCode>
                <c:ptCount val="6"/>
                <c:pt idx="0">
                  <c:v>66432.171668650568</c:v>
                </c:pt>
                <c:pt idx="1">
                  <c:v>10665.116093810275</c:v>
                </c:pt>
                <c:pt idx="2">
                  <c:v>10409.98978725246</c:v>
                </c:pt>
                <c:pt idx="3">
                  <c:v>10053</c:v>
                </c:pt>
                <c:pt idx="4">
                  <c:v>2784.8056204200602</c:v>
                </c:pt>
                <c:pt idx="5">
                  <c:v>5728.3907911087772</c:v>
                </c:pt>
              </c:numCache>
            </c:numRef>
          </c:val>
          <c:extLst>
            <c:ext xmlns:c16="http://schemas.microsoft.com/office/drawing/2014/chart" uri="{C3380CC4-5D6E-409C-BE32-E72D297353CC}">
              <c16:uniqueId val="{00000000-3BE6-4D27-8583-412AB6B9B06F}"/>
            </c:ext>
          </c:extLst>
        </c:ser>
        <c:dLbls>
          <c:showLegendKey val="0"/>
          <c:showVal val="0"/>
          <c:showCatName val="0"/>
          <c:showSerName val="0"/>
          <c:showPercent val="0"/>
          <c:showBubbleSize val="0"/>
        </c:dLbls>
        <c:gapWidth val="150"/>
        <c:axId val="1433522400"/>
        <c:axId val="1433524320"/>
      </c:barChart>
      <c:catAx>
        <c:axId val="14335224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33524320"/>
        <c:crosses val="autoZero"/>
        <c:auto val="1"/>
        <c:lblAlgn val="ctr"/>
        <c:lblOffset val="100"/>
        <c:noMultiLvlLbl val="0"/>
      </c:catAx>
      <c:valAx>
        <c:axId val="143352432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Count of Dwellings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_-* #,##0_-;\-* #,##0_-;_-* &quot;-&quot;??_-;_-@_-"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3352240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8769-4887-93E2-6FE34561CF35}"/>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8769-4887-93E2-6FE34561CF35}"/>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8769-4887-93E2-6FE34561CF35}"/>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8769-4887-93E2-6FE34561CF35}"/>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8769-4887-93E2-6FE34561CF35}"/>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8769-4887-93E2-6FE34561CF35}"/>
              </c:ext>
            </c:extLst>
          </c:dPt>
          <c:dLbls>
            <c:dLbl>
              <c:idx val="0"/>
              <c:layout>
                <c:manualLayout>
                  <c:x val="1.4759721379990808E-2"/>
                  <c:y val="-0.2103453623889991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769-4887-93E2-6FE34561CF35}"/>
                </c:ext>
              </c:extLst>
            </c:dLbl>
            <c:dLbl>
              <c:idx val="1"/>
              <c:layout>
                <c:manualLayout>
                  <c:x val="1.1568606576398015E-2"/>
                  <c:y val="2.0234639024845221E-3"/>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769-4887-93E2-6FE34561CF35}"/>
                </c:ext>
              </c:extLst>
            </c:dLbl>
            <c:dLbl>
              <c:idx val="2"/>
              <c:layout>
                <c:manualLayout>
                  <c:x val="-4.7407046354445537E-2"/>
                  <c:y val="8.565746314933019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769-4887-93E2-6FE34561CF3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'Residential take two'!$B$22:$B$27</c:f>
              <c:strCache>
                <c:ptCount val="6"/>
                <c:pt idx="0">
                  <c:v>High-rise apartment</c:v>
                </c:pt>
                <c:pt idx="1">
                  <c:v>Mid-rise apartment</c:v>
                </c:pt>
                <c:pt idx="2">
                  <c:v>Low-rise apartment</c:v>
                </c:pt>
                <c:pt idx="3">
                  <c:v>Townhouse/terrace</c:v>
                </c:pt>
                <c:pt idx="4">
                  <c:v>Standalone house</c:v>
                </c:pt>
                <c:pt idx="5">
                  <c:v>Student accomodation</c:v>
                </c:pt>
              </c:strCache>
            </c:strRef>
          </c:cat>
          <c:val>
            <c:numRef>
              <c:f>'Residential take two'!$J$22:$J$27</c:f>
              <c:numCache>
                <c:formatCode>_-* #,##0_-;\-* #,##0_-;_-* "-"??_-;_-@_-</c:formatCode>
                <c:ptCount val="6"/>
                <c:pt idx="0">
                  <c:v>8239495.0923579605</c:v>
                </c:pt>
                <c:pt idx="1">
                  <c:v>1351438.5783107115</c:v>
                </c:pt>
                <c:pt idx="2">
                  <c:v>1463569.6431560575</c:v>
                </c:pt>
                <c:pt idx="3">
                  <c:v>933849.13518530235</c:v>
                </c:pt>
                <c:pt idx="4">
                  <c:v>903759.76362223085</c:v>
                </c:pt>
                <c:pt idx="5">
                  <c:v>805370.51787197834</c:v>
                </c:pt>
              </c:numCache>
            </c:numRef>
          </c:val>
          <c:extLst>
            <c:ext xmlns:c16="http://schemas.microsoft.com/office/drawing/2014/chart" uri="{C3380CC4-5D6E-409C-BE32-E72D297353CC}">
              <c16:uniqueId val="{0000000C-8769-4887-93E2-6FE34561CF35}"/>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3"/>
          <c:order val="0"/>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('Top-down matching'!$AT$218:$AT$223,'Top-down matching'!$AT$225,'Top-down matching'!$AT$228:$AT$232)</c:f>
              <c:numCache>
                <c:formatCode>General</c:formatCode>
                <c:ptCount val="12"/>
                <c:pt idx="0">
                  <c:v>3000</c:v>
                </c:pt>
                <c:pt idx="1">
                  <c:v>3002</c:v>
                </c:pt>
                <c:pt idx="2">
                  <c:v>3003</c:v>
                </c:pt>
                <c:pt idx="3">
                  <c:v>3004</c:v>
                </c:pt>
                <c:pt idx="4">
                  <c:v>3006</c:v>
                </c:pt>
                <c:pt idx="5">
                  <c:v>3008</c:v>
                </c:pt>
                <c:pt idx="6">
                  <c:v>3031</c:v>
                </c:pt>
                <c:pt idx="7">
                  <c:v>3051</c:v>
                </c:pt>
                <c:pt idx="8">
                  <c:v>3052</c:v>
                </c:pt>
                <c:pt idx="9">
                  <c:v>3053</c:v>
                </c:pt>
                <c:pt idx="10">
                  <c:v>3054</c:v>
                </c:pt>
                <c:pt idx="11">
                  <c:v>3141</c:v>
                </c:pt>
              </c:numCache>
              <c:extLst/>
            </c:numRef>
          </c:cat>
          <c:val>
            <c:numRef>
              <c:f>('Top-down matching'!$AX$218:$AX$223,'Top-down matching'!$AX$225,'Top-down matching'!$AX$228:$AX$232)</c:f>
              <c:numCache>
                <c:formatCode>0%</c:formatCode>
                <c:ptCount val="12"/>
                <c:pt idx="0">
                  <c:v>0.26980035605770963</c:v>
                </c:pt>
                <c:pt idx="1">
                  <c:v>0.42529817729142683</c:v>
                </c:pt>
                <c:pt idx="2">
                  <c:v>0.14315363884402557</c:v>
                </c:pt>
                <c:pt idx="3">
                  <c:v>0.3444069472755118</c:v>
                </c:pt>
                <c:pt idx="4">
                  <c:v>0.49706561927392773</c:v>
                </c:pt>
                <c:pt idx="5">
                  <c:v>0.35072112291964469</c:v>
                </c:pt>
                <c:pt idx="6">
                  <c:v>0.64744818728260223</c:v>
                </c:pt>
                <c:pt idx="7">
                  <c:v>0.56590826655288373</c:v>
                </c:pt>
                <c:pt idx="8">
                  <c:v>0.53771500821802609</c:v>
                </c:pt>
                <c:pt idx="9">
                  <c:v>0.58787414412142125</c:v>
                </c:pt>
                <c:pt idx="10">
                  <c:v>3.1133813128827643E-2</c:v>
                </c:pt>
                <c:pt idx="11">
                  <c:v>0.88535690545341594</c:v>
                </c:pt>
              </c:numCache>
              <c:extLst/>
            </c:numRef>
          </c:val>
          <c:extLst>
            <c:ext xmlns:c16="http://schemas.microsoft.com/office/drawing/2014/chart" uri="{C3380CC4-5D6E-409C-BE32-E72D297353CC}">
              <c16:uniqueId val="{00000000-5445-4E60-B5B1-C4E6C7DD9E90}"/>
            </c:ext>
          </c:extLst>
        </c:ser>
        <c:dLbls>
          <c:showLegendKey val="0"/>
          <c:showVal val="0"/>
          <c:showCatName val="0"/>
          <c:showSerName val="0"/>
          <c:showPercent val="0"/>
          <c:showBubbleSize val="0"/>
        </c:dLbls>
        <c:gapWidth val="219"/>
        <c:overlap val="-27"/>
        <c:axId val="267907807"/>
        <c:axId val="267903487"/>
      </c:barChart>
      <c:catAx>
        <c:axId val="26790780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7903487"/>
        <c:crosses val="autoZero"/>
        <c:auto val="1"/>
        <c:lblAlgn val="ctr"/>
        <c:lblOffset val="100"/>
        <c:noMultiLvlLbl val="0"/>
      </c:catAx>
      <c:valAx>
        <c:axId val="267903487"/>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790780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2"/>
          <c:order val="0"/>
          <c:spPr>
            <a:solidFill>
              <a:schemeClr val="accent3"/>
            </a:solidFill>
            <a:ln>
              <a:noFill/>
            </a:ln>
            <a:effectLst/>
          </c:spPr>
          <c:invertIfNegative val="0"/>
          <c:dLbls>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Sheet16!$B$39:$B$44</c:f>
              <c:numCache>
                <c:formatCode>General</c:formatCode>
                <c:ptCount val="6"/>
                <c:pt idx="0">
                  <c:v>3000</c:v>
                </c:pt>
                <c:pt idx="1">
                  <c:v>3002</c:v>
                </c:pt>
                <c:pt idx="2">
                  <c:v>3003</c:v>
                </c:pt>
                <c:pt idx="3">
                  <c:v>3004</c:v>
                </c:pt>
                <c:pt idx="4">
                  <c:v>3006</c:v>
                </c:pt>
                <c:pt idx="5">
                  <c:v>3008</c:v>
                </c:pt>
              </c:numCache>
            </c:numRef>
          </c:cat>
          <c:val>
            <c:numRef>
              <c:f>Sheet16!$D$39:$D$44</c:f>
              <c:numCache>
                <c:formatCode>General</c:formatCode>
                <c:ptCount val="6"/>
                <c:pt idx="0">
                  <c:v>18.495614035087719</c:v>
                </c:pt>
                <c:pt idx="1">
                  <c:v>3.992481203007519</c:v>
                </c:pt>
                <c:pt idx="2">
                  <c:v>6.1684210526315786</c:v>
                </c:pt>
                <c:pt idx="3">
                  <c:v>12.666666666666666</c:v>
                </c:pt>
                <c:pt idx="4">
                  <c:v>29.388059701492537</c:v>
                </c:pt>
                <c:pt idx="5">
                  <c:v>22.692307692307693</c:v>
                </c:pt>
              </c:numCache>
            </c:numRef>
          </c:val>
          <c:extLst>
            <c:ext xmlns:c16="http://schemas.microsoft.com/office/drawing/2014/chart" uri="{C3380CC4-5D6E-409C-BE32-E72D297353CC}">
              <c16:uniqueId val="{00000000-88E4-4AB9-9D09-B96776BB7B1D}"/>
            </c:ext>
          </c:extLst>
        </c:ser>
        <c:dLbls>
          <c:showLegendKey val="0"/>
          <c:showVal val="0"/>
          <c:showCatName val="0"/>
          <c:showSerName val="0"/>
          <c:showPercent val="0"/>
          <c:showBubbleSize val="0"/>
        </c:dLbls>
        <c:gapWidth val="219"/>
        <c:overlap val="-27"/>
        <c:axId val="954431024"/>
        <c:axId val="954436304"/>
      </c:barChart>
      <c:catAx>
        <c:axId val="9544310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54436304"/>
        <c:crosses val="autoZero"/>
        <c:auto val="1"/>
        <c:lblAlgn val="ctr"/>
        <c:lblOffset val="100"/>
        <c:noMultiLvlLbl val="0"/>
      </c:catAx>
      <c:valAx>
        <c:axId val="9544363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No. of Floors Above Ground</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5443102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'Top-down matching'!$AT$218:$AT$234</c:f>
              <c:numCache>
                <c:formatCode>General</c:formatCode>
                <c:ptCount val="17"/>
                <c:pt idx="0">
                  <c:v>3000</c:v>
                </c:pt>
                <c:pt idx="1">
                  <c:v>3002</c:v>
                </c:pt>
                <c:pt idx="2">
                  <c:v>3003</c:v>
                </c:pt>
                <c:pt idx="3">
                  <c:v>3004</c:v>
                </c:pt>
                <c:pt idx="4">
                  <c:v>3006</c:v>
                </c:pt>
                <c:pt idx="5">
                  <c:v>3008</c:v>
                </c:pt>
                <c:pt idx="6">
                  <c:v>3010</c:v>
                </c:pt>
                <c:pt idx="7">
                  <c:v>3031</c:v>
                </c:pt>
                <c:pt idx="8">
                  <c:v>3032</c:v>
                </c:pt>
                <c:pt idx="9">
                  <c:v>3050</c:v>
                </c:pt>
                <c:pt idx="10">
                  <c:v>3051</c:v>
                </c:pt>
                <c:pt idx="11">
                  <c:v>3052</c:v>
                </c:pt>
                <c:pt idx="12">
                  <c:v>3053</c:v>
                </c:pt>
                <c:pt idx="13">
                  <c:v>3054</c:v>
                </c:pt>
                <c:pt idx="14">
                  <c:v>3141</c:v>
                </c:pt>
                <c:pt idx="15">
                  <c:v>3181</c:v>
                </c:pt>
                <c:pt idx="16">
                  <c:v>3207</c:v>
                </c:pt>
              </c:numCache>
            </c:numRef>
          </c:cat>
          <c:val>
            <c:numRef>
              <c:f>'Top-down matching'!$BB$218:$BB$234</c:f>
              <c:numCache>
                <c:formatCode>0%</c:formatCode>
                <c:ptCount val="17"/>
                <c:pt idx="0">
                  <c:v>5.2267059727477666E-2</c:v>
                </c:pt>
                <c:pt idx="1">
                  <c:v>0.12517276185071011</c:v>
                </c:pt>
                <c:pt idx="2">
                  <c:v>8.0452829236757582E-3</c:v>
                </c:pt>
                <c:pt idx="3">
                  <c:v>8.6331976944276953E-2</c:v>
                </c:pt>
                <c:pt idx="4">
                  <c:v>1.9309718890559886E-2</c:v>
                </c:pt>
                <c:pt idx="5">
                  <c:v>1.2712458723342361E-2</c:v>
                </c:pt>
                <c:pt idx="6">
                  <c:v>0.79898778978572371</c:v>
                </c:pt>
                <c:pt idx="7">
                  <c:v>2.5263207555522076E-2</c:v>
                </c:pt>
                <c:pt idx="8">
                  <c:v>0</c:v>
                </c:pt>
                <c:pt idx="9">
                  <c:v>0.73588420136069099</c:v>
                </c:pt>
                <c:pt idx="10">
                  <c:v>3.2741955899710913E-2</c:v>
                </c:pt>
                <c:pt idx="11">
                  <c:v>0.32571233624732204</c:v>
                </c:pt>
                <c:pt idx="12">
                  <c:v>0.11904547953787221</c:v>
                </c:pt>
                <c:pt idx="13">
                  <c:v>0</c:v>
                </c:pt>
                <c:pt idx="14">
                  <c:v>7.7301634326606972E-2</c:v>
                </c:pt>
                <c:pt idx="15">
                  <c:v>0.94991503494878948</c:v>
                </c:pt>
                <c:pt idx="16">
                  <c:v>4.0824079408132423E-2</c:v>
                </c:pt>
              </c:numCache>
            </c:numRef>
          </c:val>
          <c:extLst>
            <c:ext xmlns:c16="http://schemas.microsoft.com/office/drawing/2014/chart" uri="{C3380CC4-5D6E-409C-BE32-E72D297353CC}">
              <c16:uniqueId val="{00000000-F5DC-4871-92E2-1BBA469AEA4D}"/>
            </c:ext>
          </c:extLst>
        </c:ser>
        <c:dLbls>
          <c:showLegendKey val="0"/>
          <c:showVal val="0"/>
          <c:showCatName val="0"/>
          <c:showSerName val="0"/>
          <c:showPercent val="0"/>
          <c:showBubbleSize val="0"/>
        </c:dLbls>
        <c:gapWidth val="219"/>
        <c:overlap val="-27"/>
        <c:axId val="897742784"/>
        <c:axId val="897743264"/>
      </c:barChart>
      <c:catAx>
        <c:axId val="8977427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97743264"/>
        <c:crosses val="autoZero"/>
        <c:auto val="1"/>
        <c:lblAlgn val="ctr"/>
        <c:lblOffset val="100"/>
        <c:noMultiLvlLbl val="0"/>
      </c:catAx>
      <c:valAx>
        <c:axId val="89774326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9774278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3A0B-4F0D-BF93-0A6AAD13E0C5}"/>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3A0B-4F0D-BF93-0A6AAD13E0C5}"/>
              </c:ext>
            </c:extLst>
          </c:dPt>
          <c:dLbls>
            <c:dLbl>
              <c:idx val="0"/>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1"/>
              <c:showSerName val="0"/>
              <c:showPercent val="0"/>
              <c:showBubbleSize val="0"/>
              <c:extLst>
                <c:ext xmlns:c15="http://schemas.microsoft.com/office/drawing/2012/chart" uri="{CE6537A1-D6FC-4f65-9D91-7224C49458BB}">
                  <c15:layout>
                    <c:manualLayout>
                      <c:w val="0.2360448225772982"/>
                      <c:h val="0.19856874810523811"/>
                    </c:manualLayout>
                  </c15:layout>
                </c:ext>
                <c:ext xmlns:c16="http://schemas.microsoft.com/office/drawing/2014/chart" uri="{C3380CC4-5D6E-409C-BE32-E72D297353CC}">
                  <c16:uniqueId val="{00000001-3A0B-4F0D-BF93-0A6AAD13E0C5}"/>
                </c:ext>
              </c:extLst>
            </c:dLbl>
            <c:dLbl>
              <c:idx val="1"/>
              <c:layout>
                <c:manualLayout>
                  <c:x val="-6.4209910573794979E-2"/>
                  <c:y val="-0.21752260020498218"/>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A0B-4F0D-BF93-0A6AAD13E0C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'Top-down matching'!$AG$262:$AG$263</c:f>
              <c:strCache>
                <c:ptCount val="2"/>
                <c:pt idx="0">
                  <c:v>Under construction/rennovation</c:v>
                </c:pt>
                <c:pt idx="1">
                  <c:v>Other</c:v>
                </c:pt>
              </c:strCache>
            </c:strRef>
          </c:cat>
          <c:val>
            <c:numRef>
              <c:f>'Top-down matching'!$AH$262:$AH$263</c:f>
              <c:numCache>
                <c:formatCode>_-* #,##0_-;\-* #,##0_-;_-* "-"??_-;_-@_-</c:formatCode>
                <c:ptCount val="2"/>
                <c:pt idx="0">
                  <c:v>1079971.809806617</c:v>
                </c:pt>
                <c:pt idx="1">
                  <c:v>3855804.2801933838</c:v>
                </c:pt>
              </c:numCache>
            </c:numRef>
          </c:val>
          <c:extLst>
            <c:ext xmlns:c16="http://schemas.microsoft.com/office/drawing/2014/chart" uri="{C3380CC4-5D6E-409C-BE32-E72D297353CC}">
              <c16:uniqueId val="{00000004-3A0B-4F0D-BF93-0A6AAD13E0C5}"/>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'Top-down matching'!$AE$315</c:f>
              <c:strCache>
                <c:ptCount val="1"/>
                <c:pt idx="0">
                  <c:v>Total other unused</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CEC2-426C-BF34-11C21C03C448}"/>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CEC2-426C-BF34-11C21C03C448}"/>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CEC2-426C-BF34-11C21C03C448}"/>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CEC2-426C-BF34-11C21C03C448}"/>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CEC2-426C-BF34-11C21C03C448}"/>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CEC2-426C-BF34-11C21C03C448}"/>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CEC2-426C-BF34-11C21C03C448}"/>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CEC2-426C-BF34-11C21C03C448}"/>
              </c:ext>
            </c:extLst>
          </c:dPt>
          <c:dPt>
            <c:idx val="8"/>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1-CEC2-426C-BF34-11C21C03C448}"/>
              </c:ext>
            </c:extLst>
          </c:dPt>
          <c:dPt>
            <c:idx val="9"/>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13-CEC2-426C-BF34-11C21C03C448}"/>
              </c:ext>
            </c:extLst>
          </c:dPt>
          <c:dPt>
            <c:idx val="10"/>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15-CEC2-426C-BF34-11C21C03C448}"/>
              </c:ext>
            </c:extLst>
          </c:dPt>
          <c:dPt>
            <c:idx val="11"/>
            <c:bubble3D val="0"/>
            <c:spPr>
              <a:solidFill>
                <a:schemeClr val="accent6">
                  <a:lumMod val="60000"/>
                </a:schemeClr>
              </a:solidFill>
              <a:ln w="19050">
                <a:solidFill>
                  <a:schemeClr val="lt1"/>
                </a:solidFill>
              </a:ln>
              <a:effectLst/>
            </c:spPr>
            <c:extLst>
              <c:ext xmlns:c16="http://schemas.microsoft.com/office/drawing/2014/chart" uri="{C3380CC4-5D6E-409C-BE32-E72D297353CC}">
                <c16:uniqueId val="{00000017-CEC2-426C-BF34-11C21C03C448}"/>
              </c:ext>
            </c:extLst>
          </c:dPt>
          <c:dLbls>
            <c:dLbl>
              <c:idx val="0"/>
              <c:layout>
                <c:manualLayout>
                  <c:x val="4.7360284253253566E-2"/>
                  <c:y val="0.16728153051578229"/>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EC2-426C-BF34-11C21C03C448}"/>
                </c:ext>
              </c:extLst>
            </c:dLbl>
            <c:dLbl>
              <c:idx val="1"/>
              <c:layout>
                <c:manualLayout>
                  <c:x val="-5.7644296590902049E-3"/>
                  <c:y val="-2.9258256309088723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EC2-426C-BF34-11C21C03C448}"/>
                </c:ext>
              </c:extLst>
            </c:dLbl>
            <c:dLbl>
              <c:idx val="2"/>
              <c:layout>
                <c:manualLayout>
                  <c:x val="-2.6371775254355589E-2"/>
                  <c:y val="-4.1689979436916574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EC2-426C-BF34-11C21C03C448}"/>
                </c:ext>
              </c:extLst>
            </c:dLbl>
            <c:dLbl>
              <c:idx val="3"/>
              <c:layout>
                <c:manualLayout>
                  <c:x val="-1.8475153652732779E-2"/>
                  <c:y val="3.3960809283501564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7-CEC2-426C-BF34-11C21C03C448}"/>
                </c:ext>
              </c:extLst>
            </c:dLbl>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numRef>
              <c:f>'Top-down matching'!$AC$316:$AC$327</c:f>
              <c:numCache>
                <c:formatCode>General</c:formatCode>
                <c:ptCount val="12"/>
                <c:pt idx="0">
                  <c:v>3000</c:v>
                </c:pt>
                <c:pt idx="1">
                  <c:v>3003</c:v>
                </c:pt>
                <c:pt idx="2">
                  <c:v>3207</c:v>
                </c:pt>
                <c:pt idx="3">
                  <c:v>3008</c:v>
                </c:pt>
                <c:pt idx="4">
                  <c:v>3006</c:v>
                </c:pt>
                <c:pt idx="5">
                  <c:v>3051</c:v>
                </c:pt>
                <c:pt idx="6">
                  <c:v>3053</c:v>
                </c:pt>
                <c:pt idx="7">
                  <c:v>3031</c:v>
                </c:pt>
                <c:pt idx="8">
                  <c:v>3004</c:v>
                </c:pt>
                <c:pt idx="9">
                  <c:v>3002</c:v>
                </c:pt>
                <c:pt idx="10">
                  <c:v>3052</c:v>
                </c:pt>
                <c:pt idx="11">
                  <c:v>3010</c:v>
                </c:pt>
              </c:numCache>
            </c:numRef>
          </c:cat>
          <c:val>
            <c:numRef>
              <c:f>'Top-down matching'!$AE$316:$AE$327</c:f>
              <c:numCache>
                <c:formatCode>_(* #,##0.00_);_(* \(#,##0.00\);_(* "-"??_);_(@_)</c:formatCode>
                <c:ptCount val="12"/>
                <c:pt idx="0">
                  <c:v>1312925.4529194329</c:v>
                </c:pt>
                <c:pt idx="1">
                  <c:v>711153.60650199931</c:v>
                </c:pt>
                <c:pt idx="2">
                  <c:v>669473.27134642925</c:v>
                </c:pt>
                <c:pt idx="3">
                  <c:v>439595.09036344278</c:v>
                </c:pt>
                <c:pt idx="4">
                  <c:v>193935.40852704181</c:v>
                </c:pt>
                <c:pt idx="5">
                  <c:v>180258.44528533777</c:v>
                </c:pt>
                <c:pt idx="6">
                  <c:v>115894.40566716835</c:v>
                </c:pt>
                <c:pt idx="7">
                  <c:v>104780.39604224876</c:v>
                </c:pt>
                <c:pt idx="8">
                  <c:v>53386.947718634699</c:v>
                </c:pt>
                <c:pt idx="9">
                  <c:v>43461.158344598043</c:v>
                </c:pt>
                <c:pt idx="10">
                  <c:v>22357.721381687646</c:v>
                </c:pt>
                <c:pt idx="11">
                  <c:v>7048.4375375782256</c:v>
                </c:pt>
              </c:numCache>
            </c:numRef>
          </c:val>
          <c:extLst>
            <c:ext xmlns:c16="http://schemas.microsoft.com/office/drawing/2014/chart" uri="{C3380CC4-5D6E-409C-BE32-E72D297353CC}">
              <c16:uniqueId val="{00000018-CEC2-426C-BF34-11C21C03C448}"/>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'Charts - delete'!$F$57</c:f>
              <c:strCache>
                <c:ptCount val="1"/>
                <c:pt idx="0">
                  <c:v>%</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E674-48D1-AD8B-F69784D02D80}"/>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E674-48D1-AD8B-F69784D02D80}"/>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E674-48D1-AD8B-F69784D02D80}"/>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E674-48D1-AD8B-F69784D02D80}"/>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E674-48D1-AD8B-F69784D02D80}"/>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E674-48D1-AD8B-F69784D02D80}"/>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E674-48D1-AD8B-F69784D02D80}"/>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E674-48D1-AD8B-F69784D02D80}"/>
              </c:ext>
            </c:extLst>
          </c:dPt>
          <c:dPt>
            <c:idx val="8"/>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1-E674-48D1-AD8B-F69784D02D80}"/>
              </c:ext>
            </c:extLst>
          </c:dPt>
          <c:dPt>
            <c:idx val="9"/>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13-E674-48D1-AD8B-F69784D02D80}"/>
              </c:ext>
            </c:extLst>
          </c:dPt>
          <c:dPt>
            <c:idx val="10"/>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15-E674-48D1-AD8B-F69784D02D80}"/>
              </c:ext>
            </c:extLst>
          </c:dPt>
          <c:dPt>
            <c:idx val="11"/>
            <c:bubble3D val="0"/>
            <c:spPr>
              <a:solidFill>
                <a:schemeClr val="accent6">
                  <a:lumMod val="60000"/>
                </a:schemeClr>
              </a:solidFill>
              <a:ln w="19050">
                <a:solidFill>
                  <a:schemeClr val="lt1"/>
                </a:solidFill>
              </a:ln>
              <a:effectLst/>
            </c:spPr>
            <c:extLst>
              <c:ext xmlns:c16="http://schemas.microsoft.com/office/drawing/2014/chart" uri="{C3380CC4-5D6E-409C-BE32-E72D297353CC}">
                <c16:uniqueId val="{00000017-E674-48D1-AD8B-F69784D02D80}"/>
              </c:ext>
            </c:extLst>
          </c:dPt>
          <c:dPt>
            <c:idx val="12"/>
            <c:bubble3D val="0"/>
            <c:spPr>
              <a:solidFill>
                <a:schemeClr val="accent1">
                  <a:lumMod val="80000"/>
                  <a:lumOff val="20000"/>
                </a:schemeClr>
              </a:solidFill>
              <a:ln w="19050">
                <a:solidFill>
                  <a:schemeClr val="lt1"/>
                </a:solidFill>
              </a:ln>
              <a:effectLst/>
            </c:spPr>
            <c:extLst>
              <c:ext xmlns:c16="http://schemas.microsoft.com/office/drawing/2014/chart" uri="{C3380CC4-5D6E-409C-BE32-E72D297353CC}">
                <c16:uniqueId val="{00000019-E674-48D1-AD8B-F69784D02D80}"/>
              </c:ext>
            </c:extLst>
          </c:dPt>
          <c:dLbls>
            <c:dLbl>
              <c:idx val="0"/>
              <c:layout>
                <c:manualLayout>
                  <c:x val="3.5046259842519682E-2"/>
                  <c:y val="0.1316324001166521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674-48D1-AD8B-F69784D02D80}"/>
                </c:ext>
              </c:extLst>
            </c:dLbl>
            <c:dLbl>
              <c:idx val="1"/>
              <c:layout>
                <c:manualLayout>
                  <c:x val="9.9837379702537185E-2"/>
                  <c:y val="-9.3227981918926797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674-48D1-AD8B-F69784D02D80}"/>
                </c:ext>
              </c:extLst>
            </c:dLbl>
            <c:dLbl>
              <c:idx val="2"/>
              <c:layout>
                <c:manualLayout>
                  <c:x val="5.9149168853893257E-2"/>
                  <c:y val="2.0662033498634342E-2"/>
                </c:manualLayout>
              </c:layout>
              <c:showLegendKey val="0"/>
              <c:showVal val="1"/>
              <c:showCatName val="1"/>
              <c:showSerName val="0"/>
              <c:showPercent val="0"/>
              <c:showBubbleSize val="0"/>
              <c:extLst>
                <c:ext xmlns:c15="http://schemas.microsoft.com/office/drawing/2012/chart" uri="{CE6537A1-D6FC-4f65-9D91-7224C49458BB}">
                  <c15:layout>
                    <c:manualLayout>
                      <c:w val="0.20238683127572016"/>
                      <c:h val="7.5154251316779538E-2"/>
                    </c:manualLayout>
                  </c15:layout>
                </c:ext>
                <c:ext xmlns:c16="http://schemas.microsoft.com/office/drawing/2014/chart" uri="{C3380CC4-5D6E-409C-BE32-E72D297353CC}">
                  <c16:uniqueId val="{00000005-E674-48D1-AD8B-F69784D02D80}"/>
                </c:ext>
              </c:extLst>
            </c:dLbl>
            <c:dLbl>
              <c:idx val="3"/>
              <c:layout>
                <c:manualLayout>
                  <c:x val="4.7191740718680823E-3"/>
                  <c:y val="5.8875221678371288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7-E674-48D1-AD8B-F69784D02D80}"/>
                </c:ext>
              </c:extLst>
            </c:dLbl>
            <c:dLbl>
              <c:idx val="4"/>
              <c:layout>
                <c:manualLayout>
                  <c:x val="-4.4124191813117206E-2"/>
                  <c:y val="4.9407391643612117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9-E674-48D1-AD8B-F69784D02D80}"/>
                </c:ext>
              </c:extLst>
            </c:dLbl>
            <c:dLbl>
              <c:idx val="5"/>
              <c:layout>
                <c:manualLayout>
                  <c:x val="-4.6035621156762303E-2"/>
                  <c:y val="5.2080300773214162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B-E674-48D1-AD8B-F69784D02D80}"/>
                </c:ext>
              </c:extLst>
            </c:dLbl>
            <c:dLbl>
              <c:idx val="6"/>
              <c:showLegendKey val="0"/>
              <c:showVal val="1"/>
              <c:showCatName val="1"/>
              <c:showSerName val="0"/>
              <c:showPercent val="0"/>
              <c:showBubbleSize val="0"/>
              <c:extLst>
                <c:ext xmlns:c15="http://schemas.microsoft.com/office/drawing/2012/chart" uri="{CE6537A1-D6FC-4f65-9D91-7224C49458BB}">
                  <c15:layout>
                    <c:manualLayout>
                      <c:w val="0.27457726754973605"/>
                      <c:h val="8.9189189189189194E-2"/>
                    </c:manualLayout>
                  </c15:layout>
                </c:ext>
                <c:ext xmlns:c16="http://schemas.microsoft.com/office/drawing/2014/chart" uri="{C3380CC4-5D6E-409C-BE32-E72D297353CC}">
                  <c16:uniqueId val="{0000000D-E674-48D1-AD8B-F69784D02D80}"/>
                </c:ext>
              </c:extLst>
            </c:dLbl>
            <c:dLbl>
              <c:idx val="7"/>
              <c:layout>
                <c:manualLayout>
                  <c:x val="-0.15611116657853064"/>
                  <c:y val="3.7006739022487065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F-E674-48D1-AD8B-F69784D02D80}"/>
                </c:ext>
              </c:extLst>
            </c:dLbl>
            <c:dLbl>
              <c:idx val="8"/>
              <c:showLegendKey val="0"/>
              <c:showVal val="1"/>
              <c:showCatName val="1"/>
              <c:showSerName val="0"/>
              <c:showPercent val="0"/>
              <c:showBubbleSize val="0"/>
              <c:extLst>
                <c:ext xmlns:c15="http://schemas.microsoft.com/office/drawing/2012/chart" uri="{CE6537A1-D6FC-4f65-9D91-7224C49458BB}">
                  <c15:layout>
                    <c:manualLayout>
                      <c:w val="0.20521641290773593"/>
                      <c:h val="9.1891891891891897E-2"/>
                    </c:manualLayout>
                  </c15:layout>
                </c:ext>
                <c:ext xmlns:c16="http://schemas.microsoft.com/office/drawing/2014/chart" uri="{C3380CC4-5D6E-409C-BE32-E72D297353CC}">
                  <c16:uniqueId val="{00000011-E674-48D1-AD8B-F69784D02D80}"/>
                </c:ext>
              </c:extLst>
            </c:dLbl>
            <c:dLbl>
              <c:idx val="12"/>
              <c:delete val="1"/>
              <c:extLst>
                <c:ext xmlns:c15="http://schemas.microsoft.com/office/drawing/2012/chart" uri="{CE6537A1-D6FC-4f65-9D91-7224C49458BB}">
                  <c15:layout>
                    <c:manualLayout>
                      <c:w val="0.19027777777777777"/>
                      <c:h val="0.11805555555555555"/>
                    </c:manualLayout>
                  </c15:layout>
                </c:ext>
                <c:ext xmlns:c16="http://schemas.microsoft.com/office/drawing/2014/chart" uri="{C3380CC4-5D6E-409C-BE32-E72D297353CC}">
                  <c16:uniqueId val="{00000019-E674-48D1-AD8B-F69784D02D8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'Charts - delete'!$E$58:$E$70</c:f>
              <c:strCache>
                <c:ptCount val="13"/>
                <c:pt idx="0">
                  <c:v>Office</c:v>
                </c:pt>
                <c:pt idx="1">
                  <c:v>Residential</c:v>
                </c:pt>
                <c:pt idx="2">
                  <c:v>Hospitals/healthcare</c:v>
                </c:pt>
                <c:pt idx="3">
                  <c:v>Commercial accommodation</c:v>
                </c:pt>
                <c:pt idx="4">
                  <c:v>Retail</c:v>
                </c:pt>
                <c:pt idx="5">
                  <c:v>Education</c:v>
                </c:pt>
                <c:pt idx="6">
                  <c:v>Entertainment/recreation</c:v>
                </c:pt>
                <c:pt idx="7">
                  <c:v>Manufacturing/light industrial</c:v>
                </c:pt>
                <c:pt idx="8">
                  <c:v>Community/public use</c:v>
                </c:pt>
                <c:pt idx="9">
                  <c:v>Transport</c:v>
                </c:pt>
                <c:pt idx="10">
                  <c:v>Parking</c:v>
                </c:pt>
                <c:pt idx="11">
                  <c:v>Other</c:v>
                </c:pt>
                <c:pt idx="12">
                  <c:v>Unoccupied</c:v>
                </c:pt>
              </c:strCache>
            </c:strRef>
          </c:cat>
          <c:val>
            <c:numRef>
              <c:f>'Charts - delete'!$F$58:$F$70</c:f>
              <c:numCache>
                <c:formatCode>0%</c:formatCode>
                <c:ptCount val="13"/>
                <c:pt idx="0">
                  <c:v>0.31338066172643975</c:v>
                </c:pt>
                <c:pt idx="1">
                  <c:v>0.28317865423685701</c:v>
                </c:pt>
                <c:pt idx="2">
                  <c:v>0.1037649825117747</c:v>
                </c:pt>
                <c:pt idx="3">
                  <c:v>8.397715200445359E-2</c:v>
                </c:pt>
                <c:pt idx="4">
                  <c:v>4.7746639587366461E-2</c:v>
                </c:pt>
                <c:pt idx="5">
                  <c:v>4.7186350181619652E-2</c:v>
                </c:pt>
                <c:pt idx="6">
                  <c:v>3.6824023245243531E-2</c:v>
                </c:pt>
                <c:pt idx="7">
                  <c:v>3.0542189838381802E-2</c:v>
                </c:pt>
                <c:pt idx="8">
                  <c:v>2.4059858759842307E-2</c:v>
                </c:pt>
                <c:pt idx="9">
                  <c:v>1.1540201564205748E-2</c:v>
                </c:pt>
                <c:pt idx="10">
                  <c:v>8.9311656454505103E-3</c:v>
                </c:pt>
                <c:pt idx="11">
                  <c:v>5.728370930423529E-3</c:v>
                </c:pt>
                <c:pt idx="12">
                  <c:v>3.1397497679415058E-3</c:v>
                </c:pt>
              </c:numCache>
            </c:numRef>
          </c:val>
          <c:extLst>
            <c:ext xmlns:c16="http://schemas.microsoft.com/office/drawing/2014/chart" uri="{C3380CC4-5D6E-409C-BE32-E72D297353CC}">
              <c16:uniqueId val="{0000001A-E674-48D1-AD8B-F69784D02D80}"/>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'Top-down matching'!$AI$315</c:f>
              <c:strCache>
                <c:ptCount val="1"/>
                <c:pt idx="0">
                  <c:v>% unused</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'Top-down matching'!$AH$316:$AH$328</c:f>
              <c:numCache>
                <c:formatCode>General</c:formatCode>
                <c:ptCount val="13"/>
                <c:pt idx="0">
                  <c:v>3207</c:v>
                </c:pt>
                <c:pt idx="1">
                  <c:v>3003</c:v>
                </c:pt>
                <c:pt idx="2">
                  <c:v>3054</c:v>
                </c:pt>
                <c:pt idx="3">
                  <c:v>3000</c:v>
                </c:pt>
                <c:pt idx="4">
                  <c:v>3051</c:v>
                </c:pt>
                <c:pt idx="5">
                  <c:v>3008</c:v>
                </c:pt>
                <c:pt idx="6">
                  <c:v>3031</c:v>
                </c:pt>
                <c:pt idx="7">
                  <c:v>3004</c:v>
                </c:pt>
                <c:pt idx="8">
                  <c:v>3053</c:v>
                </c:pt>
                <c:pt idx="9">
                  <c:v>3006</c:v>
                </c:pt>
                <c:pt idx="10">
                  <c:v>3002</c:v>
                </c:pt>
                <c:pt idx="11">
                  <c:v>3052</c:v>
                </c:pt>
                <c:pt idx="12">
                  <c:v>3010</c:v>
                </c:pt>
              </c:numCache>
            </c:numRef>
          </c:cat>
          <c:val>
            <c:numRef>
              <c:f>'Top-down matching'!$AI$316:$AI$328</c:f>
              <c:numCache>
                <c:formatCode>0%</c:formatCode>
                <c:ptCount val="13"/>
                <c:pt idx="0">
                  <c:v>0.23541382539514621</c:v>
                </c:pt>
                <c:pt idx="1">
                  <c:v>0.15797941038486096</c:v>
                </c:pt>
                <c:pt idx="2">
                  <c:v>0.1103276612355874</c:v>
                </c:pt>
                <c:pt idx="3">
                  <c:v>9.1778205950739031E-2</c:v>
                </c:pt>
                <c:pt idx="4">
                  <c:v>9.0853525064928359E-2</c:v>
                </c:pt>
                <c:pt idx="5">
                  <c:v>8.9795844561079266E-2</c:v>
                </c:pt>
                <c:pt idx="6">
                  <c:v>8.6416270317394211E-2</c:v>
                </c:pt>
                <c:pt idx="7">
                  <c:v>5.9370699181430141E-2</c:v>
                </c:pt>
                <c:pt idx="8">
                  <c:v>4.9728229615667092E-2</c:v>
                </c:pt>
                <c:pt idx="9">
                  <c:v>4.2192644755877154E-2</c:v>
                </c:pt>
                <c:pt idx="10">
                  <c:v>2.9433290786278102E-2</c:v>
                </c:pt>
                <c:pt idx="11">
                  <c:v>1.9064773475463842E-2</c:v>
                </c:pt>
                <c:pt idx="12">
                  <c:v>1.8725105432149333E-2</c:v>
                </c:pt>
              </c:numCache>
            </c:numRef>
          </c:val>
          <c:extLst>
            <c:ext xmlns:c16="http://schemas.microsoft.com/office/drawing/2014/chart" uri="{C3380CC4-5D6E-409C-BE32-E72D297353CC}">
              <c16:uniqueId val="{00000000-ECBD-4C00-8EA0-F5AAC6352836}"/>
            </c:ext>
          </c:extLst>
        </c:ser>
        <c:dLbls>
          <c:showLegendKey val="0"/>
          <c:showVal val="0"/>
          <c:showCatName val="0"/>
          <c:showSerName val="0"/>
          <c:showPercent val="0"/>
          <c:showBubbleSize val="0"/>
        </c:dLbls>
        <c:gapWidth val="219"/>
        <c:overlap val="-27"/>
        <c:axId val="195900320"/>
        <c:axId val="195897920"/>
      </c:barChart>
      <c:catAx>
        <c:axId val="1959003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5897920"/>
        <c:crosses val="autoZero"/>
        <c:auto val="1"/>
        <c:lblAlgn val="ctr"/>
        <c:lblOffset val="100"/>
        <c:noMultiLvlLbl val="0"/>
      </c:catAx>
      <c:valAx>
        <c:axId val="19589792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590032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'Unused space'!$F$2:$F$11</c:f>
              <c:strCache>
                <c:ptCount val="10"/>
                <c:pt idx="0">
                  <c:v>Office</c:v>
                </c:pt>
                <c:pt idx="1">
                  <c:v>Retail/Office</c:v>
                </c:pt>
                <c:pt idx="2">
                  <c:v>Warehouse/Store</c:v>
                </c:pt>
                <c:pt idx="3">
                  <c:v>Shop</c:v>
                </c:pt>
                <c:pt idx="4">
                  <c:v>Retail/Residential</c:v>
                </c:pt>
                <c:pt idx="5">
                  <c:v>Retail</c:v>
                </c:pt>
                <c:pt idx="6">
                  <c:v>Retail/Office/Carpark</c:v>
                </c:pt>
                <c:pt idx="7">
                  <c:v>Industrial (Manufacturing)</c:v>
                </c:pt>
                <c:pt idx="8">
                  <c:v>Current Re-development Site - Commercial</c:v>
                </c:pt>
                <c:pt idx="9">
                  <c:v>Office/Parking</c:v>
                </c:pt>
              </c:strCache>
            </c:strRef>
          </c:cat>
          <c:val>
            <c:numRef>
              <c:f>'Unused space'!$G$2:$G$11</c:f>
              <c:numCache>
                <c:formatCode>General</c:formatCode>
                <c:ptCount val="10"/>
                <c:pt idx="0">
                  <c:v>145</c:v>
                </c:pt>
                <c:pt idx="1">
                  <c:v>97</c:v>
                </c:pt>
                <c:pt idx="2">
                  <c:v>85</c:v>
                </c:pt>
                <c:pt idx="3">
                  <c:v>62</c:v>
                </c:pt>
                <c:pt idx="4">
                  <c:v>53</c:v>
                </c:pt>
                <c:pt idx="5">
                  <c:v>48</c:v>
                </c:pt>
                <c:pt idx="6">
                  <c:v>35</c:v>
                </c:pt>
                <c:pt idx="7">
                  <c:v>33</c:v>
                </c:pt>
                <c:pt idx="8">
                  <c:v>27</c:v>
                </c:pt>
                <c:pt idx="9">
                  <c:v>25</c:v>
                </c:pt>
              </c:numCache>
            </c:numRef>
          </c:val>
          <c:extLst>
            <c:ext xmlns:c16="http://schemas.microsoft.com/office/drawing/2014/chart" uri="{C3380CC4-5D6E-409C-BE32-E72D297353CC}">
              <c16:uniqueId val="{00000000-54E3-406B-A50D-F1B7D7D1D6CC}"/>
            </c:ext>
          </c:extLst>
        </c:ser>
        <c:dLbls>
          <c:showLegendKey val="0"/>
          <c:showVal val="0"/>
          <c:showCatName val="0"/>
          <c:showSerName val="0"/>
          <c:showPercent val="0"/>
          <c:showBubbleSize val="0"/>
        </c:dLbls>
        <c:gapWidth val="219"/>
        <c:overlap val="-27"/>
        <c:axId val="1617686496"/>
        <c:axId val="1617686976"/>
      </c:barChart>
      <c:catAx>
        <c:axId val="16176864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17686976"/>
        <c:crosses val="autoZero"/>
        <c:auto val="1"/>
        <c:lblAlgn val="ctr"/>
        <c:lblOffset val="100"/>
        <c:noMultiLvlLbl val="0"/>
      </c:catAx>
      <c:valAx>
        <c:axId val="161768697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Count</a:t>
                </a:r>
                <a:r>
                  <a:rPr lang="en-AU" baseline="0"/>
                  <a:t> of Buildings</a:t>
                </a:r>
                <a:endParaRPr lang="en-AU"/>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1768649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'Unused space'!$V$17:$V$21</c:f>
              <c:strCache>
                <c:ptCount val="5"/>
                <c:pt idx="0">
                  <c:v>D Grade</c:v>
                </c:pt>
                <c:pt idx="1">
                  <c:v>C Grade</c:v>
                </c:pt>
                <c:pt idx="2">
                  <c:v>B Grade</c:v>
                </c:pt>
                <c:pt idx="3">
                  <c:v>A Grade</c:v>
                </c:pt>
                <c:pt idx="4">
                  <c:v>Premium</c:v>
                </c:pt>
              </c:strCache>
            </c:strRef>
          </c:cat>
          <c:val>
            <c:numRef>
              <c:f>'Unused space'!$W$17:$W$21</c:f>
              <c:numCache>
                <c:formatCode>General</c:formatCode>
                <c:ptCount val="5"/>
                <c:pt idx="0">
                  <c:v>35</c:v>
                </c:pt>
                <c:pt idx="1">
                  <c:v>26</c:v>
                </c:pt>
                <c:pt idx="2">
                  <c:v>20</c:v>
                </c:pt>
                <c:pt idx="3">
                  <c:v>0</c:v>
                </c:pt>
                <c:pt idx="4">
                  <c:v>0</c:v>
                </c:pt>
              </c:numCache>
            </c:numRef>
          </c:val>
          <c:extLst>
            <c:ext xmlns:c16="http://schemas.microsoft.com/office/drawing/2014/chart" uri="{C3380CC4-5D6E-409C-BE32-E72D297353CC}">
              <c16:uniqueId val="{00000000-BBF8-4DD6-B1AE-739AD831B9DA}"/>
            </c:ext>
          </c:extLst>
        </c:ser>
        <c:dLbls>
          <c:showLegendKey val="0"/>
          <c:showVal val="0"/>
          <c:showCatName val="0"/>
          <c:showSerName val="0"/>
          <c:showPercent val="0"/>
          <c:showBubbleSize val="0"/>
        </c:dLbls>
        <c:gapWidth val="219"/>
        <c:overlap val="-27"/>
        <c:axId val="1617712416"/>
        <c:axId val="1617711936"/>
      </c:barChart>
      <c:catAx>
        <c:axId val="16177124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17711936"/>
        <c:crosses val="autoZero"/>
        <c:auto val="1"/>
        <c:lblAlgn val="ctr"/>
        <c:lblOffset val="100"/>
        <c:noMultiLvlLbl val="0"/>
      </c:catAx>
      <c:valAx>
        <c:axId val="16177119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Count</a:t>
                </a:r>
                <a:r>
                  <a:rPr lang="en-AU" baseline="0"/>
                  <a:t> of Buildings</a:t>
                </a:r>
                <a:endParaRPr lang="en-AU"/>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1771241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'Vacant space'!$N$3</c:f>
              <c:strCache>
                <c:ptCount val="1"/>
                <c:pt idx="0">
                  <c:v>% of unused space</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F0A7-40E9-B22E-925D8AFA9569}"/>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F0A7-40E9-B22E-925D8AFA9569}"/>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F0A7-40E9-B22E-925D8AFA9569}"/>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F0A7-40E9-B22E-925D8AFA9569}"/>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F0A7-40E9-B22E-925D8AFA9569}"/>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F0A7-40E9-B22E-925D8AFA9569}"/>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F0A7-40E9-B22E-925D8AFA9569}"/>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F0A7-40E9-B22E-925D8AFA9569}"/>
              </c:ext>
            </c:extLst>
          </c:dPt>
          <c:dPt>
            <c:idx val="8"/>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1-F0A7-40E9-B22E-925D8AFA9569}"/>
              </c:ext>
            </c:extLst>
          </c:dPt>
          <c:dLbls>
            <c:dLbl>
              <c:idx val="0"/>
              <c:layout>
                <c:manualLayout>
                  <c:x val="5.3195319335083112E-2"/>
                  <c:y val="0.11719597550306216"/>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0A7-40E9-B22E-925D8AFA9569}"/>
                </c:ext>
              </c:extLst>
            </c:dLbl>
            <c:dLbl>
              <c:idx val="1"/>
              <c:layout>
                <c:manualLayout>
                  <c:x val="5.902952755905512E-2"/>
                  <c:y val="9.8286672499270922E-3"/>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0A7-40E9-B22E-925D8AFA9569}"/>
                </c:ext>
              </c:extLst>
            </c:dLbl>
            <c:dLbl>
              <c:idx val="2"/>
              <c:layout>
                <c:manualLayout>
                  <c:x val="-9.681310148731409E-2"/>
                  <c:y val="0.11798410615339749"/>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0A7-40E9-B22E-925D8AFA9569}"/>
                </c:ext>
              </c:extLst>
            </c:dLbl>
            <c:dLbl>
              <c:idx val="3"/>
              <c:layout>
                <c:manualLayout>
                  <c:x val="2.9865789072960162E-2"/>
                  <c:y val="1.2666958296879556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7-F0A7-40E9-B22E-925D8AFA9569}"/>
                </c:ext>
              </c:extLst>
            </c:dLbl>
            <c:dLbl>
              <c:idx val="4"/>
              <c:layout>
                <c:manualLayout>
                  <c:x val="-6.6666666666666666E-2"/>
                  <c:y val="3.0118839311752698E-2"/>
                </c:manualLayout>
              </c:layout>
              <c:showLegendKey val="0"/>
              <c:showVal val="1"/>
              <c:showCatName val="1"/>
              <c:showSerName val="0"/>
              <c:showPercent val="0"/>
              <c:showBubbleSize val="0"/>
              <c:extLst>
                <c:ext xmlns:c15="http://schemas.microsoft.com/office/drawing/2012/chart" uri="{CE6537A1-D6FC-4f65-9D91-7224C49458BB}">
                  <c15:layout>
                    <c:manualLayout>
                      <c:w val="0.26527777777777778"/>
                      <c:h val="0.11805555555555555"/>
                    </c:manualLayout>
                  </c15:layout>
                </c:ext>
                <c:ext xmlns:c16="http://schemas.microsoft.com/office/drawing/2014/chart" uri="{C3380CC4-5D6E-409C-BE32-E72D297353CC}">
                  <c16:uniqueId val="{00000009-F0A7-40E9-B22E-925D8AFA9569}"/>
                </c:ext>
              </c:extLst>
            </c:dLbl>
            <c:dLbl>
              <c:idx val="5"/>
              <c:layout>
                <c:manualLayout>
                  <c:x val="-3.8078958880139985E-2"/>
                  <c:y val="7.8651939340915716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B-F0A7-40E9-B22E-925D8AFA9569}"/>
                </c:ext>
              </c:extLst>
            </c:dLbl>
            <c:dLbl>
              <c:idx val="6"/>
              <c:layout>
                <c:manualLayout>
                  <c:x val="-0.17262125312216026"/>
                  <c:y val="-1.8770386930309441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D-F0A7-40E9-B22E-925D8AFA9569}"/>
                </c:ext>
              </c:extLst>
            </c:dLbl>
            <c:dLbl>
              <c:idx val="7"/>
              <c:layout>
                <c:manualLayout>
                  <c:x val="0.13442749495724662"/>
                  <c:y val="-3.6640226987786378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1"/>
              <c:showSerName val="0"/>
              <c:showPercent val="0"/>
              <c:showBubbleSize val="0"/>
              <c:extLst>
                <c:ext xmlns:c15="http://schemas.microsoft.com/office/drawing/2012/chart" uri="{CE6537A1-D6FC-4f65-9D91-7224C49458BB}">
                  <c15:layout>
                    <c:manualLayout>
                      <c:w val="0.38949528711995535"/>
                      <c:h val="9.0863209101765777E-2"/>
                    </c:manualLayout>
                  </c15:layout>
                </c:ext>
                <c:ext xmlns:c16="http://schemas.microsoft.com/office/drawing/2014/chart" uri="{C3380CC4-5D6E-409C-BE32-E72D297353CC}">
                  <c16:uniqueId val="{0000000F-F0A7-40E9-B22E-925D8AFA9569}"/>
                </c:ext>
              </c:extLst>
            </c:dLbl>
            <c:dLbl>
              <c:idx val="8"/>
              <c:layout>
                <c:manualLayout>
                  <c:x val="0.31818450348373939"/>
                  <c:y val="2.6459973753280838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11-F0A7-40E9-B22E-925D8AFA956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'Vacant space'!$M$4:$M$12</c:f>
              <c:strCache>
                <c:ptCount val="9"/>
                <c:pt idx="0">
                  <c:v>Office</c:v>
                </c:pt>
                <c:pt idx="1">
                  <c:v>Transport</c:v>
                </c:pt>
                <c:pt idx="2">
                  <c:v>Retail</c:v>
                </c:pt>
                <c:pt idx="3">
                  <c:v>Residential</c:v>
                </c:pt>
                <c:pt idx="4">
                  <c:v>Manufacturing/light industrial</c:v>
                </c:pt>
                <c:pt idx="5">
                  <c:v>Outdoor space</c:v>
                </c:pt>
                <c:pt idx="6">
                  <c:v>Education</c:v>
                </c:pt>
                <c:pt idx="7">
                  <c:v>Commercial accomodation</c:v>
                </c:pt>
                <c:pt idx="8">
                  <c:v>All other </c:v>
                </c:pt>
              </c:strCache>
            </c:strRef>
          </c:cat>
          <c:val>
            <c:numRef>
              <c:f>'Vacant space'!$N$4:$N$12</c:f>
              <c:numCache>
                <c:formatCode>0.0%</c:formatCode>
                <c:ptCount val="9"/>
                <c:pt idx="0">
                  <c:v>0.43798099672301466</c:v>
                </c:pt>
                <c:pt idx="1">
                  <c:v>0.15252792475824342</c:v>
                </c:pt>
                <c:pt idx="2">
                  <c:v>0.10582908372431968</c:v>
                </c:pt>
                <c:pt idx="3">
                  <c:v>9.4161958568738199E-2</c:v>
                </c:pt>
                <c:pt idx="4">
                  <c:v>9.2257870566109526E-2</c:v>
                </c:pt>
                <c:pt idx="5">
                  <c:v>6.2338283632400633E-2</c:v>
                </c:pt>
                <c:pt idx="6">
                  <c:v>2.0602484857664159E-2</c:v>
                </c:pt>
                <c:pt idx="7">
                  <c:v>1.8026340913041495E-2</c:v>
                </c:pt>
                <c:pt idx="8">
                  <c:v>1.627505625646819E-2</c:v>
                </c:pt>
              </c:numCache>
            </c:numRef>
          </c:val>
          <c:extLst>
            <c:ext xmlns:c16="http://schemas.microsoft.com/office/drawing/2014/chart" uri="{C3380CC4-5D6E-409C-BE32-E72D297353CC}">
              <c16:uniqueId val="{00000012-F0A7-40E9-B22E-925D8AFA9569}"/>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'Vacant space'!$Q$3</c:f>
              <c:strCache>
                <c:ptCount val="1"/>
                <c:pt idx="0">
                  <c:v>Unused floor area</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3C23-49D8-8F8A-32419F16EB6A}"/>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3C23-49D8-8F8A-32419F16EB6A}"/>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3C23-49D8-8F8A-32419F16EB6A}"/>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3C23-49D8-8F8A-32419F16EB6A}"/>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3C23-49D8-8F8A-32419F16EB6A}"/>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3C23-49D8-8F8A-32419F16EB6A}"/>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3C23-49D8-8F8A-32419F16EB6A}"/>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3C23-49D8-8F8A-32419F16EB6A}"/>
              </c:ext>
            </c:extLst>
          </c:dPt>
          <c:dPt>
            <c:idx val="8"/>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1-3C23-49D8-8F8A-32419F16EB6A}"/>
              </c:ext>
            </c:extLst>
          </c:dPt>
          <c:dLbls>
            <c:dLbl>
              <c:idx val="0"/>
              <c:layout>
                <c:manualLayout>
                  <c:x val="3.8476268591426069E-2"/>
                  <c:y val="8.247375328083989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C23-49D8-8F8A-32419F16EB6A}"/>
                </c:ext>
              </c:extLst>
            </c:dLbl>
            <c:dLbl>
              <c:idx val="1"/>
              <c:layout>
                <c:manualLayout>
                  <c:x val="0.14726082677165353"/>
                  <c:y val="-3.2546296296296295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C23-49D8-8F8A-32419F16EB6A}"/>
                </c:ext>
              </c:extLst>
            </c:dLbl>
            <c:dLbl>
              <c:idx val="2"/>
              <c:layout>
                <c:manualLayout>
                  <c:x val="3.3441329273648297E-2"/>
                  <c:y val="1.8453995333916593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C23-49D8-8F8A-32419F16EB6A}"/>
                </c:ext>
              </c:extLst>
            </c:dLbl>
            <c:dLbl>
              <c:idx val="3"/>
              <c:layout>
                <c:manualLayout>
                  <c:x val="-7.5578958880139976E-2"/>
                  <c:y val="6.8235272674249059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7-3C23-49D8-8F8A-32419F16EB6A}"/>
                </c:ext>
              </c:extLst>
            </c:dLbl>
            <c:dLbl>
              <c:idx val="4"/>
              <c:layout>
                <c:manualLayout>
                  <c:x val="-8.7357939632545942E-2"/>
                  <c:y val="0.12029892096821231"/>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9-3C23-49D8-8F8A-32419F16EB6A}"/>
                </c:ext>
              </c:extLst>
            </c:dLbl>
            <c:dLbl>
              <c:idx val="5"/>
              <c:layout>
                <c:manualLayout>
                  <c:x val="-0.23028685476815397"/>
                  <c:y val="9.375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B-3C23-49D8-8F8A-32419F16EB6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'Vacant space'!$P$4:$P$12</c:f>
              <c:strCache>
                <c:ptCount val="9"/>
                <c:pt idx="0">
                  <c:v>Office</c:v>
                </c:pt>
                <c:pt idx="1">
                  <c:v>Transport</c:v>
                </c:pt>
                <c:pt idx="2">
                  <c:v>Retail</c:v>
                </c:pt>
                <c:pt idx="3">
                  <c:v>Manufacturing/light industrial</c:v>
                </c:pt>
                <c:pt idx="4">
                  <c:v>Residential</c:v>
                </c:pt>
                <c:pt idx="5">
                  <c:v>Outdoor space</c:v>
                </c:pt>
                <c:pt idx="6">
                  <c:v>Education</c:v>
                </c:pt>
                <c:pt idx="7">
                  <c:v>Commercial accomodation</c:v>
                </c:pt>
                <c:pt idx="8">
                  <c:v>All other </c:v>
                </c:pt>
              </c:strCache>
            </c:strRef>
          </c:cat>
          <c:val>
            <c:numRef>
              <c:f>'Vacant space'!$Q$4:$Q$12</c:f>
              <c:numCache>
                <c:formatCode>_-* #,##0_-;\-* #,##0_-;_-* "-"??_-;_-@_-</c:formatCode>
                <c:ptCount val="9"/>
                <c:pt idx="0">
                  <c:v>1688769.0018079632</c:v>
                </c:pt>
                <c:pt idx="1">
                  <c:v>588117.82513184904</c:v>
                </c:pt>
                <c:pt idx="2">
                  <c:v>408056.23399317556</c:v>
                </c:pt>
                <c:pt idx="3">
                  <c:v>355728.29221033212</c:v>
                </c:pt>
                <c:pt idx="4">
                  <c:v>363070.0828807326</c:v>
                </c:pt>
                <c:pt idx="5">
                  <c:v>240364.22084971936</c:v>
                </c:pt>
                <c:pt idx="6">
                  <c:v>79439.149296800795</c:v>
                </c:pt>
                <c:pt idx="7">
                  <c:v>69506.04244873047</c:v>
                </c:pt>
                <c:pt idx="8">
                  <c:v>62753.431574078117</c:v>
                </c:pt>
              </c:numCache>
            </c:numRef>
          </c:val>
          <c:extLst>
            <c:ext xmlns:c16="http://schemas.microsoft.com/office/drawing/2014/chart" uri="{C3380CC4-5D6E-409C-BE32-E72D297353CC}">
              <c16:uniqueId val="{00000012-3C23-49D8-8F8A-32419F16EB6A}"/>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2899-4344-A15C-C3F8DC0A8871}"/>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2899-4344-A15C-C3F8DC0A8871}"/>
              </c:ext>
            </c:extLst>
          </c:dPt>
          <c:dLbls>
            <c:dLbl>
              <c:idx val="0"/>
              <c:layout>
                <c:manualLayout>
                  <c:x val="-1.8644988025728892E-8"/>
                  <c:y val="-5.5361340730517919E-2"/>
                </c:manualLayout>
              </c:layout>
              <c:showLegendKey val="0"/>
              <c:showVal val="1"/>
              <c:showCatName val="1"/>
              <c:showSerName val="0"/>
              <c:showPercent val="0"/>
              <c:showBubbleSize val="0"/>
              <c:extLst>
                <c:ext xmlns:c15="http://schemas.microsoft.com/office/drawing/2012/chart" uri="{CE6537A1-D6FC-4f65-9D91-7224C49458BB}">
                  <c15:layout>
                    <c:manualLayout>
                      <c:w val="0.25069440715446839"/>
                      <c:h val="5.30921817545916E-2"/>
                    </c:manualLayout>
                  </c15:layout>
                </c:ext>
                <c:ext xmlns:c16="http://schemas.microsoft.com/office/drawing/2014/chart" uri="{C3380CC4-5D6E-409C-BE32-E72D297353CC}">
                  <c16:uniqueId val="{00000001-2899-4344-A15C-C3F8DC0A8871}"/>
                </c:ext>
              </c:extLst>
            </c:dLbl>
            <c:dLbl>
              <c:idx val="1"/>
              <c:layout>
                <c:manualLayout>
                  <c:x val="-3.7558289588801398E-2"/>
                  <c:y val="5.9174686497521146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899-4344-A15C-C3F8DC0A8871}"/>
                </c:ext>
              </c:extLst>
            </c:dLbl>
            <c:spPr>
              <a:noFill/>
              <a:ln>
                <a:noFill/>
              </a:ln>
              <a:effectLst/>
            </c:spPr>
            <c:txPr>
              <a:bodyPr rot="0" spcFirstLastPara="1" vertOverflow="ellipsis" vert="horz" wrap="square" anchor="ctr" anchorCtr="1"/>
              <a:lstStyle/>
              <a:p>
                <a:pPr>
                  <a:defRPr sz="900" b="0" i="0" u="none" strike="noStrike" kern="1200" baseline="0">
                    <a:ln>
                      <a:noFill/>
                    </a:ln>
                    <a:solidFill>
                      <a:schemeClr val="tx1">
                        <a:lumMod val="75000"/>
                        <a:lumOff val="25000"/>
                      </a:schemeClr>
                    </a:solidFill>
                    <a:latin typeface="+mn-lt"/>
                    <a:ea typeface="+mn-ea"/>
                    <a:cs typeface="+mn-cs"/>
                  </a:defRPr>
                </a:pPr>
                <a:endParaRPr lang="en-US"/>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Sheet16!$G$286:$G$287</c:f>
              <c:strCache>
                <c:ptCount val="2"/>
                <c:pt idx="0">
                  <c:v>House/Townhouse</c:v>
                </c:pt>
                <c:pt idx="1">
                  <c:v>All other</c:v>
                </c:pt>
              </c:strCache>
            </c:strRef>
          </c:cat>
          <c:val>
            <c:numRef>
              <c:f>Sheet16!$H$286:$H$287</c:f>
              <c:numCache>
                <c:formatCode>General</c:formatCode>
                <c:ptCount val="2"/>
                <c:pt idx="0">
                  <c:v>8644</c:v>
                </c:pt>
                <c:pt idx="1">
                  <c:v>5443</c:v>
                </c:pt>
              </c:numCache>
            </c:numRef>
          </c:val>
          <c:extLst>
            <c:ext xmlns:c16="http://schemas.microsoft.com/office/drawing/2014/chart" uri="{C3380CC4-5D6E-409C-BE32-E72D297353CC}">
              <c16:uniqueId val="{00000004-2899-4344-A15C-C3F8DC0A8871}"/>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ln>
            <a:noFill/>
          </a:ln>
        </a:defRPr>
      </a:pPr>
      <a:endParaRPr lang="en-US"/>
    </a:p>
  </c:txPr>
  <c:externalData r:id="rId3">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Sheet16!$H$267</c:f>
              <c:strCache>
                <c:ptCount val="1"/>
                <c:pt idx="0">
                  <c:v>Count</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Sheet16!$G$268:$G$282</c:f>
              <c:strCache>
                <c:ptCount val="15"/>
                <c:pt idx="0">
                  <c:v>Residential apartments</c:v>
                </c:pt>
                <c:pt idx="1">
                  <c:v>Other unoccupied</c:v>
                </c:pt>
                <c:pt idx="2">
                  <c:v>Offices</c:v>
                </c:pt>
                <c:pt idx="3">
                  <c:v>Entertainment/recreation</c:v>
                </c:pt>
                <c:pt idx="4">
                  <c:v>Manufacturing/light industrial</c:v>
                </c:pt>
                <c:pt idx="5">
                  <c:v>Retail</c:v>
                </c:pt>
                <c:pt idx="6">
                  <c:v>Education</c:v>
                </c:pt>
                <c:pt idx="7">
                  <c:v>Commercial accomodation</c:v>
                </c:pt>
                <c:pt idx="8">
                  <c:v>Other</c:v>
                </c:pt>
                <c:pt idx="9">
                  <c:v>Institutional and student accomodation</c:v>
                </c:pt>
                <c:pt idx="10">
                  <c:v>Community/public use</c:v>
                </c:pt>
                <c:pt idx="11">
                  <c:v>Under construction or rennovation</c:v>
                </c:pt>
                <c:pt idx="12">
                  <c:v>Parking</c:v>
                </c:pt>
                <c:pt idx="13">
                  <c:v>Hospitals/healthcare</c:v>
                </c:pt>
                <c:pt idx="14">
                  <c:v>Transport</c:v>
                </c:pt>
              </c:strCache>
            </c:strRef>
          </c:cat>
          <c:val>
            <c:numRef>
              <c:f>Sheet16!$H$268:$H$282</c:f>
              <c:numCache>
                <c:formatCode>General</c:formatCode>
                <c:ptCount val="15"/>
                <c:pt idx="0">
                  <c:v>1409</c:v>
                </c:pt>
                <c:pt idx="1">
                  <c:v>844</c:v>
                </c:pt>
                <c:pt idx="2">
                  <c:v>784</c:v>
                </c:pt>
                <c:pt idx="3">
                  <c:v>531</c:v>
                </c:pt>
                <c:pt idx="4">
                  <c:v>390</c:v>
                </c:pt>
                <c:pt idx="5">
                  <c:v>387</c:v>
                </c:pt>
                <c:pt idx="6">
                  <c:v>220</c:v>
                </c:pt>
                <c:pt idx="7">
                  <c:v>160</c:v>
                </c:pt>
                <c:pt idx="8">
                  <c:v>154</c:v>
                </c:pt>
                <c:pt idx="9">
                  <c:v>130</c:v>
                </c:pt>
                <c:pt idx="10">
                  <c:v>123</c:v>
                </c:pt>
                <c:pt idx="11">
                  <c:v>118</c:v>
                </c:pt>
                <c:pt idx="12">
                  <c:v>98</c:v>
                </c:pt>
                <c:pt idx="13">
                  <c:v>80</c:v>
                </c:pt>
                <c:pt idx="14">
                  <c:v>15</c:v>
                </c:pt>
              </c:numCache>
            </c:numRef>
          </c:val>
          <c:extLst>
            <c:ext xmlns:c16="http://schemas.microsoft.com/office/drawing/2014/chart" uri="{C3380CC4-5D6E-409C-BE32-E72D297353CC}">
              <c16:uniqueId val="{00000000-2DAA-47CF-9B2E-4B4E844D5A37}"/>
            </c:ext>
          </c:extLst>
        </c:ser>
        <c:dLbls>
          <c:showLegendKey val="0"/>
          <c:showVal val="0"/>
          <c:showCatName val="0"/>
          <c:showSerName val="0"/>
          <c:showPercent val="0"/>
          <c:showBubbleSize val="0"/>
        </c:dLbls>
        <c:gapWidth val="219"/>
        <c:overlap val="-27"/>
        <c:axId val="1821068831"/>
        <c:axId val="1821070751"/>
      </c:barChart>
      <c:catAx>
        <c:axId val="18210688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21070751"/>
        <c:crosses val="autoZero"/>
        <c:auto val="1"/>
        <c:lblAlgn val="ctr"/>
        <c:lblOffset val="100"/>
        <c:noMultiLvlLbl val="0"/>
      </c:catAx>
      <c:valAx>
        <c:axId val="182107075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No.</a:t>
                </a:r>
                <a:r>
                  <a:rPr lang="en-AU" baseline="0"/>
                  <a:t> of Buildings</a:t>
                </a:r>
                <a:endParaRPr lang="en-AU"/>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2106883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A4B5-48DF-8907-2CCF361B06D2}"/>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A4B5-48DF-8907-2CCF361B06D2}"/>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A4B5-48DF-8907-2CCF361B06D2}"/>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Sheet16!$E$29:$G$29</c:f>
              <c:strCache>
                <c:ptCount val="3"/>
                <c:pt idx="0">
                  <c:v>Apartment buildings</c:v>
                </c:pt>
                <c:pt idx="1">
                  <c:v>Construction sites</c:v>
                </c:pt>
                <c:pt idx="2">
                  <c:v>Other</c:v>
                </c:pt>
              </c:strCache>
            </c:strRef>
          </c:cat>
          <c:val>
            <c:numRef>
              <c:f>Sheet16!$E$30:$G$30</c:f>
              <c:numCache>
                <c:formatCode>General</c:formatCode>
                <c:ptCount val="3"/>
                <c:pt idx="0">
                  <c:v>136</c:v>
                </c:pt>
                <c:pt idx="1">
                  <c:v>32</c:v>
                </c:pt>
                <c:pt idx="2">
                  <c:v>73</c:v>
                </c:pt>
              </c:numCache>
            </c:numRef>
          </c:val>
          <c:extLst>
            <c:ext xmlns:c16="http://schemas.microsoft.com/office/drawing/2014/chart" uri="{C3380CC4-5D6E-409C-BE32-E72D297353CC}">
              <c16:uniqueId val="{00000006-A4B5-48DF-8907-2CCF361B06D2}"/>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0547-4656-9591-79300B7F0AD3}"/>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0547-4656-9591-79300B7F0AD3}"/>
              </c:ext>
            </c:extLst>
          </c:dPt>
          <c:dLbls>
            <c:dLbl>
              <c:idx val="0"/>
              <c:layout>
                <c:manualLayout>
                  <c:x val="3.5723643919510065E-2"/>
                  <c:y val="0.20995297462817147"/>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547-4656-9591-79300B7F0AD3}"/>
                </c:ext>
              </c:extLst>
            </c:dLbl>
            <c:dLbl>
              <c:idx val="1"/>
              <c:layout>
                <c:manualLayout>
                  <c:x val="-4.8228346456692913E-3"/>
                  <c:y val="-0.1882396471274424"/>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547-4656-9591-79300B7F0AD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'Residential calculations'!$Q$7:$Q$8</c:f>
              <c:strCache>
                <c:ptCount val="2"/>
                <c:pt idx="0">
                  <c:v>Embedded network apartment area</c:v>
                </c:pt>
                <c:pt idx="1">
                  <c:v>Non-embedded network apartment area</c:v>
                </c:pt>
              </c:strCache>
            </c:strRef>
          </c:cat>
          <c:val>
            <c:numRef>
              <c:f>'Residential calculations'!$R$7:$R$8</c:f>
              <c:numCache>
                <c:formatCode>_-* #,##0_-;\-* #,##0_-;_-* "-"??_-;_-@_-</c:formatCode>
                <c:ptCount val="2"/>
                <c:pt idx="0">
                  <c:v>4195177.9492367953</c:v>
                </c:pt>
                <c:pt idx="1">
                  <c:v>7664695.8824599124</c:v>
                </c:pt>
              </c:numCache>
            </c:numRef>
          </c:val>
          <c:extLst>
            <c:ext xmlns:c16="http://schemas.microsoft.com/office/drawing/2014/chart" uri="{C3380CC4-5D6E-409C-BE32-E72D297353CC}">
              <c16:uniqueId val="{00000004-0547-4656-9591-79300B7F0AD3}"/>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a:solidFill>
              <a:srgbClr val="00B0F0"/>
            </a:solidFill>
          </c:spPr>
          <c:dPt>
            <c:idx val="0"/>
            <c:bubble3D val="0"/>
            <c:spPr>
              <a:solidFill>
                <a:srgbClr val="00B0F0"/>
              </a:solidFill>
              <a:ln w="19050">
                <a:solidFill>
                  <a:schemeClr val="lt1"/>
                </a:solidFill>
              </a:ln>
              <a:effectLst/>
            </c:spPr>
            <c:extLst>
              <c:ext xmlns:c16="http://schemas.microsoft.com/office/drawing/2014/chart" uri="{C3380CC4-5D6E-409C-BE32-E72D297353CC}">
                <c16:uniqueId val="{00000001-22C5-4FBE-82EB-D608E7E995F6}"/>
              </c:ext>
            </c:extLst>
          </c:dPt>
          <c:dPt>
            <c:idx val="1"/>
            <c:bubble3D val="0"/>
            <c:spPr>
              <a:solidFill>
                <a:srgbClr val="FFC000"/>
              </a:solidFill>
              <a:ln w="19050">
                <a:solidFill>
                  <a:schemeClr val="lt1"/>
                </a:solidFill>
              </a:ln>
              <a:effectLst/>
            </c:spPr>
            <c:extLst>
              <c:ext xmlns:c16="http://schemas.microsoft.com/office/drawing/2014/chart" uri="{C3380CC4-5D6E-409C-BE32-E72D297353CC}">
                <c16:uniqueId val="{00000003-22C5-4FBE-82EB-D608E7E995F6}"/>
              </c:ext>
            </c:extLst>
          </c:dPt>
          <c:dLbls>
            <c:dLbl>
              <c:idx val="0"/>
              <c:layout>
                <c:manualLayout>
                  <c:x val="-7.1525590551181099E-3"/>
                  <c:y val="1.8248760571595173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2C5-4FBE-82EB-D608E7E995F6}"/>
                </c:ext>
              </c:extLst>
            </c:dLbl>
            <c:dLbl>
              <c:idx val="1"/>
              <c:layout>
                <c:manualLayout>
                  <c:x val="1.390518372703412E-2"/>
                  <c:y val="-7.9013560804899394E-3"/>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2C5-4FBE-82EB-D608E7E995F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'Charts - delete'!$AA$46:$AB$46</c:f>
              <c:strCache>
                <c:ptCount val="2"/>
                <c:pt idx="0">
                  <c:v>Gas</c:v>
                </c:pt>
                <c:pt idx="1">
                  <c:v>Electricity</c:v>
                </c:pt>
              </c:strCache>
            </c:strRef>
          </c:cat>
          <c:val>
            <c:numRef>
              <c:f>'Charts - delete'!$AA$47:$AB$47</c:f>
              <c:numCache>
                <c:formatCode>_-* #,##0_-;\-* #,##0_-;_-* "-"??_-;_-@_-</c:formatCode>
                <c:ptCount val="2"/>
                <c:pt idx="0">
                  <c:v>6660.5889620093731</c:v>
                </c:pt>
                <c:pt idx="1">
                  <c:v>9611.1631741792771</c:v>
                </c:pt>
              </c:numCache>
            </c:numRef>
          </c:val>
          <c:extLst>
            <c:ext xmlns:c16="http://schemas.microsoft.com/office/drawing/2014/chart" uri="{C3380CC4-5D6E-409C-BE32-E72D297353CC}">
              <c16:uniqueId val="{00000004-22C5-4FBE-82EB-D608E7E995F6}"/>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'Charts - delete'!$M$108</c:f>
              <c:strCache>
                <c:ptCount val="1"/>
                <c:pt idx="0">
                  <c:v>%</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EE24-4D97-B003-A430518D0588}"/>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EE24-4D97-B003-A430518D0588}"/>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EE24-4D97-B003-A430518D0588}"/>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EE24-4D97-B003-A430518D0588}"/>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EE24-4D97-B003-A430518D0588}"/>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EE24-4D97-B003-A430518D0588}"/>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EE24-4D97-B003-A430518D0588}"/>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EE24-4D97-B003-A430518D0588}"/>
              </c:ext>
            </c:extLst>
          </c:dPt>
          <c:dPt>
            <c:idx val="8"/>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1-EE24-4D97-B003-A430518D0588}"/>
              </c:ext>
            </c:extLst>
          </c:dPt>
          <c:dPt>
            <c:idx val="9"/>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13-EE24-4D97-B003-A430518D0588}"/>
              </c:ext>
            </c:extLst>
          </c:dPt>
          <c:dPt>
            <c:idx val="10"/>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15-EE24-4D97-B003-A430518D0588}"/>
              </c:ext>
            </c:extLst>
          </c:dPt>
          <c:dPt>
            <c:idx val="11"/>
            <c:bubble3D val="0"/>
            <c:spPr>
              <a:solidFill>
                <a:schemeClr val="accent6">
                  <a:lumMod val="60000"/>
                </a:schemeClr>
              </a:solidFill>
              <a:ln w="19050">
                <a:solidFill>
                  <a:schemeClr val="lt1"/>
                </a:solidFill>
              </a:ln>
              <a:effectLst/>
            </c:spPr>
            <c:extLst>
              <c:ext xmlns:c16="http://schemas.microsoft.com/office/drawing/2014/chart" uri="{C3380CC4-5D6E-409C-BE32-E72D297353CC}">
                <c16:uniqueId val="{00000017-EE24-4D97-B003-A430518D0588}"/>
              </c:ext>
            </c:extLst>
          </c:dPt>
          <c:dLbls>
            <c:dLbl>
              <c:idx val="0"/>
              <c:layout>
                <c:manualLayout>
                  <c:x val="2.7318678915135609E-2"/>
                  <c:y val="0.12116506270049578"/>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E24-4D97-B003-A430518D0588}"/>
                </c:ext>
              </c:extLst>
            </c:dLbl>
            <c:dLbl>
              <c:idx val="1"/>
              <c:layout>
                <c:manualLayout>
                  <c:x val="9.7020778652668421E-2"/>
                  <c:y val="-0.13668452901720618"/>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E24-4D97-B003-A430518D0588}"/>
                </c:ext>
              </c:extLst>
            </c:dLbl>
            <c:dLbl>
              <c:idx val="3"/>
              <c:layout>
                <c:manualLayout>
                  <c:x val="-2.8906952994714807E-2"/>
                  <c:y val="1.5747725411874466E-2"/>
                </c:manualLayout>
              </c:layout>
              <c:showLegendKey val="0"/>
              <c:showVal val="1"/>
              <c:showCatName val="1"/>
              <c:showSerName val="0"/>
              <c:showPercent val="0"/>
              <c:showBubbleSize val="0"/>
              <c:extLst>
                <c:ext xmlns:c15="http://schemas.microsoft.com/office/drawing/2012/chart" uri="{CE6537A1-D6FC-4f65-9D91-7224C49458BB}">
                  <c15:layout>
                    <c:manualLayout>
                      <c:w val="0.2673611111111111"/>
                      <c:h val="0.11805555555555555"/>
                    </c:manualLayout>
                  </c15:layout>
                </c:ext>
                <c:ext xmlns:c16="http://schemas.microsoft.com/office/drawing/2014/chart" uri="{C3380CC4-5D6E-409C-BE32-E72D297353CC}">
                  <c16:uniqueId val="{00000007-EE24-4D97-B003-A430518D0588}"/>
                </c:ext>
              </c:extLst>
            </c:dLbl>
            <c:dLbl>
              <c:idx val="4"/>
              <c:layout>
                <c:manualLayout>
                  <c:x val="6.0738188976377956E-3"/>
                  <c:y val="2.768737241178186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9-EE24-4D97-B003-A430518D058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'Charts - delete'!$L$109:$L$120</c:f>
              <c:strCache>
                <c:ptCount val="12"/>
                <c:pt idx="0">
                  <c:v>Office</c:v>
                </c:pt>
                <c:pt idx="1">
                  <c:v>Residential</c:v>
                </c:pt>
                <c:pt idx="2">
                  <c:v>Commercial accommodation</c:v>
                </c:pt>
                <c:pt idx="3">
                  <c:v>Hospitals/healthcare</c:v>
                </c:pt>
                <c:pt idx="4">
                  <c:v>Retail</c:v>
                </c:pt>
                <c:pt idx="5">
                  <c:v>Education</c:v>
                </c:pt>
                <c:pt idx="6">
                  <c:v>Entertainment/recreation</c:v>
                </c:pt>
                <c:pt idx="7">
                  <c:v>Manufacturing/light industrial</c:v>
                </c:pt>
                <c:pt idx="8">
                  <c:v>Community/public use</c:v>
                </c:pt>
                <c:pt idx="9">
                  <c:v>Transport</c:v>
                </c:pt>
                <c:pt idx="10">
                  <c:v>Parking</c:v>
                </c:pt>
                <c:pt idx="11">
                  <c:v>Other</c:v>
                </c:pt>
              </c:strCache>
            </c:strRef>
          </c:cat>
          <c:val>
            <c:numRef>
              <c:f>'Charts - delete'!$M$109:$M$120</c:f>
              <c:numCache>
                <c:formatCode>0%</c:formatCode>
                <c:ptCount val="12"/>
                <c:pt idx="0">
                  <c:v>0.31960078387558133</c:v>
                </c:pt>
                <c:pt idx="1">
                  <c:v>0.2394949826487853</c:v>
                </c:pt>
                <c:pt idx="2">
                  <c:v>9.1146721735379119E-2</c:v>
                </c:pt>
                <c:pt idx="3">
                  <c:v>8.429828421314231E-2</c:v>
                </c:pt>
                <c:pt idx="4">
                  <c:v>5.8496542008509442E-2</c:v>
                </c:pt>
                <c:pt idx="5">
                  <c:v>5.601147539752261E-2</c:v>
                </c:pt>
                <c:pt idx="6">
                  <c:v>4.3941269986482179E-2</c:v>
                </c:pt>
                <c:pt idx="7">
                  <c:v>3.5985448238900507E-2</c:v>
                </c:pt>
                <c:pt idx="8">
                  <c:v>2.867220641840176E-2</c:v>
                </c:pt>
                <c:pt idx="9">
                  <c:v>1.6810750575434727E-2</c:v>
                </c:pt>
                <c:pt idx="10">
                  <c:v>1.3406093950657533E-2</c:v>
                </c:pt>
                <c:pt idx="11">
                  <c:v>7.4404383651228596E-3</c:v>
                </c:pt>
              </c:numCache>
            </c:numRef>
          </c:val>
          <c:extLst>
            <c:ext xmlns:c16="http://schemas.microsoft.com/office/drawing/2014/chart" uri="{C3380CC4-5D6E-409C-BE32-E72D297353CC}">
              <c16:uniqueId val="{00000018-EE24-4D97-B003-A430518D0588}"/>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'Charts - delete'!$Z$52</c:f>
              <c:strCache>
                <c:ptCount val="1"/>
                <c:pt idx="0">
                  <c:v>energy</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CFE1-4224-ACA4-F104FC3BD4B6}"/>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CFE1-4224-ACA4-F104FC3BD4B6}"/>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CFE1-4224-ACA4-F104FC3BD4B6}"/>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CFE1-4224-ACA4-F104FC3BD4B6}"/>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CFE1-4224-ACA4-F104FC3BD4B6}"/>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CFE1-4224-ACA4-F104FC3BD4B6}"/>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CFE1-4224-ACA4-F104FC3BD4B6}"/>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CFE1-4224-ACA4-F104FC3BD4B6}"/>
              </c:ext>
            </c:extLst>
          </c:dPt>
          <c:dPt>
            <c:idx val="8"/>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1-CFE1-4224-ACA4-F104FC3BD4B6}"/>
              </c:ext>
            </c:extLst>
          </c:dPt>
          <c:dPt>
            <c:idx val="9"/>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13-CFE1-4224-ACA4-F104FC3BD4B6}"/>
              </c:ext>
            </c:extLst>
          </c:dPt>
          <c:dPt>
            <c:idx val="10"/>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15-CFE1-4224-ACA4-F104FC3BD4B6}"/>
              </c:ext>
            </c:extLst>
          </c:dPt>
          <c:dPt>
            <c:idx val="11"/>
            <c:bubble3D val="0"/>
            <c:spPr>
              <a:solidFill>
                <a:schemeClr val="accent6">
                  <a:lumMod val="60000"/>
                </a:schemeClr>
              </a:solidFill>
              <a:ln w="19050">
                <a:solidFill>
                  <a:schemeClr val="lt1"/>
                </a:solidFill>
              </a:ln>
              <a:effectLst/>
            </c:spPr>
            <c:extLst>
              <c:ext xmlns:c16="http://schemas.microsoft.com/office/drawing/2014/chart" uri="{C3380CC4-5D6E-409C-BE32-E72D297353CC}">
                <c16:uniqueId val="{00000017-CFE1-4224-ACA4-F104FC3BD4B6}"/>
              </c:ext>
            </c:extLst>
          </c:dPt>
          <c:dPt>
            <c:idx val="12"/>
            <c:bubble3D val="0"/>
            <c:spPr>
              <a:solidFill>
                <a:schemeClr val="accent1">
                  <a:lumMod val="80000"/>
                  <a:lumOff val="20000"/>
                </a:schemeClr>
              </a:solidFill>
              <a:ln w="19050">
                <a:solidFill>
                  <a:schemeClr val="lt1"/>
                </a:solidFill>
              </a:ln>
              <a:effectLst/>
            </c:spPr>
            <c:extLst>
              <c:ext xmlns:c16="http://schemas.microsoft.com/office/drawing/2014/chart" uri="{C3380CC4-5D6E-409C-BE32-E72D297353CC}">
                <c16:uniqueId val="{00000019-CFE1-4224-ACA4-F104FC3BD4B6}"/>
              </c:ext>
            </c:extLst>
          </c:dPt>
          <c:dPt>
            <c:idx val="13"/>
            <c:bubble3D val="0"/>
            <c:spPr>
              <a:solidFill>
                <a:schemeClr val="accent2">
                  <a:lumMod val="80000"/>
                  <a:lumOff val="20000"/>
                </a:schemeClr>
              </a:solidFill>
              <a:ln w="19050">
                <a:solidFill>
                  <a:schemeClr val="lt1"/>
                </a:solidFill>
              </a:ln>
              <a:effectLst/>
            </c:spPr>
            <c:extLst>
              <c:ext xmlns:c16="http://schemas.microsoft.com/office/drawing/2014/chart" uri="{C3380CC4-5D6E-409C-BE32-E72D297353CC}">
                <c16:uniqueId val="{0000001B-CFE1-4224-ACA4-F104FC3BD4B6}"/>
              </c:ext>
            </c:extLst>
          </c:dPt>
          <c:dPt>
            <c:idx val="14"/>
            <c:bubble3D val="0"/>
            <c:spPr>
              <a:solidFill>
                <a:schemeClr val="accent3">
                  <a:lumMod val="80000"/>
                  <a:lumOff val="20000"/>
                </a:schemeClr>
              </a:solidFill>
              <a:ln w="19050">
                <a:solidFill>
                  <a:schemeClr val="lt1"/>
                </a:solidFill>
              </a:ln>
              <a:effectLst/>
            </c:spPr>
            <c:extLst>
              <c:ext xmlns:c16="http://schemas.microsoft.com/office/drawing/2014/chart" uri="{C3380CC4-5D6E-409C-BE32-E72D297353CC}">
                <c16:uniqueId val="{0000001D-CFE1-4224-ACA4-F104FC3BD4B6}"/>
              </c:ext>
            </c:extLst>
          </c:dPt>
          <c:dPt>
            <c:idx val="15"/>
            <c:bubble3D val="0"/>
            <c:spPr>
              <a:solidFill>
                <a:schemeClr val="accent4">
                  <a:lumMod val="80000"/>
                  <a:lumOff val="20000"/>
                </a:schemeClr>
              </a:solidFill>
              <a:ln w="19050">
                <a:solidFill>
                  <a:schemeClr val="lt1"/>
                </a:solidFill>
              </a:ln>
              <a:effectLst/>
            </c:spPr>
            <c:extLst>
              <c:ext xmlns:c16="http://schemas.microsoft.com/office/drawing/2014/chart" uri="{C3380CC4-5D6E-409C-BE32-E72D297353CC}">
                <c16:uniqueId val="{0000001F-CFE1-4224-ACA4-F104FC3BD4B6}"/>
              </c:ext>
            </c:extLst>
          </c:dPt>
          <c:dPt>
            <c:idx val="16"/>
            <c:bubble3D val="0"/>
            <c:spPr>
              <a:solidFill>
                <a:schemeClr val="accent5">
                  <a:lumMod val="80000"/>
                  <a:lumOff val="20000"/>
                </a:schemeClr>
              </a:solidFill>
              <a:ln w="19050">
                <a:solidFill>
                  <a:schemeClr val="lt1"/>
                </a:solidFill>
              </a:ln>
              <a:effectLst/>
            </c:spPr>
            <c:extLst>
              <c:ext xmlns:c16="http://schemas.microsoft.com/office/drawing/2014/chart" uri="{C3380CC4-5D6E-409C-BE32-E72D297353CC}">
                <c16:uniqueId val="{00000021-CFE1-4224-ACA4-F104FC3BD4B6}"/>
              </c:ext>
            </c:extLst>
          </c:dPt>
          <c:dLbls>
            <c:dLbl>
              <c:idx val="0"/>
              <c:layout>
                <c:manualLayout>
                  <c:x val="9.9163768911352222E-3"/>
                  <c:y val="7.191382327209099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FE1-4224-ACA4-F104FC3BD4B6}"/>
                </c:ext>
              </c:extLst>
            </c:dLbl>
            <c:dLbl>
              <c:idx val="1"/>
              <c:layout>
                <c:manualLayout>
                  <c:x val="-2.1295502600679989E-2"/>
                  <c:y val="1.8581114860642421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FE1-4224-ACA4-F104FC3BD4B6}"/>
                </c:ext>
              </c:extLst>
            </c:dLbl>
            <c:dLbl>
              <c:idx val="2"/>
              <c:layout>
                <c:manualLayout>
                  <c:x val="4.4375131001106037E-2"/>
                  <c:y val="6.0567429071366075E-3"/>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FE1-4224-ACA4-F104FC3BD4B6}"/>
                </c:ext>
              </c:extLst>
            </c:dLbl>
            <c:dLbl>
              <c:idx val="3"/>
              <c:layout>
                <c:manualLayout>
                  <c:x val="-8.5458751692204171E-4"/>
                  <c:y val="-7.0981752280964878E-3"/>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7-CFE1-4224-ACA4-F104FC3BD4B6}"/>
                </c:ext>
              </c:extLst>
            </c:dLbl>
            <c:dLbl>
              <c:idx val="4"/>
              <c:layout>
                <c:manualLayout>
                  <c:x val="-2.7709930492928705E-2"/>
                  <c:y val="-3.9906574178227794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9-CFE1-4224-ACA4-F104FC3BD4B6}"/>
                </c:ext>
              </c:extLst>
            </c:dLbl>
            <c:dLbl>
              <c:idx val="5"/>
              <c:layout>
                <c:manualLayout>
                  <c:x val="-1.5546611472153931E-2"/>
                  <c:y val="-2.1742282214723161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B-CFE1-4224-ACA4-F104FC3BD4B6}"/>
                </c:ext>
              </c:extLst>
            </c:dLbl>
            <c:dLbl>
              <c:idx val="6"/>
              <c:layout>
                <c:manualLayout>
                  <c:x val="-2.9992767158099433E-2"/>
                  <c:y val="1.2420009998750156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D-CFE1-4224-ACA4-F104FC3BD4B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numRef>
              <c:f>'Charts - delete'!$Y$53:$Y$69</c:f>
              <c:numCache>
                <c:formatCode>General</c:formatCode>
                <c:ptCount val="17"/>
                <c:pt idx="0">
                  <c:v>3000</c:v>
                </c:pt>
                <c:pt idx="1">
                  <c:v>3006</c:v>
                </c:pt>
                <c:pt idx="2">
                  <c:v>3008</c:v>
                </c:pt>
                <c:pt idx="3">
                  <c:v>3053</c:v>
                </c:pt>
                <c:pt idx="4">
                  <c:v>3002</c:v>
                </c:pt>
                <c:pt idx="5">
                  <c:v>3051</c:v>
                </c:pt>
                <c:pt idx="6">
                  <c:v>3207</c:v>
                </c:pt>
                <c:pt idx="7">
                  <c:v>3003</c:v>
                </c:pt>
                <c:pt idx="8">
                  <c:v>3052</c:v>
                </c:pt>
                <c:pt idx="9">
                  <c:v>3050</c:v>
                </c:pt>
                <c:pt idx="10">
                  <c:v>3031</c:v>
                </c:pt>
                <c:pt idx="11">
                  <c:v>3004</c:v>
                </c:pt>
                <c:pt idx="12">
                  <c:v>3181</c:v>
                </c:pt>
                <c:pt idx="13">
                  <c:v>3141</c:v>
                </c:pt>
                <c:pt idx="14">
                  <c:v>3010</c:v>
                </c:pt>
                <c:pt idx="15">
                  <c:v>3032</c:v>
                </c:pt>
                <c:pt idx="16">
                  <c:v>3054</c:v>
                </c:pt>
              </c:numCache>
            </c:numRef>
          </c:cat>
          <c:val>
            <c:numRef>
              <c:f>'Charts - delete'!$Z$53:$Z$69</c:f>
              <c:numCache>
                <c:formatCode>_-* #,##0_-;\-* #,##0_-;_-* "-"??_-;_-@_-</c:formatCode>
                <c:ptCount val="17"/>
                <c:pt idx="0">
                  <c:v>6165.1648147474098</c:v>
                </c:pt>
                <c:pt idx="1">
                  <c:v>1805.5947204018737</c:v>
                </c:pt>
                <c:pt idx="2">
                  <c:v>1729.9449367409268</c:v>
                </c:pt>
                <c:pt idx="3">
                  <c:v>934.64214307037753</c:v>
                </c:pt>
                <c:pt idx="4">
                  <c:v>868.55467136159962</c:v>
                </c:pt>
                <c:pt idx="5">
                  <c:v>729.97009995589019</c:v>
                </c:pt>
                <c:pt idx="6">
                  <c:v>653.08925313868053</c:v>
                </c:pt>
                <c:pt idx="7">
                  <c:v>630.32573748306743</c:v>
                </c:pt>
                <c:pt idx="8">
                  <c:v>609.75467730224705</c:v>
                </c:pt>
                <c:pt idx="9">
                  <c:v>544.84905214719538</c:v>
                </c:pt>
                <c:pt idx="10">
                  <c:v>479.8423050386088</c:v>
                </c:pt>
                <c:pt idx="11">
                  <c:v>383.11372057094661</c:v>
                </c:pt>
                <c:pt idx="12">
                  <c:v>331.43822214274593</c:v>
                </c:pt>
                <c:pt idx="13">
                  <c:v>191.75365932411185</c:v>
                </c:pt>
                <c:pt idx="14">
                  <c:v>154.87670847276374</c:v>
                </c:pt>
                <c:pt idx="15">
                  <c:v>56.577224414378662</c:v>
                </c:pt>
                <c:pt idx="16">
                  <c:v>2.2601898758249614</c:v>
                </c:pt>
              </c:numCache>
            </c:numRef>
          </c:val>
          <c:extLst>
            <c:ext xmlns:c16="http://schemas.microsoft.com/office/drawing/2014/chart" uri="{C3380CC4-5D6E-409C-BE32-E72D297353CC}">
              <c16:uniqueId val="{00000022-CFE1-4224-ACA4-F104FC3BD4B6}"/>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'Charts - delete'!$AF$89</c:f>
              <c:strCache>
                <c:ptCount val="1"/>
                <c:pt idx="0">
                  <c:v>Floor area</c:v>
                </c:pt>
              </c:strCache>
            </c:strRef>
          </c:tx>
          <c:spPr>
            <a:solidFill>
              <a:schemeClr val="accent1"/>
            </a:solidFill>
            <a:ln>
              <a:noFill/>
            </a:ln>
            <a:effectLst/>
          </c:spPr>
          <c:invertIfNegative val="0"/>
          <c:cat>
            <c:numRef>
              <c:f>'Charts - delete'!$AE$90:$AE$106</c:f>
              <c:numCache>
                <c:formatCode>General</c:formatCode>
                <c:ptCount val="17"/>
                <c:pt idx="0">
                  <c:v>3000</c:v>
                </c:pt>
                <c:pt idx="1">
                  <c:v>3006</c:v>
                </c:pt>
                <c:pt idx="2">
                  <c:v>3008</c:v>
                </c:pt>
                <c:pt idx="3">
                  <c:v>3053</c:v>
                </c:pt>
                <c:pt idx="4">
                  <c:v>3002</c:v>
                </c:pt>
                <c:pt idx="5">
                  <c:v>3051</c:v>
                </c:pt>
                <c:pt idx="6">
                  <c:v>3207</c:v>
                </c:pt>
                <c:pt idx="7">
                  <c:v>3003</c:v>
                </c:pt>
                <c:pt idx="8">
                  <c:v>3052</c:v>
                </c:pt>
                <c:pt idx="9">
                  <c:v>3050</c:v>
                </c:pt>
                <c:pt idx="10">
                  <c:v>3031</c:v>
                </c:pt>
                <c:pt idx="11">
                  <c:v>3004</c:v>
                </c:pt>
                <c:pt idx="12">
                  <c:v>3181</c:v>
                </c:pt>
                <c:pt idx="13">
                  <c:v>3141</c:v>
                </c:pt>
                <c:pt idx="14">
                  <c:v>3010</c:v>
                </c:pt>
                <c:pt idx="15">
                  <c:v>3032</c:v>
                </c:pt>
                <c:pt idx="16">
                  <c:v>3054</c:v>
                </c:pt>
              </c:numCache>
            </c:numRef>
          </c:cat>
          <c:val>
            <c:numRef>
              <c:f>'Charts - delete'!$AF$90:$AF$106</c:f>
              <c:numCache>
                <c:formatCode>0%</c:formatCode>
                <c:ptCount val="17"/>
                <c:pt idx="0">
                  <c:v>0.34074206631019849</c:v>
                </c:pt>
                <c:pt idx="1">
                  <c:v>0.11082488179106667</c:v>
                </c:pt>
                <c:pt idx="2">
                  <c:v>0.11632730784892503</c:v>
                </c:pt>
                <c:pt idx="3">
                  <c:v>5.6715123221177728E-2</c:v>
                </c:pt>
                <c:pt idx="4">
                  <c:v>3.5600031430913871E-2</c:v>
                </c:pt>
                <c:pt idx="5">
                  <c:v>4.7021023726322067E-2</c:v>
                </c:pt>
                <c:pt idx="6">
                  <c:v>6.8129485542723633E-2</c:v>
                </c:pt>
                <c:pt idx="7">
                  <c:v>0.10740480652407011</c:v>
                </c:pt>
                <c:pt idx="8">
                  <c:v>2.7753409205455212E-2</c:v>
                </c:pt>
                <c:pt idx="9">
                  <c:v>8.0231416394593077E-3</c:v>
                </c:pt>
                <c:pt idx="10">
                  <c:v>2.8718941620700277E-2</c:v>
                </c:pt>
                <c:pt idx="11">
                  <c:v>2.158954407882489E-2</c:v>
                </c:pt>
                <c:pt idx="12">
                  <c:v>5.0480771425823598E-3</c:v>
                </c:pt>
                <c:pt idx="13">
                  <c:v>1.3192384696005643E-2</c:v>
                </c:pt>
                <c:pt idx="14">
                  <c:v>9.699316414816965E-3</c:v>
                </c:pt>
                <c:pt idx="15">
                  <c:v>3.0917126172126707E-3</c:v>
                </c:pt>
                <c:pt idx="16">
                  <c:v>1.1874618954496072E-4</c:v>
                </c:pt>
              </c:numCache>
            </c:numRef>
          </c:val>
          <c:extLst>
            <c:ext xmlns:c16="http://schemas.microsoft.com/office/drawing/2014/chart" uri="{C3380CC4-5D6E-409C-BE32-E72D297353CC}">
              <c16:uniqueId val="{00000000-3285-48CA-878B-030B3A3D51D9}"/>
            </c:ext>
          </c:extLst>
        </c:ser>
        <c:ser>
          <c:idx val="1"/>
          <c:order val="1"/>
          <c:tx>
            <c:strRef>
              <c:f>'Charts - delete'!$AG$89</c:f>
              <c:strCache>
                <c:ptCount val="1"/>
                <c:pt idx="0">
                  <c:v>Energy consumption</c:v>
                </c:pt>
              </c:strCache>
            </c:strRef>
          </c:tx>
          <c:spPr>
            <a:solidFill>
              <a:schemeClr val="accent2"/>
            </a:solidFill>
            <a:ln>
              <a:noFill/>
            </a:ln>
            <a:effectLst/>
          </c:spPr>
          <c:invertIfNegative val="0"/>
          <c:cat>
            <c:numRef>
              <c:f>'Charts - delete'!$AE$90:$AE$106</c:f>
              <c:numCache>
                <c:formatCode>General</c:formatCode>
                <c:ptCount val="17"/>
                <c:pt idx="0">
                  <c:v>3000</c:v>
                </c:pt>
                <c:pt idx="1">
                  <c:v>3006</c:v>
                </c:pt>
                <c:pt idx="2">
                  <c:v>3008</c:v>
                </c:pt>
                <c:pt idx="3">
                  <c:v>3053</c:v>
                </c:pt>
                <c:pt idx="4">
                  <c:v>3002</c:v>
                </c:pt>
                <c:pt idx="5">
                  <c:v>3051</c:v>
                </c:pt>
                <c:pt idx="6">
                  <c:v>3207</c:v>
                </c:pt>
                <c:pt idx="7">
                  <c:v>3003</c:v>
                </c:pt>
                <c:pt idx="8">
                  <c:v>3052</c:v>
                </c:pt>
                <c:pt idx="9">
                  <c:v>3050</c:v>
                </c:pt>
                <c:pt idx="10">
                  <c:v>3031</c:v>
                </c:pt>
                <c:pt idx="11">
                  <c:v>3004</c:v>
                </c:pt>
                <c:pt idx="12">
                  <c:v>3181</c:v>
                </c:pt>
                <c:pt idx="13">
                  <c:v>3141</c:v>
                </c:pt>
                <c:pt idx="14">
                  <c:v>3010</c:v>
                </c:pt>
                <c:pt idx="15">
                  <c:v>3032</c:v>
                </c:pt>
                <c:pt idx="16">
                  <c:v>3054</c:v>
                </c:pt>
              </c:numCache>
            </c:numRef>
          </c:cat>
          <c:val>
            <c:numRef>
              <c:f>'Charts - delete'!$AG$90:$AG$106</c:f>
              <c:numCache>
                <c:formatCode>0%</c:formatCode>
                <c:ptCount val="17"/>
                <c:pt idx="0">
                  <c:v>0.37888758156756702</c:v>
                </c:pt>
                <c:pt idx="1">
                  <c:v>0.1109649843046835</c:v>
                </c:pt>
                <c:pt idx="2">
                  <c:v>0.1063158363194029</c:v>
                </c:pt>
                <c:pt idx="3">
                  <c:v>5.74395513923616E-2</c:v>
                </c:pt>
                <c:pt idx="4">
                  <c:v>5.3378066731358295E-2</c:v>
                </c:pt>
                <c:pt idx="5">
                  <c:v>4.4861186050912397E-2</c:v>
                </c:pt>
                <c:pt idx="6">
                  <c:v>4.013638160614548E-2</c:v>
                </c:pt>
                <c:pt idx="7">
                  <c:v>3.8737422510340021E-2</c:v>
                </c:pt>
                <c:pt idx="8">
                  <c:v>3.7473203389458129E-2</c:v>
                </c:pt>
                <c:pt idx="9">
                  <c:v>3.3484350522734546E-2</c:v>
                </c:pt>
                <c:pt idx="10">
                  <c:v>2.9489283085343435E-2</c:v>
                </c:pt>
                <c:pt idx="11">
                  <c:v>2.354471217140134E-2</c:v>
                </c:pt>
                <c:pt idx="12">
                  <c:v>2.0368932575221682E-2</c:v>
                </c:pt>
                <c:pt idx="13">
                  <c:v>1.1784450606130394E-2</c:v>
                </c:pt>
                <c:pt idx="14">
                  <c:v>9.5181334607669782E-3</c:v>
                </c:pt>
                <c:pt idx="15">
                  <c:v>3.477021032575218E-3</c:v>
                </c:pt>
                <c:pt idx="16">
                  <c:v>1.3890267359704069E-4</c:v>
                </c:pt>
              </c:numCache>
            </c:numRef>
          </c:val>
          <c:extLst>
            <c:ext xmlns:c16="http://schemas.microsoft.com/office/drawing/2014/chart" uri="{C3380CC4-5D6E-409C-BE32-E72D297353CC}">
              <c16:uniqueId val="{00000001-3285-48CA-878B-030B3A3D51D9}"/>
            </c:ext>
          </c:extLst>
        </c:ser>
        <c:dLbls>
          <c:showLegendKey val="0"/>
          <c:showVal val="0"/>
          <c:showCatName val="0"/>
          <c:showSerName val="0"/>
          <c:showPercent val="0"/>
          <c:showBubbleSize val="0"/>
        </c:dLbls>
        <c:gapWidth val="219"/>
        <c:overlap val="-27"/>
        <c:axId val="1324999951"/>
        <c:axId val="1325001391"/>
      </c:barChart>
      <c:catAx>
        <c:axId val="132499995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25001391"/>
        <c:crosses val="autoZero"/>
        <c:auto val="1"/>
        <c:lblAlgn val="ctr"/>
        <c:lblOffset val="100"/>
        <c:noMultiLvlLbl val="0"/>
      </c:catAx>
      <c:valAx>
        <c:axId val="1325001391"/>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2499995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Electricity share of postcode total</c:v>
          </c:tx>
          <c:spPr>
            <a:solidFill>
              <a:srgbClr val="FFC000"/>
            </a:solidFill>
            <a:ln>
              <a:noFill/>
            </a:ln>
            <a:effectLst/>
          </c:spPr>
          <c:invertIfNegative val="0"/>
          <c:cat>
            <c:numRef>
              <c:f>'Charts - delete'!$AE$113:$AE$129</c:f>
              <c:numCache>
                <c:formatCode>General</c:formatCode>
                <c:ptCount val="17"/>
                <c:pt idx="0">
                  <c:v>3000</c:v>
                </c:pt>
                <c:pt idx="1">
                  <c:v>3002</c:v>
                </c:pt>
                <c:pt idx="2">
                  <c:v>3003</c:v>
                </c:pt>
                <c:pt idx="3">
                  <c:v>3004</c:v>
                </c:pt>
                <c:pt idx="4">
                  <c:v>3006</c:v>
                </c:pt>
                <c:pt idx="5">
                  <c:v>3008</c:v>
                </c:pt>
                <c:pt idx="6">
                  <c:v>3010</c:v>
                </c:pt>
                <c:pt idx="7">
                  <c:v>3031</c:v>
                </c:pt>
                <c:pt idx="8">
                  <c:v>3032</c:v>
                </c:pt>
                <c:pt idx="9">
                  <c:v>3050</c:v>
                </c:pt>
                <c:pt idx="10">
                  <c:v>3051</c:v>
                </c:pt>
                <c:pt idx="11">
                  <c:v>3052</c:v>
                </c:pt>
                <c:pt idx="12">
                  <c:v>3053</c:v>
                </c:pt>
                <c:pt idx="13">
                  <c:v>3054</c:v>
                </c:pt>
                <c:pt idx="14">
                  <c:v>3141</c:v>
                </c:pt>
                <c:pt idx="15">
                  <c:v>3181</c:v>
                </c:pt>
                <c:pt idx="16">
                  <c:v>3207</c:v>
                </c:pt>
              </c:numCache>
            </c:numRef>
          </c:cat>
          <c:val>
            <c:numRef>
              <c:f>'Charts - delete'!$AH$113:$AH$129</c:f>
              <c:numCache>
                <c:formatCode>0%</c:formatCode>
                <c:ptCount val="17"/>
                <c:pt idx="0">
                  <c:v>0.6232784348965571</c:v>
                </c:pt>
                <c:pt idx="1">
                  <c:v>0.60630530007763794</c:v>
                </c:pt>
                <c:pt idx="2">
                  <c:v>0.66891933079633714</c:v>
                </c:pt>
                <c:pt idx="3">
                  <c:v>0.62812244205935808</c:v>
                </c:pt>
                <c:pt idx="4">
                  <c:v>0.61991062475996583</c:v>
                </c:pt>
                <c:pt idx="5">
                  <c:v>0.59793422017362796</c:v>
                </c:pt>
                <c:pt idx="6">
                  <c:v>0.732720752994515</c:v>
                </c:pt>
                <c:pt idx="7">
                  <c:v>0.47757825183360841</c:v>
                </c:pt>
                <c:pt idx="8">
                  <c:v>0.74305929453709618</c:v>
                </c:pt>
                <c:pt idx="9">
                  <c:v>0.2303418137656566</c:v>
                </c:pt>
                <c:pt idx="10">
                  <c:v>0.53798990625837506</c:v>
                </c:pt>
                <c:pt idx="11">
                  <c:v>0.50364890056005485</c:v>
                </c:pt>
                <c:pt idx="12">
                  <c:v>0.55474878574107322</c:v>
                </c:pt>
                <c:pt idx="13">
                  <c:v>0.70004699448526941</c:v>
                </c:pt>
                <c:pt idx="14">
                  <c:v>0.40787748118315992</c:v>
                </c:pt>
                <c:pt idx="15">
                  <c:v>0.37079803861026006</c:v>
                </c:pt>
                <c:pt idx="16">
                  <c:v>0.75758848816433977</c:v>
                </c:pt>
              </c:numCache>
            </c:numRef>
          </c:val>
          <c:extLst>
            <c:ext xmlns:c16="http://schemas.microsoft.com/office/drawing/2014/chart" uri="{C3380CC4-5D6E-409C-BE32-E72D297353CC}">
              <c16:uniqueId val="{00000000-EBA5-416F-99B6-3AB944AB30C3}"/>
            </c:ext>
          </c:extLst>
        </c:ser>
        <c:ser>
          <c:idx val="1"/>
          <c:order val="1"/>
          <c:tx>
            <c:v>Gas share of postcode total</c:v>
          </c:tx>
          <c:spPr>
            <a:solidFill>
              <a:srgbClr val="00B0F0"/>
            </a:solidFill>
            <a:ln>
              <a:noFill/>
            </a:ln>
            <a:effectLst/>
          </c:spPr>
          <c:invertIfNegative val="0"/>
          <c:cat>
            <c:numRef>
              <c:f>'Charts - delete'!$AE$113:$AE$129</c:f>
              <c:numCache>
                <c:formatCode>General</c:formatCode>
                <c:ptCount val="17"/>
                <c:pt idx="0">
                  <c:v>3000</c:v>
                </c:pt>
                <c:pt idx="1">
                  <c:v>3002</c:v>
                </c:pt>
                <c:pt idx="2">
                  <c:v>3003</c:v>
                </c:pt>
                <c:pt idx="3">
                  <c:v>3004</c:v>
                </c:pt>
                <c:pt idx="4">
                  <c:v>3006</c:v>
                </c:pt>
                <c:pt idx="5">
                  <c:v>3008</c:v>
                </c:pt>
                <c:pt idx="6">
                  <c:v>3010</c:v>
                </c:pt>
                <c:pt idx="7">
                  <c:v>3031</c:v>
                </c:pt>
                <c:pt idx="8">
                  <c:v>3032</c:v>
                </c:pt>
                <c:pt idx="9">
                  <c:v>3050</c:v>
                </c:pt>
                <c:pt idx="10">
                  <c:v>3051</c:v>
                </c:pt>
                <c:pt idx="11">
                  <c:v>3052</c:v>
                </c:pt>
                <c:pt idx="12">
                  <c:v>3053</c:v>
                </c:pt>
                <c:pt idx="13">
                  <c:v>3054</c:v>
                </c:pt>
                <c:pt idx="14">
                  <c:v>3141</c:v>
                </c:pt>
                <c:pt idx="15">
                  <c:v>3181</c:v>
                </c:pt>
                <c:pt idx="16">
                  <c:v>3207</c:v>
                </c:pt>
              </c:numCache>
            </c:numRef>
          </c:cat>
          <c:val>
            <c:numRef>
              <c:f>'Charts - delete'!$AI$113:$AI$129</c:f>
              <c:numCache>
                <c:formatCode>0%</c:formatCode>
                <c:ptCount val="17"/>
                <c:pt idx="0">
                  <c:v>0.3767215651034429</c:v>
                </c:pt>
                <c:pt idx="1">
                  <c:v>0.39369469992236206</c:v>
                </c:pt>
                <c:pt idx="2">
                  <c:v>0.33108066920366286</c:v>
                </c:pt>
                <c:pt idx="3">
                  <c:v>0.37187755794064192</c:v>
                </c:pt>
                <c:pt idx="4">
                  <c:v>0.38008937524003417</c:v>
                </c:pt>
                <c:pt idx="5">
                  <c:v>0.40206577982637204</c:v>
                </c:pt>
                <c:pt idx="6">
                  <c:v>0.267279247005485</c:v>
                </c:pt>
                <c:pt idx="7">
                  <c:v>0.52242174816639153</c:v>
                </c:pt>
                <c:pt idx="8">
                  <c:v>0.25694070546290382</c:v>
                </c:pt>
                <c:pt idx="9">
                  <c:v>0.76965818623434346</c:v>
                </c:pt>
                <c:pt idx="10">
                  <c:v>0.46201009374162494</c:v>
                </c:pt>
                <c:pt idx="11">
                  <c:v>0.49635109943994515</c:v>
                </c:pt>
                <c:pt idx="12">
                  <c:v>0.44525121425892678</c:v>
                </c:pt>
                <c:pt idx="13">
                  <c:v>0.29995300551473059</c:v>
                </c:pt>
                <c:pt idx="14">
                  <c:v>0.59212251881684008</c:v>
                </c:pt>
                <c:pt idx="15">
                  <c:v>0.62920196138973994</c:v>
                </c:pt>
                <c:pt idx="16">
                  <c:v>0.24241151183566023</c:v>
                </c:pt>
              </c:numCache>
            </c:numRef>
          </c:val>
          <c:extLst>
            <c:ext xmlns:c16="http://schemas.microsoft.com/office/drawing/2014/chart" uri="{C3380CC4-5D6E-409C-BE32-E72D297353CC}">
              <c16:uniqueId val="{00000001-EBA5-416F-99B6-3AB944AB30C3}"/>
            </c:ext>
          </c:extLst>
        </c:ser>
        <c:dLbls>
          <c:showLegendKey val="0"/>
          <c:showVal val="0"/>
          <c:showCatName val="0"/>
          <c:showSerName val="0"/>
          <c:showPercent val="0"/>
          <c:showBubbleSize val="0"/>
        </c:dLbls>
        <c:gapWidth val="219"/>
        <c:axId val="1156068255"/>
        <c:axId val="1156066335"/>
      </c:barChart>
      <c:lineChart>
        <c:grouping val="standard"/>
        <c:varyColors val="0"/>
        <c:ser>
          <c:idx val="2"/>
          <c:order val="2"/>
          <c:tx>
            <c:v>LGA average gas</c:v>
          </c:tx>
          <c:spPr>
            <a:ln w="28575" cap="rnd">
              <a:solidFill>
                <a:srgbClr val="00B0F0"/>
              </a:solidFill>
              <a:prstDash val="sysDot"/>
              <a:round/>
            </a:ln>
            <a:effectLst/>
          </c:spPr>
          <c:marker>
            <c:symbol val="none"/>
          </c:marker>
          <c:val>
            <c:numRef>
              <c:f>'Charts - delete'!$AK$113:$AK$129</c:f>
              <c:numCache>
                <c:formatCode>0%</c:formatCode>
                <c:ptCount val="17"/>
                <c:pt idx="0">
                  <c:v>0.4093344654135993</c:v>
                </c:pt>
                <c:pt idx="1">
                  <c:v>0.4093344654135993</c:v>
                </c:pt>
                <c:pt idx="2">
                  <c:v>0.4093344654135993</c:v>
                </c:pt>
                <c:pt idx="3">
                  <c:v>0.4093344654135993</c:v>
                </c:pt>
                <c:pt idx="4">
                  <c:v>0.4093344654135993</c:v>
                </c:pt>
                <c:pt idx="5">
                  <c:v>0.4093344654135993</c:v>
                </c:pt>
                <c:pt idx="6">
                  <c:v>0.4093344654135993</c:v>
                </c:pt>
                <c:pt idx="7">
                  <c:v>0.4093344654135993</c:v>
                </c:pt>
                <c:pt idx="8">
                  <c:v>0.4093344654135993</c:v>
                </c:pt>
                <c:pt idx="9">
                  <c:v>0.4093344654135993</c:v>
                </c:pt>
                <c:pt idx="10">
                  <c:v>0.4093344654135993</c:v>
                </c:pt>
                <c:pt idx="11">
                  <c:v>0.4093344654135993</c:v>
                </c:pt>
                <c:pt idx="12">
                  <c:v>0.4093344654135993</c:v>
                </c:pt>
                <c:pt idx="13">
                  <c:v>0.4093344654135993</c:v>
                </c:pt>
                <c:pt idx="14">
                  <c:v>0.4093344654135993</c:v>
                </c:pt>
                <c:pt idx="15">
                  <c:v>0.4093344654135993</c:v>
                </c:pt>
                <c:pt idx="16">
                  <c:v>0.4093344654135993</c:v>
                </c:pt>
              </c:numCache>
            </c:numRef>
          </c:val>
          <c:smooth val="0"/>
          <c:extLst>
            <c:ext xmlns:c16="http://schemas.microsoft.com/office/drawing/2014/chart" uri="{C3380CC4-5D6E-409C-BE32-E72D297353CC}">
              <c16:uniqueId val="{00000002-EBA5-416F-99B6-3AB944AB30C3}"/>
            </c:ext>
          </c:extLst>
        </c:ser>
        <c:ser>
          <c:idx val="3"/>
          <c:order val="3"/>
          <c:tx>
            <c:v>LGA average electricity</c:v>
          </c:tx>
          <c:spPr>
            <a:ln w="28575" cap="rnd">
              <a:solidFill>
                <a:srgbClr val="FFC000"/>
              </a:solidFill>
              <a:prstDash val="sysDot"/>
              <a:round/>
            </a:ln>
            <a:effectLst/>
          </c:spPr>
          <c:marker>
            <c:symbol val="none"/>
          </c:marker>
          <c:val>
            <c:numRef>
              <c:f>'Charts - delete'!$AJ$113:$AJ$129</c:f>
              <c:numCache>
                <c:formatCode>0%</c:formatCode>
                <c:ptCount val="17"/>
                <c:pt idx="0">
                  <c:v>0.5906655345864007</c:v>
                </c:pt>
                <c:pt idx="1">
                  <c:v>0.5906655345864007</c:v>
                </c:pt>
                <c:pt idx="2">
                  <c:v>0.5906655345864007</c:v>
                </c:pt>
                <c:pt idx="3">
                  <c:v>0.5906655345864007</c:v>
                </c:pt>
                <c:pt idx="4">
                  <c:v>0.5906655345864007</c:v>
                </c:pt>
                <c:pt idx="5">
                  <c:v>0.5906655345864007</c:v>
                </c:pt>
                <c:pt idx="6">
                  <c:v>0.5906655345864007</c:v>
                </c:pt>
                <c:pt idx="7">
                  <c:v>0.5906655345864007</c:v>
                </c:pt>
                <c:pt idx="8">
                  <c:v>0.5906655345864007</c:v>
                </c:pt>
                <c:pt idx="9">
                  <c:v>0.5906655345864007</c:v>
                </c:pt>
                <c:pt idx="10">
                  <c:v>0.5906655345864007</c:v>
                </c:pt>
                <c:pt idx="11">
                  <c:v>0.5906655345864007</c:v>
                </c:pt>
                <c:pt idx="12">
                  <c:v>0.5906655345864007</c:v>
                </c:pt>
                <c:pt idx="13">
                  <c:v>0.5906655345864007</c:v>
                </c:pt>
                <c:pt idx="14">
                  <c:v>0.5906655345864007</c:v>
                </c:pt>
                <c:pt idx="15">
                  <c:v>0.5906655345864007</c:v>
                </c:pt>
                <c:pt idx="16">
                  <c:v>0.5906655345864007</c:v>
                </c:pt>
              </c:numCache>
            </c:numRef>
          </c:val>
          <c:smooth val="0"/>
          <c:extLst>
            <c:ext xmlns:c16="http://schemas.microsoft.com/office/drawing/2014/chart" uri="{C3380CC4-5D6E-409C-BE32-E72D297353CC}">
              <c16:uniqueId val="{00000003-EBA5-416F-99B6-3AB944AB30C3}"/>
            </c:ext>
          </c:extLst>
        </c:ser>
        <c:dLbls>
          <c:showLegendKey val="0"/>
          <c:showVal val="0"/>
          <c:showCatName val="0"/>
          <c:showSerName val="0"/>
          <c:showPercent val="0"/>
          <c:showBubbleSize val="0"/>
        </c:dLbls>
        <c:marker val="1"/>
        <c:smooth val="0"/>
        <c:axId val="1156068255"/>
        <c:axId val="1156066335"/>
      </c:lineChart>
      <c:catAx>
        <c:axId val="115606825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56066335"/>
        <c:crosses val="autoZero"/>
        <c:auto val="1"/>
        <c:lblAlgn val="ctr"/>
        <c:lblOffset val="100"/>
        <c:noMultiLvlLbl val="0"/>
      </c:catAx>
      <c:valAx>
        <c:axId val="1156066335"/>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5606825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979D-4D93-9CE0-3C057D72F59F}"/>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979D-4D93-9CE0-3C057D72F59F}"/>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979D-4D93-9CE0-3C057D72F59F}"/>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979D-4D93-9CE0-3C057D72F59F}"/>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979D-4D93-9CE0-3C057D72F59F}"/>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979D-4D93-9CE0-3C057D72F59F}"/>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979D-4D93-9CE0-3C057D72F59F}"/>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979D-4D93-9CE0-3C057D72F59F}"/>
              </c:ext>
            </c:extLst>
          </c:dPt>
          <c:dPt>
            <c:idx val="8"/>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1-979D-4D93-9CE0-3C057D72F59F}"/>
              </c:ext>
            </c:extLst>
          </c:dPt>
          <c:dPt>
            <c:idx val="9"/>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13-979D-4D93-9CE0-3C057D72F59F}"/>
              </c:ext>
            </c:extLst>
          </c:dPt>
          <c:dPt>
            <c:idx val="10"/>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15-979D-4D93-9CE0-3C057D72F59F}"/>
              </c:ext>
            </c:extLst>
          </c:dPt>
          <c:dPt>
            <c:idx val="11"/>
            <c:bubble3D val="0"/>
            <c:spPr>
              <a:solidFill>
                <a:schemeClr val="accent6">
                  <a:lumMod val="60000"/>
                </a:schemeClr>
              </a:solidFill>
              <a:ln w="19050">
                <a:solidFill>
                  <a:schemeClr val="lt1"/>
                </a:solidFill>
              </a:ln>
              <a:effectLst/>
            </c:spPr>
            <c:extLst>
              <c:ext xmlns:c16="http://schemas.microsoft.com/office/drawing/2014/chart" uri="{C3380CC4-5D6E-409C-BE32-E72D297353CC}">
                <c16:uniqueId val="{00000017-979D-4D93-9CE0-3C057D72F59F}"/>
              </c:ext>
            </c:extLst>
          </c:dPt>
          <c:dPt>
            <c:idx val="12"/>
            <c:bubble3D val="0"/>
            <c:spPr>
              <a:solidFill>
                <a:schemeClr val="accent1">
                  <a:lumMod val="80000"/>
                  <a:lumOff val="20000"/>
                </a:schemeClr>
              </a:solidFill>
              <a:ln w="19050">
                <a:solidFill>
                  <a:schemeClr val="lt1"/>
                </a:solidFill>
              </a:ln>
              <a:effectLst/>
            </c:spPr>
            <c:extLst>
              <c:ext xmlns:c16="http://schemas.microsoft.com/office/drawing/2014/chart" uri="{C3380CC4-5D6E-409C-BE32-E72D297353CC}">
                <c16:uniqueId val="{00000019-979D-4D93-9CE0-3C057D72F59F}"/>
              </c:ext>
            </c:extLst>
          </c:dPt>
          <c:dLbls>
            <c:dLbl>
              <c:idx val="0"/>
              <c:layout>
                <c:manualLayout>
                  <c:x val="4.7748578302712161E-2"/>
                  <c:y val="0.12584536307961505"/>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79D-4D93-9CE0-3C057D72F59F}"/>
                </c:ext>
              </c:extLst>
            </c:dLbl>
            <c:dLbl>
              <c:idx val="1"/>
              <c:layout>
                <c:manualLayout>
                  <c:x val="0.12539140419947506"/>
                  <c:y val="-7.768518518518519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79D-4D93-9CE0-3C057D72F59F}"/>
                </c:ext>
              </c:extLst>
            </c:dLbl>
            <c:dLbl>
              <c:idx val="2"/>
              <c:layout>
                <c:manualLayout>
                  <c:x val="5.2202420622187114E-2"/>
                  <c:y val="3.2688237072875721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79D-4D93-9CE0-3C057D72F59F}"/>
                </c:ext>
              </c:extLst>
            </c:dLbl>
            <c:dLbl>
              <c:idx val="3"/>
              <c:layout>
                <c:manualLayout>
                  <c:x val="9.8170134689276687E-3"/>
                  <c:y val="2.1376512241987292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7-979D-4D93-9CE0-3C057D72F59F}"/>
                </c:ext>
              </c:extLst>
            </c:dLbl>
            <c:dLbl>
              <c:idx val="4"/>
              <c:layout>
                <c:manualLayout>
                  <c:x val="-2.4414879174585936E-2"/>
                  <c:y val="2.8765515287305143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9-979D-4D93-9CE0-3C057D72F59F}"/>
                </c:ext>
              </c:extLst>
            </c:dLbl>
            <c:dLbl>
              <c:idx val="5"/>
              <c:layout>
                <c:manualLayout>
                  <c:x val="-0.11013641711713935"/>
                  <c:y val="4.1877838766813643E-3"/>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B-979D-4D93-9CE0-3C057D72F59F}"/>
                </c:ext>
              </c:extLst>
            </c:dLbl>
            <c:dLbl>
              <c:idx val="6"/>
              <c:layout>
                <c:manualLayout>
                  <c:x val="-2.0898641588296763E-3"/>
                  <c:y val="4.848493151886081E-2"/>
                </c:manualLayout>
              </c:layout>
              <c:showLegendKey val="0"/>
              <c:showVal val="1"/>
              <c:showCatName val="1"/>
              <c:showSerName val="0"/>
              <c:showPercent val="0"/>
              <c:showBubbleSize val="0"/>
              <c:extLst>
                <c:ext xmlns:c15="http://schemas.microsoft.com/office/drawing/2012/chart" uri="{CE6537A1-D6FC-4f65-9D91-7224C49458BB}">
                  <c15:layout>
                    <c:manualLayout>
                      <c:w val="0.2560083594566353"/>
                      <c:h val="7.4841245842153015E-2"/>
                    </c:manualLayout>
                  </c15:layout>
                </c:ext>
                <c:ext xmlns:c16="http://schemas.microsoft.com/office/drawing/2014/chart" uri="{C3380CC4-5D6E-409C-BE32-E72D297353CC}">
                  <c16:uniqueId val="{0000000D-979D-4D93-9CE0-3C057D72F59F}"/>
                </c:ext>
              </c:extLst>
            </c:dLbl>
            <c:dLbl>
              <c:idx val="7"/>
              <c:layout>
                <c:manualLayout>
                  <c:x val="-0.16936950279334206"/>
                  <c:y val="3.6761200888594699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F-979D-4D93-9CE0-3C057D72F59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'Charts - delete'!$T$50:$T$62</c:f>
              <c:strCache>
                <c:ptCount val="13"/>
                <c:pt idx="0">
                  <c:v>Office</c:v>
                </c:pt>
                <c:pt idx="1">
                  <c:v>Residential</c:v>
                </c:pt>
                <c:pt idx="2">
                  <c:v>Hospitals/healthcare</c:v>
                </c:pt>
                <c:pt idx="3">
                  <c:v>Commercial accommodation</c:v>
                </c:pt>
                <c:pt idx="4">
                  <c:v>Retail</c:v>
                </c:pt>
                <c:pt idx="5">
                  <c:v>Education</c:v>
                </c:pt>
                <c:pt idx="6">
                  <c:v>Entertainment/recreation</c:v>
                </c:pt>
                <c:pt idx="7">
                  <c:v>Manufacturing/light industrial</c:v>
                </c:pt>
                <c:pt idx="8">
                  <c:v>Community/public use</c:v>
                </c:pt>
                <c:pt idx="9">
                  <c:v>Transport</c:v>
                </c:pt>
                <c:pt idx="10">
                  <c:v>Parking</c:v>
                </c:pt>
                <c:pt idx="11">
                  <c:v>Other</c:v>
                </c:pt>
                <c:pt idx="12">
                  <c:v>Unoccupied</c:v>
                </c:pt>
              </c:strCache>
            </c:strRef>
          </c:cat>
          <c:val>
            <c:numRef>
              <c:f>'Charts - delete'!$U$50:$U$62</c:f>
              <c:numCache>
                <c:formatCode>_-* #,##0_-;\-* #,##0_-;_-* "-"??_-;_-@_-</c:formatCode>
                <c:ptCount val="13"/>
                <c:pt idx="0">
                  <c:v>5099.2524518874079</c:v>
                </c:pt>
                <c:pt idx="1">
                  <c:v>4607.8128720016048</c:v>
                </c:pt>
                <c:pt idx="2">
                  <c:v>1688.4380758475477</c:v>
                </c:pt>
                <c:pt idx="3">
                  <c:v>1366.4554025195066</c:v>
                </c:pt>
                <c:pt idx="4">
                  <c:v>776.92148470155973</c:v>
                </c:pt>
                <c:pt idx="5">
                  <c:v>767.80459436671515</c:v>
                </c:pt>
                <c:pt idx="6">
                  <c:v>599.19137890385184</c:v>
                </c:pt>
                <c:pt idx="7">
                  <c:v>496.97494274656833</c:v>
                </c:pt>
                <c:pt idx="8">
                  <c:v>391.49605817186125</c:v>
                </c:pt>
                <c:pt idx="9">
                  <c:v>187.77929945441247</c:v>
                </c:pt>
                <c:pt idx="10">
                  <c:v>145.32571367001401</c:v>
                </c:pt>
                <c:pt idx="11">
                  <c:v>93.210631924000012</c:v>
                </c:pt>
                <c:pt idx="12">
                  <c:v>51.089229993600007</c:v>
                </c:pt>
              </c:numCache>
            </c:numRef>
          </c:val>
          <c:extLst>
            <c:ext xmlns:c16="http://schemas.microsoft.com/office/drawing/2014/chart" uri="{C3380CC4-5D6E-409C-BE32-E72D297353CC}">
              <c16:uniqueId val="{0000001A-979D-4D93-9CE0-3C057D72F59F}"/>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'Charts - delete'!$F$169</c:f>
              <c:strCache>
                <c:ptCount val="1"/>
                <c:pt idx="0">
                  <c:v>Office</c:v>
                </c:pt>
              </c:strCache>
            </c:strRef>
          </c:tx>
          <c:spPr>
            <a:solidFill>
              <a:schemeClr val="accent1"/>
            </a:solidFill>
            <a:ln>
              <a:noFill/>
            </a:ln>
            <a:effectLst/>
          </c:spPr>
          <c:invertIfNegative val="0"/>
          <c:cat>
            <c:numRef>
              <c:f>'Charts - delete'!$E$170:$E$186</c:f>
              <c:numCache>
                <c:formatCode>General</c:formatCode>
                <c:ptCount val="17"/>
                <c:pt idx="0">
                  <c:v>3000</c:v>
                </c:pt>
                <c:pt idx="1">
                  <c:v>3002</c:v>
                </c:pt>
                <c:pt idx="2">
                  <c:v>3003</c:v>
                </c:pt>
                <c:pt idx="3">
                  <c:v>3004</c:v>
                </c:pt>
                <c:pt idx="4">
                  <c:v>3006</c:v>
                </c:pt>
                <c:pt idx="5">
                  <c:v>3008</c:v>
                </c:pt>
                <c:pt idx="6">
                  <c:v>3010</c:v>
                </c:pt>
                <c:pt idx="7">
                  <c:v>3031</c:v>
                </c:pt>
                <c:pt idx="8">
                  <c:v>3032</c:v>
                </c:pt>
                <c:pt idx="9">
                  <c:v>3050</c:v>
                </c:pt>
                <c:pt idx="10">
                  <c:v>3051</c:v>
                </c:pt>
                <c:pt idx="11">
                  <c:v>3052</c:v>
                </c:pt>
                <c:pt idx="12">
                  <c:v>3053</c:v>
                </c:pt>
                <c:pt idx="13">
                  <c:v>3054</c:v>
                </c:pt>
                <c:pt idx="14">
                  <c:v>3141</c:v>
                </c:pt>
                <c:pt idx="15">
                  <c:v>3181</c:v>
                </c:pt>
                <c:pt idx="16">
                  <c:v>3207</c:v>
                </c:pt>
              </c:numCache>
            </c:numRef>
          </c:cat>
          <c:val>
            <c:numRef>
              <c:f>'Charts - delete'!$F$170:$F$186</c:f>
              <c:numCache>
                <c:formatCode>0%</c:formatCode>
                <c:ptCount val="17"/>
                <c:pt idx="0">
                  <c:v>0.44639420196645863</c:v>
                </c:pt>
                <c:pt idx="1">
                  <c:v>0.27250591997485057</c:v>
                </c:pt>
                <c:pt idx="2">
                  <c:v>0.1809391392617197</c:v>
                </c:pt>
                <c:pt idx="3">
                  <c:v>0.37394225383655388</c:v>
                </c:pt>
                <c:pt idx="4">
                  <c:v>0.21442823711628353</c:v>
                </c:pt>
                <c:pt idx="5">
                  <c:v>0.4724863499581034</c:v>
                </c:pt>
                <c:pt idx="6">
                  <c:v>0.12717922435402534</c:v>
                </c:pt>
                <c:pt idx="7">
                  <c:v>0.10441740330640435</c:v>
                </c:pt>
                <c:pt idx="8">
                  <c:v>4.8321770921688344E-2</c:v>
                </c:pt>
                <c:pt idx="9">
                  <c:v>1.6455647711116297E-4</c:v>
                </c:pt>
                <c:pt idx="10">
                  <c:v>0.18395449932269067</c:v>
                </c:pt>
                <c:pt idx="11">
                  <c:v>5.346070639904274E-2</c:v>
                </c:pt>
                <c:pt idx="12">
                  <c:v>0.20232865387789867</c:v>
                </c:pt>
                <c:pt idx="13">
                  <c:v>0.3529972473364224</c:v>
                </c:pt>
                <c:pt idx="14">
                  <c:v>2.7453283455200457E-3</c:v>
                </c:pt>
                <c:pt idx="15">
                  <c:v>1.10733563994421E-2</c:v>
                </c:pt>
                <c:pt idx="16">
                  <c:v>0.32922058104865237</c:v>
                </c:pt>
              </c:numCache>
            </c:numRef>
          </c:val>
          <c:extLst>
            <c:ext xmlns:c16="http://schemas.microsoft.com/office/drawing/2014/chart" uri="{C3380CC4-5D6E-409C-BE32-E72D297353CC}">
              <c16:uniqueId val="{00000000-BD8B-481C-AF38-BA4D812DC45B}"/>
            </c:ext>
          </c:extLst>
        </c:ser>
        <c:ser>
          <c:idx val="1"/>
          <c:order val="1"/>
          <c:tx>
            <c:strRef>
              <c:f>'Charts - delete'!$G$169</c:f>
              <c:strCache>
                <c:ptCount val="1"/>
                <c:pt idx="0">
                  <c:v>Retail</c:v>
                </c:pt>
              </c:strCache>
            </c:strRef>
          </c:tx>
          <c:spPr>
            <a:solidFill>
              <a:schemeClr val="accent2"/>
            </a:solidFill>
            <a:ln>
              <a:noFill/>
            </a:ln>
            <a:effectLst/>
          </c:spPr>
          <c:invertIfNegative val="0"/>
          <c:cat>
            <c:numRef>
              <c:f>'Charts - delete'!$E$170:$E$186</c:f>
              <c:numCache>
                <c:formatCode>General</c:formatCode>
                <c:ptCount val="17"/>
                <c:pt idx="0">
                  <c:v>3000</c:v>
                </c:pt>
                <c:pt idx="1">
                  <c:v>3002</c:v>
                </c:pt>
                <c:pt idx="2">
                  <c:v>3003</c:v>
                </c:pt>
                <c:pt idx="3">
                  <c:v>3004</c:v>
                </c:pt>
                <c:pt idx="4">
                  <c:v>3006</c:v>
                </c:pt>
                <c:pt idx="5">
                  <c:v>3008</c:v>
                </c:pt>
                <c:pt idx="6">
                  <c:v>3010</c:v>
                </c:pt>
                <c:pt idx="7">
                  <c:v>3031</c:v>
                </c:pt>
                <c:pt idx="8">
                  <c:v>3032</c:v>
                </c:pt>
                <c:pt idx="9">
                  <c:v>3050</c:v>
                </c:pt>
                <c:pt idx="10">
                  <c:v>3051</c:v>
                </c:pt>
                <c:pt idx="11">
                  <c:v>3052</c:v>
                </c:pt>
                <c:pt idx="12">
                  <c:v>3053</c:v>
                </c:pt>
                <c:pt idx="13">
                  <c:v>3054</c:v>
                </c:pt>
                <c:pt idx="14">
                  <c:v>3141</c:v>
                </c:pt>
                <c:pt idx="15">
                  <c:v>3181</c:v>
                </c:pt>
                <c:pt idx="16">
                  <c:v>3207</c:v>
                </c:pt>
              </c:numCache>
            </c:numRef>
          </c:cat>
          <c:val>
            <c:numRef>
              <c:f>'Charts - delete'!$G$170:$G$186</c:f>
              <c:numCache>
                <c:formatCode>0%</c:formatCode>
                <c:ptCount val="17"/>
                <c:pt idx="0">
                  <c:v>7.1369369799701252E-2</c:v>
                </c:pt>
                <c:pt idx="1">
                  <c:v>5.9394369787404916E-3</c:v>
                </c:pt>
                <c:pt idx="2">
                  <c:v>6.4552246937964547E-2</c:v>
                </c:pt>
                <c:pt idx="3">
                  <c:v>1.5803991876052394E-2</c:v>
                </c:pt>
                <c:pt idx="4">
                  <c:v>4.4770185311165708E-2</c:v>
                </c:pt>
                <c:pt idx="5">
                  <c:v>5.0006143179794682E-2</c:v>
                </c:pt>
                <c:pt idx="6">
                  <c:v>4.6823574181779288E-3</c:v>
                </c:pt>
                <c:pt idx="7">
                  <c:v>3.0579591783921663E-2</c:v>
                </c:pt>
                <c:pt idx="8">
                  <c:v>0</c:v>
                </c:pt>
                <c:pt idx="9">
                  <c:v>1.4976863851896007E-3</c:v>
                </c:pt>
                <c:pt idx="10">
                  <c:v>5.7130678073086791E-2</c:v>
                </c:pt>
                <c:pt idx="11">
                  <c:v>4.5324142456018022E-3</c:v>
                </c:pt>
                <c:pt idx="12">
                  <c:v>2.6342160429641437E-2</c:v>
                </c:pt>
                <c:pt idx="13">
                  <c:v>7.200595330865997E-2</c:v>
                </c:pt>
                <c:pt idx="14">
                  <c:v>2.0981076395706899E-3</c:v>
                </c:pt>
                <c:pt idx="15">
                  <c:v>1.4111311398776296E-3</c:v>
                </c:pt>
                <c:pt idx="16">
                  <c:v>4.7980095456086586E-2</c:v>
                </c:pt>
              </c:numCache>
            </c:numRef>
          </c:val>
          <c:extLst>
            <c:ext xmlns:c16="http://schemas.microsoft.com/office/drawing/2014/chart" uri="{C3380CC4-5D6E-409C-BE32-E72D297353CC}">
              <c16:uniqueId val="{00000001-BD8B-481C-AF38-BA4D812DC45B}"/>
            </c:ext>
          </c:extLst>
        </c:ser>
        <c:ser>
          <c:idx val="2"/>
          <c:order val="2"/>
          <c:tx>
            <c:strRef>
              <c:f>'Charts - delete'!$H$169</c:f>
              <c:strCache>
                <c:ptCount val="1"/>
                <c:pt idx="0">
                  <c:v>Manufacturing/light industrial</c:v>
                </c:pt>
              </c:strCache>
            </c:strRef>
          </c:tx>
          <c:spPr>
            <a:solidFill>
              <a:schemeClr val="accent3"/>
            </a:solidFill>
            <a:ln>
              <a:noFill/>
            </a:ln>
            <a:effectLst/>
          </c:spPr>
          <c:invertIfNegative val="0"/>
          <c:cat>
            <c:numRef>
              <c:f>'Charts - delete'!$E$170:$E$186</c:f>
              <c:numCache>
                <c:formatCode>General</c:formatCode>
                <c:ptCount val="17"/>
                <c:pt idx="0">
                  <c:v>3000</c:v>
                </c:pt>
                <c:pt idx="1">
                  <c:v>3002</c:v>
                </c:pt>
                <c:pt idx="2">
                  <c:v>3003</c:v>
                </c:pt>
                <c:pt idx="3">
                  <c:v>3004</c:v>
                </c:pt>
                <c:pt idx="4">
                  <c:v>3006</c:v>
                </c:pt>
                <c:pt idx="5">
                  <c:v>3008</c:v>
                </c:pt>
                <c:pt idx="6">
                  <c:v>3010</c:v>
                </c:pt>
                <c:pt idx="7">
                  <c:v>3031</c:v>
                </c:pt>
                <c:pt idx="8">
                  <c:v>3032</c:v>
                </c:pt>
                <c:pt idx="9">
                  <c:v>3050</c:v>
                </c:pt>
                <c:pt idx="10">
                  <c:v>3051</c:v>
                </c:pt>
                <c:pt idx="11">
                  <c:v>3052</c:v>
                </c:pt>
                <c:pt idx="12">
                  <c:v>3053</c:v>
                </c:pt>
                <c:pt idx="13">
                  <c:v>3054</c:v>
                </c:pt>
                <c:pt idx="14">
                  <c:v>3141</c:v>
                </c:pt>
                <c:pt idx="15">
                  <c:v>3181</c:v>
                </c:pt>
                <c:pt idx="16">
                  <c:v>3207</c:v>
                </c:pt>
              </c:numCache>
            </c:numRef>
          </c:cat>
          <c:val>
            <c:numRef>
              <c:f>'Charts - delete'!$H$170:$H$186</c:f>
              <c:numCache>
                <c:formatCode>0%</c:formatCode>
                <c:ptCount val="17"/>
                <c:pt idx="0">
                  <c:v>5.7078207970075673E-3</c:v>
                </c:pt>
                <c:pt idx="1">
                  <c:v>2.0742894991263596E-3</c:v>
                </c:pt>
                <c:pt idx="2">
                  <c:v>0.11850804976153248</c:v>
                </c:pt>
                <c:pt idx="3">
                  <c:v>2.6462278082401564E-3</c:v>
                </c:pt>
                <c:pt idx="4">
                  <c:v>7.8827986435614922E-3</c:v>
                </c:pt>
                <c:pt idx="5">
                  <c:v>1.946080101145764E-2</c:v>
                </c:pt>
                <c:pt idx="6">
                  <c:v>3.2523109696703206E-3</c:v>
                </c:pt>
                <c:pt idx="7">
                  <c:v>0.11399830083769563</c:v>
                </c:pt>
                <c:pt idx="8">
                  <c:v>0</c:v>
                </c:pt>
                <c:pt idx="9">
                  <c:v>0</c:v>
                </c:pt>
                <c:pt idx="10">
                  <c:v>7.9700845998958214E-2</c:v>
                </c:pt>
                <c:pt idx="11">
                  <c:v>4.9753191903566783E-4</c:v>
                </c:pt>
                <c:pt idx="12">
                  <c:v>6.2719418304171669E-3</c:v>
                </c:pt>
                <c:pt idx="13">
                  <c:v>0</c:v>
                </c:pt>
                <c:pt idx="14">
                  <c:v>4.2455358270195894E-4</c:v>
                </c:pt>
                <c:pt idx="15">
                  <c:v>0</c:v>
                </c:pt>
                <c:pt idx="16">
                  <c:v>0.33187036172732071</c:v>
                </c:pt>
              </c:numCache>
            </c:numRef>
          </c:val>
          <c:extLst>
            <c:ext xmlns:c16="http://schemas.microsoft.com/office/drawing/2014/chart" uri="{C3380CC4-5D6E-409C-BE32-E72D297353CC}">
              <c16:uniqueId val="{00000002-BD8B-481C-AF38-BA4D812DC45B}"/>
            </c:ext>
          </c:extLst>
        </c:ser>
        <c:ser>
          <c:idx val="3"/>
          <c:order val="3"/>
          <c:tx>
            <c:strRef>
              <c:f>'Charts - delete'!$I$169</c:f>
              <c:strCache>
                <c:ptCount val="1"/>
                <c:pt idx="0">
                  <c:v>Other</c:v>
                </c:pt>
              </c:strCache>
            </c:strRef>
          </c:tx>
          <c:spPr>
            <a:solidFill>
              <a:schemeClr val="accent4"/>
            </a:solidFill>
            <a:ln>
              <a:noFill/>
            </a:ln>
            <a:effectLst/>
          </c:spPr>
          <c:invertIfNegative val="0"/>
          <c:cat>
            <c:numRef>
              <c:f>'Charts - delete'!$E$170:$E$186</c:f>
              <c:numCache>
                <c:formatCode>General</c:formatCode>
                <c:ptCount val="17"/>
                <c:pt idx="0">
                  <c:v>3000</c:v>
                </c:pt>
                <c:pt idx="1">
                  <c:v>3002</c:v>
                </c:pt>
                <c:pt idx="2">
                  <c:v>3003</c:v>
                </c:pt>
                <c:pt idx="3">
                  <c:v>3004</c:v>
                </c:pt>
                <c:pt idx="4">
                  <c:v>3006</c:v>
                </c:pt>
                <c:pt idx="5">
                  <c:v>3008</c:v>
                </c:pt>
                <c:pt idx="6">
                  <c:v>3010</c:v>
                </c:pt>
                <c:pt idx="7">
                  <c:v>3031</c:v>
                </c:pt>
                <c:pt idx="8">
                  <c:v>3032</c:v>
                </c:pt>
                <c:pt idx="9">
                  <c:v>3050</c:v>
                </c:pt>
                <c:pt idx="10">
                  <c:v>3051</c:v>
                </c:pt>
                <c:pt idx="11">
                  <c:v>3052</c:v>
                </c:pt>
                <c:pt idx="12">
                  <c:v>3053</c:v>
                </c:pt>
                <c:pt idx="13">
                  <c:v>3054</c:v>
                </c:pt>
                <c:pt idx="14">
                  <c:v>3141</c:v>
                </c:pt>
                <c:pt idx="15">
                  <c:v>3181</c:v>
                </c:pt>
                <c:pt idx="16">
                  <c:v>3207</c:v>
                </c:pt>
              </c:numCache>
            </c:numRef>
          </c:cat>
          <c:val>
            <c:numRef>
              <c:f>'Charts - delete'!$I$170:$I$186</c:f>
              <c:numCache>
                <c:formatCode>0%</c:formatCode>
                <c:ptCount val="17"/>
                <c:pt idx="0">
                  <c:v>3.1368206010875849E-4</c:v>
                </c:pt>
                <c:pt idx="1">
                  <c:v>1.2426796327143898E-3</c:v>
                </c:pt>
                <c:pt idx="2">
                  <c:v>3.0121535693297041E-3</c:v>
                </c:pt>
                <c:pt idx="3">
                  <c:v>4.8218372269387503E-4</c:v>
                </c:pt>
                <c:pt idx="4">
                  <c:v>4.4235291285202143E-4</c:v>
                </c:pt>
                <c:pt idx="5">
                  <c:v>3.8031268280681046E-5</c:v>
                </c:pt>
                <c:pt idx="6">
                  <c:v>1.314594053603642E-2</c:v>
                </c:pt>
                <c:pt idx="7">
                  <c:v>4.7130317111535969E-4</c:v>
                </c:pt>
                <c:pt idx="8">
                  <c:v>0</c:v>
                </c:pt>
                <c:pt idx="9">
                  <c:v>0</c:v>
                </c:pt>
                <c:pt idx="10">
                  <c:v>6.3808092965471548E-4</c:v>
                </c:pt>
                <c:pt idx="11">
                  <c:v>4.7609442093070141E-4</c:v>
                </c:pt>
                <c:pt idx="12">
                  <c:v>1.5239977894863073E-3</c:v>
                </c:pt>
                <c:pt idx="13">
                  <c:v>2.0175296105755785E-3</c:v>
                </c:pt>
                <c:pt idx="14">
                  <c:v>9.8155102053029252E-4</c:v>
                </c:pt>
                <c:pt idx="15">
                  <c:v>0</c:v>
                </c:pt>
                <c:pt idx="16">
                  <c:v>0.12649744726768192</c:v>
                </c:pt>
              </c:numCache>
            </c:numRef>
          </c:val>
          <c:extLst>
            <c:ext xmlns:c16="http://schemas.microsoft.com/office/drawing/2014/chart" uri="{C3380CC4-5D6E-409C-BE32-E72D297353CC}">
              <c16:uniqueId val="{00000003-BD8B-481C-AF38-BA4D812DC45B}"/>
            </c:ext>
          </c:extLst>
        </c:ser>
        <c:ser>
          <c:idx val="4"/>
          <c:order val="4"/>
          <c:tx>
            <c:strRef>
              <c:f>'Charts - delete'!$J$169</c:f>
              <c:strCache>
                <c:ptCount val="1"/>
                <c:pt idx="0">
                  <c:v>Transport</c:v>
                </c:pt>
              </c:strCache>
            </c:strRef>
          </c:tx>
          <c:spPr>
            <a:solidFill>
              <a:schemeClr val="accent5"/>
            </a:solidFill>
            <a:ln>
              <a:noFill/>
            </a:ln>
            <a:effectLst/>
          </c:spPr>
          <c:invertIfNegative val="0"/>
          <c:cat>
            <c:numRef>
              <c:f>'Charts - delete'!$E$170:$E$186</c:f>
              <c:numCache>
                <c:formatCode>General</c:formatCode>
                <c:ptCount val="17"/>
                <c:pt idx="0">
                  <c:v>3000</c:v>
                </c:pt>
                <c:pt idx="1">
                  <c:v>3002</c:v>
                </c:pt>
                <c:pt idx="2">
                  <c:v>3003</c:v>
                </c:pt>
                <c:pt idx="3">
                  <c:v>3004</c:v>
                </c:pt>
                <c:pt idx="4">
                  <c:v>3006</c:v>
                </c:pt>
                <c:pt idx="5">
                  <c:v>3008</c:v>
                </c:pt>
                <c:pt idx="6">
                  <c:v>3010</c:v>
                </c:pt>
                <c:pt idx="7">
                  <c:v>3031</c:v>
                </c:pt>
                <c:pt idx="8">
                  <c:v>3032</c:v>
                </c:pt>
                <c:pt idx="9">
                  <c:v>3050</c:v>
                </c:pt>
                <c:pt idx="10">
                  <c:v>3051</c:v>
                </c:pt>
                <c:pt idx="11">
                  <c:v>3052</c:v>
                </c:pt>
                <c:pt idx="12">
                  <c:v>3053</c:v>
                </c:pt>
                <c:pt idx="13">
                  <c:v>3054</c:v>
                </c:pt>
                <c:pt idx="14">
                  <c:v>3141</c:v>
                </c:pt>
                <c:pt idx="15">
                  <c:v>3181</c:v>
                </c:pt>
                <c:pt idx="16">
                  <c:v>3207</c:v>
                </c:pt>
              </c:numCache>
            </c:numRef>
          </c:cat>
          <c:val>
            <c:numRef>
              <c:f>'Charts - delete'!$J$170:$J$186</c:f>
              <c:numCache>
                <c:formatCode>0%</c:formatCode>
                <c:ptCount val="17"/>
                <c:pt idx="0">
                  <c:v>2.1904288380992595E-4</c:v>
                </c:pt>
                <c:pt idx="1">
                  <c:v>4.1757993130291191E-4</c:v>
                </c:pt>
                <c:pt idx="2">
                  <c:v>0.18528598516071612</c:v>
                </c:pt>
                <c:pt idx="3">
                  <c:v>2.2824245466773088E-3</c:v>
                </c:pt>
                <c:pt idx="4">
                  <c:v>0</c:v>
                </c:pt>
                <c:pt idx="5">
                  <c:v>4.2927402210834256E-3</c:v>
                </c:pt>
                <c:pt idx="6">
                  <c:v>0</c:v>
                </c:pt>
                <c:pt idx="7">
                  <c:v>9.5635757642777294E-4</c:v>
                </c:pt>
                <c:pt idx="8">
                  <c:v>5.4054967023492969E-3</c:v>
                </c:pt>
                <c:pt idx="9">
                  <c:v>0</c:v>
                </c:pt>
                <c:pt idx="10">
                  <c:v>5.8202679811909168E-4</c:v>
                </c:pt>
                <c:pt idx="11">
                  <c:v>5.6559743260329242E-4</c:v>
                </c:pt>
                <c:pt idx="12">
                  <c:v>0</c:v>
                </c:pt>
                <c:pt idx="13">
                  <c:v>0</c:v>
                </c:pt>
                <c:pt idx="14">
                  <c:v>0</c:v>
                </c:pt>
                <c:pt idx="15">
                  <c:v>0</c:v>
                </c:pt>
                <c:pt idx="16">
                  <c:v>9.101443395789284E-2</c:v>
                </c:pt>
              </c:numCache>
            </c:numRef>
          </c:val>
          <c:extLst>
            <c:ext xmlns:c16="http://schemas.microsoft.com/office/drawing/2014/chart" uri="{C3380CC4-5D6E-409C-BE32-E72D297353CC}">
              <c16:uniqueId val="{00000004-BD8B-481C-AF38-BA4D812DC45B}"/>
            </c:ext>
          </c:extLst>
        </c:ser>
        <c:ser>
          <c:idx val="5"/>
          <c:order val="5"/>
          <c:tx>
            <c:strRef>
              <c:f>'Charts - delete'!$K$169</c:f>
              <c:strCache>
                <c:ptCount val="1"/>
                <c:pt idx="0">
                  <c:v>Education</c:v>
                </c:pt>
              </c:strCache>
            </c:strRef>
          </c:tx>
          <c:spPr>
            <a:solidFill>
              <a:schemeClr val="accent6"/>
            </a:solidFill>
            <a:ln>
              <a:noFill/>
            </a:ln>
            <a:effectLst/>
          </c:spPr>
          <c:invertIfNegative val="0"/>
          <c:cat>
            <c:numRef>
              <c:f>'Charts - delete'!$E$170:$E$186</c:f>
              <c:numCache>
                <c:formatCode>General</c:formatCode>
                <c:ptCount val="17"/>
                <c:pt idx="0">
                  <c:v>3000</c:v>
                </c:pt>
                <c:pt idx="1">
                  <c:v>3002</c:v>
                </c:pt>
                <c:pt idx="2">
                  <c:v>3003</c:v>
                </c:pt>
                <c:pt idx="3">
                  <c:v>3004</c:v>
                </c:pt>
                <c:pt idx="4">
                  <c:v>3006</c:v>
                </c:pt>
                <c:pt idx="5">
                  <c:v>3008</c:v>
                </c:pt>
                <c:pt idx="6">
                  <c:v>3010</c:v>
                </c:pt>
                <c:pt idx="7">
                  <c:v>3031</c:v>
                </c:pt>
                <c:pt idx="8">
                  <c:v>3032</c:v>
                </c:pt>
                <c:pt idx="9">
                  <c:v>3050</c:v>
                </c:pt>
                <c:pt idx="10">
                  <c:v>3051</c:v>
                </c:pt>
                <c:pt idx="11">
                  <c:v>3052</c:v>
                </c:pt>
                <c:pt idx="12">
                  <c:v>3053</c:v>
                </c:pt>
                <c:pt idx="13">
                  <c:v>3054</c:v>
                </c:pt>
                <c:pt idx="14">
                  <c:v>3141</c:v>
                </c:pt>
                <c:pt idx="15">
                  <c:v>3181</c:v>
                </c:pt>
                <c:pt idx="16">
                  <c:v>3207</c:v>
                </c:pt>
              </c:numCache>
            </c:numRef>
          </c:cat>
          <c:val>
            <c:numRef>
              <c:f>'Charts - delete'!$K$170:$K$186</c:f>
              <c:numCache>
                <c:formatCode>0%</c:formatCode>
                <c:ptCount val="17"/>
                <c:pt idx="0">
                  <c:v>3.8507015231054979E-2</c:v>
                </c:pt>
                <c:pt idx="1">
                  <c:v>6.522610554373579E-3</c:v>
                </c:pt>
                <c:pt idx="2">
                  <c:v>2.2196171334369647E-2</c:v>
                </c:pt>
                <c:pt idx="3">
                  <c:v>6.9286634942692854E-2</c:v>
                </c:pt>
                <c:pt idx="4">
                  <c:v>1.8817188309815838E-2</c:v>
                </c:pt>
                <c:pt idx="5">
                  <c:v>1.2916978864007793E-2</c:v>
                </c:pt>
                <c:pt idx="6">
                  <c:v>0.77306773056193567</c:v>
                </c:pt>
                <c:pt idx="7">
                  <c:v>2.1499780462325365E-2</c:v>
                </c:pt>
                <c:pt idx="8">
                  <c:v>0</c:v>
                </c:pt>
                <c:pt idx="9">
                  <c:v>1.2343122741112789E-2</c:v>
                </c:pt>
                <c:pt idx="10">
                  <c:v>2.5354913061993386E-2</c:v>
                </c:pt>
                <c:pt idx="11">
                  <c:v>0.12667673561354073</c:v>
                </c:pt>
                <c:pt idx="12">
                  <c:v>0.10592422531909716</c:v>
                </c:pt>
                <c:pt idx="13">
                  <c:v>0</c:v>
                </c:pt>
                <c:pt idx="14">
                  <c:v>8.9403958369048325E-2</c:v>
                </c:pt>
                <c:pt idx="15">
                  <c:v>9.9857506528693657E-2</c:v>
                </c:pt>
                <c:pt idx="16">
                  <c:v>7.0613065113345128E-2</c:v>
                </c:pt>
              </c:numCache>
            </c:numRef>
          </c:val>
          <c:extLst>
            <c:ext xmlns:c16="http://schemas.microsoft.com/office/drawing/2014/chart" uri="{C3380CC4-5D6E-409C-BE32-E72D297353CC}">
              <c16:uniqueId val="{00000005-BD8B-481C-AF38-BA4D812DC45B}"/>
            </c:ext>
          </c:extLst>
        </c:ser>
        <c:ser>
          <c:idx val="6"/>
          <c:order val="6"/>
          <c:tx>
            <c:strRef>
              <c:f>'Charts - delete'!$L$169</c:f>
              <c:strCache>
                <c:ptCount val="1"/>
                <c:pt idx="0">
                  <c:v>Hospitals/healthcare</c:v>
                </c:pt>
              </c:strCache>
            </c:strRef>
          </c:tx>
          <c:spPr>
            <a:solidFill>
              <a:schemeClr val="accent1">
                <a:lumMod val="60000"/>
              </a:schemeClr>
            </a:solidFill>
            <a:ln>
              <a:noFill/>
            </a:ln>
            <a:effectLst/>
          </c:spPr>
          <c:invertIfNegative val="0"/>
          <c:cat>
            <c:numRef>
              <c:f>'Charts - delete'!$E$170:$E$186</c:f>
              <c:numCache>
                <c:formatCode>General</c:formatCode>
                <c:ptCount val="17"/>
                <c:pt idx="0">
                  <c:v>3000</c:v>
                </c:pt>
                <c:pt idx="1">
                  <c:v>3002</c:v>
                </c:pt>
                <c:pt idx="2">
                  <c:v>3003</c:v>
                </c:pt>
                <c:pt idx="3">
                  <c:v>3004</c:v>
                </c:pt>
                <c:pt idx="4">
                  <c:v>3006</c:v>
                </c:pt>
                <c:pt idx="5">
                  <c:v>3008</c:v>
                </c:pt>
                <c:pt idx="6">
                  <c:v>3010</c:v>
                </c:pt>
                <c:pt idx="7">
                  <c:v>3031</c:v>
                </c:pt>
                <c:pt idx="8">
                  <c:v>3032</c:v>
                </c:pt>
                <c:pt idx="9">
                  <c:v>3050</c:v>
                </c:pt>
                <c:pt idx="10">
                  <c:v>3051</c:v>
                </c:pt>
                <c:pt idx="11">
                  <c:v>3052</c:v>
                </c:pt>
                <c:pt idx="12">
                  <c:v>3053</c:v>
                </c:pt>
                <c:pt idx="13">
                  <c:v>3054</c:v>
                </c:pt>
                <c:pt idx="14">
                  <c:v>3141</c:v>
                </c:pt>
                <c:pt idx="15">
                  <c:v>3181</c:v>
                </c:pt>
                <c:pt idx="16">
                  <c:v>3207</c:v>
                </c:pt>
              </c:numCache>
            </c:numRef>
          </c:cat>
          <c:val>
            <c:numRef>
              <c:f>'Charts - delete'!$L$170:$L$186</c:f>
              <c:numCache>
                <c:formatCode>0%</c:formatCode>
                <c:ptCount val="17"/>
                <c:pt idx="0">
                  <c:v>4.1526020902193157E-2</c:v>
                </c:pt>
                <c:pt idx="1">
                  <c:v>0.30085739891116187</c:v>
                </c:pt>
                <c:pt idx="2">
                  <c:v>1.8036885227892879E-3</c:v>
                </c:pt>
                <c:pt idx="3">
                  <c:v>3.4792114426140421E-2</c:v>
                </c:pt>
                <c:pt idx="4">
                  <c:v>2.0020766268345276E-3</c:v>
                </c:pt>
                <c:pt idx="5">
                  <c:v>3.7397467116093066E-3</c:v>
                </c:pt>
                <c:pt idx="6">
                  <c:v>0</c:v>
                </c:pt>
                <c:pt idx="7">
                  <c:v>1.0421556529898681E-2</c:v>
                </c:pt>
                <c:pt idx="8">
                  <c:v>0</c:v>
                </c:pt>
                <c:pt idx="9">
                  <c:v>0.97565790984690492</c:v>
                </c:pt>
                <c:pt idx="10">
                  <c:v>2.6821275412736739E-2</c:v>
                </c:pt>
                <c:pt idx="11">
                  <c:v>0.42472020488787537</c:v>
                </c:pt>
                <c:pt idx="12">
                  <c:v>4.0354167061871365E-2</c:v>
                </c:pt>
                <c:pt idx="13">
                  <c:v>0</c:v>
                </c:pt>
                <c:pt idx="14">
                  <c:v>0</c:v>
                </c:pt>
                <c:pt idx="15">
                  <c:v>0.88533422157213404</c:v>
                </c:pt>
                <c:pt idx="16">
                  <c:v>4.1390025359810701E-4</c:v>
                </c:pt>
              </c:numCache>
            </c:numRef>
          </c:val>
          <c:extLst>
            <c:ext xmlns:c16="http://schemas.microsoft.com/office/drawing/2014/chart" uri="{C3380CC4-5D6E-409C-BE32-E72D297353CC}">
              <c16:uniqueId val="{00000006-BD8B-481C-AF38-BA4D812DC45B}"/>
            </c:ext>
          </c:extLst>
        </c:ser>
        <c:ser>
          <c:idx val="7"/>
          <c:order val="7"/>
          <c:tx>
            <c:strRef>
              <c:f>'Charts - delete'!$M$169</c:f>
              <c:strCache>
                <c:ptCount val="1"/>
                <c:pt idx="0">
                  <c:v>Entertainment/recreation</c:v>
                </c:pt>
              </c:strCache>
            </c:strRef>
          </c:tx>
          <c:spPr>
            <a:solidFill>
              <a:schemeClr val="accent2">
                <a:lumMod val="60000"/>
              </a:schemeClr>
            </a:solidFill>
            <a:ln>
              <a:noFill/>
            </a:ln>
            <a:effectLst/>
          </c:spPr>
          <c:invertIfNegative val="0"/>
          <c:cat>
            <c:numRef>
              <c:f>'Charts - delete'!$E$170:$E$186</c:f>
              <c:numCache>
                <c:formatCode>General</c:formatCode>
                <c:ptCount val="17"/>
                <c:pt idx="0">
                  <c:v>3000</c:v>
                </c:pt>
                <c:pt idx="1">
                  <c:v>3002</c:v>
                </c:pt>
                <c:pt idx="2">
                  <c:v>3003</c:v>
                </c:pt>
                <c:pt idx="3">
                  <c:v>3004</c:v>
                </c:pt>
                <c:pt idx="4">
                  <c:v>3006</c:v>
                </c:pt>
                <c:pt idx="5">
                  <c:v>3008</c:v>
                </c:pt>
                <c:pt idx="6">
                  <c:v>3010</c:v>
                </c:pt>
                <c:pt idx="7">
                  <c:v>3031</c:v>
                </c:pt>
                <c:pt idx="8">
                  <c:v>3032</c:v>
                </c:pt>
                <c:pt idx="9">
                  <c:v>3050</c:v>
                </c:pt>
                <c:pt idx="10">
                  <c:v>3051</c:v>
                </c:pt>
                <c:pt idx="11">
                  <c:v>3052</c:v>
                </c:pt>
                <c:pt idx="12">
                  <c:v>3053</c:v>
                </c:pt>
                <c:pt idx="13">
                  <c:v>3054</c:v>
                </c:pt>
                <c:pt idx="14">
                  <c:v>3141</c:v>
                </c:pt>
                <c:pt idx="15">
                  <c:v>3181</c:v>
                </c:pt>
                <c:pt idx="16">
                  <c:v>3207</c:v>
                </c:pt>
              </c:numCache>
            </c:numRef>
          </c:cat>
          <c:val>
            <c:numRef>
              <c:f>'Charts - delete'!$M$170:$M$186</c:f>
              <c:numCache>
                <c:formatCode>0%</c:formatCode>
                <c:ptCount val="17"/>
                <c:pt idx="0">
                  <c:v>4.1787947435936453E-2</c:v>
                </c:pt>
                <c:pt idx="1">
                  <c:v>5.7719317524645895E-2</c:v>
                </c:pt>
                <c:pt idx="2">
                  <c:v>8.8742384601003723E-3</c:v>
                </c:pt>
                <c:pt idx="3">
                  <c:v>0.1751940134031254</c:v>
                </c:pt>
                <c:pt idx="4">
                  <c:v>5.1043863156314068E-2</c:v>
                </c:pt>
                <c:pt idx="5">
                  <c:v>2.7915027580877601E-2</c:v>
                </c:pt>
                <c:pt idx="6">
                  <c:v>4.1969026781887069E-2</c:v>
                </c:pt>
                <c:pt idx="7">
                  <c:v>3.0400122440265579E-2</c:v>
                </c:pt>
                <c:pt idx="8">
                  <c:v>0</c:v>
                </c:pt>
                <c:pt idx="9">
                  <c:v>7.3568865414629341E-4</c:v>
                </c:pt>
                <c:pt idx="10">
                  <c:v>1.9028316662400173E-2</c:v>
                </c:pt>
                <c:pt idx="11">
                  <c:v>1.216926211555607E-2</c:v>
                </c:pt>
                <c:pt idx="12">
                  <c:v>3.3688606021057513E-2</c:v>
                </c:pt>
                <c:pt idx="13">
                  <c:v>0</c:v>
                </c:pt>
                <c:pt idx="14">
                  <c:v>1.0866590840196944E-2</c:v>
                </c:pt>
                <c:pt idx="15">
                  <c:v>1.3784467912764001E-3</c:v>
                </c:pt>
                <c:pt idx="16">
                  <c:v>2.1967383599366306E-3</c:v>
                </c:pt>
              </c:numCache>
            </c:numRef>
          </c:val>
          <c:extLst>
            <c:ext xmlns:c16="http://schemas.microsoft.com/office/drawing/2014/chart" uri="{C3380CC4-5D6E-409C-BE32-E72D297353CC}">
              <c16:uniqueId val="{00000007-BD8B-481C-AF38-BA4D812DC45B}"/>
            </c:ext>
          </c:extLst>
        </c:ser>
        <c:ser>
          <c:idx val="8"/>
          <c:order val="8"/>
          <c:tx>
            <c:strRef>
              <c:f>'Charts - delete'!$N$169</c:f>
              <c:strCache>
                <c:ptCount val="1"/>
                <c:pt idx="0">
                  <c:v>Community/public use</c:v>
                </c:pt>
              </c:strCache>
            </c:strRef>
          </c:tx>
          <c:spPr>
            <a:solidFill>
              <a:schemeClr val="accent3">
                <a:lumMod val="60000"/>
              </a:schemeClr>
            </a:solidFill>
            <a:ln>
              <a:noFill/>
            </a:ln>
            <a:effectLst/>
          </c:spPr>
          <c:invertIfNegative val="0"/>
          <c:cat>
            <c:numRef>
              <c:f>'Charts - delete'!$E$170:$E$186</c:f>
              <c:numCache>
                <c:formatCode>General</c:formatCode>
                <c:ptCount val="17"/>
                <c:pt idx="0">
                  <c:v>3000</c:v>
                </c:pt>
                <c:pt idx="1">
                  <c:v>3002</c:v>
                </c:pt>
                <c:pt idx="2">
                  <c:v>3003</c:v>
                </c:pt>
                <c:pt idx="3">
                  <c:v>3004</c:v>
                </c:pt>
                <c:pt idx="4">
                  <c:v>3006</c:v>
                </c:pt>
                <c:pt idx="5">
                  <c:v>3008</c:v>
                </c:pt>
                <c:pt idx="6">
                  <c:v>3010</c:v>
                </c:pt>
                <c:pt idx="7">
                  <c:v>3031</c:v>
                </c:pt>
                <c:pt idx="8">
                  <c:v>3032</c:v>
                </c:pt>
                <c:pt idx="9">
                  <c:v>3050</c:v>
                </c:pt>
                <c:pt idx="10">
                  <c:v>3051</c:v>
                </c:pt>
                <c:pt idx="11">
                  <c:v>3052</c:v>
                </c:pt>
                <c:pt idx="12">
                  <c:v>3053</c:v>
                </c:pt>
                <c:pt idx="13">
                  <c:v>3054</c:v>
                </c:pt>
                <c:pt idx="14">
                  <c:v>3141</c:v>
                </c:pt>
                <c:pt idx="15">
                  <c:v>3181</c:v>
                </c:pt>
                <c:pt idx="16">
                  <c:v>3207</c:v>
                </c:pt>
              </c:numCache>
            </c:numRef>
          </c:cat>
          <c:val>
            <c:numRef>
              <c:f>'Charts - delete'!$N$170:$N$186</c:f>
              <c:numCache>
                <c:formatCode>0%</c:formatCode>
                <c:ptCount val="17"/>
                <c:pt idx="0">
                  <c:v>2.0917876483762289E-2</c:v>
                </c:pt>
                <c:pt idx="1">
                  <c:v>1.7818283344681368E-2</c:v>
                </c:pt>
                <c:pt idx="2">
                  <c:v>1.5484235822585452E-2</c:v>
                </c:pt>
                <c:pt idx="3">
                  <c:v>3.0284695817520413E-2</c:v>
                </c:pt>
                <c:pt idx="4">
                  <c:v>5.8302706647675173E-2</c:v>
                </c:pt>
                <c:pt idx="5">
                  <c:v>4.5796674732204576E-3</c:v>
                </c:pt>
                <c:pt idx="6">
                  <c:v>2.6970111355653976E-2</c:v>
                </c:pt>
                <c:pt idx="7">
                  <c:v>8.9425472498582351E-3</c:v>
                </c:pt>
                <c:pt idx="8">
                  <c:v>0.94627273237596232</c:v>
                </c:pt>
                <c:pt idx="9">
                  <c:v>0</c:v>
                </c:pt>
                <c:pt idx="10">
                  <c:v>1.7721580182203461E-2</c:v>
                </c:pt>
                <c:pt idx="11">
                  <c:v>2.7225899889206555E-3</c:v>
                </c:pt>
                <c:pt idx="12">
                  <c:v>3.3413925399280356E-2</c:v>
                </c:pt>
                <c:pt idx="13">
                  <c:v>0.53478029121727089</c:v>
                </c:pt>
                <c:pt idx="14">
                  <c:v>1.8048569999000529E-2</c:v>
                </c:pt>
                <c:pt idx="15">
                  <c:v>0</c:v>
                </c:pt>
                <c:pt idx="16">
                  <c:v>0</c:v>
                </c:pt>
              </c:numCache>
            </c:numRef>
          </c:val>
          <c:extLst>
            <c:ext xmlns:c16="http://schemas.microsoft.com/office/drawing/2014/chart" uri="{C3380CC4-5D6E-409C-BE32-E72D297353CC}">
              <c16:uniqueId val="{00000008-BD8B-481C-AF38-BA4D812DC45B}"/>
            </c:ext>
          </c:extLst>
        </c:ser>
        <c:ser>
          <c:idx val="9"/>
          <c:order val="9"/>
          <c:tx>
            <c:strRef>
              <c:f>'Charts - delete'!$O$169</c:f>
              <c:strCache>
                <c:ptCount val="1"/>
                <c:pt idx="0">
                  <c:v>Residential</c:v>
                </c:pt>
              </c:strCache>
            </c:strRef>
          </c:tx>
          <c:spPr>
            <a:solidFill>
              <a:schemeClr val="accent4">
                <a:lumMod val="60000"/>
              </a:schemeClr>
            </a:solidFill>
            <a:ln>
              <a:noFill/>
            </a:ln>
            <a:effectLst/>
          </c:spPr>
          <c:invertIfNegative val="0"/>
          <c:cat>
            <c:numRef>
              <c:f>'Charts - delete'!$E$170:$E$186</c:f>
              <c:numCache>
                <c:formatCode>General</c:formatCode>
                <c:ptCount val="17"/>
                <c:pt idx="0">
                  <c:v>3000</c:v>
                </c:pt>
                <c:pt idx="1">
                  <c:v>3002</c:v>
                </c:pt>
                <c:pt idx="2">
                  <c:v>3003</c:v>
                </c:pt>
                <c:pt idx="3">
                  <c:v>3004</c:v>
                </c:pt>
                <c:pt idx="4">
                  <c:v>3006</c:v>
                </c:pt>
                <c:pt idx="5">
                  <c:v>3008</c:v>
                </c:pt>
                <c:pt idx="6">
                  <c:v>3010</c:v>
                </c:pt>
                <c:pt idx="7">
                  <c:v>3031</c:v>
                </c:pt>
                <c:pt idx="8">
                  <c:v>3032</c:v>
                </c:pt>
                <c:pt idx="9">
                  <c:v>3050</c:v>
                </c:pt>
                <c:pt idx="10">
                  <c:v>3051</c:v>
                </c:pt>
                <c:pt idx="11">
                  <c:v>3052</c:v>
                </c:pt>
                <c:pt idx="12">
                  <c:v>3053</c:v>
                </c:pt>
                <c:pt idx="13">
                  <c:v>3054</c:v>
                </c:pt>
                <c:pt idx="14">
                  <c:v>3141</c:v>
                </c:pt>
                <c:pt idx="15">
                  <c:v>3181</c:v>
                </c:pt>
                <c:pt idx="16">
                  <c:v>3207</c:v>
                </c:pt>
              </c:numCache>
            </c:numRef>
          </c:cat>
          <c:val>
            <c:numRef>
              <c:f>'Charts - delete'!$O$170:$O$186</c:f>
              <c:numCache>
                <c:formatCode>0%</c:formatCode>
                <c:ptCount val="17"/>
                <c:pt idx="0">
                  <c:v>0.19717790829572152</c:v>
                </c:pt>
                <c:pt idx="1">
                  <c:v>0.23543974708020804</c:v>
                </c:pt>
                <c:pt idx="2">
                  <c:v>0.35909782475004343</c:v>
                </c:pt>
                <c:pt idx="3">
                  <c:v>0.2681135155390143</c:v>
                </c:pt>
                <c:pt idx="4">
                  <c:v>0.4018127380390622</c:v>
                </c:pt>
                <c:pt idx="5">
                  <c:v>0.32012047907000507</c:v>
                </c:pt>
                <c:pt idx="6">
                  <c:v>7.1801644445927736E-4</c:v>
                </c:pt>
                <c:pt idx="7">
                  <c:v>0.67366320069453778</c:v>
                </c:pt>
                <c:pt idx="8">
                  <c:v>0</c:v>
                </c:pt>
                <c:pt idx="9">
                  <c:v>0</c:v>
                </c:pt>
                <c:pt idx="10">
                  <c:v>0.55327219401063055</c:v>
                </c:pt>
                <c:pt idx="11">
                  <c:v>0.34982824893441411</c:v>
                </c:pt>
                <c:pt idx="12">
                  <c:v>0.50440383286033197</c:v>
                </c:pt>
                <c:pt idx="13">
                  <c:v>3.819897852707118E-2</c:v>
                </c:pt>
                <c:pt idx="14">
                  <c:v>0.87221102764459291</c:v>
                </c:pt>
                <c:pt idx="15">
                  <c:v>0</c:v>
                </c:pt>
                <c:pt idx="16">
                  <c:v>0</c:v>
                </c:pt>
              </c:numCache>
            </c:numRef>
          </c:val>
          <c:extLst>
            <c:ext xmlns:c16="http://schemas.microsoft.com/office/drawing/2014/chart" uri="{C3380CC4-5D6E-409C-BE32-E72D297353CC}">
              <c16:uniqueId val="{00000009-BD8B-481C-AF38-BA4D812DC45B}"/>
            </c:ext>
          </c:extLst>
        </c:ser>
        <c:ser>
          <c:idx val="10"/>
          <c:order val="10"/>
          <c:tx>
            <c:strRef>
              <c:f>'Charts - delete'!$P$169</c:f>
              <c:strCache>
                <c:ptCount val="1"/>
                <c:pt idx="0">
                  <c:v>Commercial accommodation</c:v>
                </c:pt>
              </c:strCache>
            </c:strRef>
          </c:tx>
          <c:spPr>
            <a:solidFill>
              <a:schemeClr val="accent5">
                <a:lumMod val="60000"/>
              </a:schemeClr>
            </a:solidFill>
            <a:ln>
              <a:noFill/>
            </a:ln>
            <a:effectLst/>
          </c:spPr>
          <c:invertIfNegative val="0"/>
          <c:cat>
            <c:numRef>
              <c:f>'Charts - delete'!$E$170:$E$186</c:f>
              <c:numCache>
                <c:formatCode>General</c:formatCode>
                <c:ptCount val="17"/>
                <c:pt idx="0">
                  <c:v>3000</c:v>
                </c:pt>
                <c:pt idx="1">
                  <c:v>3002</c:v>
                </c:pt>
                <c:pt idx="2">
                  <c:v>3003</c:v>
                </c:pt>
                <c:pt idx="3">
                  <c:v>3004</c:v>
                </c:pt>
                <c:pt idx="4">
                  <c:v>3006</c:v>
                </c:pt>
                <c:pt idx="5">
                  <c:v>3008</c:v>
                </c:pt>
                <c:pt idx="6">
                  <c:v>3010</c:v>
                </c:pt>
                <c:pt idx="7">
                  <c:v>3031</c:v>
                </c:pt>
                <c:pt idx="8">
                  <c:v>3032</c:v>
                </c:pt>
                <c:pt idx="9">
                  <c:v>3050</c:v>
                </c:pt>
                <c:pt idx="10">
                  <c:v>3051</c:v>
                </c:pt>
                <c:pt idx="11">
                  <c:v>3052</c:v>
                </c:pt>
                <c:pt idx="12">
                  <c:v>3053</c:v>
                </c:pt>
                <c:pt idx="13">
                  <c:v>3054</c:v>
                </c:pt>
                <c:pt idx="14">
                  <c:v>3141</c:v>
                </c:pt>
                <c:pt idx="15">
                  <c:v>3181</c:v>
                </c:pt>
                <c:pt idx="16">
                  <c:v>3207</c:v>
                </c:pt>
              </c:numCache>
            </c:numRef>
          </c:cat>
          <c:val>
            <c:numRef>
              <c:f>'Charts - delete'!$P$170:$P$186</c:f>
              <c:numCache>
                <c:formatCode>0%</c:formatCode>
                <c:ptCount val="17"/>
                <c:pt idx="0">
                  <c:v>0.12370187653143042</c:v>
                </c:pt>
                <c:pt idx="1">
                  <c:v>9.481415752514645E-2</c:v>
                </c:pt>
                <c:pt idx="2">
                  <c:v>1.7010131524386265E-2</c:v>
                </c:pt>
                <c:pt idx="3">
                  <c:v>1.8722029463065195E-2</c:v>
                </c:pt>
                <c:pt idx="4">
                  <c:v>0.18276113630812213</c:v>
                </c:pt>
                <c:pt idx="5">
                  <c:v>6.4464484805180966E-2</c:v>
                </c:pt>
                <c:pt idx="6">
                  <c:v>0</c:v>
                </c:pt>
                <c:pt idx="7">
                  <c:v>2.826500358540372E-4</c:v>
                </c:pt>
                <c:pt idx="8">
                  <c:v>0</c:v>
                </c:pt>
                <c:pt idx="9">
                  <c:v>0</c:v>
                </c:pt>
                <c:pt idx="10">
                  <c:v>2.4118463751559051E-2</c:v>
                </c:pt>
                <c:pt idx="11">
                  <c:v>1.8405774992710403E-2</c:v>
                </c:pt>
                <c:pt idx="12">
                  <c:v>3.4979898392483395E-2</c:v>
                </c:pt>
                <c:pt idx="13">
                  <c:v>0</c:v>
                </c:pt>
                <c:pt idx="14">
                  <c:v>2.0674702590918678E-3</c:v>
                </c:pt>
                <c:pt idx="15">
                  <c:v>0</c:v>
                </c:pt>
                <c:pt idx="16">
                  <c:v>0</c:v>
                </c:pt>
              </c:numCache>
            </c:numRef>
          </c:val>
          <c:extLst>
            <c:ext xmlns:c16="http://schemas.microsoft.com/office/drawing/2014/chart" uri="{C3380CC4-5D6E-409C-BE32-E72D297353CC}">
              <c16:uniqueId val="{0000000A-BD8B-481C-AF38-BA4D812DC45B}"/>
            </c:ext>
          </c:extLst>
        </c:ser>
        <c:ser>
          <c:idx val="11"/>
          <c:order val="11"/>
          <c:tx>
            <c:strRef>
              <c:f>'Charts - delete'!$Q$169</c:f>
              <c:strCache>
                <c:ptCount val="1"/>
                <c:pt idx="0">
                  <c:v>Parking</c:v>
                </c:pt>
              </c:strCache>
            </c:strRef>
          </c:tx>
          <c:spPr>
            <a:solidFill>
              <a:schemeClr val="accent6">
                <a:lumMod val="60000"/>
              </a:schemeClr>
            </a:solidFill>
            <a:ln>
              <a:noFill/>
            </a:ln>
            <a:effectLst/>
          </c:spPr>
          <c:invertIfNegative val="0"/>
          <c:cat>
            <c:numRef>
              <c:f>'Charts - delete'!$E$170:$E$186</c:f>
              <c:numCache>
                <c:formatCode>General</c:formatCode>
                <c:ptCount val="17"/>
                <c:pt idx="0">
                  <c:v>3000</c:v>
                </c:pt>
                <c:pt idx="1">
                  <c:v>3002</c:v>
                </c:pt>
                <c:pt idx="2">
                  <c:v>3003</c:v>
                </c:pt>
                <c:pt idx="3">
                  <c:v>3004</c:v>
                </c:pt>
                <c:pt idx="4">
                  <c:v>3006</c:v>
                </c:pt>
                <c:pt idx="5">
                  <c:v>3008</c:v>
                </c:pt>
                <c:pt idx="6">
                  <c:v>3010</c:v>
                </c:pt>
                <c:pt idx="7">
                  <c:v>3031</c:v>
                </c:pt>
                <c:pt idx="8">
                  <c:v>3032</c:v>
                </c:pt>
                <c:pt idx="9">
                  <c:v>3050</c:v>
                </c:pt>
                <c:pt idx="10">
                  <c:v>3051</c:v>
                </c:pt>
                <c:pt idx="11">
                  <c:v>3052</c:v>
                </c:pt>
                <c:pt idx="12">
                  <c:v>3053</c:v>
                </c:pt>
                <c:pt idx="13">
                  <c:v>3054</c:v>
                </c:pt>
                <c:pt idx="14">
                  <c:v>3141</c:v>
                </c:pt>
                <c:pt idx="15">
                  <c:v>3181</c:v>
                </c:pt>
                <c:pt idx="16">
                  <c:v>3207</c:v>
                </c:pt>
              </c:numCache>
            </c:numRef>
          </c:cat>
          <c:val>
            <c:numRef>
              <c:f>'Charts - delete'!$Q$170:$Q$186</c:f>
              <c:numCache>
                <c:formatCode>0%</c:formatCode>
                <c:ptCount val="17"/>
                <c:pt idx="0">
                  <c:v>9.0510088157283401E-3</c:v>
                </c:pt>
                <c:pt idx="1">
                  <c:v>3.5357686790386542E-3</c:v>
                </c:pt>
                <c:pt idx="2">
                  <c:v>6.2762904968509847E-4</c:v>
                </c:pt>
                <c:pt idx="3">
                  <c:v>8.0030400981859848E-3</c:v>
                </c:pt>
                <c:pt idx="4">
                  <c:v>1.6985978664469534E-2</c:v>
                </c:pt>
                <c:pt idx="5">
                  <c:v>1.9050041153385749E-2</c:v>
                </c:pt>
                <c:pt idx="6">
                  <c:v>5.6531331677519975E-3</c:v>
                </c:pt>
                <c:pt idx="7">
                  <c:v>2.818121740831492E-4</c:v>
                </c:pt>
                <c:pt idx="8">
                  <c:v>0</c:v>
                </c:pt>
                <c:pt idx="9">
                  <c:v>9.6010358955351538E-3</c:v>
                </c:pt>
                <c:pt idx="10">
                  <c:v>3.9683157716387703E-3</c:v>
                </c:pt>
                <c:pt idx="11">
                  <c:v>5.7845205039024914E-3</c:v>
                </c:pt>
                <c:pt idx="12">
                  <c:v>6.6468701765465873E-3</c:v>
                </c:pt>
                <c:pt idx="13">
                  <c:v>0</c:v>
                </c:pt>
                <c:pt idx="14">
                  <c:v>2.5509479283167551E-4</c:v>
                </c:pt>
                <c:pt idx="15">
                  <c:v>9.4533756857624715E-4</c:v>
                </c:pt>
                <c:pt idx="16">
                  <c:v>1.9337681548586502E-4</c:v>
                </c:pt>
              </c:numCache>
            </c:numRef>
          </c:val>
          <c:extLst>
            <c:ext xmlns:c16="http://schemas.microsoft.com/office/drawing/2014/chart" uri="{C3380CC4-5D6E-409C-BE32-E72D297353CC}">
              <c16:uniqueId val="{0000000B-BD8B-481C-AF38-BA4D812DC45B}"/>
            </c:ext>
          </c:extLst>
        </c:ser>
        <c:ser>
          <c:idx val="12"/>
          <c:order val="12"/>
          <c:tx>
            <c:strRef>
              <c:f>'Charts - delete'!$R$169</c:f>
              <c:strCache>
                <c:ptCount val="1"/>
                <c:pt idx="0">
                  <c:v>Unoccupied</c:v>
                </c:pt>
              </c:strCache>
            </c:strRef>
          </c:tx>
          <c:spPr>
            <a:solidFill>
              <a:schemeClr val="accent1">
                <a:lumMod val="80000"/>
                <a:lumOff val="20000"/>
              </a:schemeClr>
            </a:solidFill>
            <a:ln>
              <a:noFill/>
            </a:ln>
            <a:effectLst/>
          </c:spPr>
          <c:invertIfNegative val="0"/>
          <c:cat>
            <c:numRef>
              <c:f>'Charts - delete'!$E$170:$E$186</c:f>
              <c:numCache>
                <c:formatCode>General</c:formatCode>
                <c:ptCount val="17"/>
                <c:pt idx="0">
                  <c:v>3000</c:v>
                </c:pt>
                <c:pt idx="1">
                  <c:v>3002</c:v>
                </c:pt>
                <c:pt idx="2">
                  <c:v>3003</c:v>
                </c:pt>
                <c:pt idx="3">
                  <c:v>3004</c:v>
                </c:pt>
                <c:pt idx="4">
                  <c:v>3006</c:v>
                </c:pt>
                <c:pt idx="5">
                  <c:v>3008</c:v>
                </c:pt>
                <c:pt idx="6">
                  <c:v>3010</c:v>
                </c:pt>
                <c:pt idx="7">
                  <c:v>3031</c:v>
                </c:pt>
                <c:pt idx="8">
                  <c:v>3032</c:v>
                </c:pt>
                <c:pt idx="9">
                  <c:v>3050</c:v>
                </c:pt>
                <c:pt idx="10">
                  <c:v>3051</c:v>
                </c:pt>
                <c:pt idx="11">
                  <c:v>3052</c:v>
                </c:pt>
                <c:pt idx="12">
                  <c:v>3053</c:v>
                </c:pt>
                <c:pt idx="13">
                  <c:v>3054</c:v>
                </c:pt>
                <c:pt idx="14">
                  <c:v>3141</c:v>
                </c:pt>
                <c:pt idx="15">
                  <c:v>3181</c:v>
                </c:pt>
                <c:pt idx="16">
                  <c:v>3207</c:v>
                </c:pt>
              </c:numCache>
            </c:numRef>
          </c:cat>
          <c:val>
            <c:numRef>
              <c:f>'Charts - delete'!$R$170:$R$186</c:f>
              <c:numCache>
                <c:formatCode>0%</c:formatCode>
                <c:ptCount val="17"/>
                <c:pt idx="0">
                  <c:v>3.3262287970869404E-3</c:v>
                </c:pt>
                <c:pt idx="1">
                  <c:v>1.1128103640094386E-3</c:v>
                </c:pt>
                <c:pt idx="2">
                  <c:v>2.2608505844778106E-2</c:v>
                </c:pt>
                <c:pt idx="3">
                  <c:v>4.4687452003770186E-4</c:v>
                </c:pt>
                <c:pt idx="4">
                  <c:v>7.5073826384378095E-4</c:v>
                </c:pt>
                <c:pt idx="5">
                  <c:v>9.2950870299336643E-4</c:v>
                </c:pt>
                <c:pt idx="6">
                  <c:v>3.3621484104020224E-3</c:v>
                </c:pt>
                <c:pt idx="7">
                  <c:v>4.0853737376121291E-3</c:v>
                </c:pt>
                <c:pt idx="8">
                  <c:v>0</c:v>
                </c:pt>
                <c:pt idx="9">
                  <c:v>0</c:v>
                </c:pt>
                <c:pt idx="10">
                  <c:v>7.708810024328442E-3</c:v>
                </c:pt>
                <c:pt idx="11">
                  <c:v>1.6031854586585513E-4</c:v>
                </c:pt>
                <c:pt idx="12">
                  <c:v>4.1217208418879558E-3</c:v>
                </c:pt>
                <c:pt idx="13">
                  <c:v>0</c:v>
                </c:pt>
                <c:pt idx="14">
                  <c:v>8.9774750691474093E-4</c:v>
                </c:pt>
                <c:pt idx="15">
                  <c:v>0</c:v>
                </c:pt>
                <c:pt idx="16">
                  <c:v>0</c:v>
                </c:pt>
              </c:numCache>
            </c:numRef>
          </c:val>
          <c:extLst>
            <c:ext xmlns:c16="http://schemas.microsoft.com/office/drawing/2014/chart" uri="{C3380CC4-5D6E-409C-BE32-E72D297353CC}">
              <c16:uniqueId val="{0000000C-BD8B-481C-AF38-BA4D812DC45B}"/>
            </c:ext>
          </c:extLst>
        </c:ser>
        <c:dLbls>
          <c:showLegendKey val="0"/>
          <c:showVal val="0"/>
          <c:showCatName val="0"/>
          <c:showSerName val="0"/>
          <c:showPercent val="0"/>
          <c:showBubbleSize val="0"/>
        </c:dLbls>
        <c:gapWidth val="150"/>
        <c:overlap val="100"/>
        <c:axId val="790510560"/>
        <c:axId val="790514880"/>
      </c:barChart>
      <c:catAx>
        <c:axId val="7905105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90514880"/>
        <c:crosses val="autoZero"/>
        <c:auto val="1"/>
        <c:lblAlgn val="ctr"/>
        <c:lblOffset val="100"/>
        <c:noMultiLvlLbl val="0"/>
      </c:catAx>
      <c:valAx>
        <c:axId val="790514880"/>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90510560"/>
        <c:crosses val="autoZero"/>
        <c:crossBetween val="between"/>
      </c:valAx>
      <c:spPr>
        <a:noFill/>
        <a:ln>
          <a:noFill/>
        </a:ln>
        <a:effectLst/>
      </c:spPr>
    </c:plotArea>
    <c:legend>
      <c:legendPos val="b"/>
      <c:layout>
        <c:manualLayout>
          <c:xMode val="edge"/>
          <c:yMode val="edge"/>
          <c:x val="2.6508097050226061E-2"/>
          <c:y val="0.69295011037767795"/>
          <c:w val="0.94075844794146535"/>
          <c:h val="0.2863209208885165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3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'Charts - delete'!$F$263</c:f>
              <c:strCache>
                <c:ptCount val="1"/>
                <c:pt idx="0">
                  <c:v>Electricity</c:v>
                </c:pt>
              </c:strCache>
            </c:strRef>
          </c:tx>
          <c:spPr>
            <a:solidFill>
              <a:srgbClr val="FFC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'Charts - delete'!$E$264:$E$276</c:f>
              <c:strCache>
                <c:ptCount val="13"/>
                <c:pt idx="0">
                  <c:v>Parking</c:v>
                </c:pt>
                <c:pt idx="1">
                  <c:v>Unoccupied</c:v>
                </c:pt>
                <c:pt idx="2">
                  <c:v>Retail</c:v>
                </c:pt>
                <c:pt idx="3">
                  <c:v>Other</c:v>
                </c:pt>
                <c:pt idx="4">
                  <c:v>Entertainment/recreation</c:v>
                </c:pt>
                <c:pt idx="5">
                  <c:v>Community/public use</c:v>
                </c:pt>
                <c:pt idx="6">
                  <c:v>Manufacturing/light industrial</c:v>
                </c:pt>
                <c:pt idx="7">
                  <c:v>Education</c:v>
                </c:pt>
                <c:pt idx="8">
                  <c:v>Transport</c:v>
                </c:pt>
                <c:pt idx="9">
                  <c:v>Commercial accommodation</c:v>
                </c:pt>
                <c:pt idx="10">
                  <c:v>Hospitals/healthcare</c:v>
                </c:pt>
                <c:pt idx="11">
                  <c:v>Office</c:v>
                </c:pt>
                <c:pt idx="12">
                  <c:v>Residential</c:v>
                </c:pt>
              </c:strCache>
            </c:strRef>
          </c:cat>
          <c:val>
            <c:numRef>
              <c:f>'Charts - delete'!$F$264:$F$276</c:f>
              <c:numCache>
                <c:formatCode>0%</c:formatCode>
                <c:ptCount val="13"/>
                <c:pt idx="0">
                  <c:v>1</c:v>
                </c:pt>
                <c:pt idx="1">
                  <c:v>1</c:v>
                </c:pt>
                <c:pt idx="2">
                  <c:v>0.76264769288472667</c:v>
                </c:pt>
                <c:pt idx="3">
                  <c:v>0.75361693687000419</c:v>
                </c:pt>
                <c:pt idx="4">
                  <c:v>0.7470725995316162</c:v>
                </c:pt>
                <c:pt idx="5">
                  <c:v>0.7469766092554212</c:v>
                </c:pt>
                <c:pt idx="6">
                  <c:v>0.74519854051817136</c:v>
                </c:pt>
                <c:pt idx="7">
                  <c:v>0.7432432432432432</c:v>
                </c:pt>
                <c:pt idx="8">
                  <c:v>0.74257425742574257</c:v>
                </c:pt>
                <c:pt idx="9">
                  <c:v>0.66334906555188411</c:v>
                </c:pt>
                <c:pt idx="10">
                  <c:v>0.61263172178053527</c:v>
                </c:pt>
                <c:pt idx="11">
                  <c:v>0.5989632919167267</c:v>
                </c:pt>
                <c:pt idx="12">
                  <c:v>0.51468090439640513</c:v>
                </c:pt>
              </c:numCache>
            </c:numRef>
          </c:val>
          <c:extLst>
            <c:ext xmlns:c16="http://schemas.microsoft.com/office/drawing/2014/chart" uri="{C3380CC4-5D6E-409C-BE32-E72D297353CC}">
              <c16:uniqueId val="{00000000-F9FE-4CC9-8D20-468FE7BBDD33}"/>
            </c:ext>
          </c:extLst>
        </c:ser>
        <c:ser>
          <c:idx val="1"/>
          <c:order val="1"/>
          <c:tx>
            <c:strRef>
              <c:f>'Charts - delete'!$G$263</c:f>
              <c:strCache>
                <c:ptCount val="1"/>
                <c:pt idx="0">
                  <c:v>Gas</c:v>
                </c:pt>
              </c:strCache>
            </c:strRef>
          </c:tx>
          <c:spPr>
            <a:solidFill>
              <a:srgbClr val="00B0F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'Charts - delete'!$E$264:$E$276</c:f>
              <c:strCache>
                <c:ptCount val="13"/>
                <c:pt idx="0">
                  <c:v>Parking</c:v>
                </c:pt>
                <c:pt idx="1">
                  <c:v>Unoccupied</c:v>
                </c:pt>
                <c:pt idx="2">
                  <c:v>Retail</c:v>
                </c:pt>
                <c:pt idx="3">
                  <c:v>Other</c:v>
                </c:pt>
                <c:pt idx="4">
                  <c:v>Entertainment/recreation</c:v>
                </c:pt>
                <c:pt idx="5">
                  <c:v>Community/public use</c:v>
                </c:pt>
                <c:pt idx="6">
                  <c:v>Manufacturing/light industrial</c:v>
                </c:pt>
                <c:pt idx="7">
                  <c:v>Education</c:v>
                </c:pt>
                <c:pt idx="8">
                  <c:v>Transport</c:v>
                </c:pt>
                <c:pt idx="9">
                  <c:v>Commercial accommodation</c:v>
                </c:pt>
                <c:pt idx="10">
                  <c:v>Hospitals/healthcare</c:v>
                </c:pt>
                <c:pt idx="11">
                  <c:v>Office</c:v>
                </c:pt>
                <c:pt idx="12">
                  <c:v>Residential</c:v>
                </c:pt>
              </c:strCache>
            </c:strRef>
          </c:cat>
          <c:val>
            <c:numRef>
              <c:f>'Charts - delete'!$G$264:$G$276</c:f>
              <c:numCache>
                <c:formatCode>0%</c:formatCode>
                <c:ptCount val="13"/>
                <c:pt idx="0">
                  <c:v>0</c:v>
                </c:pt>
                <c:pt idx="1">
                  <c:v>0</c:v>
                </c:pt>
                <c:pt idx="2">
                  <c:v>0.2373523071152733</c:v>
                </c:pt>
                <c:pt idx="3">
                  <c:v>0.24638306312999583</c:v>
                </c:pt>
                <c:pt idx="4">
                  <c:v>0.2529274004683838</c:v>
                </c:pt>
                <c:pt idx="5">
                  <c:v>0.2530233907445788</c:v>
                </c:pt>
                <c:pt idx="6">
                  <c:v>0.25480145948182864</c:v>
                </c:pt>
                <c:pt idx="7">
                  <c:v>0.2567567567567568</c:v>
                </c:pt>
                <c:pt idx="8">
                  <c:v>0.25742574257425743</c:v>
                </c:pt>
                <c:pt idx="9">
                  <c:v>0.33665093444811595</c:v>
                </c:pt>
                <c:pt idx="10">
                  <c:v>0.38736827821946473</c:v>
                </c:pt>
                <c:pt idx="11">
                  <c:v>0.40103670808327335</c:v>
                </c:pt>
                <c:pt idx="12">
                  <c:v>0.48531909560359482</c:v>
                </c:pt>
              </c:numCache>
            </c:numRef>
          </c:val>
          <c:extLst>
            <c:ext xmlns:c16="http://schemas.microsoft.com/office/drawing/2014/chart" uri="{C3380CC4-5D6E-409C-BE32-E72D297353CC}">
              <c16:uniqueId val="{00000001-F9FE-4CC9-8D20-468FE7BBDD33}"/>
            </c:ext>
          </c:extLst>
        </c:ser>
        <c:dLbls>
          <c:showLegendKey val="0"/>
          <c:showVal val="0"/>
          <c:showCatName val="0"/>
          <c:showSerName val="0"/>
          <c:showPercent val="0"/>
          <c:showBubbleSize val="0"/>
        </c:dLbls>
        <c:gapWidth val="219"/>
        <c:overlap val="100"/>
        <c:axId val="1161494399"/>
        <c:axId val="1161475199"/>
      </c:barChart>
      <c:catAx>
        <c:axId val="116149439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61475199"/>
        <c:crosses val="autoZero"/>
        <c:auto val="1"/>
        <c:lblAlgn val="ctr"/>
        <c:lblOffset val="100"/>
        <c:noMultiLvlLbl val="0"/>
      </c:catAx>
      <c:valAx>
        <c:axId val="1161475199"/>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6149439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3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2"/>
          <c:tx>
            <c:v>Total rated floor area</c:v>
          </c:tx>
          <c:spPr>
            <a:solidFill>
              <a:schemeClr val="accent2"/>
            </a:solidFill>
            <a:ln>
              <a:noFill/>
            </a:ln>
            <a:effectLst/>
          </c:spPr>
          <c:invertIfNegative val="0"/>
          <c:val>
            <c:numRef>
              <c:f>Offices!$D$4:$D$16</c:f>
              <c:numCache>
                <c:formatCode>_-* #,##0_-;\-* #,##0_-;_-* "-"??_-;_-@_-</c:formatCode>
                <c:ptCount val="13"/>
                <c:pt idx="0">
                  <c:v>29163.17</c:v>
                </c:pt>
                <c:pt idx="1">
                  <c:v>0</c:v>
                </c:pt>
                <c:pt idx="2">
                  <c:v>21268.06</c:v>
                </c:pt>
                <c:pt idx="3">
                  <c:v>11151.130000000001</c:v>
                </c:pt>
                <c:pt idx="4">
                  <c:v>25369.989999999998</c:v>
                </c:pt>
                <c:pt idx="5">
                  <c:v>61484.08</c:v>
                </c:pt>
                <c:pt idx="6">
                  <c:v>142508.57999999999</c:v>
                </c:pt>
                <c:pt idx="7">
                  <c:v>186081.97100000002</c:v>
                </c:pt>
                <c:pt idx="8">
                  <c:v>827439.4099999998</c:v>
                </c:pt>
                <c:pt idx="9">
                  <c:v>1089594.9590000003</c:v>
                </c:pt>
                <c:pt idx="10">
                  <c:v>1390824.956</c:v>
                </c:pt>
                <c:pt idx="11">
                  <c:v>1839743.87</c:v>
                </c:pt>
                <c:pt idx="12">
                  <c:v>195056.511</c:v>
                </c:pt>
              </c:numCache>
            </c:numRef>
          </c:val>
          <c:extLst>
            <c:ext xmlns:c16="http://schemas.microsoft.com/office/drawing/2014/chart" uri="{C3380CC4-5D6E-409C-BE32-E72D297353CC}">
              <c16:uniqueId val="{00000000-56A8-475E-B54C-658CDC82F417}"/>
            </c:ext>
          </c:extLst>
        </c:ser>
        <c:dLbls>
          <c:showLegendKey val="0"/>
          <c:showVal val="0"/>
          <c:showCatName val="0"/>
          <c:showSerName val="0"/>
          <c:showPercent val="0"/>
          <c:showBubbleSize val="0"/>
        </c:dLbls>
        <c:gapWidth val="150"/>
        <c:axId val="1633422896"/>
        <c:axId val="1633429616"/>
      </c:barChart>
      <c:lineChart>
        <c:grouping val="standard"/>
        <c:varyColors val="0"/>
        <c:ser>
          <c:idx val="0"/>
          <c:order val="0"/>
          <c:tx>
            <c:v>Electricity</c:v>
          </c:tx>
          <c:spPr>
            <a:ln w="28575" cap="rnd">
              <a:solidFill>
                <a:srgbClr val="FFC000"/>
              </a:solidFill>
              <a:round/>
            </a:ln>
            <a:effectLst/>
          </c:spPr>
          <c:marker>
            <c:symbol val="none"/>
          </c:marker>
          <c:cat>
            <c:numRef>
              <c:f>Offices!$B$4:$B$16</c:f>
              <c:numCache>
                <c:formatCode>General</c:formatCode>
                <c:ptCount val="13"/>
                <c:pt idx="0">
                  <c:v>0</c:v>
                </c:pt>
                <c:pt idx="1">
                  <c:v>0.5</c:v>
                </c:pt>
                <c:pt idx="2">
                  <c:v>1</c:v>
                </c:pt>
                <c:pt idx="3">
                  <c:v>1.5</c:v>
                </c:pt>
                <c:pt idx="4">
                  <c:v>2</c:v>
                </c:pt>
                <c:pt idx="5">
                  <c:v>2.5</c:v>
                </c:pt>
                <c:pt idx="6">
                  <c:v>3</c:v>
                </c:pt>
                <c:pt idx="7">
                  <c:v>3.5</c:v>
                </c:pt>
                <c:pt idx="8">
                  <c:v>4</c:v>
                </c:pt>
                <c:pt idx="9">
                  <c:v>4.5</c:v>
                </c:pt>
                <c:pt idx="10">
                  <c:v>5</c:v>
                </c:pt>
                <c:pt idx="11">
                  <c:v>5.5</c:v>
                </c:pt>
                <c:pt idx="12">
                  <c:v>6</c:v>
                </c:pt>
              </c:numCache>
            </c:numRef>
          </c:cat>
          <c:val>
            <c:numRef>
              <c:f>Offices!$J$4:$J$16</c:f>
              <c:numCache>
                <c:formatCode>0</c:formatCode>
                <c:ptCount val="13"/>
                <c:pt idx="0">
                  <c:v>627.72194483658666</c:v>
                </c:pt>
                <c:pt idx="1">
                  <c:v>398.28517377939539</c:v>
                </c:pt>
                <c:pt idx="2">
                  <c:v>168.8484027222041</c:v>
                </c:pt>
                <c:pt idx="3">
                  <c:v>159.86784926729396</c:v>
                </c:pt>
                <c:pt idx="4">
                  <c:v>136.49553744404315</c:v>
                </c:pt>
                <c:pt idx="5">
                  <c:v>126.95236913360336</c:v>
                </c:pt>
                <c:pt idx="6">
                  <c:v>103.39860898199953</c:v>
                </c:pt>
                <c:pt idx="7">
                  <c:v>82.311688863183846</c:v>
                </c:pt>
                <c:pt idx="8">
                  <c:v>70.779168604019006</c:v>
                </c:pt>
                <c:pt idx="9">
                  <c:v>62.288414680523481</c:v>
                </c:pt>
                <c:pt idx="10">
                  <c:v>51.783452661889115</c:v>
                </c:pt>
                <c:pt idx="11">
                  <c:v>34.779609359426765</c:v>
                </c:pt>
                <c:pt idx="12">
                  <c:v>22.854098113136043</c:v>
                </c:pt>
              </c:numCache>
            </c:numRef>
          </c:val>
          <c:smooth val="0"/>
          <c:extLst>
            <c:ext xmlns:c16="http://schemas.microsoft.com/office/drawing/2014/chart" uri="{C3380CC4-5D6E-409C-BE32-E72D297353CC}">
              <c16:uniqueId val="{00000001-56A8-475E-B54C-658CDC82F417}"/>
            </c:ext>
          </c:extLst>
        </c:ser>
        <c:ser>
          <c:idx val="3"/>
          <c:order val="1"/>
          <c:tx>
            <c:v>Gas</c:v>
          </c:tx>
          <c:spPr>
            <a:ln w="28575" cap="rnd">
              <a:solidFill>
                <a:srgbClr val="00B0F0"/>
              </a:solidFill>
              <a:round/>
            </a:ln>
            <a:effectLst/>
          </c:spPr>
          <c:marker>
            <c:symbol val="none"/>
          </c:marker>
          <c:cat>
            <c:numRef>
              <c:f>Offices!$B$4:$B$16</c:f>
              <c:numCache>
                <c:formatCode>General</c:formatCode>
                <c:ptCount val="13"/>
                <c:pt idx="0">
                  <c:v>0</c:v>
                </c:pt>
                <c:pt idx="1">
                  <c:v>0.5</c:v>
                </c:pt>
                <c:pt idx="2">
                  <c:v>1</c:v>
                </c:pt>
                <c:pt idx="3">
                  <c:v>1.5</c:v>
                </c:pt>
                <c:pt idx="4">
                  <c:v>2</c:v>
                </c:pt>
                <c:pt idx="5">
                  <c:v>2.5</c:v>
                </c:pt>
                <c:pt idx="6">
                  <c:v>3</c:v>
                </c:pt>
                <c:pt idx="7">
                  <c:v>3.5</c:v>
                </c:pt>
                <c:pt idx="8">
                  <c:v>4</c:v>
                </c:pt>
                <c:pt idx="9">
                  <c:v>4.5</c:v>
                </c:pt>
                <c:pt idx="10">
                  <c:v>5</c:v>
                </c:pt>
                <c:pt idx="11">
                  <c:v>5.5</c:v>
                </c:pt>
                <c:pt idx="12">
                  <c:v>6</c:v>
                </c:pt>
              </c:numCache>
            </c:numRef>
          </c:cat>
          <c:val>
            <c:numRef>
              <c:f>Offices!$M$4:$M$16</c:f>
              <c:numCache>
                <c:formatCode>0</c:formatCode>
                <c:ptCount val="13"/>
                <c:pt idx="0">
                  <c:v>567.728064884579</c:v>
                </c:pt>
                <c:pt idx="1">
                  <c:v>535.52947842090725</c:v>
                </c:pt>
                <c:pt idx="2">
                  <c:v>503.33089195723539</c:v>
                </c:pt>
                <c:pt idx="3">
                  <c:v>472.38579194643245</c:v>
                </c:pt>
                <c:pt idx="4">
                  <c:v>441.4406919356295</c:v>
                </c:pt>
                <c:pt idx="5">
                  <c:v>352.87478482234752</c:v>
                </c:pt>
                <c:pt idx="6">
                  <c:v>369.27540994373811</c:v>
                </c:pt>
                <c:pt idx="7">
                  <c:v>284.88591680921087</c:v>
                </c:pt>
                <c:pt idx="8">
                  <c:v>195.94715770185516</c:v>
                </c:pt>
                <c:pt idx="9">
                  <c:v>156.44040522768231</c:v>
                </c:pt>
                <c:pt idx="10">
                  <c:v>106.07706461804385</c:v>
                </c:pt>
                <c:pt idx="11">
                  <c:v>112.34761962272493</c:v>
                </c:pt>
                <c:pt idx="12">
                  <c:v>72.45640808165588</c:v>
                </c:pt>
              </c:numCache>
            </c:numRef>
          </c:val>
          <c:smooth val="0"/>
          <c:extLst>
            <c:ext xmlns:c16="http://schemas.microsoft.com/office/drawing/2014/chart" uri="{C3380CC4-5D6E-409C-BE32-E72D297353CC}">
              <c16:uniqueId val="{00000002-56A8-475E-B54C-658CDC82F417}"/>
            </c:ext>
          </c:extLst>
        </c:ser>
        <c:ser>
          <c:idx val="2"/>
          <c:order val="3"/>
          <c:tx>
            <c:v>Total energy</c:v>
          </c:tx>
          <c:spPr>
            <a:ln w="28575" cap="rnd">
              <a:solidFill>
                <a:schemeClr val="accent3"/>
              </a:solidFill>
              <a:round/>
            </a:ln>
            <a:effectLst/>
          </c:spPr>
          <c:marker>
            <c:symbol val="none"/>
          </c:marker>
          <c:val>
            <c:numRef>
              <c:f>Offices!$N$4:$N$16</c:f>
              <c:numCache>
                <c:formatCode>0</c:formatCode>
                <c:ptCount val="13"/>
                <c:pt idx="0">
                  <c:v>1195.4500097211658</c:v>
                </c:pt>
                <c:pt idx="1">
                  <c:v>933.81465220030259</c:v>
                </c:pt>
                <c:pt idx="2">
                  <c:v>672.17929467943952</c:v>
                </c:pt>
                <c:pt idx="3">
                  <c:v>632.25364121372638</c:v>
                </c:pt>
                <c:pt idx="4">
                  <c:v>577.93622937967268</c:v>
                </c:pt>
                <c:pt idx="5">
                  <c:v>479.82715395595085</c:v>
                </c:pt>
                <c:pt idx="6">
                  <c:v>472.67401892573764</c:v>
                </c:pt>
                <c:pt idx="7">
                  <c:v>367.19760567239473</c:v>
                </c:pt>
                <c:pt idx="8">
                  <c:v>266.72632630587418</c:v>
                </c:pt>
                <c:pt idx="9">
                  <c:v>218.72881990820579</c:v>
                </c:pt>
                <c:pt idx="10">
                  <c:v>157.86051727993296</c:v>
                </c:pt>
                <c:pt idx="11">
                  <c:v>147.12722898215171</c:v>
                </c:pt>
                <c:pt idx="12">
                  <c:v>95.310506194791927</c:v>
                </c:pt>
              </c:numCache>
            </c:numRef>
          </c:val>
          <c:smooth val="0"/>
          <c:extLst>
            <c:ext xmlns:c16="http://schemas.microsoft.com/office/drawing/2014/chart" uri="{C3380CC4-5D6E-409C-BE32-E72D297353CC}">
              <c16:uniqueId val="{00000003-56A8-475E-B54C-658CDC82F417}"/>
            </c:ext>
          </c:extLst>
        </c:ser>
        <c:dLbls>
          <c:showLegendKey val="0"/>
          <c:showVal val="0"/>
          <c:showCatName val="0"/>
          <c:showSerName val="0"/>
          <c:showPercent val="0"/>
          <c:showBubbleSize val="0"/>
        </c:dLbls>
        <c:marker val="1"/>
        <c:smooth val="0"/>
        <c:axId val="1740154544"/>
        <c:axId val="1740147824"/>
      </c:lineChart>
      <c:catAx>
        <c:axId val="174015454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Star rating</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40147824"/>
        <c:crosses val="autoZero"/>
        <c:auto val="1"/>
        <c:lblAlgn val="ctr"/>
        <c:lblOffset val="100"/>
        <c:noMultiLvlLbl val="0"/>
      </c:catAx>
      <c:valAx>
        <c:axId val="174014782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Energy intensity (MJ/m2)</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40154544"/>
        <c:crosses val="autoZero"/>
        <c:crossBetween val="between"/>
      </c:valAx>
      <c:valAx>
        <c:axId val="1633429616"/>
        <c:scaling>
          <c:orientation val="minMax"/>
        </c:scaling>
        <c:delete val="0"/>
        <c:axPos val="r"/>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Floor</a:t>
                </a:r>
                <a:r>
                  <a:rPr lang="en-AU" baseline="0"/>
                  <a:t> area (m2)</a:t>
                </a:r>
                <a:endParaRPr lang="en-AU"/>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_-* #,##0_-;\-* #,##0_-;_-* &quot;-&quot;??_-;_-@_-"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33422896"/>
        <c:crosses val="max"/>
        <c:crossBetween val="between"/>
      </c:valAx>
      <c:catAx>
        <c:axId val="1633422896"/>
        <c:scaling>
          <c:orientation val="minMax"/>
        </c:scaling>
        <c:delete val="1"/>
        <c:axPos val="b"/>
        <c:majorTickMark val="out"/>
        <c:minorTickMark val="none"/>
        <c:tickLblPos val="nextTo"/>
        <c:crossAx val="1633429616"/>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3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2"/>
          <c:tx>
            <c:v>Energy consumption</c:v>
          </c:tx>
          <c:spPr>
            <a:solidFill>
              <a:schemeClr val="accent2"/>
            </a:solidFill>
            <a:ln>
              <a:noFill/>
            </a:ln>
            <a:effectLst/>
          </c:spPr>
          <c:invertIfNegative val="0"/>
          <c:cat>
            <c:numRef>
              <c:f>Sheet16!$AH$76:$AH$87</c:f>
              <c:numCache>
                <c:formatCode>0</c:formatCode>
                <c:ptCount val="12"/>
                <c:pt idx="0">
                  <c:v>3008</c:v>
                </c:pt>
                <c:pt idx="1">
                  <c:v>3000</c:v>
                </c:pt>
                <c:pt idx="2">
                  <c:v>3006</c:v>
                </c:pt>
                <c:pt idx="3">
                  <c:v>3004</c:v>
                </c:pt>
                <c:pt idx="4">
                  <c:v>3207</c:v>
                </c:pt>
                <c:pt idx="5">
                  <c:v>3002</c:v>
                </c:pt>
                <c:pt idx="6">
                  <c:v>3010</c:v>
                </c:pt>
                <c:pt idx="7">
                  <c:v>3053</c:v>
                </c:pt>
                <c:pt idx="8">
                  <c:v>3052</c:v>
                </c:pt>
                <c:pt idx="9">
                  <c:v>3003</c:v>
                </c:pt>
                <c:pt idx="10">
                  <c:v>3031</c:v>
                </c:pt>
                <c:pt idx="11">
                  <c:v>3051</c:v>
                </c:pt>
              </c:numCache>
            </c:numRef>
          </c:cat>
          <c:val>
            <c:numRef>
              <c:f>Sheet16!$AI$76:$AI$87</c:f>
              <c:numCache>
                <c:formatCode>_-* #,##0_-;\-* #,##0_-;_-* "-"??_-;_-@_-</c:formatCode>
                <c:ptCount val="12"/>
                <c:pt idx="0">
                  <c:v>514.51206893128904</c:v>
                </c:pt>
                <c:pt idx="1">
                  <c:v>607.1672126225352</c:v>
                </c:pt>
                <c:pt idx="2">
                  <c:v>682.7515813317907</c:v>
                </c:pt>
                <c:pt idx="3">
                  <c:v>749.39854910814472</c:v>
                </c:pt>
                <c:pt idx="4">
                  <c:v>758.32427430774624</c:v>
                </c:pt>
                <c:pt idx="5">
                  <c:v>813.44622476929317</c:v>
                </c:pt>
                <c:pt idx="6">
                  <c:v>919.42371847472884</c:v>
                </c:pt>
                <c:pt idx="7">
                  <c:v>932.71959257443598</c:v>
                </c:pt>
                <c:pt idx="8">
                  <c:v>940.50345697093883</c:v>
                </c:pt>
                <c:pt idx="9">
                  <c:v>960.58033022745815</c:v>
                </c:pt>
                <c:pt idx="10">
                  <c:v>966.14009168663324</c:v>
                </c:pt>
                <c:pt idx="11">
                  <c:v>1002.6886601300773</c:v>
                </c:pt>
              </c:numCache>
            </c:numRef>
          </c:val>
          <c:extLst>
            <c:ext xmlns:c16="http://schemas.microsoft.com/office/drawing/2014/chart" uri="{C3380CC4-5D6E-409C-BE32-E72D297353CC}">
              <c16:uniqueId val="{00000000-4E20-4DF2-831D-FE5D76ADDC5A}"/>
            </c:ext>
          </c:extLst>
        </c:ser>
        <c:dLbls>
          <c:showLegendKey val="0"/>
          <c:showVal val="0"/>
          <c:showCatName val="0"/>
          <c:showSerName val="0"/>
          <c:showPercent val="0"/>
          <c:showBubbleSize val="0"/>
        </c:dLbls>
        <c:gapWidth val="150"/>
        <c:axId val="622410752"/>
        <c:axId val="622420832"/>
        <c:extLst>
          <c:ext xmlns:c15="http://schemas.microsoft.com/office/drawing/2012/chart" uri="{02D57815-91ED-43cb-92C2-25804820EDAC}">
            <c15:filteredBarSeries>
              <c15:ser>
                <c:idx val="2"/>
                <c:order val="0"/>
                <c:tx>
                  <c:v>Energy consumption</c:v>
                </c:tx>
                <c:spPr>
                  <a:solidFill>
                    <a:schemeClr val="accent3"/>
                  </a:solidFill>
                  <a:ln>
                    <a:noFill/>
                  </a:ln>
                  <a:effectLst/>
                </c:spPr>
                <c:invertIfNegative val="0"/>
                <c:cat>
                  <c:numRef>
                    <c:extLst>
                      <c:ext uri="{02D57815-91ED-43cb-92C2-25804820EDAC}">
                        <c15:formulaRef>
                          <c15:sqref>Sheet16!$L$114:$W$114</c15:sqref>
                        </c15:formulaRef>
                      </c:ext>
                    </c:extLst>
                    <c:numCache>
                      <c:formatCode>0</c:formatCode>
                      <c:ptCount val="12"/>
                      <c:pt idx="0">
                        <c:v>3008</c:v>
                      </c:pt>
                      <c:pt idx="1">
                        <c:v>3004</c:v>
                      </c:pt>
                      <c:pt idx="2">
                        <c:v>3000</c:v>
                      </c:pt>
                      <c:pt idx="3">
                        <c:v>3006</c:v>
                      </c:pt>
                      <c:pt idx="4">
                        <c:v>3002</c:v>
                      </c:pt>
                      <c:pt idx="5">
                        <c:v>3010</c:v>
                      </c:pt>
                      <c:pt idx="6">
                        <c:v>3207</c:v>
                      </c:pt>
                      <c:pt idx="7">
                        <c:v>3052</c:v>
                      </c:pt>
                      <c:pt idx="8">
                        <c:v>3053</c:v>
                      </c:pt>
                      <c:pt idx="9">
                        <c:v>3003</c:v>
                      </c:pt>
                      <c:pt idx="10">
                        <c:v>3051</c:v>
                      </c:pt>
                      <c:pt idx="11">
                        <c:v>3031</c:v>
                      </c:pt>
                    </c:numCache>
                  </c:numRef>
                </c:cat>
                <c:val>
                  <c:numRef>
                    <c:extLst>
                      <c:ext uri="{02D57815-91ED-43cb-92C2-25804820EDAC}">
                        <c15:formulaRef>
                          <c15:sqref>Sheet16!$L$115:$W$115</c15:sqref>
                        </c15:formulaRef>
                      </c:ext>
                    </c:extLst>
                    <c:numCache>
                      <c:formatCode>_-* #,##0_-;\-* #,##0_-;_-* "-"??_-;_-@_-</c:formatCode>
                      <c:ptCount val="12"/>
                      <c:pt idx="0">
                        <c:v>379.17717433735999</c:v>
                      </c:pt>
                      <c:pt idx="1">
                        <c:v>512.72736030619785</c:v>
                      </c:pt>
                      <c:pt idx="2">
                        <c:v>579.3993756348442</c:v>
                      </c:pt>
                      <c:pt idx="3">
                        <c:v>683.62593529583933</c:v>
                      </c:pt>
                      <c:pt idx="4">
                        <c:v>913.48614610752031</c:v>
                      </c:pt>
                      <c:pt idx="5">
                        <c:v>1328.6958666512774</c:v>
                      </c:pt>
                      <c:pt idx="6">
                        <c:v>1234.5060172772526</c:v>
                      </c:pt>
                      <c:pt idx="7">
                        <c:v>1899.2000246319506</c:v>
                      </c:pt>
                      <c:pt idx="8">
                        <c:v>1608.3687898164887</c:v>
                      </c:pt>
                      <c:pt idx="9">
                        <c:v>2187.6781802272108</c:v>
                      </c:pt>
                      <c:pt idx="10">
                        <c:v>2331.3843399367588</c:v>
                      </c:pt>
                      <c:pt idx="11">
                        <c:v>2045.8888085290105</c:v>
                      </c:pt>
                    </c:numCache>
                  </c:numRef>
                </c:val>
                <c:extLst>
                  <c:ext xmlns:c16="http://schemas.microsoft.com/office/drawing/2014/chart" uri="{C3380CC4-5D6E-409C-BE32-E72D297353CC}">
                    <c16:uniqueId val="{00000002-4E20-4DF2-831D-FE5D76ADDC5A}"/>
                  </c:ext>
                </c:extLst>
              </c15:ser>
            </c15:filteredBarSeries>
            <c15:filteredBarSeries>
              <c15:ser>
                <c:idx val="0"/>
                <c:order val="1"/>
                <c:tx>
                  <c:v>Postcode average office space area</c:v>
                </c:tx>
                <c:spPr>
                  <a:solidFill>
                    <a:schemeClr val="accent1"/>
                  </a:solidFill>
                  <a:ln>
                    <a:noFill/>
                  </a:ln>
                  <a:effectLst/>
                </c:spPr>
                <c:invertIfNegative val="0"/>
                <c:cat>
                  <c:numRef>
                    <c:extLst xmlns:c15="http://schemas.microsoft.com/office/drawing/2012/chart">
                      <c:ext xmlns:c15="http://schemas.microsoft.com/office/drawing/2012/chart" uri="{02D57815-91ED-43cb-92C2-25804820EDAC}">
                        <c15:formulaRef>
                          <c15:sqref>Sheet16!$AH$76:$AH$87</c15:sqref>
                        </c15:formulaRef>
                      </c:ext>
                    </c:extLst>
                    <c:numCache>
                      <c:formatCode>0</c:formatCode>
                      <c:ptCount val="12"/>
                      <c:pt idx="0">
                        <c:v>3008</c:v>
                      </c:pt>
                      <c:pt idx="1">
                        <c:v>3000</c:v>
                      </c:pt>
                      <c:pt idx="2">
                        <c:v>3006</c:v>
                      </c:pt>
                      <c:pt idx="3">
                        <c:v>3004</c:v>
                      </c:pt>
                      <c:pt idx="4">
                        <c:v>3207</c:v>
                      </c:pt>
                      <c:pt idx="5">
                        <c:v>3002</c:v>
                      </c:pt>
                      <c:pt idx="6">
                        <c:v>3010</c:v>
                      </c:pt>
                      <c:pt idx="7">
                        <c:v>3053</c:v>
                      </c:pt>
                      <c:pt idx="8">
                        <c:v>3052</c:v>
                      </c:pt>
                      <c:pt idx="9">
                        <c:v>3003</c:v>
                      </c:pt>
                      <c:pt idx="10">
                        <c:v>3031</c:v>
                      </c:pt>
                      <c:pt idx="11">
                        <c:v>3051</c:v>
                      </c:pt>
                    </c:numCache>
                  </c:numRef>
                </c:cat>
                <c:val>
                  <c:numRef>
                    <c:extLst xmlns:c15="http://schemas.microsoft.com/office/drawing/2012/chart">
                      <c:ext xmlns:c15="http://schemas.microsoft.com/office/drawing/2012/chart" uri="{02D57815-91ED-43cb-92C2-25804820EDAC}">
                        <c15:formulaRef>
                          <c15:sqref>Sheet16!$L$116:$W$116</c15:sqref>
                        </c15:formulaRef>
                      </c:ext>
                    </c:extLst>
                    <c:numCache>
                      <c:formatCode>_-* #,##0_-;\-* #,##0_-;_-* "-"??_-;_-@_-</c:formatCode>
                      <c:ptCount val="12"/>
                      <c:pt idx="0">
                        <c:v>19255.049967856594</c:v>
                      </c:pt>
                      <c:pt idx="1">
                        <c:v>7838.6642644397407</c:v>
                      </c:pt>
                      <c:pt idx="2">
                        <c:v>7065.2504502918409</c:v>
                      </c:pt>
                      <c:pt idx="3">
                        <c:v>6456.5774956452342</c:v>
                      </c:pt>
                      <c:pt idx="4">
                        <c:v>3609.0167782179792</c:v>
                      </c:pt>
                      <c:pt idx="5">
                        <c:v>3010.8463096262944</c:v>
                      </c:pt>
                      <c:pt idx="6">
                        <c:v>2006.9781792881777</c:v>
                      </c:pt>
                      <c:pt idx="7">
                        <c:v>1975.3425184288626</c:v>
                      </c:pt>
                      <c:pt idx="8">
                        <c:v>1142.03020827208</c:v>
                      </c:pt>
                      <c:pt idx="9">
                        <c:v>810.96485443244865</c:v>
                      </c:pt>
                      <c:pt idx="10">
                        <c:v>659.24567988190404</c:v>
                      </c:pt>
                      <c:pt idx="11">
                        <c:v>563.12761970267331</c:v>
                      </c:pt>
                    </c:numCache>
                  </c:numRef>
                </c:val>
                <c:extLst xmlns:c15="http://schemas.microsoft.com/office/drawing/2012/chart">
                  <c:ext xmlns:c16="http://schemas.microsoft.com/office/drawing/2014/chart" uri="{C3380CC4-5D6E-409C-BE32-E72D297353CC}">
                    <c16:uniqueId val="{00000003-4E20-4DF2-831D-FE5D76ADDC5A}"/>
                  </c:ext>
                </c:extLst>
              </c15:ser>
            </c15:filteredBarSeries>
          </c:ext>
        </c:extLst>
      </c:barChart>
      <c:lineChart>
        <c:grouping val="standard"/>
        <c:varyColors val="0"/>
        <c:ser>
          <c:idx val="3"/>
          <c:order val="3"/>
          <c:tx>
            <c:v>Average office floor area</c:v>
          </c:tx>
          <c:spPr>
            <a:ln w="28575" cap="rnd">
              <a:solidFill>
                <a:schemeClr val="accent4"/>
              </a:solidFill>
              <a:round/>
            </a:ln>
            <a:effectLst/>
          </c:spPr>
          <c:marker>
            <c:symbol val="none"/>
          </c:marker>
          <c:cat>
            <c:numRef>
              <c:f>Sheet16!$AH$76:$AH$87</c:f>
              <c:numCache>
                <c:formatCode>0</c:formatCode>
                <c:ptCount val="12"/>
                <c:pt idx="0">
                  <c:v>3008</c:v>
                </c:pt>
                <c:pt idx="1">
                  <c:v>3000</c:v>
                </c:pt>
                <c:pt idx="2">
                  <c:v>3006</c:v>
                </c:pt>
                <c:pt idx="3">
                  <c:v>3004</c:v>
                </c:pt>
                <c:pt idx="4">
                  <c:v>3207</c:v>
                </c:pt>
                <c:pt idx="5">
                  <c:v>3002</c:v>
                </c:pt>
                <c:pt idx="6">
                  <c:v>3010</c:v>
                </c:pt>
                <c:pt idx="7">
                  <c:v>3053</c:v>
                </c:pt>
                <c:pt idx="8">
                  <c:v>3052</c:v>
                </c:pt>
                <c:pt idx="9">
                  <c:v>3003</c:v>
                </c:pt>
                <c:pt idx="10">
                  <c:v>3031</c:v>
                </c:pt>
                <c:pt idx="11">
                  <c:v>3051</c:v>
                </c:pt>
              </c:numCache>
            </c:numRef>
          </c:cat>
          <c:val>
            <c:numRef>
              <c:f>Sheet16!$AJ$76:$AJ$87</c:f>
              <c:numCache>
                <c:formatCode>_-* #,##0_-;\-* #,##0_-;_-* "-"??_-;_-@_-</c:formatCode>
                <c:ptCount val="12"/>
                <c:pt idx="0">
                  <c:v>19858.022244430082</c:v>
                </c:pt>
                <c:pt idx="1">
                  <c:v>7579.7300898549602</c:v>
                </c:pt>
                <c:pt idx="2">
                  <c:v>6832.2137371545732</c:v>
                </c:pt>
                <c:pt idx="3">
                  <c:v>8311.7326042158766</c:v>
                </c:pt>
                <c:pt idx="4">
                  <c:v>2674.8454314728579</c:v>
                </c:pt>
                <c:pt idx="5">
                  <c:v>3730.3505997202315</c:v>
                </c:pt>
                <c:pt idx="6">
                  <c:v>3060.4729055945973</c:v>
                </c:pt>
                <c:pt idx="7">
                  <c:v>1192.6217644836672</c:v>
                </c:pt>
                <c:pt idx="8">
                  <c:v>2166.2543832963379</c:v>
                </c:pt>
                <c:pt idx="9">
                  <c:v>848.07807475306242</c:v>
                </c:pt>
                <c:pt idx="10">
                  <c:v>569.8885440559701</c:v>
                </c:pt>
                <c:pt idx="11">
                  <c:v>690.31554445823758</c:v>
                </c:pt>
              </c:numCache>
            </c:numRef>
          </c:val>
          <c:smooth val="0"/>
          <c:extLst>
            <c:ext xmlns:c16="http://schemas.microsoft.com/office/drawing/2014/chart" uri="{C3380CC4-5D6E-409C-BE32-E72D297353CC}">
              <c16:uniqueId val="{00000001-4E20-4DF2-831D-FE5D76ADDC5A}"/>
            </c:ext>
          </c:extLst>
        </c:ser>
        <c:dLbls>
          <c:showLegendKey val="0"/>
          <c:showVal val="0"/>
          <c:showCatName val="0"/>
          <c:showSerName val="0"/>
          <c:showPercent val="0"/>
          <c:showBubbleSize val="0"/>
        </c:dLbls>
        <c:marker val="1"/>
        <c:smooth val="0"/>
        <c:axId val="510957535"/>
        <c:axId val="510957055"/>
      </c:lineChart>
      <c:catAx>
        <c:axId val="510957535"/>
        <c:scaling>
          <c:orientation val="minMax"/>
        </c:scaling>
        <c:delete val="0"/>
        <c:axPos val="b"/>
        <c:numFmt formatCode="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0957055"/>
        <c:crosses val="autoZero"/>
        <c:auto val="1"/>
        <c:lblAlgn val="ctr"/>
        <c:lblOffset val="100"/>
        <c:noMultiLvlLbl val="0"/>
      </c:catAx>
      <c:valAx>
        <c:axId val="51095705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Floor area (m2)</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_-* #,##0_-;\-* #,##0_-;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0957535"/>
        <c:crosses val="autoZero"/>
        <c:crossBetween val="between"/>
      </c:valAx>
      <c:valAx>
        <c:axId val="622420832"/>
        <c:scaling>
          <c:orientation val="minMax"/>
        </c:scaling>
        <c:delete val="0"/>
        <c:axPos val="r"/>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Energy</a:t>
                </a:r>
                <a:r>
                  <a:rPr lang="en-AU" baseline="0"/>
                  <a:t> consumption (MJ/m2)</a:t>
                </a:r>
                <a:endParaRPr lang="en-AU"/>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_-* #,##0_-;\-* #,##0_-;_-* &quot;-&quot;??_-;_-@_-"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2410752"/>
        <c:crosses val="max"/>
        <c:crossBetween val="between"/>
      </c:valAx>
      <c:catAx>
        <c:axId val="622410752"/>
        <c:scaling>
          <c:orientation val="minMax"/>
        </c:scaling>
        <c:delete val="1"/>
        <c:axPos val="b"/>
        <c:numFmt formatCode="0" sourceLinked="1"/>
        <c:majorTickMark val="out"/>
        <c:minorTickMark val="none"/>
        <c:tickLblPos val="nextTo"/>
        <c:crossAx val="622420832"/>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3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Graph!$E$12</c:f>
              <c:strCache>
                <c:ptCount val="1"/>
                <c:pt idx="0">
                  <c:v>Electricity</c:v>
                </c:pt>
              </c:strCache>
            </c:strRef>
          </c:tx>
          <c:spPr>
            <a:solidFill>
              <a:srgbClr val="FFC000"/>
            </a:solidFill>
            <a:ln>
              <a:noFill/>
            </a:ln>
            <a:effectLst/>
          </c:spPr>
          <c:invertIfNegative val="0"/>
          <c:dLbls>
            <c:dLbl>
              <c:idx val="0"/>
              <c:layout>
                <c:manualLayout>
                  <c:x val="-1.9430971433544026E-17"/>
                  <c:y val="2.332361516034992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BAB-4C86-B71A-8DAD33073735}"/>
                </c:ext>
              </c:extLst>
            </c:dLbl>
            <c:dLbl>
              <c:idx val="1"/>
              <c:layout>
                <c:manualLayout>
                  <c:x val="-3.8861942867088053E-17"/>
                  <c:y val="4.664723032069963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BAB-4C86-B71A-8DAD3307373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Graph!$F$8:$L$8</c:f>
              <c:strCache>
                <c:ptCount val="7"/>
                <c:pt idx="0">
                  <c:v>0 - 1,000m2</c:v>
                </c:pt>
                <c:pt idx="1">
                  <c:v>1,000 - 5,000 m2</c:v>
                </c:pt>
                <c:pt idx="2">
                  <c:v>5,000 - 10,000 m2</c:v>
                </c:pt>
                <c:pt idx="3">
                  <c:v>10,000 - 20,000 m2</c:v>
                </c:pt>
                <c:pt idx="4">
                  <c:v>20,000 - 40,000 m2</c:v>
                </c:pt>
                <c:pt idx="5">
                  <c:v>40,000 m2 - 60,000</c:v>
                </c:pt>
                <c:pt idx="6">
                  <c:v>60,000 m2+</c:v>
                </c:pt>
              </c:strCache>
            </c:strRef>
          </c:cat>
          <c:val>
            <c:numRef>
              <c:f>Graph!$F$12:$L$12</c:f>
              <c:numCache>
                <c:formatCode>_-* #,##0_-;\-* #,##0_-;_-* "-"??_-;_-@_-</c:formatCode>
                <c:ptCount val="7"/>
                <c:pt idx="0">
                  <c:v>214.3735981391149</c:v>
                </c:pt>
                <c:pt idx="1">
                  <c:v>556.64559212714619</c:v>
                </c:pt>
                <c:pt idx="2">
                  <c:v>395.3890817566562</c:v>
                </c:pt>
                <c:pt idx="3">
                  <c:v>439.64724338827563</c:v>
                </c:pt>
                <c:pt idx="4">
                  <c:v>436.08499785614799</c:v>
                </c:pt>
                <c:pt idx="5">
                  <c:v>428.40061513366913</c:v>
                </c:pt>
                <c:pt idx="6">
                  <c:v>615.51565305779422</c:v>
                </c:pt>
              </c:numCache>
            </c:numRef>
          </c:val>
          <c:extLst>
            <c:ext xmlns:c16="http://schemas.microsoft.com/office/drawing/2014/chart" uri="{C3380CC4-5D6E-409C-BE32-E72D297353CC}">
              <c16:uniqueId val="{00000002-DBAB-4C86-B71A-8DAD33073735}"/>
            </c:ext>
          </c:extLst>
        </c:ser>
        <c:ser>
          <c:idx val="1"/>
          <c:order val="1"/>
          <c:tx>
            <c:strRef>
              <c:f>Graph!$E$13</c:f>
              <c:strCache>
                <c:ptCount val="1"/>
                <c:pt idx="0">
                  <c:v>Gas</c:v>
                </c:pt>
              </c:strCache>
            </c:strRef>
          </c:tx>
          <c:spPr>
            <a:solidFill>
              <a:srgbClr val="00B0F0"/>
            </a:solidFill>
            <a:ln>
              <a:noFill/>
            </a:ln>
            <a:effectLst/>
          </c:spPr>
          <c:invertIfNegative val="0"/>
          <c:dLbls>
            <c:dLbl>
              <c:idx val="4"/>
              <c:layout>
                <c:manualLayout>
                  <c:x val="-7.7723885734176105E-17"/>
                  <c:y val="-5.830903790087467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BAB-4C86-B71A-8DAD33073735}"/>
                </c:ext>
              </c:extLst>
            </c:dLbl>
            <c:dLbl>
              <c:idx val="5"/>
              <c:layout>
                <c:manualLayout>
                  <c:x val="-7.7723885734176105E-17"/>
                  <c:y val="5.83090379008745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BAB-4C86-B71A-8DAD3307373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Graph!$F$8:$L$8</c:f>
              <c:strCache>
                <c:ptCount val="7"/>
                <c:pt idx="0">
                  <c:v>0 - 1,000m2</c:v>
                </c:pt>
                <c:pt idx="1">
                  <c:v>1,000 - 5,000 m2</c:v>
                </c:pt>
                <c:pt idx="2">
                  <c:v>5,000 - 10,000 m2</c:v>
                </c:pt>
                <c:pt idx="3">
                  <c:v>10,000 - 20,000 m2</c:v>
                </c:pt>
                <c:pt idx="4">
                  <c:v>20,000 - 40,000 m2</c:v>
                </c:pt>
                <c:pt idx="5">
                  <c:v>40,000 m2 - 60,000</c:v>
                </c:pt>
                <c:pt idx="6">
                  <c:v>60,000 m2+</c:v>
                </c:pt>
              </c:strCache>
            </c:strRef>
          </c:cat>
          <c:val>
            <c:numRef>
              <c:f>Graph!$F$13:$L$13</c:f>
              <c:numCache>
                <c:formatCode>_-* #,##0_-;\-* #,##0_-;_-* "-"??_-;_-@_-</c:formatCode>
                <c:ptCount val="7"/>
                <c:pt idx="0">
                  <c:v>111.03428787379963</c:v>
                </c:pt>
                <c:pt idx="1">
                  <c:v>275.75264257909811</c:v>
                </c:pt>
                <c:pt idx="2">
                  <c:v>226.52060916342026</c:v>
                </c:pt>
                <c:pt idx="3">
                  <c:v>303.83096799195886</c:v>
                </c:pt>
                <c:pt idx="4">
                  <c:v>324.27972040569688</c:v>
                </c:pt>
                <c:pt idx="5">
                  <c:v>314.48033734906915</c:v>
                </c:pt>
                <c:pt idx="6">
                  <c:v>457.29710506556427</c:v>
                </c:pt>
              </c:numCache>
            </c:numRef>
          </c:val>
          <c:extLst>
            <c:ext xmlns:c16="http://schemas.microsoft.com/office/drawing/2014/chart" uri="{C3380CC4-5D6E-409C-BE32-E72D297353CC}">
              <c16:uniqueId val="{00000005-DBAB-4C86-B71A-8DAD33073735}"/>
            </c:ext>
          </c:extLst>
        </c:ser>
        <c:dLbls>
          <c:showLegendKey val="0"/>
          <c:showVal val="0"/>
          <c:showCatName val="0"/>
          <c:showSerName val="0"/>
          <c:showPercent val="0"/>
          <c:showBubbleSize val="0"/>
        </c:dLbls>
        <c:gapWidth val="150"/>
        <c:overlap val="100"/>
        <c:axId val="605387344"/>
        <c:axId val="605385424"/>
      </c:barChart>
      <c:lineChart>
        <c:grouping val="standard"/>
        <c:varyColors val="0"/>
        <c:ser>
          <c:idx val="4"/>
          <c:order val="2"/>
          <c:tx>
            <c:strRef>
              <c:f>Graph!$E$16</c:f>
              <c:strCache>
                <c:ptCount val="1"/>
                <c:pt idx="0">
                  <c:v>% of total office floor space</c:v>
                </c:pt>
              </c:strCache>
            </c:strRef>
          </c:tx>
          <c:spPr>
            <a:ln w="28575" cap="rnd">
              <a:solidFill>
                <a:srgbClr val="7030A0"/>
              </a:solidFill>
              <a:round/>
            </a:ln>
            <a:effectLst/>
          </c:spPr>
          <c:marker>
            <c:symbol val="none"/>
          </c:marker>
          <c:dLbls>
            <c:dLbl>
              <c:idx val="0"/>
              <c:layout>
                <c:manualLayout>
                  <c:x val="1.2718600953895072E-2"/>
                  <c:y val="3.887269193391713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DBAB-4C86-B71A-8DAD33073735}"/>
                </c:ext>
              </c:extLst>
            </c:dLbl>
            <c:dLbl>
              <c:idx val="1"/>
              <c:layout>
                <c:manualLayout>
                  <c:x val="8.4790673025967149E-3"/>
                  <c:y val="-4.275996112730806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DBAB-4C86-B71A-8DAD33073735}"/>
                </c:ext>
              </c:extLst>
            </c:dLbl>
            <c:dLbl>
              <c:idx val="2"/>
              <c:layout>
                <c:manualLayout>
                  <c:x val="1.2718600953895072E-2"/>
                  <c:y val="1.554907677356656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DBAB-4C86-B71A-8DAD33073735}"/>
                </c:ext>
              </c:extLst>
            </c:dLbl>
            <c:dLbl>
              <c:idx val="3"/>
              <c:layout>
                <c:manualLayout>
                  <c:x val="1.0598834128245815E-2"/>
                  <c:y val="1.943634596695821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DBAB-4C86-B71A-8DAD33073735}"/>
                </c:ext>
              </c:extLst>
            </c:dLbl>
            <c:dLbl>
              <c:idx val="4"/>
              <c:layout>
                <c:manualLayout>
                  <c:x val="8.4790673025967912E-3"/>
                  <c:y val="1.943634596695821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DBAB-4C86-B71A-8DAD33073735}"/>
                </c:ext>
              </c:extLst>
            </c:dLbl>
            <c:dLbl>
              <c:idx val="5"/>
              <c:layout>
                <c:manualLayout>
                  <c:x val="1.2718600953895072E-2"/>
                  <c:y val="3.88726919339157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DBAB-4C86-B71A-8DAD33073735}"/>
                </c:ext>
              </c:extLst>
            </c:dLbl>
            <c:dLbl>
              <c:idx val="6"/>
              <c:layout>
                <c:manualLayout>
                  <c:x val="-4.0275569687334395E-2"/>
                  <c:y val="-5.442176870748300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DBAB-4C86-B71A-8DAD3307373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Graph!$F$8:$L$8</c:f>
              <c:strCache>
                <c:ptCount val="7"/>
                <c:pt idx="0">
                  <c:v>0 - 1,000m2</c:v>
                </c:pt>
                <c:pt idx="1">
                  <c:v>1,000 - 5,000 m2</c:v>
                </c:pt>
                <c:pt idx="2">
                  <c:v>5,000 - 10,000 m2</c:v>
                </c:pt>
                <c:pt idx="3">
                  <c:v>10,000 - 20,000 m2</c:v>
                </c:pt>
                <c:pt idx="4">
                  <c:v>20,000 - 40,000 m2</c:v>
                </c:pt>
                <c:pt idx="5">
                  <c:v>40,000 m2 - 60,000</c:v>
                </c:pt>
                <c:pt idx="6">
                  <c:v>60,000 m2+</c:v>
                </c:pt>
              </c:strCache>
            </c:strRef>
          </c:cat>
          <c:val>
            <c:numRef>
              <c:f>Graph!$F$16:$L$16</c:f>
              <c:numCache>
                <c:formatCode>0%</c:formatCode>
                <c:ptCount val="7"/>
                <c:pt idx="0">
                  <c:v>3.891318470088264E-2</c:v>
                </c:pt>
                <c:pt idx="1">
                  <c:v>0.10439800266508989</c:v>
                </c:pt>
                <c:pt idx="2">
                  <c:v>8.7356003186195297E-2</c:v>
                </c:pt>
                <c:pt idx="3">
                  <c:v>0.12363427675668544</c:v>
                </c:pt>
                <c:pt idx="4">
                  <c:v>0.15759946137026268</c:v>
                </c:pt>
                <c:pt idx="5">
                  <c:v>0.18675255754662118</c:v>
                </c:pt>
                <c:pt idx="6">
                  <c:v>0.30134651377426291</c:v>
                </c:pt>
              </c:numCache>
            </c:numRef>
          </c:val>
          <c:smooth val="0"/>
          <c:extLst>
            <c:ext xmlns:c16="http://schemas.microsoft.com/office/drawing/2014/chart" uri="{C3380CC4-5D6E-409C-BE32-E72D297353CC}">
              <c16:uniqueId val="{0000000D-DBAB-4C86-B71A-8DAD33073735}"/>
            </c:ext>
          </c:extLst>
        </c:ser>
        <c:dLbls>
          <c:showLegendKey val="0"/>
          <c:showVal val="0"/>
          <c:showCatName val="0"/>
          <c:showSerName val="0"/>
          <c:showPercent val="0"/>
          <c:showBubbleSize val="0"/>
        </c:dLbls>
        <c:marker val="1"/>
        <c:smooth val="0"/>
        <c:axId val="790542240"/>
        <c:axId val="790541760"/>
      </c:lineChart>
      <c:catAx>
        <c:axId val="60538734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Building office</a:t>
                </a:r>
                <a:r>
                  <a:rPr lang="en-AU" baseline="0"/>
                  <a:t> floor area</a:t>
                </a:r>
                <a:endParaRPr lang="en-AU"/>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05385424"/>
        <c:crosses val="autoZero"/>
        <c:auto val="1"/>
        <c:lblAlgn val="ctr"/>
        <c:lblOffset val="100"/>
        <c:noMultiLvlLbl val="0"/>
      </c:catAx>
      <c:valAx>
        <c:axId val="60538542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Energy consumption (TJ)</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_-* #,##0_-;\-* #,##0_-;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05387344"/>
        <c:crosses val="autoZero"/>
        <c:crossBetween val="between"/>
      </c:valAx>
      <c:valAx>
        <c:axId val="790541760"/>
        <c:scaling>
          <c:orientation val="minMax"/>
        </c:scaling>
        <c:delete val="0"/>
        <c:axPos val="r"/>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90542240"/>
        <c:crosses val="max"/>
        <c:crossBetween val="between"/>
      </c:valAx>
      <c:catAx>
        <c:axId val="790542240"/>
        <c:scaling>
          <c:orientation val="minMax"/>
        </c:scaling>
        <c:delete val="1"/>
        <c:axPos val="b"/>
        <c:numFmt formatCode="General" sourceLinked="1"/>
        <c:majorTickMark val="out"/>
        <c:minorTickMark val="none"/>
        <c:tickLblPos val="nextTo"/>
        <c:crossAx val="790541760"/>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3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Sheet16!$E$143</c:f>
              <c:strCache>
                <c:ptCount val="1"/>
                <c:pt idx="0">
                  <c:v>Gas</c:v>
                </c:pt>
              </c:strCache>
            </c:strRef>
          </c:tx>
          <c:spPr>
            <a:solidFill>
              <a:schemeClr val="accent1"/>
            </a:solidFill>
            <a:ln>
              <a:noFill/>
            </a:ln>
            <a:effectLst/>
          </c:spPr>
          <c:invertIfNegative val="0"/>
          <c:dPt>
            <c:idx val="0"/>
            <c:invertIfNegative val="0"/>
            <c:bubble3D val="0"/>
            <c:spPr>
              <a:solidFill>
                <a:srgbClr val="00B0F0"/>
              </a:solidFill>
              <a:ln>
                <a:noFill/>
              </a:ln>
              <a:effectLst/>
            </c:spPr>
            <c:extLst>
              <c:ext xmlns:c16="http://schemas.microsoft.com/office/drawing/2014/chart" uri="{C3380CC4-5D6E-409C-BE32-E72D297353CC}">
                <c16:uniqueId val="{00000001-11B0-4B6A-BE63-8E37B5EF432B}"/>
              </c:ext>
            </c:extLst>
          </c:dPt>
          <c:dPt>
            <c:idx val="1"/>
            <c:invertIfNegative val="0"/>
            <c:bubble3D val="0"/>
            <c:spPr>
              <a:solidFill>
                <a:srgbClr val="00B0F0"/>
              </a:solidFill>
              <a:ln>
                <a:noFill/>
              </a:ln>
              <a:effectLst/>
            </c:spPr>
            <c:extLst>
              <c:ext xmlns:c16="http://schemas.microsoft.com/office/drawing/2014/chart" uri="{C3380CC4-5D6E-409C-BE32-E72D297353CC}">
                <c16:uniqueId val="{00000003-11B0-4B6A-BE63-8E37B5EF432B}"/>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Sheet16!$F$142:$G$142</c:f>
              <c:strCache>
                <c:ptCount val="2"/>
                <c:pt idx="0">
                  <c:v>Distributor data</c:v>
                </c:pt>
                <c:pt idx="1">
                  <c:v>Modelled data</c:v>
                </c:pt>
              </c:strCache>
            </c:strRef>
          </c:cat>
          <c:val>
            <c:numRef>
              <c:f>Sheet16!$F$143:$G$143</c:f>
              <c:numCache>
                <c:formatCode>_-* #,##0_-;\-* #,##0_-;_-* "-"??_-;_-@_-</c:formatCode>
                <c:ptCount val="2"/>
                <c:pt idx="0">
                  <c:v>543</c:v>
                </c:pt>
                <c:pt idx="1">
                  <c:v>2467.5739580030868</c:v>
                </c:pt>
              </c:numCache>
            </c:numRef>
          </c:val>
          <c:extLst>
            <c:ext xmlns:c16="http://schemas.microsoft.com/office/drawing/2014/chart" uri="{C3380CC4-5D6E-409C-BE32-E72D297353CC}">
              <c16:uniqueId val="{00000004-11B0-4B6A-BE63-8E37B5EF432B}"/>
            </c:ext>
          </c:extLst>
        </c:ser>
        <c:ser>
          <c:idx val="1"/>
          <c:order val="1"/>
          <c:tx>
            <c:strRef>
              <c:f>Sheet16!$E$144</c:f>
              <c:strCache>
                <c:ptCount val="1"/>
                <c:pt idx="0">
                  <c:v>Electricity</c:v>
                </c:pt>
              </c:strCache>
            </c:strRef>
          </c:tx>
          <c:spPr>
            <a:solidFill>
              <a:srgbClr val="FFC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Sheet16!$F$142:$G$142</c:f>
              <c:strCache>
                <c:ptCount val="2"/>
                <c:pt idx="0">
                  <c:v>Distributor data</c:v>
                </c:pt>
                <c:pt idx="1">
                  <c:v>Modelled data</c:v>
                </c:pt>
              </c:strCache>
            </c:strRef>
          </c:cat>
          <c:val>
            <c:numRef>
              <c:f>Sheet16!$F$144:$G$144</c:f>
              <c:numCache>
                <c:formatCode>_-* #,##0_-;\-* #,##0_-;_-* "-"??_-;_-@_-</c:formatCode>
                <c:ptCount val="2"/>
                <c:pt idx="0">
                  <c:v>899</c:v>
                </c:pt>
                <c:pt idx="1">
                  <c:v>2140.2389139985175</c:v>
                </c:pt>
              </c:numCache>
            </c:numRef>
          </c:val>
          <c:extLst>
            <c:ext xmlns:c16="http://schemas.microsoft.com/office/drawing/2014/chart" uri="{C3380CC4-5D6E-409C-BE32-E72D297353CC}">
              <c16:uniqueId val="{00000005-11B0-4B6A-BE63-8E37B5EF432B}"/>
            </c:ext>
          </c:extLst>
        </c:ser>
        <c:dLbls>
          <c:showLegendKey val="0"/>
          <c:showVal val="0"/>
          <c:showCatName val="0"/>
          <c:showSerName val="0"/>
          <c:showPercent val="0"/>
          <c:showBubbleSize val="0"/>
        </c:dLbls>
        <c:gapWidth val="150"/>
        <c:overlap val="100"/>
        <c:axId val="503741215"/>
        <c:axId val="503742655"/>
      </c:barChart>
      <c:catAx>
        <c:axId val="50374121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3742655"/>
        <c:crosses val="autoZero"/>
        <c:auto val="1"/>
        <c:lblAlgn val="ctr"/>
        <c:lblOffset val="100"/>
        <c:noMultiLvlLbl val="0"/>
      </c:catAx>
      <c:valAx>
        <c:axId val="50374265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Energy Use (TJ)</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_-* #,##0_-;\-* #,##0_-;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3741215"/>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'Charts - delete'!$Y$5</c:f>
              <c:strCache>
                <c:ptCount val="1"/>
                <c:pt idx="0">
                  <c:v>%</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4C2E-4A43-A8AD-1CB261D62AA2}"/>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4C2E-4A43-A8AD-1CB261D62AA2}"/>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4C2E-4A43-A8AD-1CB261D62AA2}"/>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4C2E-4A43-A8AD-1CB261D62AA2}"/>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4C2E-4A43-A8AD-1CB261D62AA2}"/>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4C2E-4A43-A8AD-1CB261D62AA2}"/>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4C2E-4A43-A8AD-1CB261D62AA2}"/>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4C2E-4A43-A8AD-1CB261D62AA2}"/>
              </c:ext>
            </c:extLst>
          </c:dPt>
          <c:dPt>
            <c:idx val="8"/>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1-4C2E-4A43-A8AD-1CB261D62AA2}"/>
              </c:ext>
            </c:extLst>
          </c:dPt>
          <c:dPt>
            <c:idx val="9"/>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13-4C2E-4A43-A8AD-1CB261D62AA2}"/>
              </c:ext>
            </c:extLst>
          </c:dPt>
          <c:dPt>
            <c:idx val="10"/>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15-4C2E-4A43-A8AD-1CB261D62AA2}"/>
              </c:ext>
            </c:extLst>
          </c:dPt>
          <c:dPt>
            <c:idx val="11"/>
            <c:bubble3D val="0"/>
            <c:spPr>
              <a:solidFill>
                <a:schemeClr val="accent6">
                  <a:lumMod val="60000"/>
                </a:schemeClr>
              </a:solidFill>
              <a:ln w="19050">
                <a:solidFill>
                  <a:schemeClr val="lt1"/>
                </a:solidFill>
              </a:ln>
              <a:effectLst/>
            </c:spPr>
            <c:extLst>
              <c:ext xmlns:c16="http://schemas.microsoft.com/office/drawing/2014/chart" uri="{C3380CC4-5D6E-409C-BE32-E72D297353CC}">
                <c16:uniqueId val="{00000017-4C2E-4A43-A8AD-1CB261D62AA2}"/>
              </c:ext>
            </c:extLst>
          </c:dPt>
          <c:dPt>
            <c:idx val="12"/>
            <c:bubble3D val="0"/>
            <c:spPr>
              <a:solidFill>
                <a:schemeClr val="accent1">
                  <a:lumMod val="80000"/>
                  <a:lumOff val="20000"/>
                </a:schemeClr>
              </a:solidFill>
              <a:ln w="19050">
                <a:solidFill>
                  <a:schemeClr val="lt1"/>
                </a:solidFill>
              </a:ln>
              <a:effectLst/>
            </c:spPr>
            <c:extLst>
              <c:ext xmlns:c16="http://schemas.microsoft.com/office/drawing/2014/chart" uri="{C3380CC4-5D6E-409C-BE32-E72D297353CC}">
                <c16:uniqueId val="{00000019-4C2E-4A43-A8AD-1CB261D62AA2}"/>
              </c:ext>
            </c:extLst>
          </c:dPt>
          <c:dLbls>
            <c:dLbl>
              <c:idx val="0"/>
              <c:layout>
                <c:manualLayout>
                  <c:x val="3.1667785712832408E-2"/>
                  <c:y val="0.18455840721911243"/>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C2E-4A43-A8AD-1CB261D62AA2}"/>
                </c:ext>
              </c:extLst>
            </c:dLbl>
            <c:dLbl>
              <c:idx val="1"/>
              <c:layout>
                <c:manualLayout>
                  <c:x val="3.2926163299354945E-2"/>
                  <c:y val="-7.1647998225573911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C2E-4A43-A8AD-1CB261D62AA2}"/>
                </c:ext>
              </c:extLst>
            </c:dLbl>
            <c:dLbl>
              <c:idx val="2"/>
              <c:layout>
                <c:manualLayout>
                  <c:x val="1.0273087957028627E-2"/>
                  <c:y val="-1.2654459704768186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C2E-4A43-A8AD-1CB261D62AA2}"/>
                </c:ext>
              </c:extLst>
            </c:dLbl>
            <c:dLbl>
              <c:idx val="3"/>
              <c:layout>
                <c:manualLayout>
                  <c:x val="-2.8720828501088529E-4"/>
                  <c:y val="4.1593364580354071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7-4C2E-4A43-A8AD-1CB261D62AA2}"/>
                </c:ext>
              </c:extLst>
            </c:dLbl>
            <c:dLbl>
              <c:idx val="4"/>
              <c:layout>
                <c:manualLayout>
                  <c:x val="1.9632545931758528E-3"/>
                  <c:y val="4.0866667055795197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9-4C2E-4A43-A8AD-1CB261D62AA2}"/>
                </c:ext>
              </c:extLst>
            </c:dLbl>
            <c:dLbl>
              <c:idx val="5"/>
              <c:layout>
                <c:manualLayout>
                  <c:x val="1.7603613501800648E-4"/>
                  <c:y val="8.514443478108602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B-4C2E-4A43-A8AD-1CB261D62AA2}"/>
                </c:ext>
              </c:extLst>
            </c:dLbl>
            <c:dLbl>
              <c:idx val="6"/>
              <c:layout>
                <c:manualLayout>
                  <c:x val="-5.5083684306903496E-2"/>
                  <c:y val="0.13358830980078565"/>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D-4C2E-4A43-A8AD-1CB261D62AA2}"/>
                </c:ext>
              </c:extLst>
            </c:dLbl>
            <c:dLbl>
              <c:idx val="7"/>
              <c:layout>
                <c:manualLayout>
                  <c:x val="0"/>
                  <c:y val="8.0623734116259935E-2"/>
                </c:manualLayout>
              </c:layout>
              <c:showLegendKey val="0"/>
              <c:showVal val="1"/>
              <c:showCatName val="1"/>
              <c:showSerName val="0"/>
              <c:showPercent val="0"/>
              <c:showBubbleSize val="0"/>
              <c:extLst>
                <c:ext xmlns:c15="http://schemas.microsoft.com/office/drawing/2012/chart" uri="{CE6537A1-D6FC-4f65-9D91-7224C49458BB}">
                  <c15:layout>
                    <c:manualLayout>
                      <c:w val="0.33798449612403103"/>
                      <c:h val="9.1734618235730175E-2"/>
                    </c:manualLayout>
                  </c15:layout>
                </c:ext>
                <c:ext xmlns:c16="http://schemas.microsoft.com/office/drawing/2014/chart" uri="{C3380CC4-5D6E-409C-BE32-E72D297353CC}">
                  <c16:uniqueId val="{0000000F-4C2E-4A43-A8AD-1CB261D62AA2}"/>
                </c:ext>
              </c:extLst>
            </c:dLbl>
            <c:dLbl>
              <c:idx val="8"/>
              <c:layout>
                <c:manualLayout>
                  <c:x val="-0.12558766200736535"/>
                  <c:y val="5.2328058696147046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11-4C2E-4A43-A8AD-1CB261D62AA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'Charts - delete'!$X$6:$X$18</c:f>
              <c:strCache>
                <c:ptCount val="13"/>
                <c:pt idx="0">
                  <c:v>Residential</c:v>
                </c:pt>
                <c:pt idx="1">
                  <c:v>Office</c:v>
                </c:pt>
                <c:pt idx="2">
                  <c:v>Unoccupied</c:v>
                </c:pt>
                <c:pt idx="3">
                  <c:v>Transport</c:v>
                </c:pt>
                <c:pt idx="4">
                  <c:v>Parking</c:v>
                </c:pt>
                <c:pt idx="5">
                  <c:v>Education</c:v>
                </c:pt>
                <c:pt idx="6">
                  <c:v>Commercial accommodation</c:v>
                </c:pt>
                <c:pt idx="7">
                  <c:v>Entertainment/recreation</c:v>
                </c:pt>
                <c:pt idx="8">
                  <c:v>Manufacturing/light industrial</c:v>
                </c:pt>
                <c:pt idx="9">
                  <c:v>Retail</c:v>
                </c:pt>
                <c:pt idx="10">
                  <c:v>Community/public use</c:v>
                </c:pt>
                <c:pt idx="11">
                  <c:v>Hospitals/healthcare</c:v>
                </c:pt>
                <c:pt idx="12">
                  <c:v>Other</c:v>
                </c:pt>
              </c:strCache>
            </c:strRef>
          </c:cat>
          <c:val>
            <c:numRef>
              <c:f>'Charts - delete'!$Y$6:$Y$18</c:f>
              <c:numCache>
                <c:formatCode>_-* #,##0_-;\-* #,##0_-;_-* "-"??_-;_-@_-</c:formatCode>
                <c:ptCount val="13"/>
                <c:pt idx="0">
                  <c:v>13846041.734896412</c:v>
                </c:pt>
                <c:pt idx="1">
                  <c:v>8025215.1667707367</c:v>
                </c:pt>
                <c:pt idx="2">
                  <c:v>4935776.0900000036</c:v>
                </c:pt>
                <c:pt idx="3">
                  <c:v>3693512.7575723999</c:v>
                </c:pt>
                <c:pt idx="4">
                  <c:v>2457153.0285135671</c:v>
                </c:pt>
                <c:pt idx="5">
                  <c:v>1928660.4609274461</c:v>
                </c:pt>
                <c:pt idx="6">
                  <c:v>1685219.1190183298</c:v>
                </c:pt>
                <c:pt idx="7">
                  <c:v>1403258.4986038688</c:v>
                </c:pt>
                <c:pt idx="8">
                  <c:v>1355909.8888066125</c:v>
                </c:pt>
                <c:pt idx="9">
                  <c:v>970623.67617262877</c:v>
                </c:pt>
                <c:pt idx="10">
                  <c:v>962832.67448550358</c:v>
                </c:pt>
                <c:pt idx="11">
                  <c:v>937338.99554624257</c:v>
                </c:pt>
                <c:pt idx="12">
                  <c:v>204113.36</c:v>
                </c:pt>
              </c:numCache>
            </c:numRef>
          </c:val>
          <c:extLst>
            <c:ext xmlns:c16="http://schemas.microsoft.com/office/drawing/2014/chart" uri="{C3380CC4-5D6E-409C-BE32-E72D297353CC}">
              <c16:uniqueId val="{0000001A-4C2E-4A43-A8AD-1CB261D62AA2}"/>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4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'Charts - delete'!$I$300</c:f>
              <c:strCache>
                <c:ptCount val="1"/>
                <c:pt idx="0">
                  <c:v>Electricity</c:v>
                </c:pt>
              </c:strCache>
            </c:strRef>
          </c:tx>
          <c:spPr>
            <a:solidFill>
              <a:srgbClr val="FFC000"/>
            </a:solidFill>
            <a:ln>
              <a:noFill/>
            </a:ln>
            <a:effectLst/>
          </c:spPr>
          <c:invertIfNegative val="0"/>
          <c:dLbls>
            <c:dLbl>
              <c:idx val="6"/>
              <c:layout>
                <c:manualLayout>
                  <c:x val="3.7231783576998842E-2"/>
                  <c:y val="-1.580313917538473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DB2-4489-8B78-53751BA2166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'Charts - delete'!$H$301:$H$307</c:f>
              <c:strCache>
                <c:ptCount val="7"/>
                <c:pt idx="0">
                  <c:v>High-rise apartment</c:v>
                </c:pt>
                <c:pt idx="1">
                  <c:v>Townhouse/terrace</c:v>
                </c:pt>
                <c:pt idx="2">
                  <c:v>Low-rise apartment</c:v>
                </c:pt>
                <c:pt idx="3">
                  <c:v>Mid-rise apartment</c:v>
                </c:pt>
                <c:pt idx="4">
                  <c:v>Student accomodation</c:v>
                </c:pt>
                <c:pt idx="5">
                  <c:v>Standalone house</c:v>
                </c:pt>
                <c:pt idx="6">
                  <c:v>Institutional accomodation</c:v>
                </c:pt>
              </c:strCache>
            </c:strRef>
          </c:cat>
          <c:val>
            <c:numRef>
              <c:f>'Charts - delete'!$I$301:$I$307</c:f>
              <c:numCache>
                <c:formatCode>_-* #,##0_-;\-* #,##0_-;_-* "-"??_-;_-@_-</c:formatCode>
                <c:ptCount val="7"/>
                <c:pt idx="0">
                  <c:v>1417.9940784236569</c:v>
                </c:pt>
                <c:pt idx="1">
                  <c:v>176.24080615063136</c:v>
                </c:pt>
                <c:pt idx="2">
                  <c:v>161.30502718669121</c:v>
                </c:pt>
                <c:pt idx="3">
                  <c:v>188.3805942857143</c:v>
                </c:pt>
                <c:pt idx="4">
                  <c:v>92.779308609114196</c:v>
                </c:pt>
                <c:pt idx="5">
                  <c:v>88.025287317941405</c:v>
                </c:pt>
                <c:pt idx="6">
                  <c:v>15.513812024767773</c:v>
                </c:pt>
              </c:numCache>
            </c:numRef>
          </c:val>
          <c:extLst>
            <c:ext xmlns:c16="http://schemas.microsoft.com/office/drawing/2014/chart" uri="{C3380CC4-5D6E-409C-BE32-E72D297353CC}">
              <c16:uniqueId val="{00000001-9DB2-4489-8B78-53751BA2166A}"/>
            </c:ext>
          </c:extLst>
        </c:ser>
        <c:ser>
          <c:idx val="1"/>
          <c:order val="1"/>
          <c:tx>
            <c:strRef>
              <c:f>'Charts - delete'!$J$300</c:f>
              <c:strCache>
                <c:ptCount val="1"/>
                <c:pt idx="0">
                  <c:v>Gas</c:v>
                </c:pt>
              </c:strCache>
            </c:strRef>
          </c:tx>
          <c:spPr>
            <a:solidFill>
              <a:srgbClr val="00B0F0"/>
            </a:solidFill>
            <a:ln>
              <a:noFill/>
            </a:ln>
            <a:effectLst/>
          </c:spPr>
          <c:invertIfNegative val="0"/>
          <c:dLbls>
            <c:dLbl>
              <c:idx val="6"/>
              <c:layout>
                <c:manualLayout>
                  <c:x val="3.3847075979089966E-2"/>
                  <c:y val="-5.689130103138503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DB2-4489-8B78-53751BA2166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'Charts - delete'!$H$301:$H$307</c:f>
              <c:strCache>
                <c:ptCount val="7"/>
                <c:pt idx="0">
                  <c:v>High-rise apartment</c:v>
                </c:pt>
                <c:pt idx="1">
                  <c:v>Townhouse/terrace</c:v>
                </c:pt>
                <c:pt idx="2">
                  <c:v>Low-rise apartment</c:v>
                </c:pt>
                <c:pt idx="3">
                  <c:v>Mid-rise apartment</c:v>
                </c:pt>
                <c:pt idx="4">
                  <c:v>Student accomodation</c:v>
                </c:pt>
                <c:pt idx="5">
                  <c:v>Standalone house</c:v>
                </c:pt>
                <c:pt idx="6">
                  <c:v>Institutional accomodation</c:v>
                </c:pt>
              </c:strCache>
            </c:strRef>
          </c:cat>
          <c:val>
            <c:numRef>
              <c:f>'Charts - delete'!$J$301:$J$307</c:f>
              <c:numCache>
                <c:formatCode>_-* #,##0_-;\-* #,##0_-;_-* "-"??_-;_-@_-</c:formatCode>
                <c:ptCount val="7"/>
                <c:pt idx="0">
                  <c:v>1207.4608377835152</c:v>
                </c:pt>
                <c:pt idx="1">
                  <c:v>347.45034249430404</c:v>
                </c:pt>
                <c:pt idx="2">
                  <c:v>291.30992351452898</c:v>
                </c:pt>
                <c:pt idx="3">
                  <c:v>263.59714285714301</c:v>
                </c:pt>
                <c:pt idx="4">
                  <c:v>167.5554306399317</c:v>
                </c:pt>
                <c:pt idx="5">
                  <c:v>162.18300516326551</c:v>
                </c:pt>
                <c:pt idx="6">
                  <c:v>28.01727555039745</c:v>
                </c:pt>
              </c:numCache>
            </c:numRef>
          </c:val>
          <c:extLst>
            <c:ext xmlns:c16="http://schemas.microsoft.com/office/drawing/2014/chart" uri="{C3380CC4-5D6E-409C-BE32-E72D297353CC}">
              <c16:uniqueId val="{00000003-9DB2-4489-8B78-53751BA2166A}"/>
            </c:ext>
          </c:extLst>
        </c:ser>
        <c:dLbls>
          <c:showLegendKey val="0"/>
          <c:showVal val="0"/>
          <c:showCatName val="0"/>
          <c:showSerName val="0"/>
          <c:showPercent val="0"/>
          <c:showBubbleSize val="0"/>
        </c:dLbls>
        <c:gapWidth val="150"/>
        <c:overlap val="100"/>
        <c:axId val="1045466655"/>
        <c:axId val="1045467135"/>
      </c:barChart>
      <c:catAx>
        <c:axId val="104546665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45467135"/>
        <c:crosses val="autoZero"/>
        <c:auto val="1"/>
        <c:lblAlgn val="ctr"/>
        <c:lblOffset val="100"/>
        <c:noMultiLvlLbl val="0"/>
      </c:catAx>
      <c:valAx>
        <c:axId val="104546713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Energy Use (TJ)</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_-* #,##0_-;\-* #,##0_-;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4546665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4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9BC1-4C54-801A-EB3A3A5332CD}"/>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9BC1-4C54-801A-EB3A3A5332CD}"/>
              </c:ext>
            </c:extLst>
          </c:dPt>
          <c:dLbls>
            <c:dLbl>
              <c:idx val="0"/>
              <c:layout>
                <c:manualLayout>
                  <c:x val="4.4103712977300355E-2"/>
                  <c:y val="-0.1540822068602927"/>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BC1-4C54-801A-EB3A3A5332CD}"/>
                </c:ext>
              </c:extLst>
            </c:dLbl>
            <c:dLbl>
              <c:idx val="1"/>
              <c:layout>
                <c:manualLayout>
                  <c:x val="-3.2052844858827791E-2"/>
                  <c:y val="9.2502639048053267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BC1-4C54-801A-EB3A3A5332C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'Summary of energy consumption'!$J$120:$J$121</c:f>
              <c:strCache>
                <c:ptCount val="2"/>
                <c:pt idx="0">
                  <c:v>Consumed behind the meter</c:v>
                </c:pt>
                <c:pt idx="1">
                  <c:v>Exported</c:v>
                </c:pt>
              </c:strCache>
            </c:strRef>
          </c:cat>
          <c:val>
            <c:numRef>
              <c:f>'Summary of energy consumption'!$K$120:$K$121</c:f>
              <c:numCache>
                <c:formatCode>_-* #,##0_-;\-* #,##0_-;_-* "-"??_-;_-@_-</c:formatCode>
                <c:ptCount val="2"/>
                <c:pt idx="0">
                  <c:v>75.773901159178905</c:v>
                </c:pt>
                <c:pt idx="1">
                  <c:v>22.439999520331298</c:v>
                </c:pt>
              </c:numCache>
            </c:numRef>
          </c:val>
          <c:extLst>
            <c:ext xmlns:c16="http://schemas.microsoft.com/office/drawing/2014/chart" uri="{C3380CC4-5D6E-409C-BE32-E72D297353CC}">
              <c16:uniqueId val="{00000004-9BC1-4C54-801A-EB3A3A5332CD}"/>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4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F379-47D7-B31A-BB8A7A13CEDA}"/>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F379-47D7-B31A-BB8A7A13CEDA}"/>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F379-47D7-B31A-BB8A7A13CEDA}"/>
              </c:ext>
            </c:extLst>
          </c:dPt>
          <c:dLbls>
            <c:dLbl>
              <c:idx val="0"/>
              <c:layout>
                <c:manualLayout>
                  <c:x val="2.0220889368191077E-2"/>
                  <c:y val="6.2176303526847512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379-47D7-B31A-BB8A7A13CEDA}"/>
                </c:ext>
              </c:extLst>
            </c:dLbl>
            <c:dLbl>
              <c:idx val="1"/>
              <c:layout>
                <c:manualLayout>
                  <c:x val="-0.15309519236924651"/>
                  <c:y val="-0.17686366451384603"/>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379-47D7-B31A-BB8A7A13CEDA}"/>
                </c:ext>
              </c:extLst>
            </c:dLbl>
            <c:dLbl>
              <c:idx val="2"/>
              <c:layout>
                <c:manualLayout>
                  <c:x val="-1.9709743130138752E-2"/>
                  <c:y val="-1.6888138268616189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379-47D7-B31A-BB8A7A13CED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'Summary of energy consumption'!$K$98:$M$98</c:f>
              <c:strCache>
                <c:ptCount val="3"/>
                <c:pt idx="0">
                  <c:v>&lt;10 kW</c:v>
                </c:pt>
                <c:pt idx="1">
                  <c:v>10-100 kW</c:v>
                </c:pt>
                <c:pt idx="2">
                  <c:v>100 kW+</c:v>
                </c:pt>
              </c:strCache>
            </c:strRef>
          </c:cat>
          <c:val>
            <c:numRef>
              <c:f>'Summary of energy consumption'!$K$99:$M$99</c:f>
              <c:numCache>
                <c:formatCode>_-* #,##0_-;\-* #,##0_-;_-* "-"??_-;_-@_-</c:formatCode>
                <c:ptCount val="3"/>
                <c:pt idx="0">
                  <c:v>23.26084204092696</c:v>
                </c:pt>
                <c:pt idx="1">
                  <c:v>58.728797399291615</c:v>
                </c:pt>
                <c:pt idx="2">
                  <c:v>16.224261239291611</c:v>
                </c:pt>
              </c:numCache>
            </c:numRef>
          </c:val>
          <c:extLst>
            <c:ext xmlns:c16="http://schemas.microsoft.com/office/drawing/2014/chart" uri="{C3380CC4-5D6E-409C-BE32-E72D297353CC}">
              <c16:uniqueId val="{00000006-F379-47D7-B31A-BB8A7A13CEDA}"/>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4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'Summary of energy consumption'!$N$129</c:f>
              <c:strCache>
                <c:ptCount val="1"/>
                <c:pt idx="0">
                  <c:v>Generation</c:v>
                </c:pt>
              </c:strCache>
            </c:strRef>
          </c:tx>
          <c:explosion val="5"/>
          <c:dPt>
            <c:idx val="0"/>
            <c:bubble3D val="0"/>
            <c:spPr>
              <a:solidFill>
                <a:schemeClr val="accent1"/>
              </a:solidFill>
              <a:ln w="19050">
                <a:solidFill>
                  <a:schemeClr val="lt1"/>
                </a:solidFill>
              </a:ln>
              <a:effectLst/>
            </c:spPr>
            <c:extLst>
              <c:ext xmlns:c16="http://schemas.microsoft.com/office/drawing/2014/chart" uri="{C3380CC4-5D6E-409C-BE32-E72D297353CC}">
                <c16:uniqueId val="{00000001-15C7-4E2B-A51A-9E82AF4FF74F}"/>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15C7-4E2B-A51A-9E82AF4FF74F}"/>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15C7-4E2B-A51A-9E82AF4FF74F}"/>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15C7-4E2B-A51A-9E82AF4FF74F}"/>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15C7-4E2B-A51A-9E82AF4FF74F}"/>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15C7-4E2B-A51A-9E82AF4FF74F}"/>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15C7-4E2B-A51A-9E82AF4FF74F}"/>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15C7-4E2B-A51A-9E82AF4FF74F}"/>
              </c:ext>
            </c:extLst>
          </c:dPt>
          <c:dPt>
            <c:idx val="8"/>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1-15C7-4E2B-A51A-9E82AF4FF74F}"/>
              </c:ext>
            </c:extLst>
          </c:dPt>
          <c:dPt>
            <c:idx val="9"/>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13-15C7-4E2B-A51A-9E82AF4FF74F}"/>
              </c:ext>
            </c:extLst>
          </c:dPt>
          <c:dPt>
            <c:idx val="10"/>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15-15C7-4E2B-A51A-9E82AF4FF74F}"/>
              </c:ext>
            </c:extLst>
          </c:dPt>
          <c:dPt>
            <c:idx val="11"/>
            <c:bubble3D val="0"/>
            <c:spPr>
              <a:solidFill>
                <a:schemeClr val="accent6">
                  <a:lumMod val="60000"/>
                </a:schemeClr>
              </a:solidFill>
              <a:ln w="19050">
                <a:solidFill>
                  <a:schemeClr val="lt1"/>
                </a:solidFill>
              </a:ln>
              <a:effectLst/>
            </c:spPr>
            <c:extLst>
              <c:ext xmlns:c16="http://schemas.microsoft.com/office/drawing/2014/chart" uri="{C3380CC4-5D6E-409C-BE32-E72D297353CC}">
                <c16:uniqueId val="{00000017-15C7-4E2B-A51A-9E82AF4FF74F}"/>
              </c:ext>
            </c:extLst>
          </c:dPt>
          <c:dPt>
            <c:idx val="12"/>
            <c:bubble3D val="0"/>
            <c:spPr>
              <a:solidFill>
                <a:schemeClr val="accent1">
                  <a:lumMod val="80000"/>
                  <a:lumOff val="20000"/>
                </a:schemeClr>
              </a:solidFill>
              <a:ln w="19050">
                <a:solidFill>
                  <a:schemeClr val="lt1"/>
                </a:solidFill>
              </a:ln>
              <a:effectLst/>
            </c:spPr>
            <c:extLst>
              <c:ext xmlns:c16="http://schemas.microsoft.com/office/drawing/2014/chart" uri="{C3380CC4-5D6E-409C-BE32-E72D297353CC}">
                <c16:uniqueId val="{00000019-15C7-4E2B-A51A-9E82AF4FF74F}"/>
              </c:ext>
            </c:extLst>
          </c:dPt>
          <c:dPt>
            <c:idx val="13"/>
            <c:bubble3D val="0"/>
            <c:spPr>
              <a:solidFill>
                <a:schemeClr val="accent2">
                  <a:lumMod val="80000"/>
                  <a:lumOff val="20000"/>
                </a:schemeClr>
              </a:solidFill>
              <a:ln w="19050">
                <a:solidFill>
                  <a:schemeClr val="lt1"/>
                </a:solidFill>
              </a:ln>
              <a:effectLst/>
            </c:spPr>
            <c:extLst>
              <c:ext xmlns:c16="http://schemas.microsoft.com/office/drawing/2014/chart" uri="{C3380CC4-5D6E-409C-BE32-E72D297353CC}">
                <c16:uniqueId val="{0000001B-15C7-4E2B-A51A-9E82AF4FF74F}"/>
              </c:ext>
            </c:extLst>
          </c:dPt>
          <c:dLbls>
            <c:dLbl>
              <c:idx val="0"/>
              <c:layout>
                <c:manualLayout>
                  <c:x val="7.5886847356440468E-2"/>
                  <c:y val="3.3698235637212012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5C7-4E2B-A51A-9E82AF4FF74F}"/>
                </c:ext>
              </c:extLst>
            </c:dLbl>
            <c:dLbl>
              <c:idx val="1"/>
              <c:layout>
                <c:manualLayout>
                  <c:x val="3.812619000186155E-2"/>
                  <c:y val="-2.3857538641003165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5C7-4E2B-A51A-9E82AF4FF74F}"/>
                </c:ext>
              </c:extLst>
            </c:dLbl>
            <c:dLbl>
              <c:idx val="2"/>
              <c:layout>
                <c:manualLayout>
                  <c:x val="2.5326668778596861E-2"/>
                  <c:y val="-5.1908355205599298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5C7-4E2B-A51A-9E82AF4FF74F}"/>
                </c:ext>
              </c:extLst>
            </c:dLbl>
            <c:dLbl>
              <c:idx val="3"/>
              <c:layout>
                <c:manualLayout>
                  <c:x val="5.5779449178143481E-2"/>
                  <c:y val="-5.7327949390941518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7-15C7-4E2B-A51A-9E82AF4FF74F}"/>
                </c:ext>
              </c:extLst>
            </c:dLbl>
            <c:dLbl>
              <c:idx val="4"/>
              <c:layout>
                <c:manualLayout>
                  <c:x val="5.1762427456833347E-3"/>
                  <c:y val="2.4456838728492271E-3"/>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9-15C7-4E2B-A51A-9E82AF4FF74F}"/>
                </c:ext>
              </c:extLst>
            </c:dLbl>
            <c:dLbl>
              <c:idx val="5"/>
              <c:layout>
                <c:manualLayout>
                  <c:x val="-2.3138861582575922E-2"/>
                  <c:y val="-2.7630661551921395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B-15C7-4E2B-A51A-9E82AF4FF74F}"/>
                </c:ext>
              </c:extLst>
            </c:dLbl>
            <c:dLbl>
              <c:idx val="6"/>
              <c:layout>
                <c:manualLayout>
                  <c:x val="-3.0347292755970857E-2"/>
                  <c:y val="-3.0128003230365373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D-15C7-4E2B-A51A-9E82AF4FF74F}"/>
                </c:ext>
              </c:extLst>
            </c:dLbl>
            <c:dLbl>
              <c:idx val="7"/>
              <c:layout>
                <c:manualLayout>
                  <c:x val="-2.3309748299297512E-2"/>
                  <c:y val="-1.3972368037328667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F-15C7-4E2B-A51A-9E82AF4FF74F}"/>
                </c:ext>
              </c:extLst>
            </c:dLbl>
            <c:dLbl>
              <c:idx val="8"/>
              <c:layout>
                <c:manualLayout>
                  <c:x val="-7.586382296364759E-2"/>
                  <c:y val="3.502900598963591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11-15C7-4E2B-A51A-9E82AF4FF74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numRef>
              <c:f>'Summary of energy consumption'!$M$130:$M$143</c:f>
              <c:numCache>
                <c:formatCode>0</c:formatCode>
                <c:ptCount val="14"/>
                <c:pt idx="0">
                  <c:v>3207</c:v>
                </c:pt>
                <c:pt idx="1">
                  <c:v>3008</c:v>
                </c:pt>
                <c:pt idx="2">
                  <c:v>3000</c:v>
                </c:pt>
                <c:pt idx="3">
                  <c:v>3006</c:v>
                </c:pt>
                <c:pt idx="4">
                  <c:v>3031</c:v>
                </c:pt>
                <c:pt idx="5">
                  <c:v>3052</c:v>
                </c:pt>
                <c:pt idx="6">
                  <c:v>3053</c:v>
                </c:pt>
                <c:pt idx="7">
                  <c:v>3003</c:v>
                </c:pt>
                <c:pt idx="8">
                  <c:v>3051</c:v>
                </c:pt>
                <c:pt idx="9">
                  <c:v>3002</c:v>
                </c:pt>
                <c:pt idx="10">
                  <c:v>3141</c:v>
                </c:pt>
                <c:pt idx="11">
                  <c:v>3004</c:v>
                </c:pt>
                <c:pt idx="12">
                  <c:v>3054</c:v>
                </c:pt>
                <c:pt idx="13">
                  <c:v>3005</c:v>
                </c:pt>
              </c:numCache>
            </c:numRef>
          </c:cat>
          <c:val>
            <c:numRef>
              <c:f>'Summary of energy consumption'!$N$130:$N$143</c:f>
              <c:numCache>
                <c:formatCode>_-* #,##0_-;\-* #,##0_-;_-* "-"??_-;_-@_-</c:formatCode>
                <c:ptCount val="14"/>
                <c:pt idx="0">
                  <c:v>3310001.5697172</c:v>
                </c:pt>
                <c:pt idx="1">
                  <c:v>3094470</c:v>
                </c:pt>
                <c:pt idx="2">
                  <c:v>2984094</c:v>
                </c:pt>
                <c:pt idx="3">
                  <c:v>2940222.0836412003</c:v>
                </c:pt>
                <c:pt idx="4">
                  <c:v>2915576.5699177179</c:v>
                </c:pt>
                <c:pt idx="5">
                  <c:v>2755457.1482651997</c:v>
                </c:pt>
                <c:pt idx="6">
                  <c:v>2579382</c:v>
                </c:pt>
                <c:pt idx="7">
                  <c:v>2420388.0000000005</c:v>
                </c:pt>
                <c:pt idx="8">
                  <c:v>2308698</c:v>
                </c:pt>
                <c:pt idx="9">
                  <c:v>1006524</c:v>
                </c:pt>
                <c:pt idx="10">
                  <c:v>504940.56929999997</c:v>
                </c:pt>
                <c:pt idx="11">
                  <c:v>257551.15473000004</c:v>
                </c:pt>
                <c:pt idx="12">
                  <c:v>204333.98207040003</c:v>
                </c:pt>
                <c:pt idx="13">
                  <c:v>0</c:v>
                </c:pt>
              </c:numCache>
            </c:numRef>
          </c:val>
          <c:extLst>
            <c:ext xmlns:c16="http://schemas.microsoft.com/office/drawing/2014/chart" uri="{C3380CC4-5D6E-409C-BE32-E72D297353CC}">
              <c16:uniqueId val="{0000001C-15C7-4E2B-A51A-9E82AF4FF74F}"/>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4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Sheet1!$C$56</c:f>
              <c:strCache>
                <c:ptCount val="1"/>
                <c:pt idx="0">
                  <c:v>Residential</c:v>
                </c:pt>
              </c:strCache>
            </c:strRef>
          </c:tx>
          <c:spPr>
            <a:ln w="28575" cap="rnd">
              <a:solidFill>
                <a:schemeClr val="accent1"/>
              </a:solidFill>
              <a:round/>
            </a:ln>
            <a:effectLst/>
          </c:spPr>
          <c:marker>
            <c:symbol val="none"/>
          </c:marker>
          <c:cat>
            <c:numRef>
              <c:f>Sheet1!$D$55:$O$55</c:f>
              <c:numCache>
                <c:formatCode>General</c:formatCode>
                <c:ptCount val="12"/>
                <c:pt idx="0">
                  <c:v>2011</c:v>
                </c:pt>
                <c:pt idx="1">
                  <c:v>2012</c:v>
                </c:pt>
                <c:pt idx="2">
                  <c:v>2013</c:v>
                </c:pt>
                <c:pt idx="3">
                  <c:v>2014</c:v>
                </c:pt>
                <c:pt idx="4">
                  <c:v>2015</c:v>
                </c:pt>
                <c:pt idx="5">
                  <c:v>2016</c:v>
                </c:pt>
                <c:pt idx="6">
                  <c:v>2017</c:v>
                </c:pt>
                <c:pt idx="7">
                  <c:v>2018</c:v>
                </c:pt>
                <c:pt idx="8">
                  <c:v>2019</c:v>
                </c:pt>
                <c:pt idx="9">
                  <c:v>2020</c:v>
                </c:pt>
                <c:pt idx="10">
                  <c:v>2021</c:v>
                </c:pt>
                <c:pt idx="11">
                  <c:v>2022</c:v>
                </c:pt>
              </c:numCache>
            </c:numRef>
          </c:cat>
          <c:val>
            <c:numRef>
              <c:f>Sheet1!$D$56:$O$56</c:f>
              <c:numCache>
                <c:formatCode>_(* #,##0.00_);_(* \(#,##0.00\);_(* "-"??_);_(@_)</c:formatCode>
                <c:ptCount val="12"/>
                <c:pt idx="0">
                  <c:v>0</c:v>
                </c:pt>
                <c:pt idx="1">
                  <c:v>1.8442868254647776E-2</c:v>
                </c:pt>
                <c:pt idx="2">
                  <c:v>3.6487636919811453E-2</c:v>
                </c:pt>
                <c:pt idx="3">
                  <c:v>5.3955021984562562E-2</c:v>
                </c:pt>
                <c:pt idx="4">
                  <c:v>7.1994222823299911E-2</c:v>
                </c:pt>
                <c:pt idx="5">
                  <c:v>9.0247784979451781E-2</c:v>
                </c:pt>
                <c:pt idx="6">
                  <c:v>0.11125352373814934</c:v>
                </c:pt>
                <c:pt idx="7">
                  <c:v>0.12434069975328953</c:v>
                </c:pt>
                <c:pt idx="8">
                  <c:v>0.14822055051326999</c:v>
                </c:pt>
                <c:pt idx="9">
                  <c:v>0.17132424626941684</c:v>
                </c:pt>
                <c:pt idx="10">
                  <c:v>0.19343241466053215</c:v>
                </c:pt>
                <c:pt idx="11">
                  <c:v>0.210061563456796</c:v>
                </c:pt>
              </c:numCache>
            </c:numRef>
          </c:val>
          <c:smooth val="0"/>
          <c:extLst>
            <c:ext xmlns:c16="http://schemas.microsoft.com/office/drawing/2014/chart" uri="{C3380CC4-5D6E-409C-BE32-E72D297353CC}">
              <c16:uniqueId val="{00000000-9E39-4908-963E-F2CC62D0A47F}"/>
            </c:ext>
          </c:extLst>
        </c:ser>
        <c:ser>
          <c:idx val="1"/>
          <c:order val="1"/>
          <c:tx>
            <c:strRef>
              <c:f>Sheet1!$C$57</c:f>
              <c:strCache>
                <c:ptCount val="1"/>
                <c:pt idx="0">
                  <c:v>Commercial</c:v>
                </c:pt>
              </c:strCache>
            </c:strRef>
          </c:tx>
          <c:spPr>
            <a:ln w="28575" cap="rnd">
              <a:solidFill>
                <a:schemeClr val="accent2"/>
              </a:solidFill>
              <a:round/>
            </a:ln>
            <a:effectLst/>
          </c:spPr>
          <c:marker>
            <c:symbol val="none"/>
          </c:marker>
          <c:cat>
            <c:numRef>
              <c:f>Sheet1!$D$55:$O$55</c:f>
              <c:numCache>
                <c:formatCode>General</c:formatCode>
                <c:ptCount val="12"/>
                <c:pt idx="0">
                  <c:v>2011</c:v>
                </c:pt>
                <c:pt idx="1">
                  <c:v>2012</c:v>
                </c:pt>
                <c:pt idx="2">
                  <c:v>2013</c:v>
                </c:pt>
                <c:pt idx="3">
                  <c:v>2014</c:v>
                </c:pt>
                <c:pt idx="4">
                  <c:v>2015</c:v>
                </c:pt>
                <c:pt idx="5">
                  <c:v>2016</c:v>
                </c:pt>
                <c:pt idx="6">
                  <c:v>2017</c:v>
                </c:pt>
                <c:pt idx="7">
                  <c:v>2018</c:v>
                </c:pt>
                <c:pt idx="8">
                  <c:v>2019</c:v>
                </c:pt>
                <c:pt idx="9">
                  <c:v>2020</c:v>
                </c:pt>
                <c:pt idx="10">
                  <c:v>2021</c:v>
                </c:pt>
                <c:pt idx="11">
                  <c:v>2022</c:v>
                </c:pt>
              </c:numCache>
            </c:numRef>
          </c:cat>
          <c:val>
            <c:numRef>
              <c:f>Sheet1!$D$57:$O$57</c:f>
              <c:numCache>
                <c:formatCode>_(* #,##0.00_);_(* \(#,##0.00\);_(* "-"??_);_(@_)</c:formatCode>
                <c:ptCount val="12"/>
                <c:pt idx="0">
                  <c:v>0</c:v>
                </c:pt>
                <c:pt idx="1">
                  <c:v>7.7184039058721511E-4</c:v>
                </c:pt>
                <c:pt idx="2">
                  <c:v>6.1747231246972942E-3</c:v>
                </c:pt>
                <c:pt idx="3">
                  <c:v>1.5562456247419903E-2</c:v>
                </c:pt>
                <c:pt idx="4">
                  <c:v>3.2740392382115006E-2</c:v>
                </c:pt>
                <c:pt idx="5">
                  <c:v>4.1320385561199942E-2</c:v>
                </c:pt>
                <c:pt idx="6">
                  <c:v>4.2038376622211333E-2</c:v>
                </c:pt>
                <c:pt idx="7">
                  <c:v>4.6112975893450425E-2</c:v>
                </c:pt>
                <c:pt idx="8">
                  <c:v>5.3669831810594246E-2</c:v>
                </c:pt>
                <c:pt idx="9">
                  <c:v>5.5213512591768391E-2</c:v>
                </c:pt>
                <c:pt idx="10">
                  <c:v>6.2994740715478198E-2</c:v>
                </c:pt>
                <c:pt idx="11">
                  <c:v>7.0856742833551756E-2</c:v>
                </c:pt>
              </c:numCache>
            </c:numRef>
          </c:val>
          <c:smooth val="0"/>
          <c:extLst>
            <c:ext xmlns:c16="http://schemas.microsoft.com/office/drawing/2014/chart" uri="{C3380CC4-5D6E-409C-BE32-E72D297353CC}">
              <c16:uniqueId val="{00000001-9E39-4908-963E-F2CC62D0A47F}"/>
            </c:ext>
          </c:extLst>
        </c:ser>
        <c:ser>
          <c:idx val="2"/>
          <c:order val="2"/>
          <c:tx>
            <c:strRef>
              <c:f>Sheet1!$C$58</c:f>
              <c:strCache>
                <c:ptCount val="1"/>
                <c:pt idx="0">
                  <c:v>Industrial</c:v>
                </c:pt>
              </c:strCache>
            </c:strRef>
          </c:tx>
          <c:spPr>
            <a:ln w="28575" cap="rnd">
              <a:solidFill>
                <a:schemeClr val="accent3"/>
              </a:solidFill>
              <a:round/>
            </a:ln>
            <a:effectLst/>
          </c:spPr>
          <c:marker>
            <c:symbol val="none"/>
          </c:marker>
          <c:cat>
            <c:numRef>
              <c:f>Sheet1!$D$55:$O$55</c:f>
              <c:numCache>
                <c:formatCode>General</c:formatCode>
                <c:ptCount val="12"/>
                <c:pt idx="0">
                  <c:v>2011</c:v>
                </c:pt>
                <c:pt idx="1">
                  <c:v>2012</c:v>
                </c:pt>
                <c:pt idx="2">
                  <c:v>2013</c:v>
                </c:pt>
                <c:pt idx="3">
                  <c:v>2014</c:v>
                </c:pt>
                <c:pt idx="4">
                  <c:v>2015</c:v>
                </c:pt>
                <c:pt idx="5">
                  <c:v>2016</c:v>
                </c:pt>
                <c:pt idx="6">
                  <c:v>2017</c:v>
                </c:pt>
                <c:pt idx="7">
                  <c:v>2018</c:v>
                </c:pt>
                <c:pt idx="8">
                  <c:v>2019</c:v>
                </c:pt>
                <c:pt idx="9">
                  <c:v>2020</c:v>
                </c:pt>
                <c:pt idx="10">
                  <c:v>2021</c:v>
                </c:pt>
                <c:pt idx="11">
                  <c:v>2022</c:v>
                </c:pt>
              </c:numCache>
            </c:numRef>
          </c:cat>
          <c:val>
            <c:numRef>
              <c:f>Sheet1!$D$58:$O$58</c:f>
              <c:numCache>
                <c:formatCode>_(* #,##0.00_);_(* \(#,##0.00\);_(* "-"??_);_(@_)</c:formatCode>
                <c:ptCount val="12"/>
                <c:pt idx="0">
                  <c:v>0</c:v>
                </c:pt>
                <c:pt idx="1">
                  <c:v>1.9093078758949816E-2</c:v>
                </c:pt>
                <c:pt idx="2">
                  <c:v>3.1026252983293576E-2</c:v>
                </c:pt>
                <c:pt idx="3">
                  <c:v>2.7446300715990475E-2</c:v>
                </c:pt>
                <c:pt idx="4">
                  <c:v>2.9832935560859256E-2</c:v>
                </c:pt>
                <c:pt idx="5">
                  <c:v>4.6539379474940433E-2</c:v>
                </c:pt>
                <c:pt idx="6">
                  <c:v>5.6085918854415412E-2</c:v>
                </c:pt>
                <c:pt idx="7">
                  <c:v>5.4892601431981089E-2</c:v>
                </c:pt>
                <c:pt idx="8">
                  <c:v>5.2505966587112311E-2</c:v>
                </c:pt>
                <c:pt idx="9">
                  <c:v>5.2505966587112311E-2</c:v>
                </c:pt>
                <c:pt idx="10">
                  <c:v>5.0119331742243534E-2</c:v>
                </c:pt>
                <c:pt idx="11">
                  <c:v>5.9665871121718367E-2</c:v>
                </c:pt>
              </c:numCache>
            </c:numRef>
          </c:val>
          <c:smooth val="0"/>
          <c:extLst>
            <c:ext xmlns:c16="http://schemas.microsoft.com/office/drawing/2014/chart" uri="{C3380CC4-5D6E-409C-BE32-E72D297353CC}">
              <c16:uniqueId val="{00000002-9E39-4908-963E-F2CC62D0A47F}"/>
            </c:ext>
          </c:extLst>
        </c:ser>
        <c:ser>
          <c:idx val="3"/>
          <c:order val="3"/>
          <c:tx>
            <c:strRef>
              <c:f>Sheet1!$C$59</c:f>
              <c:strCache>
                <c:ptCount val="1"/>
                <c:pt idx="0">
                  <c:v>Population</c:v>
                </c:pt>
              </c:strCache>
            </c:strRef>
          </c:tx>
          <c:spPr>
            <a:ln w="28575" cap="rnd">
              <a:solidFill>
                <a:schemeClr val="accent4"/>
              </a:solidFill>
              <a:prstDash val="sysDot"/>
              <a:round/>
            </a:ln>
            <a:effectLst/>
          </c:spPr>
          <c:marker>
            <c:symbol val="none"/>
          </c:marker>
          <c:cat>
            <c:numRef>
              <c:f>Sheet1!$D$55:$O$55</c:f>
              <c:numCache>
                <c:formatCode>General</c:formatCode>
                <c:ptCount val="12"/>
                <c:pt idx="0">
                  <c:v>2011</c:v>
                </c:pt>
                <c:pt idx="1">
                  <c:v>2012</c:v>
                </c:pt>
                <c:pt idx="2">
                  <c:v>2013</c:v>
                </c:pt>
                <c:pt idx="3">
                  <c:v>2014</c:v>
                </c:pt>
                <c:pt idx="4">
                  <c:v>2015</c:v>
                </c:pt>
                <c:pt idx="5">
                  <c:v>2016</c:v>
                </c:pt>
                <c:pt idx="6">
                  <c:v>2017</c:v>
                </c:pt>
                <c:pt idx="7">
                  <c:v>2018</c:v>
                </c:pt>
                <c:pt idx="8">
                  <c:v>2019</c:v>
                </c:pt>
                <c:pt idx="9">
                  <c:v>2020</c:v>
                </c:pt>
                <c:pt idx="10">
                  <c:v>2021</c:v>
                </c:pt>
                <c:pt idx="11">
                  <c:v>2022</c:v>
                </c:pt>
              </c:numCache>
            </c:numRef>
          </c:cat>
          <c:val>
            <c:numRef>
              <c:f>Sheet1!$D$59:$O$59</c:f>
              <c:numCache>
                <c:formatCode>_(* #,##0.00_);_(* \(#,##0.00\);_(* "-"??_);_(@_)</c:formatCode>
                <c:ptCount val="12"/>
                <c:pt idx="0">
                  <c:v>0</c:v>
                </c:pt>
                <c:pt idx="1">
                  <c:v>2.0454630407613621E-2</c:v>
                </c:pt>
                <c:pt idx="2">
                  <c:v>4.2408768653785386E-2</c:v>
                </c:pt>
                <c:pt idx="3">
                  <c:v>6.4483893201960282E-2</c:v>
                </c:pt>
                <c:pt idx="4">
                  <c:v>8.7490251122418816E-2</c:v>
                </c:pt>
                <c:pt idx="5">
                  <c:v>0.11473022673013573</c:v>
                </c:pt>
                <c:pt idx="6">
                  <c:v>0.13810333566457686</c:v>
                </c:pt>
                <c:pt idx="7">
                  <c:v>0.15985017200821189</c:v>
                </c:pt>
                <c:pt idx="8">
                  <c:v>0.18048411494998845</c:v>
                </c:pt>
                <c:pt idx="9">
                  <c:v>0.19452231809032342</c:v>
                </c:pt>
                <c:pt idx="10">
                  <c:v>0.18238323873829715</c:v>
                </c:pt>
                <c:pt idx="11">
                  <c:v>0.19733660393617214</c:v>
                </c:pt>
              </c:numCache>
            </c:numRef>
          </c:val>
          <c:smooth val="0"/>
          <c:extLst>
            <c:ext xmlns:c16="http://schemas.microsoft.com/office/drawing/2014/chart" uri="{C3380CC4-5D6E-409C-BE32-E72D297353CC}">
              <c16:uniqueId val="{00000003-9E39-4908-963E-F2CC62D0A47F}"/>
            </c:ext>
          </c:extLst>
        </c:ser>
        <c:dLbls>
          <c:showLegendKey val="0"/>
          <c:showVal val="0"/>
          <c:showCatName val="0"/>
          <c:showSerName val="0"/>
          <c:showPercent val="0"/>
          <c:showBubbleSize val="0"/>
        </c:dLbls>
        <c:smooth val="0"/>
        <c:axId val="1955159855"/>
        <c:axId val="1955175695"/>
      </c:lineChart>
      <c:catAx>
        <c:axId val="1955159855"/>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Year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55175695"/>
        <c:crosses val="autoZero"/>
        <c:auto val="1"/>
        <c:lblAlgn val="ctr"/>
        <c:lblOffset val="100"/>
        <c:noMultiLvlLbl val="0"/>
      </c:catAx>
      <c:valAx>
        <c:axId val="1955175695"/>
        <c:scaling>
          <c:orientation val="minMax"/>
          <c:max val="0.25"/>
          <c:min val="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5515985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4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Sheet2!$F$43</c:f>
              <c:strCache>
                <c:ptCount val="1"/>
                <c:pt idx="0">
                  <c:v>Residential</c:v>
                </c:pt>
              </c:strCache>
            </c:strRef>
          </c:tx>
          <c:spPr>
            <a:ln w="28575" cap="rnd">
              <a:solidFill>
                <a:schemeClr val="accent1"/>
              </a:solidFill>
              <a:round/>
            </a:ln>
            <a:effectLst/>
          </c:spPr>
          <c:marker>
            <c:symbol val="none"/>
          </c:marker>
          <c:cat>
            <c:numRef>
              <c:f>Sheet2!$G$42:$R$42</c:f>
              <c:numCache>
                <c:formatCode>General</c:formatCode>
                <c:ptCount val="12"/>
                <c:pt idx="0">
                  <c:v>2011</c:v>
                </c:pt>
                <c:pt idx="1">
                  <c:v>2012</c:v>
                </c:pt>
                <c:pt idx="2">
                  <c:v>2013</c:v>
                </c:pt>
                <c:pt idx="3">
                  <c:v>2014</c:v>
                </c:pt>
                <c:pt idx="4">
                  <c:v>2015</c:v>
                </c:pt>
                <c:pt idx="5">
                  <c:v>2016</c:v>
                </c:pt>
                <c:pt idx="6">
                  <c:v>2017</c:v>
                </c:pt>
                <c:pt idx="7">
                  <c:v>2018</c:v>
                </c:pt>
                <c:pt idx="8">
                  <c:v>2019</c:v>
                </c:pt>
                <c:pt idx="9">
                  <c:v>2020</c:v>
                </c:pt>
                <c:pt idx="10">
                  <c:v>2021</c:v>
                </c:pt>
                <c:pt idx="11">
                  <c:v>2022</c:v>
                </c:pt>
              </c:numCache>
            </c:numRef>
          </c:cat>
          <c:val>
            <c:numRef>
              <c:f>Sheet2!$G$43:$R$43</c:f>
              <c:numCache>
                <c:formatCode>0%</c:formatCode>
                <c:ptCount val="12"/>
                <c:pt idx="0" formatCode="0.0%">
                  <c:v>0.7767767901975684</c:v>
                </c:pt>
                <c:pt idx="1">
                  <c:v>0.77699914618139188</c:v>
                </c:pt>
                <c:pt idx="2">
                  <c:v>0.77693217203168385</c:v>
                </c:pt>
                <c:pt idx="3">
                  <c:v>0.78012877285804771</c:v>
                </c:pt>
                <c:pt idx="4">
                  <c:v>0.78040334724302374</c:v>
                </c:pt>
                <c:pt idx="5">
                  <c:v>0.78193069040053698</c:v>
                </c:pt>
                <c:pt idx="6">
                  <c:v>0.78108839416189801</c:v>
                </c:pt>
                <c:pt idx="7">
                  <c:v>0.77777927563237925</c:v>
                </c:pt>
                <c:pt idx="8">
                  <c:v>0.77853827150053756</c:v>
                </c:pt>
                <c:pt idx="9">
                  <c:v>0.7830332261242714</c:v>
                </c:pt>
                <c:pt idx="10">
                  <c:v>0.79030446044226499</c:v>
                </c:pt>
                <c:pt idx="11" formatCode="0.0%">
                  <c:v>0.78745918643404988</c:v>
                </c:pt>
              </c:numCache>
            </c:numRef>
          </c:val>
          <c:smooth val="0"/>
          <c:extLst>
            <c:ext xmlns:c16="http://schemas.microsoft.com/office/drawing/2014/chart" uri="{C3380CC4-5D6E-409C-BE32-E72D297353CC}">
              <c16:uniqueId val="{00000000-1186-4DBC-9940-3E9462791ED3}"/>
            </c:ext>
          </c:extLst>
        </c:ser>
        <c:ser>
          <c:idx val="1"/>
          <c:order val="1"/>
          <c:tx>
            <c:strRef>
              <c:f>Sheet2!$F$44</c:f>
              <c:strCache>
                <c:ptCount val="1"/>
                <c:pt idx="0">
                  <c:v>Non-residential</c:v>
                </c:pt>
              </c:strCache>
            </c:strRef>
          </c:tx>
          <c:spPr>
            <a:ln w="28575" cap="rnd">
              <a:solidFill>
                <a:schemeClr val="accent2"/>
              </a:solidFill>
              <a:round/>
            </a:ln>
            <a:effectLst/>
          </c:spPr>
          <c:marker>
            <c:symbol val="none"/>
          </c:marker>
          <c:cat>
            <c:numRef>
              <c:f>Sheet2!$G$42:$R$42</c:f>
              <c:numCache>
                <c:formatCode>General</c:formatCode>
                <c:ptCount val="12"/>
                <c:pt idx="0">
                  <c:v>2011</c:v>
                </c:pt>
                <c:pt idx="1">
                  <c:v>2012</c:v>
                </c:pt>
                <c:pt idx="2">
                  <c:v>2013</c:v>
                </c:pt>
                <c:pt idx="3">
                  <c:v>2014</c:v>
                </c:pt>
                <c:pt idx="4">
                  <c:v>2015</c:v>
                </c:pt>
                <c:pt idx="5">
                  <c:v>2016</c:v>
                </c:pt>
                <c:pt idx="6">
                  <c:v>2017</c:v>
                </c:pt>
                <c:pt idx="7">
                  <c:v>2018</c:v>
                </c:pt>
                <c:pt idx="8">
                  <c:v>2019</c:v>
                </c:pt>
                <c:pt idx="9">
                  <c:v>2020</c:v>
                </c:pt>
                <c:pt idx="10">
                  <c:v>2021</c:v>
                </c:pt>
                <c:pt idx="11">
                  <c:v>2022</c:v>
                </c:pt>
              </c:numCache>
            </c:numRef>
          </c:cat>
          <c:val>
            <c:numRef>
              <c:f>Sheet2!$G$44:$R$44</c:f>
              <c:numCache>
                <c:formatCode>0%</c:formatCode>
                <c:ptCount val="12"/>
                <c:pt idx="0" formatCode="0.0%">
                  <c:v>0.18093479832852324</c:v>
                </c:pt>
                <c:pt idx="1">
                  <c:v>0.18064269074895492</c:v>
                </c:pt>
                <c:pt idx="2">
                  <c:v>0.18107290443878185</c:v>
                </c:pt>
                <c:pt idx="3">
                  <c:v>0.1850352101333024</c:v>
                </c:pt>
                <c:pt idx="4">
                  <c:v>0.18694119793717409</c:v>
                </c:pt>
                <c:pt idx="5">
                  <c:v>0.18479178368472746</c:v>
                </c:pt>
                <c:pt idx="6">
                  <c:v>0.18159522056218169</c:v>
                </c:pt>
                <c:pt idx="7">
                  <c:v>0.18079917857448446</c:v>
                </c:pt>
                <c:pt idx="8">
                  <c:v>0.1787690221304786</c:v>
                </c:pt>
                <c:pt idx="9">
                  <c:v>0.17910927139396596</c:v>
                </c:pt>
                <c:pt idx="10">
                  <c:v>0.17924609896926894</c:v>
                </c:pt>
                <c:pt idx="11" formatCode="0.0%">
                  <c:v>0.17846973570975005</c:v>
                </c:pt>
              </c:numCache>
            </c:numRef>
          </c:val>
          <c:smooth val="0"/>
          <c:extLst>
            <c:ext xmlns:c16="http://schemas.microsoft.com/office/drawing/2014/chart" uri="{C3380CC4-5D6E-409C-BE32-E72D297353CC}">
              <c16:uniqueId val="{00000001-1186-4DBC-9940-3E9462791ED3}"/>
            </c:ext>
          </c:extLst>
        </c:ser>
        <c:dLbls>
          <c:showLegendKey val="0"/>
          <c:showVal val="0"/>
          <c:showCatName val="0"/>
          <c:showSerName val="0"/>
          <c:showPercent val="0"/>
          <c:showBubbleSize val="0"/>
        </c:dLbls>
        <c:smooth val="0"/>
        <c:axId val="1957444143"/>
        <c:axId val="1957436463"/>
      </c:lineChart>
      <c:catAx>
        <c:axId val="19574441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57436463"/>
        <c:crosses val="autoZero"/>
        <c:auto val="1"/>
        <c:lblAlgn val="ctr"/>
        <c:lblOffset val="100"/>
        <c:noMultiLvlLbl val="0"/>
      </c:catAx>
      <c:valAx>
        <c:axId val="1957436463"/>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5744414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4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0"/>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Sheet16!$K$246:$K$249</c:f>
              <c:numCache>
                <c:formatCode>General</c:formatCode>
                <c:ptCount val="4"/>
                <c:pt idx="0">
                  <c:v>3051</c:v>
                </c:pt>
                <c:pt idx="1">
                  <c:v>3031</c:v>
                </c:pt>
                <c:pt idx="2">
                  <c:v>3003</c:v>
                </c:pt>
                <c:pt idx="3">
                  <c:v>3207</c:v>
                </c:pt>
              </c:numCache>
            </c:numRef>
          </c:cat>
          <c:val>
            <c:numRef>
              <c:f>Sheet16!$L$246:$L$249</c:f>
              <c:numCache>
                <c:formatCode>_-* #,##0_-;\-* #,##0_-;_-* "-"??_-;_-@_-</c:formatCode>
                <c:ptCount val="4"/>
                <c:pt idx="0">
                  <c:v>1016.4794444444444</c:v>
                </c:pt>
                <c:pt idx="1">
                  <c:v>1538.4262499999998</c:v>
                </c:pt>
                <c:pt idx="2">
                  <c:v>2245.8804545454545</c:v>
                </c:pt>
                <c:pt idx="3">
                  <c:v>11170.784814814815</c:v>
                </c:pt>
              </c:numCache>
            </c:numRef>
          </c:val>
          <c:extLst>
            <c:ext xmlns:c16="http://schemas.microsoft.com/office/drawing/2014/chart" uri="{C3380CC4-5D6E-409C-BE32-E72D297353CC}">
              <c16:uniqueId val="{00000000-64BF-447F-9B5C-F0B59C5DF02C}"/>
            </c:ext>
          </c:extLst>
        </c:ser>
        <c:dLbls>
          <c:showLegendKey val="0"/>
          <c:showVal val="0"/>
          <c:showCatName val="0"/>
          <c:showSerName val="0"/>
          <c:showPercent val="0"/>
          <c:showBubbleSize val="0"/>
        </c:dLbls>
        <c:gapWidth val="219"/>
        <c:overlap val="-27"/>
        <c:axId val="1827257183"/>
        <c:axId val="1827271103"/>
      </c:barChart>
      <c:catAx>
        <c:axId val="182725718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27271103"/>
        <c:crosses val="autoZero"/>
        <c:auto val="1"/>
        <c:lblAlgn val="ctr"/>
        <c:lblOffset val="100"/>
        <c:noMultiLvlLbl val="0"/>
      </c:catAx>
      <c:valAx>
        <c:axId val="182727110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Floor area (m2)</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_-* #,##0_-;\-* #,##0_-;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27257183"/>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4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a:solidFill>
              <a:srgbClr val="FFC000"/>
            </a:solidFill>
          </c:spPr>
          <c:dPt>
            <c:idx val="0"/>
            <c:bubble3D val="0"/>
            <c:spPr>
              <a:solidFill>
                <a:srgbClr val="00B0F0"/>
              </a:solidFill>
              <a:ln w="19050">
                <a:solidFill>
                  <a:schemeClr val="lt1"/>
                </a:solidFill>
              </a:ln>
              <a:effectLst/>
            </c:spPr>
            <c:extLst>
              <c:ext xmlns:c16="http://schemas.microsoft.com/office/drawing/2014/chart" uri="{C3380CC4-5D6E-409C-BE32-E72D297353CC}">
                <c16:uniqueId val="{00000001-2448-4F1D-83DF-3C6FC1215FAA}"/>
              </c:ext>
            </c:extLst>
          </c:dPt>
          <c:dPt>
            <c:idx val="1"/>
            <c:bubble3D val="0"/>
            <c:spPr>
              <a:solidFill>
                <a:srgbClr val="FFC000"/>
              </a:solidFill>
              <a:ln w="19050">
                <a:solidFill>
                  <a:schemeClr val="lt1"/>
                </a:solidFill>
              </a:ln>
              <a:effectLst/>
            </c:spPr>
            <c:extLst>
              <c:ext xmlns:c16="http://schemas.microsoft.com/office/drawing/2014/chart" uri="{C3380CC4-5D6E-409C-BE32-E72D297353CC}">
                <c16:uniqueId val="{00000003-2448-4F1D-83DF-3C6FC1215FAA}"/>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'Charts - delete'!$AA$46:$AB$46</c:f>
              <c:strCache>
                <c:ptCount val="2"/>
                <c:pt idx="0">
                  <c:v>Gas</c:v>
                </c:pt>
                <c:pt idx="1">
                  <c:v>Electricity</c:v>
                </c:pt>
              </c:strCache>
            </c:strRef>
          </c:cat>
          <c:val>
            <c:numRef>
              <c:f>'Charts - delete'!$AA$48:$AB$48</c:f>
              <c:numCache>
                <c:formatCode>_-* #,##0_-;\-* #,##0_-;_-* "-"??_-;_-@_-</c:formatCode>
                <c:ptCount val="2"/>
                <c:pt idx="0">
                  <c:v>369.8625050603805</c:v>
                </c:pt>
                <c:pt idx="1">
                  <c:v>2829.7300767699521</c:v>
                </c:pt>
              </c:numCache>
            </c:numRef>
          </c:val>
          <c:extLst>
            <c:ext xmlns:c16="http://schemas.microsoft.com/office/drawing/2014/chart" uri="{C3380CC4-5D6E-409C-BE32-E72D297353CC}">
              <c16:uniqueId val="{00000004-2448-4F1D-83DF-3C6FC1215FAA}"/>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4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v>Electricity emissions</c:v>
          </c:tx>
          <c:spPr>
            <a:solidFill>
              <a:srgbClr val="FFC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Emissions!$AW$86:$BA$86</c:f>
              <c:numCache>
                <c:formatCode>General</c:formatCode>
                <c:ptCount val="5"/>
                <c:pt idx="0">
                  <c:v>1.07</c:v>
                </c:pt>
                <c:pt idx="1">
                  <c:v>0.8</c:v>
                </c:pt>
                <c:pt idx="2">
                  <c:v>0.6</c:v>
                </c:pt>
                <c:pt idx="3">
                  <c:v>0.4</c:v>
                </c:pt>
                <c:pt idx="4">
                  <c:v>0.2</c:v>
                </c:pt>
              </c:numCache>
            </c:numRef>
          </c:cat>
          <c:val>
            <c:numRef>
              <c:f>Emissions!$AW$87:$BA$87</c:f>
              <c:numCache>
                <c:formatCode>_-* #,##0_-;\-* #,##0_-;_-* "-"??_-;_-@_-</c:formatCode>
                <c:ptCount val="5"/>
                <c:pt idx="0" formatCode="General">
                  <c:v>2830</c:v>
                </c:pt>
                <c:pt idx="1">
                  <c:v>2115.6860387065062</c:v>
                </c:pt>
                <c:pt idx="2">
                  <c:v>1586.7645290298797</c:v>
                </c:pt>
                <c:pt idx="3">
                  <c:v>1057.8430193532531</c:v>
                </c:pt>
                <c:pt idx="4">
                  <c:v>528.92150967662656</c:v>
                </c:pt>
              </c:numCache>
            </c:numRef>
          </c:val>
          <c:extLst>
            <c:ext xmlns:c16="http://schemas.microsoft.com/office/drawing/2014/chart" uri="{C3380CC4-5D6E-409C-BE32-E72D297353CC}">
              <c16:uniqueId val="{00000000-84B3-499B-9E46-304C04BD08C1}"/>
            </c:ext>
          </c:extLst>
        </c:ser>
        <c:ser>
          <c:idx val="1"/>
          <c:order val="1"/>
          <c:tx>
            <c:v>Gas emissions</c:v>
          </c:tx>
          <c:spPr>
            <a:solidFill>
              <a:srgbClr val="00B0F0"/>
            </a:solidFill>
            <a:ln>
              <a:noFill/>
            </a:ln>
            <a:effectLst/>
          </c:spPr>
          <c:invertIfNegative val="0"/>
          <c:dLbls>
            <c:dLbl>
              <c:idx val="0"/>
              <c:layout>
                <c:manualLayout>
                  <c:x val="-6.5395095367847414E-3"/>
                  <c:y val="-7.870572802798425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4B3-499B-9E46-304C04BD08C1}"/>
                </c:ext>
              </c:extLst>
            </c:dLbl>
            <c:dLbl>
              <c:idx val="1"/>
              <c:layout>
                <c:manualLayout>
                  <c:x val="3.9963207733076383E-17"/>
                  <c:y val="-9.18233493659816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4B3-499B-9E46-304C04BD08C1}"/>
                </c:ext>
              </c:extLst>
            </c:dLbl>
            <c:dLbl>
              <c:idx val="2"/>
              <c:layout>
                <c:manualLayout>
                  <c:x val="-2.1798365122616603E-3"/>
                  <c:y val="-8.307826847398341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4B3-499B-9E46-304C04BD08C1}"/>
                </c:ext>
              </c:extLst>
            </c:dLbl>
            <c:dLbl>
              <c:idx val="3"/>
              <c:layout>
                <c:manualLayout>
                  <c:x val="0"/>
                  <c:y val="-9.619588981198076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4B3-499B-9E46-304C04BD08C1}"/>
                </c:ext>
              </c:extLst>
            </c:dLbl>
            <c:dLbl>
              <c:idx val="4"/>
              <c:layout>
                <c:manualLayout>
                  <c:x val="2.1798365122614204E-3"/>
                  <c:y val="-9.182334936598154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4B3-499B-9E46-304C04BD08C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Emissions!$AW$86:$BA$86</c:f>
              <c:numCache>
                <c:formatCode>General</c:formatCode>
                <c:ptCount val="5"/>
                <c:pt idx="0">
                  <c:v>1.07</c:v>
                </c:pt>
                <c:pt idx="1">
                  <c:v>0.8</c:v>
                </c:pt>
                <c:pt idx="2">
                  <c:v>0.6</c:v>
                </c:pt>
                <c:pt idx="3">
                  <c:v>0.4</c:v>
                </c:pt>
                <c:pt idx="4">
                  <c:v>0.2</c:v>
                </c:pt>
              </c:numCache>
            </c:numRef>
          </c:cat>
          <c:val>
            <c:numRef>
              <c:f>Emissions!$AW$88:$BA$88</c:f>
              <c:numCache>
                <c:formatCode>General</c:formatCode>
                <c:ptCount val="5"/>
                <c:pt idx="0">
                  <c:v>370</c:v>
                </c:pt>
                <c:pt idx="1">
                  <c:v>370</c:v>
                </c:pt>
                <c:pt idx="2">
                  <c:v>370</c:v>
                </c:pt>
                <c:pt idx="3">
                  <c:v>370</c:v>
                </c:pt>
                <c:pt idx="4">
                  <c:v>370</c:v>
                </c:pt>
              </c:numCache>
            </c:numRef>
          </c:val>
          <c:extLst>
            <c:ext xmlns:c16="http://schemas.microsoft.com/office/drawing/2014/chart" uri="{C3380CC4-5D6E-409C-BE32-E72D297353CC}">
              <c16:uniqueId val="{00000006-84B3-499B-9E46-304C04BD08C1}"/>
            </c:ext>
          </c:extLst>
        </c:ser>
        <c:dLbls>
          <c:showLegendKey val="0"/>
          <c:showVal val="0"/>
          <c:showCatName val="0"/>
          <c:showSerName val="0"/>
          <c:showPercent val="0"/>
          <c:showBubbleSize val="0"/>
        </c:dLbls>
        <c:gapWidth val="150"/>
        <c:overlap val="100"/>
        <c:axId val="631627392"/>
        <c:axId val="631614912"/>
      </c:barChart>
      <c:catAx>
        <c:axId val="63162739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Grid</a:t>
                </a:r>
                <a:r>
                  <a:rPr lang="en-AU" baseline="0"/>
                  <a:t> Emission Intensity (kg CO2-e/kWh)</a:t>
                </a:r>
                <a:endParaRPr lang="en-AU"/>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31614912"/>
        <c:crosses val="autoZero"/>
        <c:auto val="1"/>
        <c:lblAlgn val="ctr"/>
        <c:lblOffset val="100"/>
        <c:noMultiLvlLbl val="0"/>
      </c:catAx>
      <c:valAx>
        <c:axId val="63161491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sz="1000" b="0" i="0" u="none" strike="noStrike" baseline="0">
                    <a:effectLst/>
                  </a:rPr>
                  <a:t>kt CO</a:t>
                </a:r>
                <a:r>
                  <a:rPr lang="en-AU" sz="1000" b="0" i="0" u="none" strike="noStrike" baseline="-25000">
                    <a:effectLst/>
                  </a:rPr>
                  <a:t>2</a:t>
                </a:r>
                <a:r>
                  <a:rPr lang="en-AU" sz="1000" b="0" i="0" u="none" strike="noStrike" baseline="0">
                    <a:effectLst/>
                  </a:rPr>
                  <a:t>-e</a:t>
                </a:r>
                <a:endParaRPr lang="en-AU"/>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316273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4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'Charts - delete'!$W$122</c:f>
              <c:strCache>
                <c:ptCount val="1"/>
                <c:pt idx="0">
                  <c:v>Emissions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AF64-4113-A2A1-E0599769DE2E}"/>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AF64-4113-A2A1-E0599769DE2E}"/>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AF64-4113-A2A1-E0599769DE2E}"/>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AF64-4113-A2A1-E0599769DE2E}"/>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AF64-4113-A2A1-E0599769DE2E}"/>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AF64-4113-A2A1-E0599769DE2E}"/>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AF64-4113-A2A1-E0599769DE2E}"/>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AF64-4113-A2A1-E0599769DE2E}"/>
              </c:ext>
            </c:extLst>
          </c:dPt>
          <c:dPt>
            <c:idx val="8"/>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1-AF64-4113-A2A1-E0599769DE2E}"/>
              </c:ext>
            </c:extLst>
          </c:dPt>
          <c:dPt>
            <c:idx val="9"/>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13-AF64-4113-A2A1-E0599769DE2E}"/>
              </c:ext>
            </c:extLst>
          </c:dPt>
          <c:dPt>
            <c:idx val="10"/>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15-AF64-4113-A2A1-E0599769DE2E}"/>
              </c:ext>
            </c:extLst>
          </c:dPt>
          <c:dPt>
            <c:idx val="11"/>
            <c:bubble3D val="0"/>
            <c:spPr>
              <a:solidFill>
                <a:schemeClr val="accent6">
                  <a:lumMod val="60000"/>
                </a:schemeClr>
              </a:solidFill>
              <a:ln w="19050">
                <a:solidFill>
                  <a:schemeClr val="lt1"/>
                </a:solidFill>
              </a:ln>
              <a:effectLst/>
            </c:spPr>
            <c:extLst>
              <c:ext xmlns:c16="http://schemas.microsoft.com/office/drawing/2014/chart" uri="{C3380CC4-5D6E-409C-BE32-E72D297353CC}">
                <c16:uniqueId val="{00000017-AF64-4113-A2A1-E0599769DE2E}"/>
              </c:ext>
            </c:extLst>
          </c:dPt>
          <c:dPt>
            <c:idx val="12"/>
            <c:bubble3D val="0"/>
            <c:spPr>
              <a:solidFill>
                <a:schemeClr val="accent1">
                  <a:lumMod val="80000"/>
                  <a:lumOff val="20000"/>
                </a:schemeClr>
              </a:solidFill>
              <a:ln w="19050">
                <a:solidFill>
                  <a:schemeClr val="lt1"/>
                </a:solidFill>
              </a:ln>
              <a:effectLst/>
            </c:spPr>
            <c:extLst>
              <c:ext xmlns:c16="http://schemas.microsoft.com/office/drawing/2014/chart" uri="{C3380CC4-5D6E-409C-BE32-E72D297353CC}">
                <c16:uniqueId val="{00000019-AF64-4113-A2A1-E0599769DE2E}"/>
              </c:ext>
            </c:extLst>
          </c:dPt>
          <c:dPt>
            <c:idx val="13"/>
            <c:bubble3D val="0"/>
            <c:spPr>
              <a:solidFill>
                <a:schemeClr val="accent2">
                  <a:lumMod val="80000"/>
                  <a:lumOff val="20000"/>
                </a:schemeClr>
              </a:solidFill>
              <a:ln w="19050">
                <a:solidFill>
                  <a:schemeClr val="lt1"/>
                </a:solidFill>
              </a:ln>
              <a:effectLst/>
            </c:spPr>
            <c:extLst>
              <c:ext xmlns:c16="http://schemas.microsoft.com/office/drawing/2014/chart" uri="{C3380CC4-5D6E-409C-BE32-E72D297353CC}">
                <c16:uniqueId val="{0000001B-AF64-4113-A2A1-E0599769DE2E}"/>
              </c:ext>
            </c:extLst>
          </c:dPt>
          <c:dPt>
            <c:idx val="14"/>
            <c:bubble3D val="0"/>
            <c:spPr>
              <a:solidFill>
                <a:schemeClr val="accent3">
                  <a:lumMod val="80000"/>
                  <a:lumOff val="20000"/>
                </a:schemeClr>
              </a:solidFill>
              <a:ln w="19050">
                <a:solidFill>
                  <a:schemeClr val="lt1"/>
                </a:solidFill>
              </a:ln>
              <a:effectLst/>
            </c:spPr>
            <c:extLst>
              <c:ext xmlns:c16="http://schemas.microsoft.com/office/drawing/2014/chart" uri="{C3380CC4-5D6E-409C-BE32-E72D297353CC}">
                <c16:uniqueId val="{0000001D-AF64-4113-A2A1-E0599769DE2E}"/>
              </c:ext>
            </c:extLst>
          </c:dPt>
          <c:dPt>
            <c:idx val="15"/>
            <c:bubble3D val="0"/>
            <c:spPr>
              <a:solidFill>
                <a:schemeClr val="accent4">
                  <a:lumMod val="80000"/>
                  <a:lumOff val="20000"/>
                </a:schemeClr>
              </a:solidFill>
              <a:ln w="19050">
                <a:solidFill>
                  <a:schemeClr val="lt1"/>
                </a:solidFill>
              </a:ln>
              <a:effectLst/>
            </c:spPr>
            <c:extLst>
              <c:ext xmlns:c16="http://schemas.microsoft.com/office/drawing/2014/chart" uri="{C3380CC4-5D6E-409C-BE32-E72D297353CC}">
                <c16:uniqueId val="{0000001F-AF64-4113-A2A1-E0599769DE2E}"/>
              </c:ext>
            </c:extLst>
          </c:dPt>
          <c:dPt>
            <c:idx val="16"/>
            <c:bubble3D val="0"/>
            <c:spPr>
              <a:solidFill>
                <a:schemeClr val="accent5">
                  <a:lumMod val="80000"/>
                  <a:lumOff val="20000"/>
                </a:schemeClr>
              </a:solidFill>
              <a:ln w="19050">
                <a:solidFill>
                  <a:schemeClr val="lt1"/>
                </a:solidFill>
              </a:ln>
              <a:effectLst/>
            </c:spPr>
            <c:extLst>
              <c:ext xmlns:c16="http://schemas.microsoft.com/office/drawing/2014/chart" uri="{C3380CC4-5D6E-409C-BE32-E72D297353CC}">
                <c16:uniqueId val="{00000021-AF64-4113-A2A1-E0599769DE2E}"/>
              </c:ext>
            </c:extLst>
          </c:dPt>
          <c:dLbls>
            <c:dLbl>
              <c:idx val="0"/>
              <c:layout>
                <c:manualLayout>
                  <c:x val="1.627843394575678E-2"/>
                  <c:y val="5.4186351706036702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F64-4113-A2A1-E0599769DE2E}"/>
                </c:ext>
              </c:extLst>
            </c:dLbl>
            <c:dLbl>
              <c:idx val="1"/>
              <c:layout>
                <c:manualLayout>
                  <c:x val="-2.6271653543307086E-2"/>
                  <c:y val="8.4857101195683869E-3"/>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F64-4113-A2A1-E0599769DE2E}"/>
                </c:ext>
              </c:extLst>
            </c:dLbl>
            <c:dLbl>
              <c:idx val="2"/>
              <c:layout>
                <c:manualLayout>
                  <c:x val="4.6015748031496065E-2"/>
                  <c:y val="2.1314523184601925E-3"/>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F64-4113-A2A1-E0599769DE2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numRef>
              <c:f>'Charts - delete'!$V$123:$V$139</c:f>
              <c:numCache>
                <c:formatCode>General</c:formatCode>
                <c:ptCount val="17"/>
                <c:pt idx="0">
                  <c:v>3000</c:v>
                </c:pt>
                <c:pt idx="1">
                  <c:v>3006</c:v>
                </c:pt>
                <c:pt idx="2">
                  <c:v>3008</c:v>
                </c:pt>
                <c:pt idx="3">
                  <c:v>3053</c:v>
                </c:pt>
                <c:pt idx="4">
                  <c:v>3002</c:v>
                </c:pt>
                <c:pt idx="5">
                  <c:v>3207</c:v>
                </c:pt>
                <c:pt idx="6">
                  <c:v>3003</c:v>
                </c:pt>
                <c:pt idx="7">
                  <c:v>3051</c:v>
                </c:pt>
                <c:pt idx="8">
                  <c:v>3052</c:v>
                </c:pt>
                <c:pt idx="9">
                  <c:v>3004</c:v>
                </c:pt>
                <c:pt idx="10">
                  <c:v>3031</c:v>
                </c:pt>
                <c:pt idx="11">
                  <c:v>3050</c:v>
                </c:pt>
                <c:pt idx="12">
                  <c:v>3181</c:v>
                </c:pt>
                <c:pt idx="13">
                  <c:v>3010</c:v>
                </c:pt>
                <c:pt idx="14">
                  <c:v>3141</c:v>
                </c:pt>
                <c:pt idx="15">
                  <c:v>3032</c:v>
                </c:pt>
                <c:pt idx="16">
                  <c:v>3054</c:v>
                </c:pt>
              </c:numCache>
            </c:numRef>
          </c:cat>
          <c:val>
            <c:numRef>
              <c:f>'Charts - delete'!$W$123:$W$139</c:f>
              <c:numCache>
                <c:formatCode>_-* #,##0_-;\-* #,##0_-;_-* "-"??_-;_-@_-</c:formatCode>
                <c:ptCount val="17"/>
                <c:pt idx="0">
                  <c:v>1268.0594198548108</c:v>
                </c:pt>
                <c:pt idx="1">
                  <c:v>367.8037682348052</c:v>
                </c:pt>
                <c:pt idx="2">
                  <c:v>343.07774066222879</c:v>
                </c:pt>
                <c:pt idx="3">
                  <c:v>174.44473262007705</c:v>
                </c:pt>
                <c:pt idx="4">
                  <c:v>174.41197649268565</c:v>
                </c:pt>
                <c:pt idx="5">
                  <c:v>152.80300837416021</c:v>
                </c:pt>
                <c:pt idx="6">
                  <c:v>134.655842526714</c:v>
                </c:pt>
                <c:pt idx="7">
                  <c:v>133.44105869809474</c:v>
                </c:pt>
                <c:pt idx="8">
                  <c:v>106.89335810072737</c:v>
                </c:pt>
                <c:pt idx="9">
                  <c:v>79.501240946035011</c:v>
                </c:pt>
                <c:pt idx="10">
                  <c:v>79.267013386710573</c:v>
                </c:pt>
                <c:pt idx="11">
                  <c:v>60.588208860959249</c:v>
                </c:pt>
                <c:pt idx="12">
                  <c:v>48.107927151225354</c:v>
                </c:pt>
                <c:pt idx="13">
                  <c:v>35.545747057420741</c:v>
                </c:pt>
                <c:pt idx="14">
                  <c:v>29.090489479291744</c:v>
                </c:pt>
                <c:pt idx="15">
                  <c:v>13.302530477778655</c:v>
                </c:pt>
                <c:pt idx="16">
                  <c:v>0.35744144850925336</c:v>
                </c:pt>
              </c:numCache>
            </c:numRef>
          </c:val>
          <c:extLst>
            <c:ext xmlns:c16="http://schemas.microsoft.com/office/drawing/2014/chart" uri="{C3380CC4-5D6E-409C-BE32-E72D297353CC}">
              <c16:uniqueId val="{00000022-AF64-4113-A2A1-E0599769DE2E}"/>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'Charts - delete'!$T$5</c:f>
              <c:strCache>
                <c:ptCount val="1"/>
                <c:pt idx="0">
                  <c:v>Area</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5DF0-4DB2-AD88-E81C425AB22D}"/>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5DF0-4DB2-AD88-E81C425AB22D}"/>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5DF0-4DB2-AD88-E81C425AB22D}"/>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5DF0-4DB2-AD88-E81C425AB22D}"/>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5DF0-4DB2-AD88-E81C425AB22D}"/>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5DF0-4DB2-AD88-E81C425AB22D}"/>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5DF0-4DB2-AD88-E81C425AB22D}"/>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5DF0-4DB2-AD88-E81C425AB22D}"/>
              </c:ext>
            </c:extLst>
          </c:dPt>
          <c:dPt>
            <c:idx val="8"/>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1-5DF0-4DB2-AD88-E81C425AB22D}"/>
              </c:ext>
            </c:extLst>
          </c:dPt>
          <c:dPt>
            <c:idx val="9"/>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13-5DF0-4DB2-AD88-E81C425AB22D}"/>
              </c:ext>
            </c:extLst>
          </c:dPt>
          <c:dPt>
            <c:idx val="10"/>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15-5DF0-4DB2-AD88-E81C425AB22D}"/>
              </c:ext>
            </c:extLst>
          </c:dPt>
          <c:dPt>
            <c:idx val="11"/>
            <c:bubble3D val="0"/>
            <c:spPr>
              <a:solidFill>
                <a:schemeClr val="accent6">
                  <a:lumMod val="60000"/>
                </a:schemeClr>
              </a:solidFill>
              <a:ln w="19050">
                <a:solidFill>
                  <a:schemeClr val="lt1"/>
                </a:solidFill>
              </a:ln>
              <a:effectLst/>
            </c:spPr>
            <c:extLst>
              <c:ext xmlns:c16="http://schemas.microsoft.com/office/drawing/2014/chart" uri="{C3380CC4-5D6E-409C-BE32-E72D297353CC}">
                <c16:uniqueId val="{00000017-5DF0-4DB2-AD88-E81C425AB22D}"/>
              </c:ext>
            </c:extLst>
          </c:dPt>
          <c:dPt>
            <c:idx val="12"/>
            <c:bubble3D val="0"/>
            <c:spPr>
              <a:solidFill>
                <a:schemeClr val="accent1">
                  <a:lumMod val="80000"/>
                  <a:lumOff val="20000"/>
                </a:schemeClr>
              </a:solidFill>
              <a:ln w="19050">
                <a:solidFill>
                  <a:schemeClr val="lt1"/>
                </a:solidFill>
              </a:ln>
              <a:effectLst/>
            </c:spPr>
            <c:extLst>
              <c:ext xmlns:c16="http://schemas.microsoft.com/office/drawing/2014/chart" uri="{C3380CC4-5D6E-409C-BE32-E72D297353CC}">
                <c16:uniqueId val="{00000019-5DF0-4DB2-AD88-E81C425AB22D}"/>
              </c:ext>
            </c:extLst>
          </c:dPt>
          <c:dPt>
            <c:idx val="13"/>
            <c:bubble3D val="0"/>
            <c:spPr>
              <a:solidFill>
                <a:schemeClr val="accent2">
                  <a:lumMod val="80000"/>
                  <a:lumOff val="20000"/>
                </a:schemeClr>
              </a:solidFill>
              <a:ln w="19050">
                <a:solidFill>
                  <a:schemeClr val="lt1"/>
                </a:solidFill>
              </a:ln>
              <a:effectLst/>
            </c:spPr>
            <c:extLst>
              <c:ext xmlns:c16="http://schemas.microsoft.com/office/drawing/2014/chart" uri="{C3380CC4-5D6E-409C-BE32-E72D297353CC}">
                <c16:uniqueId val="{0000001B-5DF0-4DB2-AD88-E81C425AB22D}"/>
              </c:ext>
            </c:extLst>
          </c:dPt>
          <c:dPt>
            <c:idx val="14"/>
            <c:bubble3D val="0"/>
            <c:spPr>
              <a:solidFill>
                <a:schemeClr val="accent3">
                  <a:lumMod val="80000"/>
                  <a:lumOff val="20000"/>
                </a:schemeClr>
              </a:solidFill>
              <a:ln w="19050">
                <a:solidFill>
                  <a:schemeClr val="lt1"/>
                </a:solidFill>
              </a:ln>
              <a:effectLst/>
            </c:spPr>
            <c:extLst>
              <c:ext xmlns:c16="http://schemas.microsoft.com/office/drawing/2014/chart" uri="{C3380CC4-5D6E-409C-BE32-E72D297353CC}">
                <c16:uniqueId val="{0000001D-5DF0-4DB2-AD88-E81C425AB22D}"/>
              </c:ext>
            </c:extLst>
          </c:dPt>
          <c:dPt>
            <c:idx val="15"/>
            <c:bubble3D val="0"/>
            <c:spPr>
              <a:solidFill>
                <a:schemeClr val="accent4">
                  <a:lumMod val="80000"/>
                  <a:lumOff val="20000"/>
                </a:schemeClr>
              </a:solidFill>
              <a:ln w="19050">
                <a:solidFill>
                  <a:schemeClr val="lt1"/>
                </a:solidFill>
              </a:ln>
              <a:effectLst/>
            </c:spPr>
            <c:extLst>
              <c:ext xmlns:c16="http://schemas.microsoft.com/office/drawing/2014/chart" uri="{C3380CC4-5D6E-409C-BE32-E72D297353CC}">
                <c16:uniqueId val="{0000001F-5DF0-4DB2-AD88-E81C425AB22D}"/>
              </c:ext>
            </c:extLst>
          </c:dPt>
          <c:dPt>
            <c:idx val="16"/>
            <c:bubble3D val="0"/>
            <c:spPr>
              <a:solidFill>
                <a:schemeClr val="accent5">
                  <a:lumMod val="80000"/>
                  <a:lumOff val="20000"/>
                </a:schemeClr>
              </a:solidFill>
              <a:ln w="19050">
                <a:solidFill>
                  <a:schemeClr val="lt1"/>
                </a:solidFill>
              </a:ln>
              <a:effectLst/>
            </c:spPr>
            <c:extLst>
              <c:ext xmlns:c16="http://schemas.microsoft.com/office/drawing/2014/chart" uri="{C3380CC4-5D6E-409C-BE32-E72D297353CC}">
                <c16:uniqueId val="{00000021-5DF0-4DB2-AD88-E81C425AB22D}"/>
              </c:ext>
            </c:extLst>
          </c:dPt>
          <c:dLbls>
            <c:dLbl>
              <c:idx val="0"/>
              <c:layout>
                <c:manualLayout>
                  <c:x val="5.6694225721784779E-2"/>
                  <c:y val="0.15612715077282008"/>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DF0-4DB2-AD88-E81C425AB22D}"/>
                </c:ext>
              </c:extLst>
            </c:dLbl>
            <c:dLbl>
              <c:idx val="1"/>
              <c:layout>
                <c:manualLayout>
                  <c:x val="3.9873140857392825E-3"/>
                  <c:y val="8.5538786818314377E-3"/>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DF0-4DB2-AD88-E81C425AB22D}"/>
                </c:ext>
              </c:extLst>
            </c:dLbl>
            <c:dLbl>
              <c:idx val="2"/>
              <c:layout>
                <c:manualLayout>
                  <c:x val="-2.2296916010498689E-2"/>
                  <c:y val="-1.8856445027704869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DF0-4DB2-AD88-E81C425AB22D}"/>
                </c:ext>
              </c:extLst>
            </c:dLbl>
            <c:dLbl>
              <c:idx val="3"/>
              <c:layout>
                <c:manualLayout>
                  <c:x val="-4.7014435695538059E-4"/>
                  <c:y val="-2.2935258092738407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7-5DF0-4DB2-AD88-E81C425AB22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numRef>
              <c:f>'Charts - delete'!$S$6:$S$22</c:f>
              <c:numCache>
                <c:formatCode>General</c:formatCode>
                <c:ptCount val="17"/>
                <c:pt idx="0">
                  <c:v>3000</c:v>
                </c:pt>
                <c:pt idx="1">
                  <c:v>3008</c:v>
                </c:pt>
                <c:pt idx="2">
                  <c:v>3006</c:v>
                </c:pt>
                <c:pt idx="3">
                  <c:v>3003</c:v>
                </c:pt>
                <c:pt idx="4">
                  <c:v>3207</c:v>
                </c:pt>
                <c:pt idx="5">
                  <c:v>3053</c:v>
                </c:pt>
                <c:pt idx="6">
                  <c:v>3051</c:v>
                </c:pt>
                <c:pt idx="7">
                  <c:v>3002</c:v>
                </c:pt>
                <c:pt idx="8">
                  <c:v>3031</c:v>
                </c:pt>
                <c:pt idx="9">
                  <c:v>3052</c:v>
                </c:pt>
                <c:pt idx="10">
                  <c:v>3004</c:v>
                </c:pt>
                <c:pt idx="11">
                  <c:v>3141</c:v>
                </c:pt>
                <c:pt idx="12">
                  <c:v>3010</c:v>
                </c:pt>
                <c:pt idx="13">
                  <c:v>3050</c:v>
                </c:pt>
                <c:pt idx="14">
                  <c:v>3181</c:v>
                </c:pt>
                <c:pt idx="15">
                  <c:v>3032</c:v>
                </c:pt>
                <c:pt idx="16">
                  <c:v>3054</c:v>
                </c:pt>
              </c:numCache>
            </c:numRef>
          </c:cat>
          <c:val>
            <c:numRef>
              <c:f>'Charts - delete'!$T$6:$T$22</c:f>
              <c:numCache>
                <c:formatCode>_-* #,##0_-;\-* #,##0_-;_-* "-"??_-;_-@_-</c:formatCode>
                <c:ptCount val="17"/>
                <c:pt idx="0">
                  <c:v>14449390.661718981</c:v>
                </c:pt>
                <c:pt idx="1">
                  <c:v>4932935.7362204213</c:v>
                </c:pt>
                <c:pt idx="2">
                  <c:v>4699601.7526645493</c:v>
                </c:pt>
                <c:pt idx="3">
                  <c:v>4554571.2192747332</c:v>
                </c:pt>
                <c:pt idx="4">
                  <c:v>2889075.49</c:v>
                </c:pt>
                <c:pt idx="5">
                  <c:v>2405041.9741960666</c:v>
                </c:pt>
                <c:pt idx="6">
                  <c:v>1993957.331106463</c:v>
                </c:pt>
                <c:pt idx="7">
                  <c:v>1509642.666915274</c:v>
                </c:pt>
                <c:pt idx="8">
                  <c:v>1217845.5432938102</c:v>
                </c:pt>
                <c:pt idx="9">
                  <c:v>1176901.5083658532</c:v>
                </c:pt>
                <c:pt idx="10">
                  <c:v>915518.76755759935</c:v>
                </c:pt>
                <c:pt idx="11">
                  <c:v>559431.71999999986</c:v>
                </c:pt>
                <c:pt idx="12">
                  <c:v>411305.87000000005</c:v>
                </c:pt>
                <c:pt idx="13">
                  <c:v>340226.57999999996</c:v>
                </c:pt>
                <c:pt idx="14">
                  <c:v>214067.02000000002</c:v>
                </c:pt>
                <c:pt idx="15">
                  <c:v>131106.1</c:v>
                </c:pt>
                <c:pt idx="16">
                  <c:v>5035.51</c:v>
                </c:pt>
              </c:numCache>
            </c:numRef>
          </c:val>
          <c:extLst>
            <c:ext xmlns:c16="http://schemas.microsoft.com/office/drawing/2014/chart" uri="{C3380CC4-5D6E-409C-BE32-E72D297353CC}">
              <c16:uniqueId val="{00000022-5DF0-4DB2-AD88-E81C425AB22D}"/>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5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'Charts - delete'!$Z$293</c:f>
              <c:strCache>
                <c:ptCount val="1"/>
                <c:pt idx="0">
                  <c:v>Floor area</c:v>
                </c:pt>
              </c:strCache>
            </c:strRef>
          </c:tx>
          <c:spPr>
            <a:solidFill>
              <a:schemeClr val="accent1"/>
            </a:solidFill>
            <a:ln>
              <a:noFill/>
            </a:ln>
            <a:effectLst/>
          </c:spPr>
          <c:invertIfNegative val="0"/>
          <c:cat>
            <c:numRef>
              <c:f>'Charts - delete'!$Y$294:$Y$310</c:f>
              <c:numCache>
                <c:formatCode>General</c:formatCode>
                <c:ptCount val="17"/>
                <c:pt idx="0">
                  <c:v>3000</c:v>
                </c:pt>
                <c:pt idx="1">
                  <c:v>3006</c:v>
                </c:pt>
                <c:pt idx="2">
                  <c:v>3008</c:v>
                </c:pt>
                <c:pt idx="3">
                  <c:v>3053</c:v>
                </c:pt>
                <c:pt idx="4">
                  <c:v>3002</c:v>
                </c:pt>
                <c:pt idx="5">
                  <c:v>3207</c:v>
                </c:pt>
                <c:pt idx="6">
                  <c:v>3003</c:v>
                </c:pt>
                <c:pt idx="7">
                  <c:v>3051</c:v>
                </c:pt>
                <c:pt idx="8">
                  <c:v>3052</c:v>
                </c:pt>
                <c:pt idx="9">
                  <c:v>3004</c:v>
                </c:pt>
                <c:pt idx="10">
                  <c:v>3031</c:v>
                </c:pt>
                <c:pt idx="11">
                  <c:v>3050</c:v>
                </c:pt>
                <c:pt idx="12">
                  <c:v>3181</c:v>
                </c:pt>
                <c:pt idx="13">
                  <c:v>3010</c:v>
                </c:pt>
                <c:pt idx="14">
                  <c:v>3141</c:v>
                </c:pt>
                <c:pt idx="15">
                  <c:v>3032</c:v>
                </c:pt>
                <c:pt idx="16">
                  <c:v>3054</c:v>
                </c:pt>
              </c:numCache>
            </c:numRef>
          </c:cat>
          <c:val>
            <c:numRef>
              <c:f>'Charts - delete'!$Z$294:$Z$310</c:f>
              <c:numCache>
                <c:formatCode>0%</c:formatCode>
                <c:ptCount val="17"/>
                <c:pt idx="0">
                  <c:v>0.34074206631019849</c:v>
                </c:pt>
                <c:pt idx="1">
                  <c:v>0.11082488179106667</c:v>
                </c:pt>
                <c:pt idx="2">
                  <c:v>0.11632730784892503</c:v>
                </c:pt>
                <c:pt idx="3">
                  <c:v>5.6715123221177728E-2</c:v>
                </c:pt>
                <c:pt idx="4">
                  <c:v>3.5600031430913871E-2</c:v>
                </c:pt>
                <c:pt idx="5">
                  <c:v>6.8129485542723633E-2</c:v>
                </c:pt>
                <c:pt idx="6">
                  <c:v>0.10740480652407011</c:v>
                </c:pt>
                <c:pt idx="7">
                  <c:v>4.7021023726322067E-2</c:v>
                </c:pt>
                <c:pt idx="8">
                  <c:v>2.7753409205455212E-2</c:v>
                </c:pt>
                <c:pt idx="9">
                  <c:v>2.158954407882489E-2</c:v>
                </c:pt>
                <c:pt idx="10">
                  <c:v>2.8718941620700277E-2</c:v>
                </c:pt>
                <c:pt idx="11">
                  <c:v>8.0231416394593077E-3</c:v>
                </c:pt>
                <c:pt idx="12">
                  <c:v>5.0480771425823598E-3</c:v>
                </c:pt>
                <c:pt idx="13">
                  <c:v>9.699316414816965E-3</c:v>
                </c:pt>
                <c:pt idx="14">
                  <c:v>1.3192384696005643E-2</c:v>
                </c:pt>
                <c:pt idx="15">
                  <c:v>3.0917126172126707E-3</c:v>
                </c:pt>
                <c:pt idx="16">
                  <c:v>1.1874618954496072E-4</c:v>
                </c:pt>
              </c:numCache>
            </c:numRef>
          </c:val>
          <c:extLst>
            <c:ext xmlns:c16="http://schemas.microsoft.com/office/drawing/2014/chart" uri="{C3380CC4-5D6E-409C-BE32-E72D297353CC}">
              <c16:uniqueId val="{00000000-702B-47DA-90C2-CACB2DA42841}"/>
            </c:ext>
          </c:extLst>
        </c:ser>
        <c:ser>
          <c:idx val="1"/>
          <c:order val="1"/>
          <c:tx>
            <c:strRef>
              <c:f>'Charts - delete'!$AA$293</c:f>
              <c:strCache>
                <c:ptCount val="1"/>
                <c:pt idx="0">
                  <c:v>Emissions</c:v>
                </c:pt>
              </c:strCache>
            </c:strRef>
          </c:tx>
          <c:spPr>
            <a:solidFill>
              <a:schemeClr val="accent2"/>
            </a:solidFill>
            <a:ln>
              <a:noFill/>
            </a:ln>
            <a:effectLst/>
          </c:spPr>
          <c:invertIfNegative val="0"/>
          <c:cat>
            <c:numRef>
              <c:f>'Charts - delete'!$Y$294:$Y$310</c:f>
              <c:numCache>
                <c:formatCode>General</c:formatCode>
                <c:ptCount val="17"/>
                <c:pt idx="0">
                  <c:v>3000</c:v>
                </c:pt>
                <c:pt idx="1">
                  <c:v>3006</c:v>
                </c:pt>
                <c:pt idx="2">
                  <c:v>3008</c:v>
                </c:pt>
                <c:pt idx="3">
                  <c:v>3053</c:v>
                </c:pt>
                <c:pt idx="4">
                  <c:v>3002</c:v>
                </c:pt>
                <c:pt idx="5">
                  <c:v>3207</c:v>
                </c:pt>
                <c:pt idx="6">
                  <c:v>3003</c:v>
                </c:pt>
                <c:pt idx="7">
                  <c:v>3051</c:v>
                </c:pt>
                <c:pt idx="8">
                  <c:v>3052</c:v>
                </c:pt>
                <c:pt idx="9">
                  <c:v>3004</c:v>
                </c:pt>
                <c:pt idx="10">
                  <c:v>3031</c:v>
                </c:pt>
                <c:pt idx="11">
                  <c:v>3050</c:v>
                </c:pt>
                <c:pt idx="12">
                  <c:v>3181</c:v>
                </c:pt>
                <c:pt idx="13">
                  <c:v>3010</c:v>
                </c:pt>
                <c:pt idx="14">
                  <c:v>3141</c:v>
                </c:pt>
                <c:pt idx="15">
                  <c:v>3032</c:v>
                </c:pt>
                <c:pt idx="16">
                  <c:v>3054</c:v>
                </c:pt>
              </c:numCache>
            </c:numRef>
          </c:cat>
          <c:val>
            <c:numRef>
              <c:f>'Charts - delete'!$AA$294:$AA$310</c:f>
              <c:numCache>
                <c:formatCode>0%</c:formatCode>
                <c:ptCount val="17"/>
                <c:pt idx="0">
                  <c:v>0.39610127726460631</c:v>
                </c:pt>
                <c:pt idx="1">
                  <c:v>0.11489015427780379</c:v>
                </c:pt>
                <c:pt idx="2">
                  <c:v>0.10716653269522938</c:v>
                </c:pt>
                <c:pt idx="3">
                  <c:v>5.4490964950843351E-2</c:v>
                </c:pt>
                <c:pt idx="4">
                  <c:v>5.448073298245542E-2</c:v>
                </c:pt>
                <c:pt idx="5">
                  <c:v>4.7730781254563912E-2</c:v>
                </c:pt>
                <c:pt idx="6">
                  <c:v>4.2062186030746164E-2</c:v>
                </c:pt>
                <c:pt idx="7">
                  <c:v>4.1682726347246811E-2</c:v>
                </c:pt>
                <c:pt idx="8">
                  <c:v>3.3390072272519326E-2</c:v>
                </c:pt>
                <c:pt idx="9">
                  <c:v>2.4833649425080775E-2</c:v>
                </c:pt>
                <c:pt idx="10">
                  <c:v>2.4760484213761574E-2</c:v>
                </c:pt>
                <c:pt idx="11">
                  <c:v>1.8925822040538543E-2</c:v>
                </c:pt>
                <c:pt idx="12">
                  <c:v>1.5027380493995154E-2</c:v>
                </c:pt>
                <c:pt idx="13">
                  <c:v>1.1103356507048434E-2</c:v>
                </c:pt>
                <c:pt idx="14">
                  <c:v>9.0869401374892803E-3</c:v>
                </c:pt>
                <c:pt idx="15">
                  <c:v>4.1552858096372026E-3</c:v>
                </c:pt>
                <c:pt idx="16">
                  <c:v>1.116532964346711E-4</c:v>
                </c:pt>
              </c:numCache>
            </c:numRef>
          </c:val>
          <c:extLst>
            <c:ext xmlns:c16="http://schemas.microsoft.com/office/drawing/2014/chart" uri="{C3380CC4-5D6E-409C-BE32-E72D297353CC}">
              <c16:uniqueId val="{00000001-702B-47DA-90C2-CACB2DA42841}"/>
            </c:ext>
          </c:extLst>
        </c:ser>
        <c:dLbls>
          <c:showLegendKey val="0"/>
          <c:showVal val="0"/>
          <c:showCatName val="0"/>
          <c:showSerName val="0"/>
          <c:showPercent val="0"/>
          <c:showBubbleSize val="0"/>
        </c:dLbls>
        <c:gapWidth val="219"/>
        <c:overlap val="-27"/>
        <c:axId val="1431164831"/>
        <c:axId val="1431156671"/>
      </c:barChart>
      <c:catAx>
        <c:axId val="14311648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31156671"/>
        <c:crosses val="autoZero"/>
        <c:auto val="1"/>
        <c:lblAlgn val="ctr"/>
        <c:lblOffset val="100"/>
        <c:noMultiLvlLbl val="0"/>
      </c:catAx>
      <c:valAx>
        <c:axId val="1431156671"/>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3116483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5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'Charts - delete'!$AE$340</c:f>
              <c:strCache>
                <c:ptCount val="1"/>
                <c:pt idx="0">
                  <c:v>Electricity emissions</c:v>
                </c:pt>
              </c:strCache>
            </c:strRef>
          </c:tx>
          <c:spPr>
            <a:solidFill>
              <a:srgbClr val="FFC000"/>
            </a:solidFill>
            <a:ln>
              <a:noFill/>
            </a:ln>
            <a:effectLst/>
          </c:spPr>
          <c:invertIfNegative val="0"/>
          <c:cat>
            <c:numRef>
              <c:f>'Charts - delete'!$AD$341:$AD$357</c:f>
              <c:numCache>
                <c:formatCode>General</c:formatCode>
                <c:ptCount val="17"/>
                <c:pt idx="0">
                  <c:v>3207</c:v>
                </c:pt>
                <c:pt idx="1">
                  <c:v>3032</c:v>
                </c:pt>
                <c:pt idx="2">
                  <c:v>3010</c:v>
                </c:pt>
                <c:pt idx="3">
                  <c:v>3054</c:v>
                </c:pt>
                <c:pt idx="4">
                  <c:v>3003</c:v>
                </c:pt>
                <c:pt idx="5">
                  <c:v>3004</c:v>
                </c:pt>
                <c:pt idx="6">
                  <c:v>3000</c:v>
                </c:pt>
                <c:pt idx="7">
                  <c:v>3006</c:v>
                </c:pt>
                <c:pt idx="8">
                  <c:v>3002</c:v>
                </c:pt>
                <c:pt idx="9">
                  <c:v>3008</c:v>
                </c:pt>
                <c:pt idx="10">
                  <c:v>3053</c:v>
                </c:pt>
                <c:pt idx="11">
                  <c:v>3051</c:v>
                </c:pt>
                <c:pt idx="12">
                  <c:v>3052</c:v>
                </c:pt>
                <c:pt idx="13">
                  <c:v>3031</c:v>
                </c:pt>
                <c:pt idx="14">
                  <c:v>3141</c:v>
                </c:pt>
                <c:pt idx="15">
                  <c:v>3181</c:v>
                </c:pt>
                <c:pt idx="16">
                  <c:v>3050</c:v>
                </c:pt>
              </c:numCache>
            </c:numRef>
          </c:cat>
          <c:val>
            <c:numRef>
              <c:f>'Charts - delete'!$AE$341:$AE$357</c:f>
              <c:numCache>
                <c:formatCode>0%</c:formatCode>
                <c:ptCount val="17"/>
                <c:pt idx="0">
                  <c:v>0.94359079666786927</c:v>
                </c:pt>
                <c:pt idx="1">
                  <c:v>0.93931687173630918</c:v>
                </c:pt>
                <c:pt idx="2">
                  <c:v>0.9361970978102645</c:v>
                </c:pt>
                <c:pt idx="3">
                  <c:v>0.92588130973522698</c:v>
                </c:pt>
                <c:pt idx="4">
                  <c:v>0.91535594141518084</c:v>
                </c:pt>
                <c:pt idx="5">
                  <c:v>0.9004045006198651</c:v>
                </c:pt>
                <c:pt idx="6">
                  <c:v>0.89853426182773433</c:v>
                </c:pt>
                <c:pt idx="7">
                  <c:v>0.89722140585642507</c:v>
                </c:pt>
                <c:pt idx="8">
                  <c:v>0.89181004063100022</c:v>
                </c:pt>
                <c:pt idx="9">
                  <c:v>0.88839213417472385</c:v>
                </c:pt>
                <c:pt idx="10">
                  <c:v>0.86960076021410693</c:v>
                </c:pt>
                <c:pt idx="11">
                  <c:v>0.86173905826234976</c:v>
                </c:pt>
                <c:pt idx="12">
                  <c:v>0.84450702855918947</c:v>
                </c:pt>
                <c:pt idx="13">
                  <c:v>0.83030768944842959</c:v>
                </c:pt>
                <c:pt idx="14">
                  <c:v>0.78664337406839124</c:v>
                </c:pt>
                <c:pt idx="15">
                  <c:v>0.75928470435749407</c:v>
                </c:pt>
                <c:pt idx="16">
                  <c:v>0.61566171109875856</c:v>
                </c:pt>
              </c:numCache>
            </c:numRef>
          </c:val>
          <c:extLst>
            <c:ext xmlns:c16="http://schemas.microsoft.com/office/drawing/2014/chart" uri="{C3380CC4-5D6E-409C-BE32-E72D297353CC}">
              <c16:uniqueId val="{00000000-AA80-47D4-B7E8-981E9318212A}"/>
            </c:ext>
          </c:extLst>
        </c:ser>
        <c:ser>
          <c:idx val="1"/>
          <c:order val="1"/>
          <c:tx>
            <c:strRef>
              <c:f>'Charts - delete'!$AF$340</c:f>
              <c:strCache>
                <c:ptCount val="1"/>
                <c:pt idx="0">
                  <c:v>Gas emissions</c:v>
                </c:pt>
              </c:strCache>
            </c:strRef>
          </c:tx>
          <c:spPr>
            <a:solidFill>
              <a:srgbClr val="00B0F0"/>
            </a:solidFill>
            <a:ln>
              <a:noFill/>
            </a:ln>
            <a:effectLst/>
          </c:spPr>
          <c:invertIfNegative val="0"/>
          <c:cat>
            <c:numRef>
              <c:f>'Charts - delete'!$AD$341:$AD$357</c:f>
              <c:numCache>
                <c:formatCode>General</c:formatCode>
                <c:ptCount val="17"/>
                <c:pt idx="0">
                  <c:v>3207</c:v>
                </c:pt>
                <c:pt idx="1">
                  <c:v>3032</c:v>
                </c:pt>
                <c:pt idx="2">
                  <c:v>3010</c:v>
                </c:pt>
                <c:pt idx="3">
                  <c:v>3054</c:v>
                </c:pt>
                <c:pt idx="4">
                  <c:v>3003</c:v>
                </c:pt>
                <c:pt idx="5">
                  <c:v>3004</c:v>
                </c:pt>
                <c:pt idx="6">
                  <c:v>3000</c:v>
                </c:pt>
                <c:pt idx="7">
                  <c:v>3006</c:v>
                </c:pt>
                <c:pt idx="8">
                  <c:v>3002</c:v>
                </c:pt>
                <c:pt idx="9">
                  <c:v>3008</c:v>
                </c:pt>
                <c:pt idx="10">
                  <c:v>3053</c:v>
                </c:pt>
                <c:pt idx="11">
                  <c:v>3051</c:v>
                </c:pt>
                <c:pt idx="12">
                  <c:v>3052</c:v>
                </c:pt>
                <c:pt idx="13">
                  <c:v>3031</c:v>
                </c:pt>
                <c:pt idx="14">
                  <c:v>3141</c:v>
                </c:pt>
                <c:pt idx="15">
                  <c:v>3181</c:v>
                </c:pt>
                <c:pt idx="16">
                  <c:v>3050</c:v>
                </c:pt>
              </c:numCache>
            </c:numRef>
          </c:cat>
          <c:val>
            <c:numRef>
              <c:f>'Charts - delete'!$AF$341:$AF$357</c:f>
              <c:numCache>
                <c:formatCode>0%</c:formatCode>
                <c:ptCount val="17"/>
                <c:pt idx="0">
                  <c:v>5.6409203332130703E-2</c:v>
                </c:pt>
                <c:pt idx="1">
                  <c:v>6.0683128263690787E-2</c:v>
                </c:pt>
                <c:pt idx="2">
                  <c:v>6.3802902189735458E-2</c:v>
                </c:pt>
                <c:pt idx="3">
                  <c:v>7.4118690264772982E-2</c:v>
                </c:pt>
                <c:pt idx="4">
                  <c:v>8.4644058584819132E-2</c:v>
                </c:pt>
                <c:pt idx="5">
                  <c:v>9.9595499380134844E-2</c:v>
                </c:pt>
                <c:pt idx="6">
                  <c:v>0.10146573817226573</c:v>
                </c:pt>
                <c:pt idx="7">
                  <c:v>0.10277859414357497</c:v>
                </c:pt>
                <c:pt idx="8">
                  <c:v>0.10818995936899976</c:v>
                </c:pt>
                <c:pt idx="9">
                  <c:v>0.11160786582527614</c:v>
                </c:pt>
                <c:pt idx="10">
                  <c:v>0.13039923978589307</c:v>
                </c:pt>
                <c:pt idx="11">
                  <c:v>0.13826094173765022</c:v>
                </c:pt>
                <c:pt idx="12">
                  <c:v>0.15549297144081053</c:v>
                </c:pt>
                <c:pt idx="13">
                  <c:v>0.16969231055157041</c:v>
                </c:pt>
                <c:pt idx="14">
                  <c:v>0.21335662593160878</c:v>
                </c:pt>
                <c:pt idx="15">
                  <c:v>0.24071529564250593</c:v>
                </c:pt>
                <c:pt idx="16">
                  <c:v>0.38433828890124139</c:v>
                </c:pt>
              </c:numCache>
            </c:numRef>
          </c:val>
          <c:extLst>
            <c:ext xmlns:c16="http://schemas.microsoft.com/office/drawing/2014/chart" uri="{C3380CC4-5D6E-409C-BE32-E72D297353CC}">
              <c16:uniqueId val="{00000001-AA80-47D4-B7E8-981E9318212A}"/>
            </c:ext>
          </c:extLst>
        </c:ser>
        <c:dLbls>
          <c:showLegendKey val="0"/>
          <c:showVal val="0"/>
          <c:showCatName val="0"/>
          <c:showSerName val="0"/>
          <c:showPercent val="0"/>
          <c:showBubbleSize val="0"/>
        </c:dLbls>
        <c:gapWidth val="150"/>
        <c:overlap val="100"/>
        <c:axId val="1470061631"/>
        <c:axId val="1470062111"/>
      </c:barChart>
      <c:catAx>
        <c:axId val="14700616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70062111"/>
        <c:crosses val="autoZero"/>
        <c:auto val="1"/>
        <c:lblAlgn val="ctr"/>
        <c:lblOffset val="100"/>
        <c:noMultiLvlLbl val="0"/>
      </c:catAx>
      <c:valAx>
        <c:axId val="1470062111"/>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7006163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5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'Charts - delete'!$W$382</c:f>
              <c:strCache>
                <c:ptCount val="1"/>
                <c:pt idx="0">
                  <c:v>Emissions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BF3F-4CD5-A5C1-A66EBA915D54}"/>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BF3F-4CD5-A5C1-A66EBA915D54}"/>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BF3F-4CD5-A5C1-A66EBA915D54}"/>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BF3F-4CD5-A5C1-A66EBA915D54}"/>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BF3F-4CD5-A5C1-A66EBA915D54}"/>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BF3F-4CD5-A5C1-A66EBA915D54}"/>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BF3F-4CD5-A5C1-A66EBA915D54}"/>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BF3F-4CD5-A5C1-A66EBA915D54}"/>
              </c:ext>
            </c:extLst>
          </c:dPt>
          <c:dPt>
            <c:idx val="8"/>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1-BF3F-4CD5-A5C1-A66EBA915D54}"/>
              </c:ext>
            </c:extLst>
          </c:dPt>
          <c:dPt>
            <c:idx val="9"/>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13-BF3F-4CD5-A5C1-A66EBA915D54}"/>
              </c:ext>
            </c:extLst>
          </c:dPt>
          <c:dPt>
            <c:idx val="10"/>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15-BF3F-4CD5-A5C1-A66EBA915D54}"/>
              </c:ext>
            </c:extLst>
          </c:dPt>
          <c:dPt>
            <c:idx val="11"/>
            <c:bubble3D val="0"/>
            <c:spPr>
              <a:solidFill>
                <a:schemeClr val="accent6">
                  <a:lumMod val="60000"/>
                </a:schemeClr>
              </a:solidFill>
              <a:ln w="19050">
                <a:solidFill>
                  <a:schemeClr val="lt1"/>
                </a:solidFill>
              </a:ln>
              <a:effectLst/>
            </c:spPr>
            <c:extLst>
              <c:ext xmlns:c16="http://schemas.microsoft.com/office/drawing/2014/chart" uri="{C3380CC4-5D6E-409C-BE32-E72D297353CC}">
                <c16:uniqueId val="{00000017-BF3F-4CD5-A5C1-A66EBA915D54}"/>
              </c:ext>
            </c:extLst>
          </c:dPt>
          <c:dPt>
            <c:idx val="12"/>
            <c:bubble3D val="0"/>
            <c:spPr>
              <a:solidFill>
                <a:schemeClr val="accent1">
                  <a:lumMod val="80000"/>
                  <a:lumOff val="20000"/>
                </a:schemeClr>
              </a:solidFill>
              <a:ln w="19050">
                <a:solidFill>
                  <a:schemeClr val="lt1"/>
                </a:solidFill>
              </a:ln>
              <a:effectLst/>
            </c:spPr>
            <c:extLst>
              <c:ext xmlns:c16="http://schemas.microsoft.com/office/drawing/2014/chart" uri="{C3380CC4-5D6E-409C-BE32-E72D297353CC}">
                <c16:uniqueId val="{00000019-BF3F-4CD5-A5C1-A66EBA915D54}"/>
              </c:ext>
            </c:extLst>
          </c:dPt>
          <c:dLbls>
            <c:dLbl>
              <c:idx val="0"/>
              <c:layout>
                <c:manualLayout>
                  <c:x val="1.7698251545740066E-2"/>
                  <c:y val="0.10176637912986056"/>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F3F-4CD5-A5C1-A66EBA915D54}"/>
                </c:ext>
              </c:extLst>
            </c:dLbl>
            <c:dLbl>
              <c:idx val="1"/>
              <c:layout>
                <c:manualLayout>
                  <c:x val="4.8798800656484773E-2"/>
                  <c:y val="-3.1395694574045938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F3F-4CD5-A5C1-A66EBA915D54}"/>
                </c:ext>
              </c:extLst>
            </c:dLbl>
            <c:dLbl>
              <c:idx val="2"/>
              <c:layout>
                <c:manualLayout>
                  <c:x val="7.536075505150462E-3"/>
                  <c:y val="-1.1311301440281083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F3F-4CD5-A5C1-A66EBA915D54}"/>
                </c:ext>
              </c:extLst>
            </c:dLbl>
            <c:dLbl>
              <c:idx val="3"/>
              <c:layout>
                <c:manualLayout>
                  <c:x val="1.4216841677256861E-2"/>
                  <c:y val="-7.8301442920323521E-3"/>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7-BF3F-4CD5-A5C1-A66EBA915D54}"/>
                </c:ext>
              </c:extLst>
            </c:dLbl>
            <c:dLbl>
              <c:idx val="4"/>
              <c:layout>
                <c:manualLayout>
                  <c:x val="-5.5832390160117573E-3"/>
                  <c:y val="-4.0821257901406897E-3"/>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9-BF3F-4CD5-A5C1-A66EBA915D54}"/>
                </c:ext>
              </c:extLst>
            </c:dLbl>
            <c:dLbl>
              <c:idx val="5"/>
              <c:layout>
                <c:manualLayout>
                  <c:x val="-1.3402839489055778E-2"/>
                  <c:y val="1.6829951627535141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B-BF3F-4CD5-A5C1-A66EBA915D54}"/>
                </c:ext>
              </c:extLst>
            </c:dLbl>
            <c:dLbl>
              <c:idx val="6"/>
              <c:layout>
                <c:manualLayout>
                  <c:x val="-5.1877982984021583E-2"/>
                  <c:y val="7.1814680243465462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1"/>
              <c:showSerName val="0"/>
              <c:showPercent val="0"/>
              <c:showBubbleSize val="0"/>
              <c:extLst>
                <c:ext xmlns:c15="http://schemas.microsoft.com/office/drawing/2012/chart" uri="{CE6537A1-D6FC-4f65-9D91-7224C49458BB}">
                  <c15:layout>
                    <c:manualLayout>
                      <c:w val="0.23967628138617972"/>
                      <c:h val="0.13429215040720846"/>
                    </c:manualLayout>
                  </c15:layout>
                </c:ext>
                <c:ext xmlns:c16="http://schemas.microsoft.com/office/drawing/2014/chart" uri="{C3380CC4-5D6E-409C-BE32-E72D297353CC}">
                  <c16:uniqueId val="{0000000D-BF3F-4CD5-A5C1-A66EBA915D5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'Charts - delete'!$V$383:$V$395</c:f>
              <c:strCache>
                <c:ptCount val="13"/>
                <c:pt idx="0">
                  <c:v>Office</c:v>
                </c:pt>
                <c:pt idx="1">
                  <c:v>Residential</c:v>
                </c:pt>
                <c:pt idx="2">
                  <c:v>Commercial accommodation</c:v>
                </c:pt>
                <c:pt idx="3">
                  <c:v>Hospitals/healthcare</c:v>
                </c:pt>
                <c:pt idx="4">
                  <c:v>Retail</c:v>
                </c:pt>
                <c:pt idx="5">
                  <c:v>Education</c:v>
                </c:pt>
                <c:pt idx="6">
                  <c:v>Entertainment/recreation</c:v>
                </c:pt>
                <c:pt idx="7">
                  <c:v>Manufacturing/light industrial</c:v>
                </c:pt>
                <c:pt idx="8">
                  <c:v>Community/public use</c:v>
                </c:pt>
                <c:pt idx="9">
                  <c:v>Transport</c:v>
                </c:pt>
                <c:pt idx="10">
                  <c:v>Parking</c:v>
                </c:pt>
                <c:pt idx="11">
                  <c:v>Other</c:v>
                </c:pt>
                <c:pt idx="12">
                  <c:v>Unoccupied</c:v>
                </c:pt>
              </c:strCache>
            </c:strRef>
          </c:cat>
          <c:val>
            <c:numRef>
              <c:f>'Charts - delete'!$W$383:$W$395</c:f>
              <c:numCache>
                <c:formatCode>_-* #,##0_-;\-* #,##0_-;_-* "-"??_-;_-@_-</c:formatCode>
                <c:ptCount val="13"/>
                <c:pt idx="0">
                  <c:v>1023.1544502586376</c:v>
                </c:pt>
                <c:pt idx="1">
                  <c:v>766.70762299229091</c:v>
                </c:pt>
                <c:pt idx="2">
                  <c:v>291.79269474615336</c:v>
                </c:pt>
                <c:pt idx="3">
                  <c:v>269.86843898174129</c:v>
                </c:pt>
                <c:pt idx="4">
                  <c:v>187.26799275951529</c:v>
                </c:pt>
                <c:pt idx="5">
                  <c:v>179.31242102596738</c:v>
                </c:pt>
                <c:pt idx="6">
                  <c:v>140.67145077525123</c:v>
                </c:pt>
                <c:pt idx="7">
                  <c:v>115.20206885511331</c:v>
                </c:pt>
                <c:pt idx="8">
                  <c:v>91.789811151221699</c:v>
                </c:pt>
                <c:pt idx="9">
                  <c:v>53.81712164429436</c:v>
                </c:pt>
                <c:pt idx="10">
                  <c:v>42.917619036692997</c:v>
                </c:pt>
                <c:pt idx="11">
                  <c:v>23.819458553374954</c:v>
                </c:pt>
                <c:pt idx="12">
                  <c:v>15.030353591980148</c:v>
                </c:pt>
              </c:numCache>
            </c:numRef>
          </c:val>
          <c:extLst>
            <c:ext xmlns:c16="http://schemas.microsoft.com/office/drawing/2014/chart" uri="{C3380CC4-5D6E-409C-BE32-E72D297353CC}">
              <c16:uniqueId val="{0000001A-BF3F-4CD5-A5C1-A66EBA915D54}"/>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5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'Charts - delete'!$J$374</c:f>
              <c:strCache>
                <c:ptCount val="1"/>
                <c:pt idx="0">
                  <c:v>Electricity emissions</c:v>
                </c:pt>
              </c:strCache>
            </c:strRef>
          </c:tx>
          <c:spPr>
            <a:solidFill>
              <a:srgbClr val="FFC000"/>
            </a:solidFill>
            <a:ln>
              <a:noFill/>
            </a:ln>
            <a:effectLst/>
          </c:spPr>
          <c:invertIfNegative val="0"/>
          <c:cat>
            <c:strRef>
              <c:f>'Charts - delete'!$I$375:$I$387</c:f>
              <c:strCache>
                <c:ptCount val="13"/>
                <c:pt idx="0">
                  <c:v>Parking</c:v>
                </c:pt>
                <c:pt idx="1">
                  <c:v>Unoccupied</c:v>
                </c:pt>
                <c:pt idx="2">
                  <c:v>Transport</c:v>
                </c:pt>
                <c:pt idx="3">
                  <c:v>Other</c:v>
                </c:pt>
                <c:pt idx="4">
                  <c:v>Retail</c:v>
                </c:pt>
                <c:pt idx="5">
                  <c:v>Entertainment/recreation</c:v>
                </c:pt>
                <c:pt idx="6">
                  <c:v>Community/public use</c:v>
                </c:pt>
                <c:pt idx="7">
                  <c:v>Manufacturing/light industrial</c:v>
                </c:pt>
                <c:pt idx="8">
                  <c:v>Education</c:v>
                </c:pt>
                <c:pt idx="9">
                  <c:v>Commercial accommodation</c:v>
                </c:pt>
                <c:pt idx="10">
                  <c:v>Office</c:v>
                </c:pt>
                <c:pt idx="11">
                  <c:v>Residential</c:v>
                </c:pt>
                <c:pt idx="12">
                  <c:v>Hospitals/healthcare</c:v>
                </c:pt>
              </c:strCache>
            </c:strRef>
          </c:cat>
          <c:val>
            <c:numRef>
              <c:f>'Charts - delete'!$J$375:$J$387</c:f>
              <c:numCache>
                <c:formatCode>0%</c:formatCode>
                <c:ptCount val="13"/>
                <c:pt idx="0">
                  <c:v>1</c:v>
                </c:pt>
                <c:pt idx="1">
                  <c:v>1</c:v>
                </c:pt>
                <c:pt idx="2">
                  <c:v>0.99519244636032955</c:v>
                </c:pt>
                <c:pt idx="3">
                  <c:v>0.99320701305677406</c:v>
                </c:pt>
                <c:pt idx="4">
                  <c:v>0.94837845106264484</c:v>
                </c:pt>
                <c:pt idx="5">
                  <c:v>0.94051013944492201</c:v>
                </c:pt>
                <c:pt idx="6">
                  <c:v>0.94048651902334957</c:v>
                </c:pt>
                <c:pt idx="7">
                  <c:v>0.94015068849662409</c:v>
                </c:pt>
                <c:pt idx="8">
                  <c:v>0.93937178007775857</c:v>
                </c:pt>
                <c:pt idx="9">
                  <c:v>0.91150134233836622</c:v>
                </c:pt>
                <c:pt idx="10">
                  <c:v>0.8913618159212422</c:v>
                </c:pt>
                <c:pt idx="11">
                  <c:v>0.82277150116208952</c:v>
                </c:pt>
                <c:pt idx="12">
                  <c:v>0.80425979252262159</c:v>
                </c:pt>
              </c:numCache>
            </c:numRef>
          </c:val>
          <c:extLst>
            <c:ext xmlns:c16="http://schemas.microsoft.com/office/drawing/2014/chart" uri="{C3380CC4-5D6E-409C-BE32-E72D297353CC}">
              <c16:uniqueId val="{00000000-1781-446A-A3C1-1FDA49979B4A}"/>
            </c:ext>
          </c:extLst>
        </c:ser>
        <c:ser>
          <c:idx val="1"/>
          <c:order val="1"/>
          <c:tx>
            <c:strRef>
              <c:f>'Charts - delete'!$K$374</c:f>
              <c:strCache>
                <c:ptCount val="1"/>
                <c:pt idx="0">
                  <c:v>Gas emissions</c:v>
                </c:pt>
              </c:strCache>
            </c:strRef>
          </c:tx>
          <c:spPr>
            <a:solidFill>
              <a:srgbClr val="00B0F0"/>
            </a:solidFill>
            <a:ln>
              <a:noFill/>
            </a:ln>
            <a:effectLst/>
          </c:spPr>
          <c:invertIfNegative val="0"/>
          <c:cat>
            <c:strRef>
              <c:f>'Charts - delete'!$I$375:$I$387</c:f>
              <c:strCache>
                <c:ptCount val="13"/>
                <c:pt idx="0">
                  <c:v>Parking</c:v>
                </c:pt>
                <c:pt idx="1">
                  <c:v>Unoccupied</c:v>
                </c:pt>
                <c:pt idx="2">
                  <c:v>Transport</c:v>
                </c:pt>
                <c:pt idx="3">
                  <c:v>Other</c:v>
                </c:pt>
                <c:pt idx="4">
                  <c:v>Retail</c:v>
                </c:pt>
                <c:pt idx="5">
                  <c:v>Entertainment/recreation</c:v>
                </c:pt>
                <c:pt idx="6">
                  <c:v>Community/public use</c:v>
                </c:pt>
                <c:pt idx="7">
                  <c:v>Manufacturing/light industrial</c:v>
                </c:pt>
                <c:pt idx="8">
                  <c:v>Education</c:v>
                </c:pt>
                <c:pt idx="9">
                  <c:v>Commercial accommodation</c:v>
                </c:pt>
                <c:pt idx="10">
                  <c:v>Office</c:v>
                </c:pt>
                <c:pt idx="11">
                  <c:v>Residential</c:v>
                </c:pt>
                <c:pt idx="12">
                  <c:v>Hospitals/healthcare</c:v>
                </c:pt>
              </c:strCache>
            </c:strRef>
          </c:cat>
          <c:val>
            <c:numRef>
              <c:f>'Charts - delete'!$K$375:$K$387</c:f>
              <c:numCache>
                <c:formatCode>0%</c:formatCode>
                <c:ptCount val="13"/>
                <c:pt idx="0">
                  <c:v>0</c:v>
                </c:pt>
                <c:pt idx="1">
                  <c:v>0</c:v>
                </c:pt>
                <c:pt idx="2">
                  <c:v>4.807553639670413E-3</c:v>
                </c:pt>
                <c:pt idx="3">
                  <c:v>6.7929869432259721E-3</c:v>
                </c:pt>
                <c:pt idx="4">
                  <c:v>5.1621548937355106E-2</c:v>
                </c:pt>
                <c:pt idx="5">
                  <c:v>5.9489860555078017E-2</c:v>
                </c:pt>
                <c:pt idx="6">
                  <c:v>5.9513480976650456E-2</c:v>
                </c:pt>
                <c:pt idx="7">
                  <c:v>5.9849311503375899E-2</c:v>
                </c:pt>
                <c:pt idx="8">
                  <c:v>6.0628219922241405E-2</c:v>
                </c:pt>
                <c:pt idx="9">
                  <c:v>8.8498657661633826E-2</c:v>
                </c:pt>
                <c:pt idx="10">
                  <c:v>0.10863818407875778</c:v>
                </c:pt>
                <c:pt idx="11">
                  <c:v>0.17722849883791042</c:v>
                </c:pt>
                <c:pt idx="12">
                  <c:v>0.19574020747737844</c:v>
                </c:pt>
              </c:numCache>
            </c:numRef>
          </c:val>
          <c:extLst>
            <c:ext xmlns:c16="http://schemas.microsoft.com/office/drawing/2014/chart" uri="{C3380CC4-5D6E-409C-BE32-E72D297353CC}">
              <c16:uniqueId val="{00000001-1781-446A-A3C1-1FDA49979B4A}"/>
            </c:ext>
          </c:extLst>
        </c:ser>
        <c:dLbls>
          <c:showLegendKey val="0"/>
          <c:showVal val="0"/>
          <c:showCatName val="0"/>
          <c:showSerName val="0"/>
          <c:showPercent val="0"/>
          <c:showBubbleSize val="0"/>
        </c:dLbls>
        <c:gapWidth val="150"/>
        <c:overlap val="100"/>
        <c:axId val="1161574559"/>
        <c:axId val="1161571199"/>
      </c:barChart>
      <c:catAx>
        <c:axId val="116157455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61571199"/>
        <c:crosses val="autoZero"/>
        <c:auto val="1"/>
        <c:lblAlgn val="ctr"/>
        <c:lblOffset val="100"/>
        <c:noMultiLvlLbl val="0"/>
      </c:catAx>
      <c:valAx>
        <c:axId val="1161571199"/>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6157455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5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1"/>
          <c:order val="0"/>
          <c:tx>
            <c:strRef>
              <c:f>'Top-down matching'!$AY$74</c:f>
              <c:strCache>
                <c:ptCount val="1"/>
                <c:pt idx="0">
                  <c:v>Outlier manufacturing</c:v>
                </c:pt>
              </c:strCache>
            </c:strRef>
          </c:tx>
          <c:spPr>
            <a:solidFill>
              <a:schemeClr val="accent2"/>
            </a:solidFill>
            <a:ln>
              <a:noFill/>
            </a:ln>
            <a:effectLst/>
          </c:spPr>
          <c:invertIfNegative val="0"/>
          <c:dLbls>
            <c:dLbl>
              <c:idx val="0"/>
              <c:layout>
                <c:manualLayout>
                  <c:x val="0.27464338939748778"/>
                  <c:y val="1.1041589988958409E-2"/>
                </c:manualLayout>
              </c:layout>
              <c:showLegendKey val="0"/>
              <c:showVal val="1"/>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00-5353-4078-813D-F52A5029392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'Top-down matching'!$AZ$74</c:f>
              <c:numCache>
                <c:formatCode>_-* #,##0_-;\-* #,##0_-;_-* "-"??_-;_-@_-</c:formatCode>
                <c:ptCount val="1"/>
                <c:pt idx="0">
                  <c:v>265</c:v>
                </c:pt>
              </c:numCache>
            </c:numRef>
          </c:val>
          <c:extLst>
            <c:ext xmlns:c16="http://schemas.microsoft.com/office/drawing/2014/chart" uri="{C3380CC4-5D6E-409C-BE32-E72D297353CC}">
              <c16:uniqueId val="{00000001-5353-4078-813D-F52A50293920}"/>
            </c:ext>
          </c:extLst>
        </c:ser>
        <c:ser>
          <c:idx val="2"/>
          <c:order val="1"/>
          <c:tx>
            <c:strRef>
              <c:f>'Top-down matching'!$AY$75</c:f>
              <c:strCache>
                <c:ptCount val="1"/>
                <c:pt idx="0">
                  <c:v>Public transport</c:v>
                </c:pt>
              </c:strCache>
            </c:strRef>
          </c:tx>
          <c:spPr>
            <a:solidFill>
              <a:schemeClr val="accent3"/>
            </a:solidFill>
            <a:ln>
              <a:noFill/>
            </a:ln>
            <a:effectLst/>
          </c:spPr>
          <c:invertIfNegative val="0"/>
          <c:dLbls>
            <c:dLbl>
              <c:idx val="0"/>
              <c:layout>
                <c:manualLayout>
                  <c:x val="0.28528848200979362"/>
                  <c:y val="-3.6805299963195036E-3"/>
                </c:manualLayout>
              </c:layout>
              <c:showLegendKey val="0"/>
              <c:showVal val="1"/>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02-5353-4078-813D-F52A5029392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'Top-down matching'!$AZ$75</c:f>
              <c:numCache>
                <c:formatCode>_-* #,##0_-;\-* #,##0_-;_-* "-"??_-;_-@_-</c:formatCode>
                <c:ptCount val="1"/>
                <c:pt idx="0">
                  <c:v>362</c:v>
                </c:pt>
              </c:numCache>
            </c:numRef>
          </c:val>
          <c:extLst>
            <c:ext xmlns:c16="http://schemas.microsoft.com/office/drawing/2014/chart" uri="{C3380CC4-5D6E-409C-BE32-E72D297353CC}">
              <c16:uniqueId val="{00000003-5353-4078-813D-F52A50293920}"/>
            </c:ext>
          </c:extLst>
        </c:ser>
        <c:ser>
          <c:idx val="3"/>
          <c:order val="2"/>
          <c:tx>
            <c:strRef>
              <c:f>'Top-down matching'!$AY$76</c:f>
              <c:strCache>
                <c:ptCount val="1"/>
                <c:pt idx="0">
                  <c:v>Unnacounted</c:v>
                </c:pt>
              </c:strCache>
            </c:strRef>
          </c:tx>
          <c:spPr>
            <a:solidFill>
              <a:schemeClr val="accent4"/>
            </a:solidFill>
            <a:ln>
              <a:noFill/>
            </a:ln>
            <a:effectLst/>
          </c:spPr>
          <c:invertIfNegative val="0"/>
          <c:dLbls>
            <c:dLbl>
              <c:idx val="0"/>
              <c:layout>
                <c:manualLayout>
                  <c:x val="0.27677240791994906"/>
                  <c:y val="0"/>
                </c:manualLayout>
              </c:layout>
              <c:showLegendKey val="0"/>
              <c:showVal val="1"/>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04-5353-4078-813D-F52A5029392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1"/>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'Top-down matching'!$AZ$76</c:f>
              <c:numCache>
                <c:formatCode>_-* #,##0_-;\-* #,##0_-;_-* "-"??_-;_-@_-</c:formatCode>
                <c:ptCount val="1"/>
                <c:pt idx="0">
                  <c:v>350</c:v>
                </c:pt>
              </c:numCache>
            </c:numRef>
          </c:val>
          <c:extLst>
            <c:ext xmlns:c16="http://schemas.microsoft.com/office/drawing/2014/chart" uri="{C3380CC4-5D6E-409C-BE32-E72D297353CC}">
              <c16:uniqueId val="{00000005-5353-4078-813D-F52A50293920}"/>
            </c:ext>
          </c:extLst>
        </c:ser>
        <c:dLbls>
          <c:showLegendKey val="0"/>
          <c:showVal val="0"/>
          <c:showCatName val="0"/>
          <c:showSerName val="0"/>
          <c:showPercent val="0"/>
          <c:showBubbleSize val="0"/>
        </c:dLbls>
        <c:gapWidth val="150"/>
        <c:overlap val="100"/>
        <c:axId val="1650093520"/>
        <c:axId val="1650076240"/>
      </c:barChart>
      <c:catAx>
        <c:axId val="1650093520"/>
        <c:scaling>
          <c:orientation val="minMax"/>
        </c:scaling>
        <c:delete val="1"/>
        <c:axPos val="b"/>
        <c:numFmt formatCode="General" sourceLinked="1"/>
        <c:majorTickMark val="none"/>
        <c:minorTickMark val="none"/>
        <c:tickLblPos val="nextTo"/>
        <c:crossAx val="1650076240"/>
        <c:crosses val="autoZero"/>
        <c:auto val="1"/>
        <c:lblAlgn val="ctr"/>
        <c:lblOffset val="100"/>
        <c:noMultiLvlLbl val="0"/>
      </c:catAx>
      <c:valAx>
        <c:axId val="1650076240"/>
        <c:scaling>
          <c:orientation val="minMax"/>
          <c:max val="1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TJ</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_-* #,##0_-;\-* #,##0_-;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5009352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0"/>
          <c:spPr>
            <a:solidFill>
              <a:schemeClr val="accent2"/>
            </a:solidFill>
            <a:ln>
              <a:noFill/>
            </a:ln>
            <a:effectLst/>
          </c:spPr>
          <c:invertIfNegative val="0"/>
          <c:cat>
            <c:numRef>
              <c:f>Sheet16!$B$39:$B$53</c:f>
              <c:numCache>
                <c:formatCode>General</c:formatCode>
                <c:ptCount val="15"/>
                <c:pt idx="0">
                  <c:v>3000</c:v>
                </c:pt>
                <c:pt idx="1">
                  <c:v>3002</c:v>
                </c:pt>
                <c:pt idx="2">
                  <c:v>3003</c:v>
                </c:pt>
                <c:pt idx="3">
                  <c:v>3004</c:v>
                </c:pt>
                <c:pt idx="4">
                  <c:v>3006</c:v>
                </c:pt>
                <c:pt idx="5">
                  <c:v>3008</c:v>
                </c:pt>
                <c:pt idx="6">
                  <c:v>3010</c:v>
                </c:pt>
                <c:pt idx="7">
                  <c:v>3031</c:v>
                </c:pt>
                <c:pt idx="8">
                  <c:v>3032</c:v>
                </c:pt>
                <c:pt idx="9">
                  <c:v>3051</c:v>
                </c:pt>
                <c:pt idx="10">
                  <c:v>3052</c:v>
                </c:pt>
                <c:pt idx="11">
                  <c:v>3053</c:v>
                </c:pt>
                <c:pt idx="12">
                  <c:v>3054</c:v>
                </c:pt>
                <c:pt idx="13">
                  <c:v>3141</c:v>
                </c:pt>
                <c:pt idx="14">
                  <c:v>3207</c:v>
                </c:pt>
              </c:numCache>
            </c:numRef>
          </c:cat>
          <c:val>
            <c:numRef>
              <c:f>Sheet16!$C$39:$C$53</c:f>
              <c:numCache>
                <c:formatCode>General</c:formatCode>
                <c:ptCount val="15"/>
                <c:pt idx="0">
                  <c:v>8.3260207190737354</c:v>
                </c:pt>
                <c:pt idx="1">
                  <c:v>2.5005500550055006</c:v>
                </c:pt>
                <c:pt idx="2">
                  <c:v>2.0800727934485894</c:v>
                </c:pt>
                <c:pt idx="3">
                  <c:v>4.6117647058823525</c:v>
                </c:pt>
                <c:pt idx="4">
                  <c:v>11.580524344569289</c:v>
                </c:pt>
                <c:pt idx="5">
                  <c:v>6.5594594594594593</c:v>
                </c:pt>
                <c:pt idx="6">
                  <c:v>4.568965517241379</c:v>
                </c:pt>
                <c:pt idx="7">
                  <c:v>1.6289326668626873</c:v>
                </c:pt>
                <c:pt idx="8">
                  <c:v>1.3333333333333333</c:v>
                </c:pt>
                <c:pt idx="9">
                  <c:v>1.8824833702882484</c:v>
                </c:pt>
                <c:pt idx="10">
                  <c:v>2.0188902007083827</c:v>
                </c:pt>
                <c:pt idx="11">
                  <c:v>2.2565880721220526</c:v>
                </c:pt>
                <c:pt idx="12">
                  <c:v>1.3</c:v>
                </c:pt>
                <c:pt idx="13">
                  <c:v>2.0616352201257864</c:v>
                </c:pt>
                <c:pt idx="14">
                  <c:v>1.8208955223880596</c:v>
                </c:pt>
              </c:numCache>
            </c:numRef>
          </c:val>
          <c:extLst>
            <c:ext xmlns:c16="http://schemas.microsoft.com/office/drawing/2014/chart" uri="{C3380CC4-5D6E-409C-BE32-E72D297353CC}">
              <c16:uniqueId val="{00000000-B1BA-4B3A-8F37-93FEDF876BE0}"/>
            </c:ext>
          </c:extLst>
        </c:ser>
        <c:dLbls>
          <c:showLegendKey val="0"/>
          <c:showVal val="0"/>
          <c:showCatName val="0"/>
          <c:showSerName val="0"/>
          <c:showPercent val="0"/>
          <c:showBubbleSize val="0"/>
        </c:dLbls>
        <c:gapWidth val="219"/>
        <c:overlap val="-27"/>
        <c:axId val="1409048640"/>
        <c:axId val="1409056800"/>
      </c:barChart>
      <c:catAx>
        <c:axId val="14090486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09056800"/>
        <c:crosses val="autoZero"/>
        <c:auto val="1"/>
        <c:lblAlgn val="ctr"/>
        <c:lblOffset val="100"/>
        <c:noMultiLvlLbl val="0"/>
      </c:catAx>
      <c:valAx>
        <c:axId val="140905680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No. of Floors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0904864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F4E4-4F7C-A2C5-045DD790042C}"/>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F4E4-4F7C-A2C5-045DD790042C}"/>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F4E4-4F7C-A2C5-045DD790042C}"/>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F4E4-4F7C-A2C5-045DD790042C}"/>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F4E4-4F7C-A2C5-045DD790042C}"/>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F4E4-4F7C-A2C5-045DD790042C}"/>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F4E4-4F7C-A2C5-045DD790042C}"/>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F4E4-4F7C-A2C5-045DD790042C}"/>
              </c:ext>
            </c:extLst>
          </c:dPt>
          <c:dPt>
            <c:idx val="8"/>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1-F4E4-4F7C-A2C5-045DD790042C}"/>
              </c:ext>
            </c:extLst>
          </c:dPt>
          <c:dPt>
            <c:idx val="9"/>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13-F4E4-4F7C-A2C5-045DD790042C}"/>
              </c:ext>
            </c:extLst>
          </c:dPt>
          <c:dPt>
            <c:idx val="10"/>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15-F4E4-4F7C-A2C5-045DD790042C}"/>
              </c:ext>
            </c:extLst>
          </c:dPt>
          <c:dPt>
            <c:idx val="11"/>
            <c:bubble3D val="0"/>
            <c:spPr>
              <a:solidFill>
                <a:schemeClr val="accent6">
                  <a:lumMod val="60000"/>
                </a:schemeClr>
              </a:solidFill>
              <a:ln w="19050">
                <a:solidFill>
                  <a:schemeClr val="lt1"/>
                </a:solidFill>
              </a:ln>
              <a:effectLst/>
            </c:spPr>
            <c:extLst>
              <c:ext xmlns:c16="http://schemas.microsoft.com/office/drawing/2014/chart" uri="{C3380CC4-5D6E-409C-BE32-E72D297353CC}">
                <c16:uniqueId val="{00000017-F4E4-4F7C-A2C5-045DD790042C}"/>
              </c:ext>
            </c:extLst>
          </c:dPt>
          <c:dLbls>
            <c:dLbl>
              <c:idx val="0"/>
              <c:layout>
                <c:manualLayout>
                  <c:x val="1.5981955380577426E-2"/>
                  <c:y val="-7.7754811898512688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4E4-4F7C-A2C5-045DD790042C}"/>
                </c:ext>
              </c:extLst>
            </c:dLbl>
            <c:dLbl>
              <c:idx val="1"/>
              <c:layout>
                <c:manualLayout>
                  <c:x val="-1.2361111111111111E-2"/>
                  <c:y val="6.1019976669582972E-3"/>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4E4-4F7C-A2C5-045DD790042C}"/>
                </c:ext>
              </c:extLst>
            </c:dLbl>
            <c:dLbl>
              <c:idx val="2"/>
              <c:layout>
                <c:manualLayout>
                  <c:x val="1.4097691340495006E-3"/>
                  <c:y val="-2.7918850569210764E-3"/>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4E4-4F7C-A2C5-045DD790042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numRef>
              <c:f>'Charts - delete'!$AI$6:$AI$17</c:f>
              <c:numCache>
                <c:formatCode>General</c:formatCode>
                <c:ptCount val="12"/>
                <c:pt idx="0">
                  <c:v>3000</c:v>
                </c:pt>
                <c:pt idx="1">
                  <c:v>3008</c:v>
                </c:pt>
                <c:pt idx="2">
                  <c:v>3006</c:v>
                </c:pt>
                <c:pt idx="3">
                  <c:v>3002</c:v>
                </c:pt>
                <c:pt idx="4">
                  <c:v>3207</c:v>
                </c:pt>
                <c:pt idx="5">
                  <c:v>3053</c:v>
                </c:pt>
                <c:pt idx="6">
                  <c:v>3004</c:v>
                </c:pt>
                <c:pt idx="7">
                  <c:v>3051</c:v>
                </c:pt>
                <c:pt idx="8">
                  <c:v>3003</c:v>
                </c:pt>
                <c:pt idx="9">
                  <c:v>3031</c:v>
                </c:pt>
                <c:pt idx="10">
                  <c:v>3052</c:v>
                </c:pt>
                <c:pt idx="11">
                  <c:v>3010</c:v>
                </c:pt>
              </c:numCache>
            </c:numRef>
          </c:cat>
          <c:val>
            <c:numRef>
              <c:f>'Charts - delete'!$AJ$6:$AJ$17</c:f>
              <c:numCache>
                <c:formatCode>_-* #,##0_-;\-* #,##0_-;_-* "-"??_-;_-@_-</c:formatCode>
                <c:ptCount val="12"/>
                <c:pt idx="0">
                  <c:v>4532678.593733266</c:v>
                </c:pt>
                <c:pt idx="1">
                  <c:v>1588641.7795544064</c:v>
                </c:pt>
                <c:pt idx="2">
                  <c:v>567073.74018382956</c:v>
                </c:pt>
                <c:pt idx="3">
                  <c:v>290967.34677817806</c:v>
                </c:pt>
                <c:pt idx="4">
                  <c:v>283533.61573612294</c:v>
                </c:pt>
                <c:pt idx="5">
                  <c:v>202745.69996222341</c:v>
                </c:pt>
                <c:pt idx="6">
                  <c:v>191169.84989696514</c:v>
                </c:pt>
                <c:pt idx="7">
                  <c:v>133921.21562489809</c:v>
                </c:pt>
                <c:pt idx="8">
                  <c:v>118730.93046542874</c:v>
                </c:pt>
                <c:pt idx="9">
                  <c:v>51859.857509093279</c:v>
                </c:pt>
                <c:pt idx="10">
                  <c:v>34660.070132741406</c:v>
                </c:pt>
                <c:pt idx="11">
                  <c:v>21423.310339162181</c:v>
                </c:pt>
              </c:numCache>
            </c:numRef>
          </c:val>
          <c:extLst>
            <c:ext xmlns:c16="http://schemas.microsoft.com/office/drawing/2014/chart" uri="{C3380CC4-5D6E-409C-BE32-E72D297353CC}">
              <c16:uniqueId val="{00000018-F4E4-4F7C-A2C5-045DD790042C}"/>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Sheet16!$F$82</c:f>
              <c:strCache>
                <c:ptCount val="1"/>
                <c:pt idx="0">
                  <c:v>Number of buildings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Sheet16!$E$83:$E$89</c:f>
              <c:strCache>
                <c:ptCount val="7"/>
                <c:pt idx="0">
                  <c:v>0 - 1,000 m2</c:v>
                </c:pt>
                <c:pt idx="1">
                  <c:v>1,000 - 5,000 m2</c:v>
                </c:pt>
                <c:pt idx="2">
                  <c:v>5,000 - 10,000 m2</c:v>
                </c:pt>
                <c:pt idx="3">
                  <c:v>10,000 - 20,000 m2</c:v>
                </c:pt>
                <c:pt idx="4">
                  <c:v>20,000 - 40,000 m2</c:v>
                </c:pt>
                <c:pt idx="5">
                  <c:v>40,000 - 60,000 m2</c:v>
                </c:pt>
                <c:pt idx="6">
                  <c:v>60,000+ m2</c:v>
                </c:pt>
              </c:strCache>
            </c:strRef>
          </c:cat>
          <c:val>
            <c:numRef>
              <c:f>Sheet16!$F$83:$F$89</c:f>
              <c:numCache>
                <c:formatCode>General</c:formatCode>
                <c:ptCount val="7"/>
                <c:pt idx="0">
                  <c:v>939</c:v>
                </c:pt>
                <c:pt idx="1">
                  <c:v>376</c:v>
                </c:pt>
                <c:pt idx="2">
                  <c:v>99</c:v>
                </c:pt>
                <c:pt idx="3">
                  <c:v>73</c:v>
                </c:pt>
                <c:pt idx="4">
                  <c:v>47</c:v>
                </c:pt>
                <c:pt idx="5">
                  <c:v>31</c:v>
                </c:pt>
                <c:pt idx="6">
                  <c:v>29</c:v>
                </c:pt>
              </c:numCache>
            </c:numRef>
          </c:val>
          <c:extLst>
            <c:ext xmlns:c16="http://schemas.microsoft.com/office/drawing/2014/chart" uri="{C3380CC4-5D6E-409C-BE32-E72D297353CC}">
              <c16:uniqueId val="{00000000-776D-4C4F-9275-B17A0CE697BB}"/>
            </c:ext>
          </c:extLst>
        </c:ser>
        <c:dLbls>
          <c:showLegendKey val="0"/>
          <c:showVal val="0"/>
          <c:showCatName val="0"/>
          <c:showSerName val="0"/>
          <c:showPercent val="0"/>
          <c:showBubbleSize val="0"/>
        </c:dLbls>
        <c:gapWidth val="150"/>
        <c:axId val="158975375"/>
        <c:axId val="158972975"/>
      </c:barChart>
      <c:lineChart>
        <c:grouping val="standard"/>
        <c:varyColors val="0"/>
        <c:ser>
          <c:idx val="1"/>
          <c:order val="1"/>
          <c:tx>
            <c:strRef>
              <c:f>Sheet16!$G$82</c:f>
              <c:strCache>
                <c:ptCount val="1"/>
                <c:pt idx="0">
                  <c:v>Floorspace of buildings</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Sheet16!$E$83:$E$89</c:f>
              <c:strCache>
                <c:ptCount val="7"/>
                <c:pt idx="0">
                  <c:v>0 - 1,000 m2</c:v>
                </c:pt>
                <c:pt idx="1">
                  <c:v>1,000 - 5,000 m2</c:v>
                </c:pt>
                <c:pt idx="2">
                  <c:v>5,000 - 10,000 m2</c:v>
                </c:pt>
                <c:pt idx="3">
                  <c:v>10,000 - 20,000 m2</c:v>
                </c:pt>
                <c:pt idx="4">
                  <c:v>20,000 - 40,000 m2</c:v>
                </c:pt>
                <c:pt idx="5">
                  <c:v>40,000 - 60,000 m2</c:v>
                </c:pt>
                <c:pt idx="6">
                  <c:v>60,000+ m2</c:v>
                </c:pt>
              </c:strCache>
            </c:strRef>
          </c:cat>
          <c:val>
            <c:numRef>
              <c:f>Sheet16!$G$83:$G$89</c:f>
              <c:numCache>
                <c:formatCode>_-* #,##0_-;\-* #,##0_-;_-* "-"??_-;_-@_-</c:formatCode>
                <c:ptCount val="7"/>
                <c:pt idx="0">
                  <c:v>312286.68004886713</c:v>
                </c:pt>
                <c:pt idx="1">
                  <c:v>837816.43436845206</c:v>
                </c:pt>
                <c:pt idx="2">
                  <c:v>701050.72167832404</c:v>
                </c:pt>
                <c:pt idx="3">
                  <c:v>992191.67296048813</c:v>
                </c:pt>
                <c:pt idx="4">
                  <c:v>1264769.5876635313</c:v>
                </c:pt>
                <c:pt idx="5">
                  <c:v>1498729.4572563707</c:v>
                </c:pt>
                <c:pt idx="6">
                  <c:v>2418370.6127946996</c:v>
                </c:pt>
              </c:numCache>
            </c:numRef>
          </c:val>
          <c:smooth val="0"/>
          <c:extLst>
            <c:ext xmlns:c16="http://schemas.microsoft.com/office/drawing/2014/chart" uri="{C3380CC4-5D6E-409C-BE32-E72D297353CC}">
              <c16:uniqueId val="{00000001-776D-4C4F-9275-B17A0CE697BB}"/>
            </c:ext>
          </c:extLst>
        </c:ser>
        <c:dLbls>
          <c:showLegendKey val="0"/>
          <c:showVal val="0"/>
          <c:showCatName val="0"/>
          <c:showSerName val="0"/>
          <c:showPercent val="0"/>
          <c:showBubbleSize val="0"/>
        </c:dLbls>
        <c:marker val="1"/>
        <c:smooth val="0"/>
        <c:axId val="1558296495"/>
        <c:axId val="1558307535"/>
      </c:lineChart>
      <c:catAx>
        <c:axId val="158975375"/>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Building office floor area class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8972975"/>
        <c:crosses val="autoZero"/>
        <c:auto val="1"/>
        <c:lblAlgn val="ctr"/>
        <c:lblOffset val="100"/>
        <c:noMultiLvlLbl val="0"/>
      </c:catAx>
      <c:valAx>
        <c:axId val="15897297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Count of Buildings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8975375"/>
        <c:crosses val="autoZero"/>
        <c:crossBetween val="between"/>
      </c:valAx>
      <c:valAx>
        <c:axId val="1558307535"/>
        <c:scaling>
          <c:orientation val="minMax"/>
        </c:scaling>
        <c:delete val="0"/>
        <c:axPos val="r"/>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Total floor area (m2)</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_-* #,##0_-;\-* #,##0_-;_-* &quot;-&quot;??_-;_-@_-"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58296495"/>
        <c:crosses val="max"/>
        <c:crossBetween val="between"/>
      </c:valAx>
      <c:catAx>
        <c:axId val="1558296495"/>
        <c:scaling>
          <c:orientation val="minMax"/>
        </c:scaling>
        <c:delete val="1"/>
        <c:axPos val="b"/>
        <c:numFmt formatCode="General" sourceLinked="1"/>
        <c:majorTickMark val="out"/>
        <c:minorTickMark val="none"/>
        <c:tickLblPos val="nextTo"/>
        <c:crossAx val="1558307535"/>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Sheet16!$P$192:$T$192</c:f>
              <c:strCache>
                <c:ptCount val="5"/>
                <c:pt idx="0">
                  <c:v>Total ever rated</c:v>
                </c:pt>
                <c:pt idx="1">
                  <c:v>Ever rated - base building</c:v>
                </c:pt>
                <c:pt idx="2">
                  <c:v>Ever rated - whole building</c:v>
                </c:pt>
                <c:pt idx="3">
                  <c:v>Ever rated - tenancy only</c:v>
                </c:pt>
                <c:pt idx="4">
                  <c:v>Currently disclosed through CBD</c:v>
                </c:pt>
              </c:strCache>
            </c:strRef>
          </c:cat>
          <c:val>
            <c:numRef>
              <c:f>Sheet16!$P$193:$T$193</c:f>
              <c:numCache>
                <c:formatCode>General</c:formatCode>
                <c:ptCount val="5"/>
                <c:pt idx="0">
                  <c:v>379</c:v>
                </c:pt>
                <c:pt idx="1">
                  <c:v>235</c:v>
                </c:pt>
                <c:pt idx="2">
                  <c:v>114</c:v>
                </c:pt>
                <c:pt idx="3">
                  <c:v>30</c:v>
                </c:pt>
                <c:pt idx="4">
                  <c:v>162</c:v>
                </c:pt>
              </c:numCache>
            </c:numRef>
          </c:val>
          <c:extLst>
            <c:ext xmlns:c16="http://schemas.microsoft.com/office/drawing/2014/chart" uri="{C3380CC4-5D6E-409C-BE32-E72D297353CC}">
              <c16:uniqueId val="{00000000-4848-4D1C-B5C2-3404714794A5}"/>
            </c:ext>
          </c:extLst>
        </c:ser>
        <c:dLbls>
          <c:showLegendKey val="0"/>
          <c:showVal val="0"/>
          <c:showCatName val="0"/>
          <c:showSerName val="0"/>
          <c:showPercent val="0"/>
          <c:showBubbleSize val="0"/>
        </c:dLbls>
        <c:gapWidth val="219"/>
        <c:overlap val="-27"/>
        <c:axId val="144375487"/>
        <c:axId val="144377887"/>
      </c:barChart>
      <c:catAx>
        <c:axId val="14437548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4377887"/>
        <c:crosses val="autoZero"/>
        <c:auto val="1"/>
        <c:lblAlgn val="ctr"/>
        <c:lblOffset val="100"/>
        <c:noMultiLvlLbl val="0"/>
      </c:catAx>
      <c:valAx>
        <c:axId val="14437788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Count</a:t>
                </a:r>
                <a:r>
                  <a:rPr lang="en-AU" baseline="0"/>
                  <a:t> of Buildings</a:t>
                </a:r>
                <a:endParaRPr lang="en-AU"/>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437548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8.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9.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0.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7.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8.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9.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0.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8.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9.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C111B9-54F1-41B9-BC40-FD762855F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92</Pages>
  <Words>21985</Words>
  <Characters>125317</Characters>
  <Application>Microsoft Office Word</Application>
  <DocSecurity>0</DocSecurity>
  <Lines>1044</Lines>
  <Paragraphs>294</Paragraphs>
  <ScaleCrop>false</ScaleCrop>
  <LinksUpToDate>false</LinksUpToDate>
  <CharactersWithSpaces>147008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2024-11-14T03:46:00Z</dcterms:created>
  <dcterms:modified xsi:type="dcterms:W3CDTF">2024-11-14T03:46:00Z</dcterms:modified>
</cp:coreProperties>
</file>