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737A99" w:rsidRPr="005814F5" w:rsidRDefault="0091365A" w:rsidP="00020B35">
      <w:pPr>
        <w:spacing w:after="0"/>
        <w:jc w:val="right"/>
      </w:pPr>
      <w:r>
        <w:rPr>
          <w:noProof/>
          <w:lang w:eastAsia="en-AU"/>
        </w:rPr>
        <w:drawing>
          <wp:inline distT="0" distB="0" distL="0" distR="0" wp14:anchorId="5A95050F" wp14:editId="07777777">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14:paraId="02625F96" w14:textId="77777777" w:rsidR="00756954" w:rsidRDefault="00756954" w:rsidP="00756954">
      <w:pPr>
        <w:pStyle w:val="DocumentTitle"/>
        <w:spacing w:before="3360"/>
      </w:pPr>
      <w:r>
        <w:t>City of Melbourne – Melbourne Economy Snapshot</w:t>
      </w:r>
    </w:p>
    <w:p w14:paraId="5A64C0C1" w14:textId="21EC9F3F" w:rsidR="00756954" w:rsidRDefault="00151C6A" w:rsidP="00756954">
      <w:pPr>
        <w:pStyle w:val="Subtitle"/>
      </w:pPr>
      <w:r>
        <w:t xml:space="preserve">Number </w:t>
      </w:r>
      <w:r w:rsidR="003C49CE">
        <w:t>7</w:t>
      </w:r>
      <w:r>
        <w:t xml:space="preserve">, </w:t>
      </w:r>
      <w:r w:rsidR="003C49CE">
        <w:t>September</w:t>
      </w:r>
      <w:r w:rsidR="123C9FDF">
        <w:t xml:space="preserve"> </w:t>
      </w:r>
      <w:r w:rsidR="00756954">
        <w:t>202</w:t>
      </w:r>
      <w:r w:rsidR="14F93311">
        <w:t>4</w:t>
      </w:r>
    </w:p>
    <w:p w14:paraId="3E231827" w14:textId="528945F3" w:rsidR="00423541" w:rsidRDefault="00756954" w:rsidP="00756954">
      <w:r>
        <w:t>DISCLAIMER:</w:t>
      </w:r>
      <w:r w:rsidR="002F646F">
        <w:t xml:space="preserve"> </w:t>
      </w:r>
      <w:r w:rsidR="002F646F" w:rsidRPr="002F646F">
        <w:t>This information is correct at the time of publication. It is the responsibility of any individual to check the accuracy of this data if it is republished or presented at a future time.</w:t>
      </w:r>
    </w:p>
    <w:p w14:paraId="0A37501D" w14:textId="77777777" w:rsidR="00423541" w:rsidRDefault="00423541">
      <w:pPr>
        <w:spacing w:after="0" w:line="240" w:lineRule="auto"/>
      </w:pPr>
      <w:r>
        <w:br w:type="page"/>
      </w:r>
    </w:p>
    <w:sdt>
      <w:sdtPr>
        <w:rPr>
          <w:rFonts w:ascii="Arial" w:eastAsia="MS Mincho" w:hAnsi="Arial"/>
          <w:sz w:val="20"/>
          <w:szCs w:val="24"/>
          <w:lang w:val="en-AU"/>
        </w:rPr>
        <w:id w:val="1797803728"/>
        <w:docPartObj>
          <w:docPartGallery w:val="Table of Contents"/>
          <w:docPartUnique/>
        </w:docPartObj>
      </w:sdtPr>
      <w:sdtEndPr/>
      <w:sdtContent>
        <w:p w14:paraId="406425CA" w14:textId="77777777" w:rsidR="00756954" w:rsidRDefault="36CF0EF0" w:rsidP="4E54D03C">
          <w:pPr>
            <w:pStyle w:val="TOCHeading"/>
            <w:rPr>
              <w:rFonts w:hint="eastAsia"/>
            </w:rPr>
          </w:pPr>
          <w:r>
            <w:t>Contents</w:t>
          </w:r>
        </w:p>
        <w:p w14:paraId="2260F1F7" w14:textId="1CD683D0" w:rsidR="00E617E0" w:rsidRDefault="00D23D2B">
          <w:pPr>
            <w:pStyle w:val="TOC2"/>
            <w:rPr>
              <w:rFonts w:asciiTheme="minorHAnsi" w:eastAsiaTheme="minorEastAsia" w:hAnsiTheme="minorHAnsi" w:cstheme="minorBidi"/>
              <w:noProof/>
              <w:kern w:val="2"/>
              <w:sz w:val="22"/>
              <w:szCs w:val="22"/>
              <w:lang w:eastAsia="en-AU"/>
              <w14:ligatures w14:val="standardContextual"/>
            </w:rPr>
          </w:pPr>
          <w:r w:rsidRPr="00600AE1">
            <w:rPr>
              <w:sz w:val="18"/>
              <w:szCs w:val="18"/>
            </w:rPr>
            <w:fldChar w:fldCharType="begin"/>
          </w:r>
          <w:r w:rsidR="00D70FFC" w:rsidRPr="00600AE1">
            <w:rPr>
              <w:sz w:val="18"/>
              <w:szCs w:val="18"/>
            </w:rPr>
            <w:instrText>TOC \o "1-3" \h \z \u</w:instrText>
          </w:r>
          <w:r w:rsidRPr="00600AE1">
            <w:rPr>
              <w:sz w:val="18"/>
              <w:szCs w:val="18"/>
            </w:rPr>
            <w:fldChar w:fldCharType="separate"/>
          </w:r>
          <w:hyperlink w:anchor="_Toc175665281" w:history="1">
            <w:r w:rsidR="00E617E0" w:rsidRPr="00EF4E37">
              <w:rPr>
                <w:rStyle w:val="Hyperlink"/>
                <w:noProof/>
              </w:rPr>
              <w:t>Retail shines after dark.</w:t>
            </w:r>
            <w:r w:rsidR="00E617E0">
              <w:rPr>
                <w:noProof/>
                <w:webHidden/>
              </w:rPr>
              <w:tab/>
            </w:r>
            <w:r w:rsidR="00E617E0">
              <w:rPr>
                <w:noProof/>
                <w:webHidden/>
              </w:rPr>
              <w:fldChar w:fldCharType="begin"/>
            </w:r>
            <w:r w:rsidR="00E617E0">
              <w:rPr>
                <w:noProof/>
                <w:webHidden/>
              </w:rPr>
              <w:instrText xml:space="preserve"> PAGEREF _Toc175665281 \h </w:instrText>
            </w:r>
            <w:r w:rsidR="00E617E0">
              <w:rPr>
                <w:noProof/>
                <w:webHidden/>
              </w:rPr>
            </w:r>
            <w:r w:rsidR="00E617E0">
              <w:rPr>
                <w:noProof/>
                <w:webHidden/>
              </w:rPr>
              <w:fldChar w:fldCharType="separate"/>
            </w:r>
            <w:r w:rsidR="00E617E0">
              <w:rPr>
                <w:noProof/>
                <w:webHidden/>
              </w:rPr>
              <w:t>4</w:t>
            </w:r>
            <w:r w:rsidR="00E617E0">
              <w:rPr>
                <w:noProof/>
                <w:webHidden/>
              </w:rPr>
              <w:fldChar w:fldCharType="end"/>
            </w:r>
          </w:hyperlink>
        </w:p>
        <w:p w14:paraId="7C2F4A59" w14:textId="2AF2E2A3" w:rsidR="00E617E0" w:rsidRDefault="00B10CC8">
          <w:pPr>
            <w:pStyle w:val="TOC3"/>
            <w:rPr>
              <w:rFonts w:asciiTheme="minorHAnsi" w:eastAsiaTheme="minorEastAsia" w:hAnsiTheme="minorHAnsi" w:cstheme="minorBidi"/>
              <w:noProof/>
              <w:kern w:val="2"/>
              <w:sz w:val="22"/>
              <w:szCs w:val="22"/>
              <w:lang w:eastAsia="en-AU"/>
              <w14:ligatures w14:val="standardContextual"/>
            </w:rPr>
          </w:pPr>
          <w:hyperlink w:anchor="_Toc175665282" w:history="1">
            <w:r w:rsidR="00E617E0" w:rsidRPr="00EF4E37">
              <w:rPr>
                <w:rStyle w:val="Hyperlink"/>
                <w:noProof/>
              </w:rPr>
              <w:t>Table 1 – Weekday activity on Swanston Street near the Melbourne Central sensor is higher between 5pm to 10pm than before 12pm, January to June 2024.</w:t>
            </w:r>
            <w:r w:rsidR="00E617E0">
              <w:rPr>
                <w:noProof/>
                <w:webHidden/>
              </w:rPr>
              <w:tab/>
            </w:r>
            <w:r w:rsidR="00E617E0">
              <w:rPr>
                <w:noProof/>
                <w:webHidden/>
              </w:rPr>
              <w:fldChar w:fldCharType="begin"/>
            </w:r>
            <w:r w:rsidR="00E617E0">
              <w:rPr>
                <w:noProof/>
                <w:webHidden/>
              </w:rPr>
              <w:instrText xml:space="preserve"> PAGEREF _Toc175665282 \h </w:instrText>
            </w:r>
            <w:r w:rsidR="00E617E0">
              <w:rPr>
                <w:noProof/>
                <w:webHidden/>
              </w:rPr>
            </w:r>
            <w:r w:rsidR="00E617E0">
              <w:rPr>
                <w:noProof/>
                <w:webHidden/>
              </w:rPr>
              <w:fldChar w:fldCharType="separate"/>
            </w:r>
            <w:r w:rsidR="00E617E0">
              <w:rPr>
                <w:noProof/>
                <w:webHidden/>
              </w:rPr>
              <w:t>4</w:t>
            </w:r>
            <w:r w:rsidR="00E617E0">
              <w:rPr>
                <w:noProof/>
                <w:webHidden/>
              </w:rPr>
              <w:fldChar w:fldCharType="end"/>
            </w:r>
          </w:hyperlink>
        </w:p>
        <w:p w14:paraId="3D442C52" w14:textId="706AEE36" w:rsidR="00E617E0" w:rsidRDefault="00B10CC8">
          <w:pPr>
            <w:pStyle w:val="TOC3"/>
            <w:rPr>
              <w:rFonts w:asciiTheme="minorHAnsi" w:eastAsiaTheme="minorEastAsia" w:hAnsiTheme="minorHAnsi" w:cstheme="minorBidi"/>
              <w:noProof/>
              <w:kern w:val="2"/>
              <w:sz w:val="22"/>
              <w:szCs w:val="22"/>
              <w:lang w:eastAsia="en-AU"/>
              <w14:ligatures w14:val="standardContextual"/>
            </w:rPr>
          </w:pPr>
          <w:hyperlink w:anchor="_Toc175665283" w:history="1">
            <w:r w:rsidR="00E617E0" w:rsidRPr="00EF4E37">
              <w:rPr>
                <w:rStyle w:val="Hyperlink"/>
                <w:noProof/>
              </w:rPr>
              <w:t>Table 2 – Retail spend is increasing faster during non-work hours than work hours across the city, June 2023 vs June 2024.</w:t>
            </w:r>
            <w:r w:rsidR="00E617E0">
              <w:rPr>
                <w:noProof/>
                <w:webHidden/>
              </w:rPr>
              <w:tab/>
            </w:r>
            <w:r w:rsidR="00E617E0">
              <w:rPr>
                <w:noProof/>
                <w:webHidden/>
              </w:rPr>
              <w:fldChar w:fldCharType="begin"/>
            </w:r>
            <w:r w:rsidR="00E617E0">
              <w:rPr>
                <w:noProof/>
                <w:webHidden/>
              </w:rPr>
              <w:instrText xml:space="preserve"> PAGEREF _Toc175665283 \h </w:instrText>
            </w:r>
            <w:r w:rsidR="00E617E0">
              <w:rPr>
                <w:noProof/>
                <w:webHidden/>
              </w:rPr>
            </w:r>
            <w:r w:rsidR="00E617E0">
              <w:rPr>
                <w:noProof/>
                <w:webHidden/>
              </w:rPr>
              <w:fldChar w:fldCharType="separate"/>
            </w:r>
            <w:r w:rsidR="00E617E0">
              <w:rPr>
                <w:noProof/>
                <w:webHidden/>
              </w:rPr>
              <w:t>5</w:t>
            </w:r>
            <w:r w:rsidR="00E617E0">
              <w:rPr>
                <w:noProof/>
                <w:webHidden/>
              </w:rPr>
              <w:fldChar w:fldCharType="end"/>
            </w:r>
          </w:hyperlink>
        </w:p>
        <w:p w14:paraId="7B652685" w14:textId="6A16405F" w:rsidR="00E617E0" w:rsidRDefault="00B10CC8">
          <w:pPr>
            <w:pStyle w:val="TOC2"/>
            <w:rPr>
              <w:rFonts w:asciiTheme="minorHAnsi" w:eastAsiaTheme="minorEastAsia" w:hAnsiTheme="minorHAnsi" w:cstheme="minorBidi"/>
              <w:noProof/>
              <w:kern w:val="2"/>
              <w:sz w:val="22"/>
              <w:szCs w:val="22"/>
              <w:lang w:eastAsia="en-AU"/>
              <w14:ligatures w14:val="standardContextual"/>
            </w:rPr>
          </w:pPr>
          <w:hyperlink w:anchor="_Toc175665284" w:history="1">
            <w:r w:rsidR="00E617E0" w:rsidRPr="00EF4E37">
              <w:rPr>
                <w:rStyle w:val="Hyperlink"/>
                <w:noProof/>
              </w:rPr>
              <w:t>Night Market heats up.</w:t>
            </w:r>
            <w:r w:rsidR="00E617E0">
              <w:rPr>
                <w:noProof/>
                <w:webHidden/>
              </w:rPr>
              <w:tab/>
            </w:r>
            <w:r w:rsidR="00E617E0">
              <w:rPr>
                <w:noProof/>
                <w:webHidden/>
              </w:rPr>
              <w:fldChar w:fldCharType="begin"/>
            </w:r>
            <w:r w:rsidR="00E617E0">
              <w:rPr>
                <w:noProof/>
                <w:webHidden/>
              </w:rPr>
              <w:instrText xml:space="preserve"> PAGEREF _Toc175665284 \h </w:instrText>
            </w:r>
            <w:r w:rsidR="00E617E0">
              <w:rPr>
                <w:noProof/>
                <w:webHidden/>
              </w:rPr>
            </w:r>
            <w:r w:rsidR="00E617E0">
              <w:rPr>
                <w:noProof/>
                <w:webHidden/>
              </w:rPr>
              <w:fldChar w:fldCharType="separate"/>
            </w:r>
            <w:r w:rsidR="00E617E0">
              <w:rPr>
                <w:noProof/>
                <w:webHidden/>
              </w:rPr>
              <w:t>5</w:t>
            </w:r>
            <w:r w:rsidR="00E617E0">
              <w:rPr>
                <w:noProof/>
                <w:webHidden/>
              </w:rPr>
              <w:fldChar w:fldCharType="end"/>
            </w:r>
          </w:hyperlink>
        </w:p>
        <w:p w14:paraId="7283A942" w14:textId="3F09AD43" w:rsidR="00E617E0" w:rsidRDefault="00B10CC8">
          <w:pPr>
            <w:pStyle w:val="TOC3"/>
            <w:rPr>
              <w:rFonts w:asciiTheme="minorHAnsi" w:eastAsiaTheme="minorEastAsia" w:hAnsiTheme="minorHAnsi" w:cstheme="minorBidi"/>
              <w:noProof/>
              <w:kern w:val="2"/>
              <w:sz w:val="22"/>
              <w:szCs w:val="22"/>
              <w:lang w:eastAsia="en-AU"/>
              <w14:ligatures w14:val="standardContextual"/>
            </w:rPr>
          </w:pPr>
          <w:hyperlink w:anchor="_Toc175665285" w:history="1">
            <w:r w:rsidR="00E617E0" w:rsidRPr="00EF4E37">
              <w:rPr>
                <w:rStyle w:val="Hyperlink"/>
                <w:noProof/>
              </w:rPr>
              <w:t>Table 3 – Activity around the Wednesday Winter Night Market is the busiest it has ever been.</w:t>
            </w:r>
            <w:r w:rsidR="00E617E0">
              <w:rPr>
                <w:noProof/>
                <w:webHidden/>
              </w:rPr>
              <w:tab/>
            </w:r>
            <w:r w:rsidR="00E617E0">
              <w:rPr>
                <w:noProof/>
                <w:webHidden/>
              </w:rPr>
              <w:fldChar w:fldCharType="begin"/>
            </w:r>
            <w:r w:rsidR="00E617E0">
              <w:rPr>
                <w:noProof/>
                <w:webHidden/>
              </w:rPr>
              <w:instrText xml:space="preserve"> PAGEREF _Toc175665285 \h </w:instrText>
            </w:r>
            <w:r w:rsidR="00E617E0">
              <w:rPr>
                <w:noProof/>
                <w:webHidden/>
              </w:rPr>
            </w:r>
            <w:r w:rsidR="00E617E0">
              <w:rPr>
                <w:noProof/>
                <w:webHidden/>
              </w:rPr>
              <w:fldChar w:fldCharType="separate"/>
            </w:r>
            <w:r w:rsidR="00E617E0">
              <w:rPr>
                <w:noProof/>
                <w:webHidden/>
              </w:rPr>
              <w:t>6</w:t>
            </w:r>
            <w:r w:rsidR="00E617E0">
              <w:rPr>
                <w:noProof/>
                <w:webHidden/>
              </w:rPr>
              <w:fldChar w:fldCharType="end"/>
            </w:r>
          </w:hyperlink>
        </w:p>
        <w:p w14:paraId="40014D60" w14:textId="1904F993" w:rsidR="00E617E0" w:rsidRDefault="00B10CC8">
          <w:pPr>
            <w:pStyle w:val="TOC2"/>
            <w:rPr>
              <w:rFonts w:asciiTheme="minorHAnsi" w:eastAsiaTheme="minorEastAsia" w:hAnsiTheme="minorHAnsi" w:cstheme="minorBidi"/>
              <w:noProof/>
              <w:kern w:val="2"/>
              <w:sz w:val="22"/>
              <w:szCs w:val="22"/>
              <w:lang w:eastAsia="en-AU"/>
              <w14:ligatures w14:val="standardContextual"/>
            </w:rPr>
          </w:pPr>
          <w:hyperlink w:anchor="_Toc175665286" w:history="1">
            <w:r w:rsidR="00E617E0" w:rsidRPr="00EF4E37">
              <w:rPr>
                <w:rStyle w:val="Hyperlink"/>
                <w:noProof/>
              </w:rPr>
              <w:t>Mark it a success.</w:t>
            </w:r>
            <w:r w:rsidR="00E617E0">
              <w:rPr>
                <w:noProof/>
                <w:webHidden/>
              </w:rPr>
              <w:tab/>
            </w:r>
            <w:r w:rsidR="00E617E0">
              <w:rPr>
                <w:noProof/>
                <w:webHidden/>
              </w:rPr>
              <w:fldChar w:fldCharType="begin"/>
            </w:r>
            <w:r w:rsidR="00E617E0">
              <w:rPr>
                <w:noProof/>
                <w:webHidden/>
              </w:rPr>
              <w:instrText xml:space="preserve"> PAGEREF _Toc175665286 \h </w:instrText>
            </w:r>
            <w:r w:rsidR="00E617E0">
              <w:rPr>
                <w:noProof/>
                <w:webHidden/>
              </w:rPr>
            </w:r>
            <w:r w:rsidR="00E617E0">
              <w:rPr>
                <w:noProof/>
                <w:webHidden/>
              </w:rPr>
              <w:fldChar w:fldCharType="separate"/>
            </w:r>
            <w:r w:rsidR="00E617E0">
              <w:rPr>
                <w:noProof/>
                <w:webHidden/>
              </w:rPr>
              <w:t>6</w:t>
            </w:r>
            <w:r w:rsidR="00E617E0">
              <w:rPr>
                <w:noProof/>
                <w:webHidden/>
              </w:rPr>
              <w:fldChar w:fldCharType="end"/>
            </w:r>
          </w:hyperlink>
        </w:p>
        <w:p w14:paraId="0D023438" w14:textId="0432476A" w:rsidR="00E617E0" w:rsidRDefault="00B10CC8">
          <w:pPr>
            <w:pStyle w:val="TOC3"/>
            <w:rPr>
              <w:rFonts w:asciiTheme="minorHAnsi" w:eastAsiaTheme="minorEastAsia" w:hAnsiTheme="minorHAnsi" w:cstheme="minorBidi"/>
              <w:noProof/>
              <w:kern w:val="2"/>
              <w:sz w:val="22"/>
              <w:szCs w:val="22"/>
              <w:lang w:eastAsia="en-AU"/>
              <w14:ligatures w14:val="standardContextual"/>
            </w:rPr>
          </w:pPr>
          <w:hyperlink w:anchor="_Toc175665287" w:history="1">
            <w:r w:rsidR="00E617E0" w:rsidRPr="00EF4E37">
              <w:rPr>
                <w:rStyle w:val="Hyperlink"/>
                <w:noProof/>
              </w:rPr>
              <w:t>Table 4 – Pedestrian activity continues to rise following the completion of QVM’s new infrastructure work.</w:t>
            </w:r>
            <w:r w:rsidR="00E617E0">
              <w:rPr>
                <w:noProof/>
                <w:webHidden/>
              </w:rPr>
              <w:tab/>
            </w:r>
            <w:r w:rsidR="00E617E0">
              <w:rPr>
                <w:noProof/>
                <w:webHidden/>
              </w:rPr>
              <w:fldChar w:fldCharType="begin"/>
            </w:r>
            <w:r w:rsidR="00E617E0">
              <w:rPr>
                <w:noProof/>
                <w:webHidden/>
              </w:rPr>
              <w:instrText xml:space="preserve"> PAGEREF _Toc175665287 \h </w:instrText>
            </w:r>
            <w:r w:rsidR="00E617E0">
              <w:rPr>
                <w:noProof/>
                <w:webHidden/>
              </w:rPr>
            </w:r>
            <w:r w:rsidR="00E617E0">
              <w:rPr>
                <w:noProof/>
                <w:webHidden/>
              </w:rPr>
              <w:fldChar w:fldCharType="separate"/>
            </w:r>
            <w:r w:rsidR="00E617E0">
              <w:rPr>
                <w:noProof/>
                <w:webHidden/>
              </w:rPr>
              <w:t>6</w:t>
            </w:r>
            <w:r w:rsidR="00E617E0">
              <w:rPr>
                <w:noProof/>
                <w:webHidden/>
              </w:rPr>
              <w:fldChar w:fldCharType="end"/>
            </w:r>
          </w:hyperlink>
        </w:p>
        <w:p w14:paraId="289A01BE" w14:textId="35BC6E7E" w:rsidR="00E617E0" w:rsidRDefault="00B10CC8">
          <w:pPr>
            <w:pStyle w:val="TOC3"/>
            <w:rPr>
              <w:rFonts w:asciiTheme="minorHAnsi" w:eastAsiaTheme="minorEastAsia" w:hAnsiTheme="minorHAnsi" w:cstheme="minorBidi"/>
              <w:noProof/>
              <w:kern w:val="2"/>
              <w:sz w:val="22"/>
              <w:szCs w:val="22"/>
              <w:lang w:eastAsia="en-AU"/>
              <w14:ligatures w14:val="standardContextual"/>
            </w:rPr>
          </w:pPr>
          <w:hyperlink w:anchor="_Toc175665288" w:history="1">
            <w:r w:rsidR="00E617E0" w:rsidRPr="00EF4E37">
              <w:rPr>
                <w:rStyle w:val="Hyperlink"/>
                <w:noProof/>
              </w:rPr>
              <w:t>Table 5 – Activity is increasing across all days of the week, on both market and non-market days (Monday and Wednesday), January to July.</w:t>
            </w:r>
            <w:r w:rsidR="00E617E0">
              <w:rPr>
                <w:noProof/>
                <w:webHidden/>
              </w:rPr>
              <w:tab/>
            </w:r>
            <w:r w:rsidR="00E617E0">
              <w:rPr>
                <w:noProof/>
                <w:webHidden/>
              </w:rPr>
              <w:fldChar w:fldCharType="begin"/>
            </w:r>
            <w:r w:rsidR="00E617E0">
              <w:rPr>
                <w:noProof/>
                <w:webHidden/>
              </w:rPr>
              <w:instrText xml:space="preserve"> PAGEREF _Toc175665288 \h </w:instrText>
            </w:r>
            <w:r w:rsidR="00E617E0">
              <w:rPr>
                <w:noProof/>
                <w:webHidden/>
              </w:rPr>
            </w:r>
            <w:r w:rsidR="00E617E0">
              <w:rPr>
                <w:noProof/>
                <w:webHidden/>
              </w:rPr>
              <w:fldChar w:fldCharType="separate"/>
            </w:r>
            <w:r w:rsidR="00E617E0">
              <w:rPr>
                <w:noProof/>
                <w:webHidden/>
              </w:rPr>
              <w:t>8</w:t>
            </w:r>
            <w:r w:rsidR="00E617E0">
              <w:rPr>
                <w:noProof/>
                <w:webHidden/>
              </w:rPr>
              <w:fldChar w:fldCharType="end"/>
            </w:r>
          </w:hyperlink>
        </w:p>
        <w:p w14:paraId="37418EBF" w14:textId="405ACBEC" w:rsidR="00E617E0" w:rsidRDefault="00B10CC8">
          <w:pPr>
            <w:pStyle w:val="TOC1"/>
            <w:tabs>
              <w:tab w:val="right" w:leader="dot" w:pos="9771"/>
            </w:tabs>
            <w:rPr>
              <w:rFonts w:asciiTheme="minorHAnsi" w:eastAsiaTheme="minorEastAsia" w:hAnsiTheme="minorHAnsi" w:cstheme="minorBidi"/>
              <w:noProof/>
              <w:kern w:val="2"/>
              <w:sz w:val="22"/>
              <w:szCs w:val="22"/>
              <w:lang w:eastAsia="en-AU"/>
              <w14:ligatures w14:val="standardContextual"/>
            </w:rPr>
          </w:pPr>
          <w:hyperlink w:anchor="_Toc175665289" w:history="1">
            <w:r w:rsidR="00E617E0" w:rsidRPr="00EF4E37">
              <w:rPr>
                <w:rStyle w:val="Hyperlink"/>
                <w:noProof/>
              </w:rPr>
              <w:t>Neighbourhood Spend Trends</w:t>
            </w:r>
            <w:r w:rsidR="00E617E0">
              <w:rPr>
                <w:noProof/>
                <w:webHidden/>
              </w:rPr>
              <w:tab/>
            </w:r>
            <w:r w:rsidR="00E617E0">
              <w:rPr>
                <w:noProof/>
                <w:webHidden/>
              </w:rPr>
              <w:fldChar w:fldCharType="begin"/>
            </w:r>
            <w:r w:rsidR="00E617E0">
              <w:rPr>
                <w:noProof/>
                <w:webHidden/>
              </w:rPr>
              <w:instrText xml:space="preserve"> PAGEREF _Toc175665289 \h </w:instrText>
            </w:r>
            <w:r w:rsidR="00E617E0">
              <w:rPr>
                <w:noProof/>
                <w:webHidden/>
              </w:rPr>
            </w:r>
            <w:r w:rsidR="00E617E0">
              <w:rPr>
                <w:noProof/>
                <w:webHidden/>
              </w:rPr>
              <w:fldChar w:fldCharType="separate"/>
            </w:r>
            <w:r w:rsidR="00E617E0">
              <w:rPr>
                <w:noProof/>
                <w:webHidden/>
              </w:rPr>
              <w:t>8</w:t>
            </w:r>
            <w:r w:rsidR="00E617E0">
              <w:rPr>
                <w:noProof/>
                <w:webHidden/>
              </w:rPr>
              <w:fldChar w:fldCharType="end"/>
            </w:r>
          </w:hyperlink>
        </w:p>
        <w:p w14:paraId="690DFC1E" w14:textId="05ABC138" w:rsidR="00E617E0" w:rsidRDefault="00B10CC8">
          <w:pPr>
            <w:pStyle w:val="TOC2"/>
            <w:rPr>
              <w:rFonts w:asciiTheme="minorHAnsi" w:eastAsiaTheme="minorEastAsia" w:hAnsiTheme="minorHAnsi" w:cstheme="minorBidi"/>
              <w:noProof/>
              <w:kern w:val="2"/>
              <w:sz w:val="22"/>
              <w:szCs w:val="22"/>
              <w:lang w:eastAsia="en-AU"/>
              <w14:ligatures w14:val="standardContextual"/>
            </w:rPr>
          </w:pPr>
          <w:hyperlink w:anchor="_Toc175665290" w:history="1">
            <w:r w:rsidR="00E617E0" w:rsidRPr="00EF4E37">
              <w:rPr>
                <w:rStyle w:val="Hyperlink"/>
                <w:noProof/>
              </w:rPr>
              <w:t>Melbourne CBD – North</w:t>
            </w:r>
            <w:r w:rsidR="00E617E0">
              <w:rPr>
                <w:noProof/>
                <w:webHidden/>
              </w:rPr>
              <w:tab/>
            </w:r>
            <w:r w:rsidR="00E617E0">
              <w:rPr>
                <w:noProof/>
                <w:webHidden/>
              </w:rPr>
              <w:fldChar w:fldCharType="begin"/>
            </w:r>
            <w:r w:rsidR="00E617E0">
              <w:rPr>
                <w:noProof/>
                <w:webHidden/>
              </w:rPr>
              <w:instrText xml:space="preserve"> PAGEREF _Toc175665290 \h </w:instrText>
            </w:r>
            <w:r w:rsidR="00E617E0">
              <w:rPr>
                <w:noProof/>
                <w:webHidden/>
              </w:rPr>
            </w:r>
            <w:r w:rsidR="00E617E0">
              <w:rPr>
                <w:noProof/>
                <w:webHidden/>
              </w:rPr>
              <w:fldChar w:fldCharType="separate"/>
            </w:r>
            <w:r w:rsidR="00E617E0">
              <w:rPr>
                <w:noProof/>
                <w:webHidden/>
              </w:rPr>
              <w:t>8</w:t>
            </w:r>
            <w:r w:rsidR="00E617E0">
              <w:rPr>
                <w:noProof/>
                <w:webHidden/>
              </w:rPr>
              <w:fldChar w:fldCharType="end"/>
            </w:r>
          </w:hyperlink>
        </w:p>
        <w:p w14:paraId="588DF6B8" w14:textId="5DC625D6" w:rsidR="00E617E0" w:rsidRDefault="00B10CC8">
          <w:pPr>
            <w:pStyle w:val="TOC3"/>
            <w:rPr>
              <w:rFonts w:asciiTheme="minorHAnsi" w:eastAsiaTheme="minorEastAsia" w:hAnsiTheme="minorHAnsi" w:cstheme="minorBidi"/>
              <w:noProof/>
              <w:kern w:val="2"/>
              <w:sz w:val="22"/>
              <w:szCs w:val="22"/>
              <w:lang w:eastAsia="en-AU"/>
              <w14:ligatures w14:val="standardContextual"/>
            </w:rPr>
          </w:pPr>
          <w:hyperlink w:anchor="_Toc175665291" w:history="1">
            <w:r w:rsidR="00E617E0" w:rsidRPr="00EF4E37">
              <w:rPr>
                <w:rStyle w:val="Hyperlink"/>
                <w:noProof/>
              </w:rPr>
              <w:t>Table 6 – Spending by category, Q2 2024</w:t>
            </w:r>
            <w:r w:rsidR="00E617E0">
              <w:rPr>
                <w:noProof/>
                <w:webHidden/>
              </w:rPr>
              <w:tab/>
            </w:r>
            <w:r w:rsidR="00E617E0">
              <w:rPr>
                <w:noProof/>
                <w:webHidden/>
              </w:rPr>
              <w:fldChar w:fldCharType="begin"/>
            </w:r>
            <w:r w:rsidR="00E617E0">
              <w:rPr>
                <w:noProof/>
                <w:webHidden/>
              </w:rPr>
              <w:instrText xml:space="preserve"> PAGEREF _Toc175665291 \h </w:instrText>
            </w:r>
            <w:r w:rsidR="00E617E0">
              <w:rPr>
                <w:noProof/>
                <w:webHidden/>
              </w:rPr>
            </w:r>
            <w:r w:rsidR="00E617E0">
              <w:rPr>
                <w:noProof/>
                <w:webHidden/>
              </w:rPr>
              <w:fldChar w:fldCharType="separate"/>
            </w:r>
            <w:r w:rsidR="00E617E0">
              <w:rPr>
                <w:noProof/>
                <w:webHidden/>
              </w:rPr>
              <w:t>8</w:t>
            </w:r>
            <w:r w:rsidR="00E617E0">
              <w:rPr>
                <w:noProof/>
                <w:webHidden/>
              </w:rPr>
              <w:fldChar w:fldCharType="end"/>
            </w:r>
          </w:hyperlink>
        </w:p>
        <w:p w14:paraId="593ED94B" w14:textId="233D9039" w:rsidR="00E617E0" w:rsidRDefault="00B10CC8">
          <w:pPr>
            <w:pStyle w:val="TOC3"/>
            <w:rPr>
              <w:rFonts w:asciiTheme="minorHAnsi" w:eastAsiaTheme="minorEastAsia" w:hAnsiTheme="minorHAnsi" w:cstheme="minorBidi"/>
              <w:noProof/>
              <w:kern w:val="2"/>
              <w:sz w:val="22"/>
              <w:szCs w:val="22"/>
              <w:lang w:eastAsia="en-AU"/>
              <w14:ligatures w14:val="standardContextual"/>
            </w:rPr>
          </w:pPr>
          <w:hyperlink w:anchor="_Toc175665292" w:history="1">
            <w:r w:rsidR="00E617E0" w:rsidRPr="00EF4E37">
              <w:rPr>
                <w:rStyle w:val="Hyperlink"/>
                <w:noProof/>
              </w:rPr>
              <w:t>Table 7 – Work hours and non-work hours spend in Melbourne CBD – North, Q2 2024</w:t>
            </w:r>
            <w:r w:rsidR="00E617E0">
              <w:rPr>
                <w:noProof/>
                <w:webHidden/>
              </w:rPr>
              <w:tab/>
            </w:r>
            <w:r w:rsidR="00E617E0">
              <w:rPr>
                <w:noProof/>
                <w:webHidden/>
              </w:rPr>
              <w:fldChar w:fldCharType="begin"/>
            </w:r>
            <w:r w:rsidR="00E617E0">
              <w:rPr>
                <w:noProof/>
                <w:webHidden/>
              </w:rPr>
              <w:instrText xml:space="preserve"> PAGEREF _Toc175665292 \h </w:instrText>
            </w:r>
            <w:r w:rsidR="00E617E0">
              <w:rPr>
                <w:noProof/>
                <w:webHidden/>
              </w:rPr>
            </w:r>
            <w:r w:rsidR="00E617E0">
              <w:rPr>
                <w:noProof/>
                <w:webHidden/>
              </w:rPr>
              <w:fldChar w:fldCharType="separate"/>
            </w:r>
            <w:r w:rsidR="00E617E0">
              <w:rPr>
                <w:noProof/>
                <w:webHidden/>
              </w:rPr>
              <w:t>9</w:t>
            </w:r>
            <w:r w:rsidR="00E617E0">
              <w:rPr>
                <w:noProof/>
                <w:webHidden/>
              </w:rPr>
              <w:fldChar w:fldCharType="end"/>
            </w:r>
          </w:hyperlink>
        </w:p>
        <w:p w14:paraId="5B22F407" w14:textId="226D0476" w:rsidR="00E617E0" w:rsidRDefault="00B10CC8">
          <w:pPr>
            <w:pStyle w:val="TOC3"/>
            <w:rPr>
              <w:rFonts w:asciiTheme="minorHAnsi" w:eastAsiaTheme="minorEastAsia" w:hAnsiTheme="minorHAnsi" w:cstheme="minorBidi"/>
              <w:noProof/>
              <w:kern w:val="2"/>
              <w:sz w:val="22"/>
              <w:szCs w:val="22"/>
              <w:lang w:eastAsia="en-AU"/>
              <w14:ligatures w14:val="standardContextual"/>
            </w:rPr>
          </w:pPr>
          <w:hyperlink w:anchor="_Toc175665293" w:history="1">
            <w:r w:rsidR="00E617E0" w:rsidRPr="00EF4E37">
              <w:rPr>
                <w:rStyle w:val="Hyperlink"/>
                <w:noProof/>
              </w:rPr>
              <w:t>Table 8 – Weekday and weekend spend in Melbourne CBD – North, Q2 2024</w:t>
            </w:r>
            <w:r w:rsidR="00E617E0">
              <w:rPr>
                <w:noProof/>
                <w:webHidden/>
              </w:rPr>
              <w:tab/>
            </w:r>
            <w:r w:rsidR="00E617E0">
              <w:rPr>
                <w:noProof/>
                <w:webHidden/>
              </w:rPr>
              <w:fldChar w:fldCharType="begin"/>
            </w:r>
            <w:r w:rsidR="00E617E0">
              <w:rPr>
                <w:noProof/>
                <w:webHidden/>
              </w:rPr>
              <w:instrText xml:space="preserve"> PAGEREF _Toc175665293 \h </w:instrText>
            </w:r>
            <w:r w:rsidR="00E617E0">
              <w:rPr>
                <w:noProof/>
                <w:webHidden/>
              </w:rPr>
            </w:r>
            <w:r w:rsidR="00E617E0">
              <w:rPr>
                <w:noProof/>
                <w:webHidden/>
              </w:rPr>
              <w:fldChar w:fldCharType="separate"/>
            </w:r>
            <w:r w:rsidR="00E617E0">
              <w:rPr>
                <w:noProof/>
                <w:webHidden/>
              </w:rPr>
              <w:t>9</w:t>
            </w:r>
            <w:r w:rsidR="00E617E0">
              <w:rPr>
                <w:noProof/>
                <w:webHidden/>
              </w:rPr>
              <w:fldChar w:fldCharType="end"/>
            </w:r>
          </w:hyperlink>
        </w:p>
        <w:p w14:paraId="66F88BF4" w14:textId="421BCB49" w:rsidR="00E617E0" w:rsidRDefault="00B10CC8">
          <w:pPr>
            <w:pStyle w:val="TOC3"/>
            <w:rPr>
              <w:rFonts w:asciiTheme="minorHAnsi" w:eastAsiaTheme="minorEastAsia" w:hAnsiTheme="minorHAnsi" w:cstheme="minorBidi"/>
              <w:noProof/>
              <w:kern w:val="2"/>
              <w:sz w:val="22"/>
              <w:szCs w:val="22"/>
              <w:lang w:eastAsia="en-AU"/>
              <w14:ligatures w14:val="standardContextual"/>
            </w:rPr>
          </w:pPr>
          <w:hyperlink w:anchor="_Toc175665294" w:history="1">
            <w:r w:rsidR="00E617E0" w:rsidRPr="00EF4E37">
              <w:rPr>
                <w:rStyle w:val="Hyperlink"/>
                <w:noProof/>
              </w:rPr>
              <w:t>Table 9.a – Where spending in Melbourne CBD – North came from, Q2 2024</w:t>
            </w:r>
            <w:r w:rsidR="00E617E0">
              <w:rPr>
                <w:noProof/>
                <w:webHidden/>
              </w:rPr>
              <w:tab/>
            </w:r>
            <w:r w:rsidR="00E617E0">
              <w:rPr>
                <w:noProof/>
                <w:webHidden/>
              </w:rPr>
              <w:fldChar w:fldCharType="begin"/>
            </w:r>
            <w:r w:rsidR="00E617E0">
              <w:rPr>
                <w:noProof/>
                <w:webHidden/>
              </w:rPr>
              <w:instrText xml:space="preserve"> PAGEREF _Toc175665294 \h </w:instrText>
            </w:r>
            <w:r w:rsidR="00E617E0">
              <w:rPr>
                <w:noProof/>
                <w:webHidden/>
              </w:rPr>
            </w:r>
            <w:r w:rsidR="00E617E0">
              <w:rPr>
                <w:noProof/>
                <w:webHidden/>
              </w:rPr>
              <w:fldChar w:fldCharType="separate"/>
            </w:r>
            <w:r w:rsidR="00E617E0">
              <w:rPr>
                <w:noProof/>
                <w:webHidden/>
              </w:rPr>
              <w:t>9</w:t>
            </w:r>
            <w:r w:rsidR="00E617E0">
              <w:rPr>
                <w:noProof/>
                <w:webHidden/>
              </w:rPr>
              <w:fldChar w:fldCharType="end"/>
            </w:r>
          </w:hyperlink>
        </w:p>
        <w:p w14:paraId="681E008E" w14:textId="3907BF83" w:rsidR="00E617E0" w:rsidRDefault="00B10CC8">
          <w:pPr>
            <w:pStyle w:val="TOC3"/>
            <w:rPr>
              <w:rFonts w:asciiTheme="minorHAnsi" w:eastAsiaTheme="minorEastAsia" w:hAnsiTheme="minorHAnsi" w:cstheme="minorBidi"/>
              <w:noProof/>
              <w:kern w:val="2"/>
              <w:sz w:val="22"/>
              <w:szCs w:val="22"/>
              <w:lang w:eastAsia="en-AU"/>
              <w14:ligatures w14:val="standardContextual"/>
            </w:rPr>
          </w:pPr>
          <w:hyperlink w:anchor="_Toc175665295" w:history="1">
            <w:r w:rsidR="00E617E0" w:rsidRPr="00EF4E37">
              <w:rPr>
                <w:rStyle w:val="Hyperlink"/>
                <w:noProof/>
              </w:rPr>
              <w:t>Table 9.b – Where spending in Melbourne CBD – North came from, Q2 2024</w:t>
            </w:r>
            <w:r w:rsidR="00E617E0">
              <w:rPr>
                <w:noProof/>
                <w:webHidden/>
              </w:rPr>
              <w:tab/>
            </w:r>
            <w:r w:rsidR="00E617E0">
              <w:rPr>
                <w:noProof/>
                <w:webHidden/>
              </w:rPr>
              <w:fldChar w:fldCharType="begin"/>
            </w:r>
            <w:r w:rsidR="00E617E0">
              <w:rPr>
                <w:noProof/>
                <w:webHidden/>
              </w:rPr>
              <w:instrText xml:space="preserve"> PAGEREF _Toc175665295 \h </w:instrText>
            </w:r>
            <w:r w:rsidR="00E617E0">
              <w:rPr>
                <w:noProof/>
                <w:webHidden/>
              </w:rPr>
            </w:r>
            <w:r w:rsidR="00E617E0">
              <w:rPr>
                <w:noProof/>
                <w:webHidden/>
              </w:rPr>
              <w:fldChar w:fldCharType="separate"/>
            </w:r>
            <w:r w:rsidR="00E617E0">
              <w:rPr>
                <w:noProof/>
                <w:webHidden/>
              </w:rPr>
              <w:t>9</w:t>
            </w:r>
            <w:r w:rsidR="00E617E0">
              <w:rPr>
                <w:noProof/>
                <w:webHidden/>
              </w:rPr>
              <w:fldChar w:fldCharType="end"/>
            </w:r>
          </w:hyperlink>
        </w:p>
        <w:p w14:paraId="62083D85" w14:textId="7FD2354B" w:rsidR="00E617E0" w:rsidRDefault="00B10CC8">
          <w:pPr>
            <w:pStyle w:val="TOC2"/>
            <w:rPr>
              <w:rFonts w:asciiTheme="minorHAnsi" w:eastAsiaTheme="minorEastAsia" w:hAnsiTheme="minorHAnsi" w:cstheme="minorBidi"/>
              <w:noProof/>
              <w:kern w:val="2"/>
              <w:sz w:val="22"/>
              <w:szCs w:val="22"/>
              <w:lang w:eastAsia="en-AU"/>
              <w14:ligatures w14:val="standardContextual"/>
            </w:rPr>
          </w:pPr>
          <w:hyperlink w:anchor="_Toc175665296" w:history="1">
            <w:r w:rsidR="00E617E0" w:rsidRPr="00EF4E37">
              <w:rPr>
                <w:rStyle w:val="Hyperlink"/>
                <w:noProof/>
              </w:rPr>
              <w:t>North Melbourne</w:t>
            </w:r>
            <w:r w:rsidR="00E617E0">
              <w:rPr>
                <w:noProof/>
                <w:webHidden/>
              </w:rPr>
              <w:tab/>
            </w:r>
            <w:r w:rsidR="00E617E0">
              <w:rPr>
                <w:noProof/>
                <w:webHidden/>
              </w:rPr>
              <w:fldChar w:fldCharType="begin"/>
            </w:r>
            <w:r w:rsidR="00E617E0">
              <w:rPr>
                <w:noProof/>
                <w:webHidden/>
              </w:rPr>
              <w:instrText xml:space="preserve"> PAGEREF _Toc175665296 \h </w:instrText>
            </w:r>
            <w:r w:rsidR="00E617E0">
              <w:rPr>
                <w:noProof/>
                <w:webHidden/>
              </w:rPr>
            </w:r>
            <w:r w:rsidR="00E617E0">
              <w:rPr>
                <w:noProof/>
                <w:webHidden/>
              </w:rPr>
              <w:fldChar w:fldCharType="separate"/>
            </w:r>
            <w:r w:rsidR="00E617E0">
              <w:rPr>
                <w:noProof/>
                <w:webHidden/>
              </w:rPr>
              <w:t>10</w:t>
            </w:r>
            <w:r w:rsidR="00E617E0">
              <w:rPr>
                <w:noProof/>
                <w:webHidden/>
              </w:rPr>
              <w:fldChar w:fldCharType="end"/>
            </w:r>
          </w:hyperlink>
        </w:p>
        <w:p w14:paraId="712D13C5" w14:textId="1DEBE4E0" w:rsidR="00E617E0" w:rsidRDefault="00B10CC8">
          <w:pPr>
            <w:pStyle w:val="TOC3"/>
            <w:rPr>
              <w:rFonts w:asciiTheme="minorHAnsi" w:eastAsiaTheme="minorEastAsia" w:hAnsiTheme="minorHAnsi" w:cstheme="minorBidi"/>
              <w:noProof/>
              <w:kern w:val="2"/>
              <w:sz w:val="22"/>
              <w:szCs w:val="22"/>
              <w:lang w:eastAsia="en-AU"/>
              <w14:ligatures w14:val="standardContextual"/>
            </w:rPr>
          </w:pPr>
          <w:hyperlink w:anchor="_Toc175665297" w:history="1">
            <w:r w:rsidR="00E617E0" w:rsidRPr="00EF4E37">
              <w:rPr>
                <w:rStyle w:val="Hyperlink"/>
                <w:noProof/>
              </w:rPr>
              <w:t>Table 10 – Spending by category, Q2 2024</w:t>
            </w:r>
            <w:r w:rsidR="00E617E0">
              <w:rPr>
                <w:noProof/>
                <w:webHidden/>
              </w:rPr>
              <w:tab/>
            </w:r>
            <w:r w:rsidR="00E617E0">
              <w:rPr>
                <w:noProof/>
                <w:webHidden/>
              </w:rPr>
              <w:fldChar w:fldCharType="begin"/>
            </w:r>
            <w:r w:rsidR="00E617E0">
              <w:rPr>
                <w:noProof/>
                <w:webHidden/>
              </w:rPr>
              <w:instrText xml:space="preserve"> PAGEREF _Toc175665297 \h </w:instrText>
            </w:r>
            <w:r w:rsidR="00E617E0">
              <w:rPr>
                <w:noProof/>
                <w:webHidden/>
              </w:rPr>
            </w:r>
            <w:r w:rsidR="00E617E0">
              <w:rPr>
                <w:noProof/>
                <w:webHidden/>
              </w:rPr>
              <w:fldChar w:fldCharType="separate"/>
            </w:r>
            <w:r w:rsidR="00E617E0">
              <w:rPr>
                <w:noProof/>
                <w:webHidden/>
              </w:rPr>
              <w:t>10</w:t>
            </w:r>
            <w:r w:rsidR="00E617E0">
              <w:rPr>
                <w:noProof/>
                <w:webHidden/>
              </w:rPr>
              <w:fldChar w:fldCharType="end"/>
            </w:r>
          </w:hyperlink>
        </w:p>
        <w:p w14:paraId="695C6174" w14:textId="10A2B085" w:rsidR="00E617E0" w:rsidRDefault="00B10CC8">
          <w:pPr>
            <w:pStyle w:val="TOC3"/>
            <w:rPr>
              <w:rFonts w:asciiTheme="minorHAnsi" w:eastAsiaTheme="minorEastAsia" w:hAnsiTheme="minorHAnsi" w:cstheme="minorBidi"/>
              <w:noProof/>
              <w:kern w:val="2"/>
              <w:sz w:val="22"/>
              <w:szCs w:val="22"/>
              <w:lang w:eastAsia="en-AU"/>
              <w14:ligatures w14:val="standardContextual"/>
            </w:rPr>
          </w:pPr>
          <w:hyperlink w:anchor="_Toc175665298" w:history="1">
            <w:r w:rsidR="00E617E0" w:rsidRPr="00EF4E37">
              <w:rPr>
                <w:rStyle w:val="Hyperlink"/>
                <w:noProof/>
              </w:rPr>
              <w:t>Table 11 – Work hours and non-work hours spend in North Melbourne, Q2 2024</w:t>
            </w:r>
            <w:r w:rsidR="00E617E0">
              <w:rPr>
                <w:noProof/>
                <w:webHidden/>
              </w:rPr>
              <w:tab/>
            </w:r>
            <w:r w:rsidR="00E617E0">
              <w:rPr>
                <w:noProof/>
                <w:webHidden/>
              </w:rPr>
              <w:fldChar w:fldCharType="begin"/>
            </w:r>
            <w:r w:rsidR="00E617E0">
              <w:rPr>
                <w:noProof/>
                <w:webHidden/>
              </w:rPr>
              <w:instrText xml:space="preserve"> PAGEREF _Toc175665298 \h </w:instrText>
            </w:r>
            <w:r w:rsidR="00E617E0">
              <w:rPr>
                <w:noProof/>
                <w:webHidden/>
              </w:rPr>
            </w:r>
            <w:r w:rsidR="00E617E0">
              <w:rPr>
                <w:noProof/>
                <w:webHidden/>
              </w:rPr>
              <w:fldChar w:fldCharType="separate"/>
            </w:r>
            <w:r w:rsidR="00E617E0">
              <w:rPr>
                <w:noProof/>
                <w:webHidden/>
              </w:rPr>
              <w:t>10</w:t>
            </w:r>
            <w:r w:rsidR="00E617E0">
              <w:rPr>
                <w:noProof/>
                <w:webHidden/>
              </w:rPr>
              <w:fldChar w:fldCharType="end"/>
            </w:r>
          </w:hyperlink>
        </w:p>
        <w:p w14:paraId="181386C5" w14:textId="0D119F91" w:rsidR="00E617E0" w:rsidRDefault="00B10CC8">
          <w:pPr>
            <w:pStyle w:val="TOC3"/>
            <w:rPr>
              <w:rFonts w:asciiTheme="minorHAnsi" w:eastAsiaTheme="minorEastAsia" w:hAnsiTheme="minorHAnsi" w:cstheme="minorBidi"/>
              <w:noProof/>
              <w:kern w:val="2"/>
              <w:sz w:val="22"/>
              <w:szCs w:val="22"/>
              <w:lang w:eastAsia="en-AU"/>
              <w14:ligatures w14:val="standardContextual"/>
            </w:rPr>
          </w:pPr>
          <w:hyperlink w:anchor="_Toc175665299" w:history="1">
            <w:r w:rsidR="00E617E0" w:rsidRPr="00EF4E37">
              <w:rPr>
                <w:rStyle w:val="Hyperlink"/>
                <w:noProof/>
              </w:rPr>
              <w:t>Table 12 – Weekday and weekend spend in North Melbourne, Q2 2024</w:t>
            </w:r>
            <w:r w:rsidR="00E617E0">
              <w:rPr>
                <w:noProof/>
                <w:webHidden/>
              </w:rPr>
              <w:tab/>
            </w:r>
            <w:r w:rsidR="00E617E0">
              <w:rPr>
                <w:noProof/>
                <w:webHidden/>
              </w:rPr>
              <w:fldChar w:fldCharType="begin"/>
            </w:r>
            <w:r w:rsidR="00E617E0">
              <w:rPr>
                <w:noProof/>
                <w:webHidden/>
              </w:rPr>
              <w:instrText xml:space="preserve"> PAGEREF _Toc175665299 \h </w:instrText>
            </w:r>
            <w:r w:rsidR="00E617E0">
              <w:rPr>
                <w:noProof/>
                <w:webHidden/>
              </w:rPr>
            </w:r>
            <w:r w:rsidR="00E617E0">
              <w:rPr>
                <w:noProof/>
                <w:webHidden/>
              </w:rPr>
              <w:fldChar w:fldCharType="separate"/>
            </w:r>
            <w:r w:rsidR="00E617E0">
              <w:rPr>
                <w:noProof/>
                <w:webHidden/>
              </w:rPr>
              <w:t>10</w:t>
            </w:r>
            <w:r w:rsidR="00E617E0">
              <w:rPr>
                <w:noProof/>
                <w:webHidden/>
              </w:rPr>
              <w:fldChar w:fldCharType="end"/>
            </w:r>
          </w:hyperlink>
        </w:p>
        <w:p w14:paraId="4025EF0F" w14:textId="0F8EB318" w:rsidR="00E617E0" w:rsidRDefault="00B10CC8">
          <w:pPr>
            <w:pStyle w:val="TOC3"/>
            <w:rPr>
              <w:rFonts w:asciiTheme="minorHAnsi" w:eastAsiaTheme="minorEastAsia" w:hAnsiTheme="minorHAnsi" w:cstheme="minorBidi"/>
              <w:noProof/>
              <w:kern w:val="2"/>
              <w:sz w:val="22"/>
              <w:szCs w:val="22"/>
              <w:lang w:eastAsia="en-AU"/>
              <w14:ligatures w14:val="standardContextual"/>
            </w:rPr>
          </w:pPr>
          <w:hyperlink w:anchor="_Toc175665300" w:history="1">
            <w:r w:rsidR="00E617E0" w:rsidRPr="00EF4E37">
              <w:rPr>
                <w:rStyle w:val="Hyperlink"/>
                <w:noProof/>
              </w:rPr>
              <w:t>Table 13.a – Where spending in North Melbourne came from, Q2 2024</w:t>
            </w:r>
            <w:r w:rsidR="00E617E0">
              <w:rPr>
                <w:noProof/>
                <w:webHidden/>
              </w:rPr>
              <w:tab/>
            </w:r>
            <w:r w:rsidR="00E617E0">
              <w:rPr>
                <w:noProof/>
                <w:webHidden/>
              </w:rPr>
              <w:fldChar w:fldCharType="begin"/>
            </w:r>
            <w:r w:rsidR="00E617E0">
              <w:rPr>
                <w:noProof/>
                <w:webHidden/>
              </w:rPr>
              <w:instrText xml:space="preserve"> PAGEREF _Toc175665300 \h </w:instrText>
            </w:r>
            <w:r w:rsidR="00E617E0">
              <w:rPr>
                <w:noProof/>
                <w:webHidden/>
              </w:rPr>
            </w:r>
            <w:r w:rsidR="00E617E0">
              <w:rPr>
                <w:noProof/>
                <w:webHidden/>
              </w:rPr>
              <w:fldChar w:fldCharType="separate"/>
            </w:r>
            <w:r w:rsidR="00E617E0">
              <w:rPr>
                <w:noProof/>
                <w:webHidden/>
              </w:rPr>
              <w:t>10</w:t>
            </w:r>
            <w:r w:rsidR="00E617E0">
              <w:rPr>
                <w:noProof/>
                <w:webHidden/>
              </w:rPr>
              <w:fldChar w:fldCharType="end"/>
            </w:r>
          </w:hyperlink>
        </w:p>
        <w:p w14:paraId="0A50F4D5" w14:textId="5D8346F7" w:rsidR="00E617E0" w:rsidRDefault="00B10CC8">
          <w:pPr>
            <w:pStyle w:val="TOC3"/>
            <w:rPr>
              <w:rFonts w:asciiTheme="minorHAnsi" w:eastAsiaTheme="minorEastAsia" w:hAnsiTheme="minorHAnsi" w:cstheme="minorBidi"/>
              <w:noProof/>
              <w:kern w:val="2"/>
              <w:sz w:val="22"/>
              <w:szCs w:val="22"/>
              <w:lang w:eastAsia="en-AU"/>
              <w14:ligatures w14:val="standardContextual"/>
            </w:rPr>
          </w:pPr>
          <w:hyperlink w:anchor="_Toc175665301" w:history="1">
            <w:r w:rsidR="00E617E0" w:rsidRPr="00EF4E37">
              <w:rPr>
                <w:rStyle w:val="Hyperlink"/>
                <w:noProof/>
              </w:rPr>
              <w:t>Table 13.b – Where spending in North Melbourne came from, Q2 2024</w:t>
            </w:r>
            <w:r w:rsidR="00E617E0">
              <w:rPr>
                <w:noProof/>
                <w:webHidden/>
              </w:rPr>
              <w:tab/>
            </w:r>
            <w:r w:rsidR="00E617E0">
              <w:rPr>
                <w:noProof/>
                <w:webHidden/>
              </w:rPr>
              <w:fldChar w:fldCharType="begin"/>
            </w:r>
            <w:r w:rsidR="00E617E0">
              <w:rPr>
                <w:noProof/>
                <w:webHidden/>
              </w:rPr>
              <w:instrText xml:space="preserve"> PAGEREF _Toc175665301 \h </w:instrText>
            </w:r>
            <w:r w:rsidR="00E617E0">
              <w:rPr>
                <w:noProof/>
                <w:webHidden/>
              </w:rPr>
            </w:r>
            <w:r w:rsidR="00E617E0">
              <w:rPr>
                <w:noProof/>
                <w:webHidden/>
              </w:rPr>
              <w:fldChar w:fldCharType="separate"/>
            </w:r>
            <w:r w:rsidR="00E617E0">
              <w:rPr>
                <w:noProof/>
                <w:webHidden/>
              </w:rPr>
              <w:t>10</w:t>
            </w:r>
            <w:r w:rsidR="00E617E0">
              <w:rPr>
                <w:noProof/>
                <w:webHidden/>
              </w:rPr>
              <w:fldChar w:fldCharType="end"/>
            </w:r>
          </w:hyperlink>
        </w:p>
        <w:p w14:paraId="5ECD55CF" w14:textId="14DC2575" w:rsidR="00E617E0" w:rsidRDefault="00B10CC8">
          <w:pPr>
            <w:pStyle w:val="TOC2"/>
            <w:rPr>
              <w:rFonts w:asciiTheme="minorHAnsi" w:eastAsiaTheme="minorEastAsia" w:hAnsiTheme="minorHAnsi" w:cstheme="minorBidi"/>
              <w:noProof/>
              <w:kern w:val="2"/>
              <w:sz w:val="22"/>
              <w:szCs w:val="22"/>
              <w:lang w:eastAsia="en-AU"/>
              <w14:ligatures w14:val="standardContextual"/>
            </w:rPr>
          </w:pPr>
          <w:hyperlink w:anchor="_Toc175665302" w:history="1">
            <w:r w:rsidR="00E617E0" w:rsidRPr="00EF4E37">
              <w:rPr>
                <w:rStyle w:val="Hyperlink"/>
                <w:noProof/>
              </w:rPr>
              <w:t>West Melbourne</w:t>
            </w:r>
            <w:r w:rsidR="00E617E0">
              <w:rPr>
                <w:noProof/>
                <w:webHidden/>
              </w:rPr>
              <w:tab/>
            </w:r>
            <w:r w:rsidR="00E617E0">
              <w:rPr>
                <w:noProof/>
                <w:webHidden/>
              </w:rPr>
              <w:fldChar w:fldCharType="begin"/>
            </w:r>
            <w:r w:rsidR="00E617E0">
              <w:rPr>
                <w:noProof/>
                <w:webHidden/>
              </w:rPr>
              <w:instrText xml:space="preserve"> PAGEREF _Toc175665302 \h </w:instrText>
            </w:r>
            <w:r w:rsidR="00E617E0">
              <w:rPr>
                <w:noProof/>
                <w:webHidden/>
              </w:rPr>
            </w:r>
            <w:r w:rsidR="00E617E0">
              <w:rPr>
                <w:noProof/>
                <w:webHidden/>
              </w:rPr>
              <w:fldChar w:fldCharType="separate"/>
            </w:r>
            <w:r w:rsidR="00E617E0">
              <w:rPr>
                <w:noProof/>
                <w:webHidden/>
              </w:rPr>
              <w:t>11</w:t>
            </w:r>
            <w:r w:rsidR="00E617E0">
              <w:rPr>
                <w:noProof/>
                <w:webHidden/>
              </w:rPr>
              <w:fldChar w:fldCharType="end"/>
            </w:r>
          </w:hyperlink>
        </w:p>
        <w:p w14:paraId="0661DC84" w14:textId="3CE3C67D" w:rsidR="00E617E0" w:rsidRDefault="00B10CC8">
          <w:pPr>
            <w:pStyle w:val="TOC3"/>
            <w:rPr>
              <w:rFonts w:asciiTheme="minorHAnsi" w:eastAsiaTheme="minorEastAsia" w:hAnsiTheme="minorHAnsi" w:cstheme="minorBidi"/>
              <w:noProof/>
              <w:kern w:val="2"/>
              <w:sz w:val="22"/>
              <w:szCs w:val="22"/>
              <w:lang w:eastAsia="en-AU"/>
              <w14:ligatures w14:val="standardContextual"/>
            </w:rPr>
          </w:pPr>
          <w:hyperlink w:anchor="_Toc175665303" w:history="1">
            <w:r w:rsidR="00E617E0" w:rsidRPr="00EF4E37">
              <w:rPr>
                <w:rStyle w:val="Hyperlink"/>
                <w:noProof/>
              </w:rPr>
              <w:t>Table 14 – Spending by category, Q2 2024</w:t>
            </w:r>
            <w:r w:rsidR="00E617E0">
              <w:rPr>
                <w:noProof/>
                <w:webHidden/>
              </w:rPr>
              <w:tab/>
            </w:r>
            <w:r w:rsidR="00E617E0">
              <w:rPr>
                <w:noProof/>
                <w:webHidden/>
              </w:rPr>
              <w:fldChar w:fldCharType="begin"/>
            </w:r>
            <w:r w:rsidR="00E617E0">
              <w:rPr>
                <w:noProof/>
                <w:webHidden/>
              </w:rPr>
              <w:instrText xml:space="preserve"> PAGEREF _Toc175665303 \h </w:instrText>
            </w:r>
            <w:r w:rsidR="00E617E0">
              <w:rPr>
                <w:noProof/>
                <w:webHidden/>
              </w:rPr>
            </w:r>
            <w:r w:rsidR="00E617E0">
              <w:rPr>
                <w:noProof/>
                <w:webHidden/>
              </w:rPr>
              <w:fldChar w:fldCharType="separate"/>
            </w:r>
            <w:r w:rsidR="00E617E0">
              <w:rPr>
                <w:noProof/>
                <w:webHidden/>
              </w:rPr>
              <w:t>11</w:t>
            </w:r>
            <w:r w:rsidR="00E617E0">
              <w:rPr>
                <w:noProof/>
                <w:webHidden/>
              </w:rPr>
              <w:fldChar w:fldCharType="end"/>
            </w:r>
          </w:hyperlink>
        </w:p>
        <w:p w14:paraId="73556028" w14:textId="2B8116A0" w:rsidR="00E617E0" w:rsidRDefault="00B10CC8">
          <w:pPr>
            <w:pStyle w:val="TOC3"/>
            <w:rPr>
              <w:rFonts w:asciiTheme="minorHAnsi" w:eastAsiaTheme="minorEastAsia" w:hAnsiTheme="minorHAnsi" w:cstheme="minorBidi"/>
              <w:noProof/>
              <w:kern w:val="2"/>
              <w:sz w:val="22"/>
              <w:szCs w:val="22"/>
              <w:lang w:eastAsia="en-AU"/>
              <w14:ligatures w14:val="standardContextual"/>
            </w:rPr>
          </w:pPr>
          <w:hyperlink w:anchor="_Toc175665304" w:history="1">
            <w:r w:rsidR="00E617E0" w:rsidRPr="00EF4E37">
              <w:rPr>
                <w:rStyle w:val="Hyperlink"/>
                <w:noProof/>
              </w:rPr>
              <w:t>Table 15 – Work hours and non-work hours spend in West Melbourne, Q2 2024</w:t>
            </w:r>
            <w:r w:rsidR="00E617E0">
              <w:rPr>
                <w:noProof/>
                <w:webHidden/>
              </w:rPr>
              <w:tab/>
            </w:r>
            <w:r w:rsidR="00E617E0">
              <w:rPr>
                <w:noProof/>
                <w:webHidden/>
              </w:rPr>
              <w:fldChar w:fldCharType="begin"/>
            </w:r>
            <w:r w:rsidR="00E617E0">
              <w:rPr>
                <w:noProof/>
                <w:webHidden/>
              </w:rPr>
              <w:instrText xml:space="preserve"> PAGEREF _Toc175665304 \h </w:instrText>
            </w:r>
            <w:r w:rsidR="00E617E0">
              <w:rPr>
                <w:noProof/>
                <w:webHidden/>
              </w:rPr>
            </w:r>
            <w:r w:rsidR="00E617E0">
              <w:rPr>
                <w:noProof/>
                <w:webHidden/>
              </w:rPr>
              <w:fldChar w:fldCharType="separate"/>
            </w:r>
            <w:r w:rsidR="00E617E0">
              <w:rPr>
                <w:noProof/>
                <w:webHidden/>
              </w:rPr>
              <w:t>11</w:t>
            </w:r>
            <w:r w:rsidR="00E617E0">
              <w:rPr>
                <w:noProof/>
                <w:webHidden/>
              </w:rPr>
              <w:fldChar w:fldCharType="end"/>
            </w:r>
          </w:hyperlink>
        </w:p>
        <w:p w14:paraId="2D56E52E" w14:textId="4A9AD443" w:rsidR="00E617E0" w:rsidRDefault="00B10CC8">
          <w:pPr>
            <w:pStyle w:val="TOC3"/>
            <w:rPr>
              <w:rFonts w:asciiTheme="minorHAnsi" w:eastAsiaTheme="minorEastAsia" w:hAnsiTheme="minorHAnsi" w:cstheme="minorBidi"/>
              <w:noProof/>
              <w:kern w:val="2"/>
              <w:sz w:val="22"/>
              <w:szCs w:val="22"/>
              <w:lang w:eastAsia="en-AU"/>
              <w14:ligatures w14:val="standardContextual"/>
            </w:rPr>
          </w:pPr>
          <w:hyperlink w:anchor="_Toc175665305" w:history="1">
            <w:r w:rsidR="00E617E0" w:rsidRPr="00EF4E37">
              <w:rPr>
                <w:rStyle w:val="Hyperlink"/>
                <w:noProof/>
              </w:rPr>
              <w:t>Table 16 – Weekday and weekend spend in West Melbourne, Q2 2024</w:t>
            </w:r>
            <w:r w:rsidR="00E617E0">
              <w:rPr>
                <w:noProof/>
                <w:webHidden/>
              </w:rPr>
              <w:tab/>
            </w:r>
            <w:r w:rsidR="00E617E0">
              <w:rPr>
                <w:noProof/>
                <w:webHidden/>
              </w:rPr>
              <w:fldChar w:fldCharType="begin"/>
            </w:r>
            <w:r w:rsidR="00E617E0">
              <w:rPr>
                <w:noProof/>
                <w:webHidden/>
              </w:rPr>
              <w:instrText xml:space="preserve"> PAGEREF _Toc175665305 \h </w:instrText>
            </w:r>
            <w:r w:rsidR="00E617E0">
              <w:rPr>
                <w:noProof/>
                <w:webHidden/>
              </w:rPr>
            </w:r>
            <w:r w:rsidR="00E617E0">
              <w:rPr>
                <w:noProof/>
                <w:webHidden/>
              </w:rPr>
              <w:fldChar w:fldCharType="separate"/>
            </w:r>
            <w:r w:rsidR="00E617E0">
              <w:rPr>
                <w:noProof/>
                <w:webHidden/>
              </w:rPr>
              <w:t>11</w:t>
            </w:r>
            <w:r w:rsidR="00E617E0">
              <w:rPr>
                <w:noProof/>
                <w:webHidden/>
              </w:rPr>
              <w:fldChar w:fldCharType="end"/>
            </w:r>
          </w:hyperlink>
        </w:p>
        <w:p w14:paraId="79A2D8EB" w14:textId="4C7A0934" w:rsidR="00E617E0" w:rsidRDefault="00B10CC8">
          <w:pPr>
            <w:pStyle w:val="TOC3"/>
            <w:rPr>
              <w:rFonts w:asciiTheme="minorHAnsi" w:eastAsiaTheme="minorEastAsia" w:hAnsiTheme="minorHAnsi" w:cstheme="minorBidi"/>
              <w:noProof/>
              <w:kern w:val="2"/>
              <w:sz w:val="22"/>
              <w:szCs w:val="22"/>
              <w:lang w:eastAsia="en-AU"/>
              <w14:ligatures w14:val="standardContextual"/>
            </w:rPr>
          </w:pPr>
          <w:hyperlink w:anchor="_Toc175665306" w:history="1">
            <w:r w:rsidR="00E617E0" w:rsidRPr="00EF4E37">
              <w:rPr>
                <w:rStyle w:val="Hyperlink"/>
                <w:noProof/>
              </w:rPr>
              <w:t>Table 17.a – Where spending in West Melbourne came from, Q2 2024</w:t>
            </w:r>
            <w:r w:rsidR="00E617E0">
              <w:rPr>
                <w:noProof/>
                <w:webHidden/>
              </w:rPr>
              <w:tab/>
            </w:r>
            <w:r w:rsidR="00E617E0">
              <w:rPr>
                <w:noProof/>
                <w:webHidden/>
              </w:rPr>
              <w:fldChar w:fldCharType="begin"/>
            </w:r>
            <w:r w:rsidR="00E617E0">
              <w:rPr>
                <w:noProof/>
                <w:webHidden/>
              </w:rPr>
              <w:instrText xml:space="preserve"> PAGEREF _Toc175665306 \h </w:instrText>
            </w:r>
            <w:r w:rsidR="00E617E0">
              <w:rPr>
                <w:noProof/>
                <w:webHidden/>
              </w:rPr>
            </w:r>
            <w:r w:rsidR="00E617E0">
              <w:rPr>
                <w:noProof/>
                <w:webHidden/>
              </w:rPr>
              <w:fldChar w:fldCharType="separate"/>
            </w:r>
            <w:r w:rsidR="00E617E0">
              <w:rPr>
                <w:noProof/>
                <w:webHidden/>
              </w:rPr>
              <w:t>11</w:t>
            </w:r>
            <w:r w:rsidR="00E617E0">
              <w:rPr>
                <w:noProof/>
                <w:webHidden/>
              </w:rPr>
              <w:fldChar w:fldCharType="end"/>
            </w:r>
          </w:hyperlink>
        </w:p>
        <w:p w14:paraId="7768ACF3" w14:textId="7BD3B5C0" w:rsidR="00E617E0" w:rsidRDefault="00B10CC8">
          <w:pPr>
            <w:pStyle w:val="TOC3"/>
            <w:rPr>
              <w:rFonts w:asciiTheme="minorHAnsi" w:eastAsiaTheme="minorEastAsia" w:hAnsiTheme="minorHAnsi" w:cstheme="minorBidi"/>
              <w:noProof/>
              <w:kern w:val="2"/>
              <w:sz w:val="22"/>
              <w:szCs w:val="22"/>
              <w:lang w:eastAsia="en-AU"/>
              <w14:ligatures w14:val="standardContextual"/>
            </w:rPr>
          </w:pPr>
          <w:hyperlink w:anchor="_Toc175665307" w:history="1">
            <w:r w:rsidR="00E617E0" w:rsidRPr="00EF4E37">
              <w:rPr>
                <w:rStyle w:val="Hyperlink"/>
                <w:noProof/>
              </w:rPr>
              <w:t>Table 17.b – Where spending in West Melbourne came from, Q2 2024</w:t>
            </w:r>
            <w:r w:rsidR="00E617E0">
              <w:rPr>
                <w:noProof/>
                <w:webHidden/>
              </w:rPr>
              <w:tab/>
            </w:r>
            <w:r w:rsidR="00E617E0">
              <w:rPr>
                <w:noProof/>
                <w:webHidden/>
              </w:rPr>
              <w:fldChar w:fldCharType="begin"/>
            </w:r>
            <w:r w:rsidR="00E617E0">
              <w:rPr>
                <w:noProof/>
                <w:webHidden/>
              </w:rPr>
              <w:instrText xml:space="preserve"> PAGEREF _Toc175665307 \h </w:instrText>
            </w:r>
            <w:r w:rsidR="00E617E0">
              <w:rPr>
                <w:noProof/>
                <w:webHidden/>
              </w:rPr>
            </w:r>
            <w:r w:rsidR="00E617E0">
              <w:rPr>
                <w:noProof/>
                <w:webHidden/>
              </w:rPr>
              <w:fldChar w:fldCharType="separate"/>
            </w:r>
            <w:r w:rsidR="00E617E0">
              <w:rPr>
                <w:noProof/>
                <w:webHidden/>
              </w:rPr>
              <w:t>12</w:t>
            </w:r>
            <w:r w:rsidR="00E617E0">
              <w:rPr>
                <w:noProof/>
                <w:webHidden/>
              </w:rPr>
              <w:fldChar w:fldCharType="end"/>
            </w:r>
          </w:hyperlink>
        </w:p>
        <w:p w14:paraId="05BFD09B" w14:textId="2E5730E9" w:rsidR="00E617E0" w:rsidRDefault="00B10CC8">
          <w:pPr>
            <w:pStyle w:val="TOC2"/>
            <w:rPr>
              <w:rFonts w:asciiTheme="minorHAnsi" w:eastAsiaTheme="minorEastAsia" w:hAnsiTheme="minorHAnsi" w:cstheme="minorBidi"/>
              <w:noProof/>
              <w:kern w:val="2"/>
              <w:sz w:val="22"/>
              <w:szCs w:val="22"/>
              <w:lang w:eastAsia="en-AU"/>
              <w14:ligatures w14:val="standardContextual"/>
            </w:rPr>
          </w:pPr>
          <w:hyperlink w:anchor="_Toc175665308" w:history="1">
            <w:r w:rsidR="00E617E0" w:rsidRPr="00EF4E37">
              <w:rPr>
                <w:rStyle w:val="Hyperlink"/>
                <w:noProof/>
              </w:rPr>
              <w:t>Parkville</w:t>
            </w:r>
            <w:r w:rsidR="00E617E0">
              <w:rPr>
                <w:noProof/>
                <w:webHidden/>
              </w:rPr>
              <w:tab/>
            </w:r>
            <w:r w:rsidR="00E617E0">
              <w:rPr>
                <w:noProof/>
                <w:webHidden/>
              </w:rPr>
              <w:fldChar w:fldCharType="begin"/>
            </w:r>
            <w:r w:rsidR="00E617E0">
              <w:rPr>
                <w:noProof/>
                <w:webHidden/>
              </w:rPr>
              <w:instrText xml:space="preserve"> PAGEREF _Toc175665308 \h </w:instrText>
            </w:r>
            <w:r w:rsidR="00E617E0">
              <w:rPr>
                <w:noProof/>
                <w:webHidden/>
              </w:rPr>
            </w:r>
            <w:r w:rsidR="00E617E0">
              <w:rPr>
                <w:noProof/>
                <w:webHidden/>
              </w:rPr>
              <w:fldChar w:fldCharType="separate"/>
            </w:r>
            <w:r w:rsidR="00E617E0">
              <w:rPr>
                <w:noProof/>
                <w:webHidden/>
              </w:rPr>
              <w:t>12</w:t>
            </w:r>
            <w:r w:rsidR="00E617E0">
              <w:rPr>
                <w:noProof/>
                <w:webHidden/>
              </w:rPr>
              <w:fldChar w:fldCharType="end"/>
            </w:r>
          </w:hyperlink>
        </w:p>
        <w:p w14:paraId="2AB27432" w14:textId="578C1D70" w:rsidR="00E617E0" w:rsidRDefault="00B10CC8">
          <w:pPr>
            <w:pStyle w:val="TOC3"/>
            <w:rPr>
              <w:rFonts w:asciiTheme="minorHAnsi" w:eastAsiaTheme="minorEastAsia" w:hAnsiTheme="minorHAnsi" w:cstheme="minorBidi"/>
              <w:noProof/>
              <w:kern w:val="2"/>
              <w:sz w:val="22"/>
              <w:szCs w:val="22"/>
              <w:lang w:eastAsia="en-AU"/>
              <w14:ligatures w14:val="standardContextual"/>
            </w:rPr>
          </w:pPr>
          <w:hyperlink w:anchor="_Toc175665309" w:history="1">
            <w:r w:rsidR="00E617E0" w:rsidRPr="00EF4E37">
              <w:rPr>
                <w:rStyle w:val="Hyperlink"/>
                <w:noProof/>
              </w:rPr>
              <w:t>Table 18 – Spending by category, Q2 2024</w:t>
            </w:r>
            <w:r w:rsidR="00E617E0">
              <w:rPr>
                <w:noProof/>
                <w:webHidden/>
              </w:rPr>
              <w:tab/>
            </w:r>
            <w:r w:rsidR="00E617E0">
              <w:rPr>
                <w:noProof/>
                <w:webHidden/>
              </w:rPr>
              <w:fldChar w:fldCharType="begin"/>
            </w:r>
            <w:r w:rsidR="00E617E0">
              <w:rPr>
                <w:noProof/>
                <w:webHidden/>
              </w:rPr>
              <w:instrText xml:space="preserve"> PAGEREF _Toc175665309 \h </w:instrText>
            </w:r>
            <w:r w:rsidR="00E617E0">
              <w:rPr>
                <w:noProof/>
                <w:webHidden/>
              </w:rPr>
            </w:r>
            <w:r w:rsidR="00E617E0">
              <w:rPr>
                <w:noProof/>
                <w:webHidden/>
              </w:rPr>
              <w:fldChar w:fldCharType="separate"/>
            </w:r>
            <w:r w:rsidR="00E617E0">
              <w:rPr>
                <w:noProof/>
                <w:webHidden/>
              </w:rPr>
              <w:t>12</w:t>
            </w:r>
            <w:r w:rsidR="00E617E0">
              <w:rPr>
                <w:noProof/>
                <w:webHidden/>
              </w:rPr>
              <w:fldChar w:fldCharType="end"/>
            </w:r>
          </w:hyperlink>
        </w:p>
        <w:p w14:paraId="1B206A3F" w14:textId="620B73ED" w:rsidR="00E617E0" w:rsidRDefault="00B10CC8">
          <w:pPr>
            <w:pStyle w:val="TOC3"/>
            <w:rPr>
              <w:rFonts w:asciiTheme="minorHAnsi" w:eastAsiaTheme="minorEastAsia" w:hAnsiTheme="minorHAnsi" w:cstheme="minorBidi"/>
              <w:noProof/>
              <w:kern w:val="2"/>
              <w:sz w:val="22"/>
              <w:szCs w:val="22"/>
              <w:lang w:eastAsia="en-AU"/>
              <w14:ligatures w14:val="standardContextual"/>
            </w:rPr>
          </w:pPr>
          <w:hyperlink w:anchor="_Toc175665310" w:history="1">
            <w:r w:rsidR="00E617E0" w:rsidRPr="00EF4E37">
              <w:rPr>
                <w:rStyle w:val="Hyperlink"/>
                <w:noProof/>
              </w:rPr>
              <w:t>Table 19 – Work hours and non-work hours spend in Parkville, Q2 2024</w:t>
            </w:r>
            <w:r w:rsidR="00E617E0">
              <w:rPr>
                <w:noProof/>
                <w:webHidden/>
              </w:rPr>
              <w:tab/>
            </w:r>
            <w:r w:rsidR="00E617E0">
              <w:rPr>
                <w:noProof/>
                <w:webHidden/>
              </w:rPr>
              <w:fldChar w:fldCharType="begin"/>
            </w:r>
            <w:r w:rsidR="00E617E0">
              <w:rPr>
                <w:noProof/>
                <w:webHidden/>
              </w:rPr>
              <w:instrText xml:space="preserve"> PAGEREF _Toc175665310 \h </w:instrText>
            </w:r>
            <w:r w:rsidR="00E617E0">
              <w:rPr>
                <w:noProof/>
                <w:webHidden/>
              </w:rPr>
            </w:r>
            <w:r w:rsidR="00E617E0">
              <w:rPr>
                <w:noProof/>
                <w:webHidden/>
              </w:rPr>
              <w:fldChar w:fldCharType="separate"/>
            </w:r>
            <w:r w:rsidR="00E617E0">
              <w:rPr>
                <w:noProof/>
                <w:webHidden/>
              </w:rPr>
              <w:t>12</w:t>
            </w:r>
            <w:r w:rsidR="00E617E0">
              <w:rPr>
                <w:noProof/>
                <w:webHidden/>
              </w:rPr>
              <w:fldChar w:fldCharType="end"/>
            </w:r>
          </w:hyperlink>
        </w:p>
        <w:p w14:paraId="4598C2AF" w14:textId="78335BA8" w:rsidR="00E617E0" w:rsidRDefault="00B10CC8">
          <w:pPr>
            <w:pStyle w:val="TOC3"/>
            <w:rPr>
              <w:rFonts w:asciiTheme="minorHAnsi" w:eastAsiaTheme="minorEastAsia" w:hAnsiTheme="minorHAnsi" w:cstheme="minorBidi"/>
              <w:noProof/>
              <w:kern w:val="2"/>
              <w:sz w:val="22"/>
              <w:szCs w:val="22"/>
              <w:lang w:eastAsia="en-AU"/>
              <w14:ligatures w14:val="standardContextual"/>
            </w:rPr>
          </w:pPr>
          <w:hyperlink w:anchor="_Toc175665311" w:history="1">
            <w:r w:rsidR="00E617E0" w:rsidRPr="00EF4E37">
              <w:rPr>
                <w:rStyle w:val="Hyperlink"/>
                <w:noProof/>
              </w:rPr>
              <w:t>Table 20 – Weekday and weekend spend in Parkville, Q2 2024</w:t>
            </w:r>
            <w:r w:rsidR="00E617E0">
              <w:rPr>
                <w:noProof/>
                <w:webHidden/>
              </w:rPr>
              <w:tab/>
            </w:r>
            <w:r w:rsidR="00E617E0">
              <w:rPr>
                <w:noProof/>
                <w:webHidden/>
              </w:rPr>
              <w:fldChar w:fldCharType="begin"/>
            </w:r>
            <w:r w:rsidR="00E617E0">
              <w:rPr>
                <w:noProof/>
                <w:webHidden/>
              </w:rPr>
              <w:instrText xml:space="preserve"> PAGEREF _Toc175665311 \h </w:instrText>
            </w:r>
            <w:r w:rsidR="00E617E0">
              <w:rPr>
                <w:noProof/>
                <w:webHidden/>
              </w:rPr>
            </w:r>
            <w:r w:rsidR="00E617E0">
              <w:rPr>
                <w:noProof/>
                <w:webHidden/>
              </w:rPr>
              <w:fldChar w:fldCharType="separate"/>
            </w:r>
            <w:r w:rsidR="00E617E0">
              <w:rPr>
                <w:noProof/>
                <w:webHidden/>
              </w:rPr>
              <w:t>12</w:t>
            </w:r>
            <w:r w:rsidR="00E617E0">
              <w:rPr>
                <w:noProof/>
                <w:webHidden/>
              </w:rPr>
              <w:fldChar w:fldCharType="end"/>
            </w:r>
          </w:hyperlink>
        </w:p>
        <w:p w14:paraId="10719E93" w14:textId="3BB17542" w:rsidR="00E617E0" w:rsidRDefault="00B10CC8">
          <w:pPr>
            <w:pStyle w:val="TOC3"/>
            <w:rPr>
              <w:rFonts w:asciiTheme="minorHAnsi" w:eastAsiaTheme="minorEastAsia" w:hAnsiTheme="minorHAnsi" w:cstheme="minorBidi"/>
              <w:noProof/>
              <w:kern w:val="2"/>
              <w:sz w:val="22"/>
              <w:szCs w:val="22"/>
              <w:lang w:eastAsia="en-AU"/>
              <w14:ligatures w14:val="standardContextual"/>
            </w:rPr>
          </w:pPr>
          <w:hyperlink w:anchor="_Toc175665312" w:history="1">
            <w:r w:rsidR="00E617E0" w:rsidRPr="00EF4E37">
              <w:rPr>
                <w:rStyle w:val="Hyperlink"/>
                <w:noProof/>
              </w:rPr>
              <w:t>Table 21.a – Where spending in Parkville came from, Q2 2024</w:t>
            </w:r>
            <w:r w:rsidR="00E617E0">
              <w:rPr>
                <w:noProof/>
                <w:webHidden/>
              </w:rPr>
              <w:tab/>
            </w:r>
            <w:r w:rsidR="00E617E0">
              <w:rPr>
                <w:noProof/>
                <w:webHidden/>
              </w:rPr>
              <w:fldChar w:fldCharType="begin"/>
            </w:r>
            <w:r w:rsidR="00E617E0">
              <w:rPr>
                <w:noProof/>
                <w:webHidden/>
              </w:rPr>
              <w:instrText xml:space="preserve"> PAGEREF _Toc175665312 \h </w:instrText>
            </w:r>
            <w:r w:rsidR="00E617E0">
              <w:rPr>
                <w:noProof/>
                <w:webHidden/>
              </w:rPr>
            </w:r>
            <w:r w:rsidR="00E617E0">
              <w:rPr>
                <w:noProof/>
                <w:webHidden/>
              </w:rPr>
              <w:fldChar w:fldCharType="separate"/>
            </w:r>
            <w:r w:rsidR="00E617E0">
              <w:rPr>
                <w:noProof/>
                <w:webHidden/>
              </w:rPr>
              <w:t>13</w:t>
            </w:r>
            <w:r w:rsidR="00E617E0">
              <w:rPr>
                <w:noProof/>
                <w:webHidden/>
              </w:rPr>
              <w:fldChar w:fldCharType="end"/>
            </w:r>
          </w:hyperlink>
        </w:p>
        <w:p w14:paraId="71DD2F90" w14:textId="651686B2" w:rsidR="00E617E0" w:rsidRDefault="00B10CC8">
          <w:pPr>
            <w:pStyle w:val="TOC3"/>
            <w:rPr>
              <w:rFonts w:asciiTheme="minorHAnsi" w:eastAsiaTheme="minorEastAsia" w:hAnsiTheme="minorHAnsi" w:cstheme="minorBidi"/>
              <w:noProof/>
              <w:kern w:val="2"/>
              <w:sz w:val="22"/>
              <w:szCs w:val="22"/>
              <w:lang w:eastAsia="en-AU"/>
              <w14:ligatures w14:val="standardContextual"/>
            </w:rPr>
          </w:pPr>
          <w:hyperlink w:anchor="_Toc175665313" w:history="1">
            <w:r w:rsidR="00E617E0" w:rsidRPr="00EF4E37">
              <w:rPr>
                <w:rStyle w:val="Hyperlink"/>
                <w:noProof/>
              </w:rPr>
              <w:t>Table 21.b – Where spending in Parkville came from, Q2 2024</w:t>
            </w:r>
            <w:r w:rsidR="00E617E0">
              <w:rPr>
                <w:noProof/>
                <w:webHidden/>
              </w:rPr>
              <w:tab/>
            </w:r>
            <w:r w:rsidR="00E617E0">
              <w:rPr>
                <w:noProof/>
                <w:webHidden/>
              </w:rPr>
              <w:fldChar w:fldCharType="begin"/>
            </w:r>
            <w:r w:rsidR="00E617E0">
              <w:rPr>
                <w:noProof/>
                <w:webHidden/>
              </w:rPr>
              <w:instrText xml:space="preserve"> PAGEREF _Toc175665313 \h </w:instrText>
            </w:r>
            <w:r w:rsidR="00E617E0">
              <w:rPr>
                <w:noProof/>
                <w:webHidden/>
              </w:rPr>
            </w:r>
            <w:r w:rsidR="00E617E0">
              <w:rPr>
                <w:noProof/>
                <w:webHidden/>
              </w:rPr>
              <w:fldChar w:fldCharType="separate"/>
            </w:r>
            <w:r w:rsidR="00E617E0">
              <w:rPr>
                <w:noProof/>
                <w:webHidden/>
              </w:rPr>
              <w:t>13</w:t>
            </w:r>
            <w:r w:rsidR="00E617E0">
              <w:rPr>
                <w:noProof/>
                <w:webHidden/>
              </w:rPr>
              <w:fldChar w:fldCharType="end"/>
            </w:r>
          </w:hyperlink>
        </w:p>
        <w:p w14:paraId="4D769010" w14:textId="3716AFED" w:rsidR="00E617E0" w:rsidRDefault="00B10CC8">
          <w:pPr>
            <w:pStyle w:val="TOC2"/>
            <w:rPr>
              <w:rFonts w:asciiTheme="minorHAnsi" w:eastAsiaTheme="minorEastAsia" w:hAnsiTheme="minorHAnsi" w:cstheme="minorBidi"/>
              <w:noProof/>
              <w:kern w:val="2"/>
              <w:sz w:val="22"/>
              <w:szCs w:val="22"/>
              <w:lang w:eastAsia="en-AU"/>
              <w14:ligatures w14:val="standardContextual"/>
            </w:rPr>
          </w:pPr>
          <w:hyperlink w:anchor="_Toc175665314" w:history="1">
            <w:r w:rsidR="00E617E0" w:rsidRPr="00EF4E37">
              <w:rPr>
                <w:rStyle w:val="Hyperlink"/>
                <w:noProof/>
              </w:rPr>
              <w:t>Appendix 1: Data sources</w:t>
            </w:r>
            <w:r w:rsidR="00E617E0">
              <w:rPr>
                <w:noProof/>
                <w:webHidden/>
              </w:rPr>
              <w:tab/>
            </w:r>
            <w:r w:rsidR="00E617E0">
              <w:rPr>
                <w:noProof/>
                <w:webHidden/>
              </w:rPr>
              <w:fldChar w:fldCharType="begin"/>
            </w:r>
            <w:r w:rsidR="00E617E0">
              <w:rPr>
                <w:noProof/>
                <w:webHidden/>
              </w:rPr>
              <w:instrText xml:space="preserve"> PAGEREF _Toc175665314 \h </w:instrText>
            </w:r>
            <w:r w:rsidR="00E617E0">
              <w:rPr>
                <w:noProof/>
                <w:webHidden/>
              </w:rPr>
            </w:r>
            <w:r w:rsidR="00E617E0">
              <w:rPr>
                <w:noProof/>
                <w:webHidden/>
              </w:rPr>
              <w:fldChar w:fldCharType="separate"/>
            </w:r>
            <w:r w:rsidR="00E617E0">
              <w:rPr>
                <w:noProof/>
                <w:webHidden/>
              </w:rPr>
              <w:t>13</w:t>
            </w:r>
            <w:r w:rsidR="00E617E0">
              <w:rPr>
                <w:noProof/>
                <w:webHidden/>
              </w:rPr>
              <w:fldChar w:fldCharType="end"/>
            </w:r>
          </w:hyperlink>
        </w:p>
        <w:p w14:paraId="5DAB6C7B" w14:textId="58818D41" w:rsidR="00756954" w:rsidRPr="00F64925" w:rsidRDefault="00D23D2B" w:rsidP="00F64925">
          <w:pPr>
            <w:pStyle w:val="TOC2"/>
            <w:ind w:left="0"/>
            <w:rPr>
              <w:noProof/>
              <w:color w:val="0000FF"/>
              <w:u w:val="single"/>
              <w:lang w:eastAsia="en-AU"/>
            </w:rPr>
          </w:pPr>
          <w:r w:rsidRPr="00600AE1">
            <w:rPr>
              <w:sz w:val="18"/>
              <w:szCs w:val="18"/>
            </w:rPr>
            <w:fldChar w:fldCharType="end"/>
          </w:r>
        </w:p>
      </w:sdtContent>
    </w:sdt>
    <w:p w14:paraId="02EB378F" w14:textId="77777777" w:rsidR="00B152AF" w:rsidRPr="00E5089C" w:rsidRDefault="00020B35" w:rsidP="00020B35">
      <w:pPr>
        <w:pStyle w:val="TOCHeading"/>
        <w:rPr>
          <w:rFonts w:hint="eastAsia"/>
        </w:rPr>
      </w:pPr>
      <w:r>
        <w:br w:type="page"/>
      </w:r>
      <w:bookmarkStart w:id="0" w:name="_Toc403992345"/>
      <w:bookmarkStart w:id="1" w:name="_Toc403992580"/>
      <w:bookmarkEnd w:id="0"/>
      <w:bookmarkEnd w:id="1"/>
    </w:p>
    <w:p w14:paraId="143CD7DB" w14:textId="777391E4" w:rsidR="5C1FB3B5" w:rsidRPr="003560A1" w:rsidRDefault="00C72568" w:rsidP="003560A1">
      <w:pPr>
        <w:pStyle w:val="Heading2"/>
        <w:rPr>
          <w:rFonts w:hint="eastAsia"/>
        </w:rPr>
      </w:pPr>
      <w:bookmarkStart w:id="2" w:name="_Toc175665281"/>
      <w:r w:rsidRPr="003560A1">
        <w:rPr>
          <w:rStyle w:val="normaltextrun"/>
        </w:rPr>
        <w:lastRenderedPageBreak/>
        <w:t>Retail shines after dark</w:t>
      </w:r>
      <w:r w:rsidR="0030394E" w:rsidRPr="003560A1">
        <w:t>.</w:t>
      </w:r>
      <w:bookmarkEnd w:id="2"/>
    </w:p>
    <w:p w14:paraId="6D3A14B0" w14:textId="6070E89A" w:rsidR="002E01B9" w:rsidRPr="002E01B9" w:rsidRDefault="00C75211" w:rsidP="00E84AAE">
      <w:bookmarkStart w:id="3" w:name="_Toc403992346"/>
      <w:bookmarkStart w:id="4" w:name="_Toc403992581"/>
      <w:bookmarkStart w:id="5" w:name="_Toc419982220"/>
      <w:bookmarkStart w:id="6" w:name="_Toc419982306"/>
      <w:r w:rsidRPr="00C75211">
        <w:t xml:space="preserve">Melbourne is a magical place after dark with businesses capitalising on twilight trade as a massive growth area. Our already bustling city gets even busier between 5pm and 10pm as shoppers spend up big, with more activity taking place during this time than in the morning. The city's new rhythm continues to evolve with late night adventurers far outweighing early risers. In June 2024, retail spend after work was 19 per cent higher than June 2023, with West Melbourne, Parkville, Kensington, and North Melbourne leading the charge. </w:t>
      </w:r>
      <w:hyperlink r:id="rId8" w:history="1">
        <w:r w:rsidRPr="00C75211">
          <w:rPr>
            <w:rStyle w:val="Hyperlink"/>
          </w:rPr>
          <w:t>Find out more about twilight trade</w:t>
        </w:r>
      </w:hyperlink>
      <w:r w:rsidR="004921FD" w:rsidRPr="004921FD">
        <w:rPr>
          <w:rStyle w:val="FootnoteReference"/>
        </w:rPr>
        <w:footnoteReference w:id="1"/>
      </w:r>
      <w:r w:rsidRPr="00C75211">
        <w:t xml:space="preserve">.  </w:t>
      </w:r>
    </w:p>
    <w:p w14:paraId="10897150" w14:textId="6B0CBB25" w:rsidR="00F61A91" w:rsidRDefault="45EC3D86" w:rsidP="4E54D03C">
      <w:pPr>
        <w:pStyle w:val="Heading3"/>
        <w:rPr>
          <w:rFonts w:hint="eastAsia"/>
        </w:rPr>
      </w:pPr>
      <w:bookmarkStart w:id="7" w:name="_Toc175665282"/>
      <w:r>
        <w:t xml:space="preserve">Table 1 </w:t>
      </w:r>
      <w:r w:rsidR="009565CE">
        <w:t>–</w:t>
      </w:r>
      <w:r>
        <w:t xml:space="preserve"> </w:t>
      </w:r>
      <w:r w:rsidR="00F62D9C">
        <w:t xml:space="preserve">Weekday activity </w:t>
      </w:r>
      <w:r w:rsidR="002A4C65">
        <w:t>o</w:t>
      </w:r>
      <w:r w:rsidR="00F62D9C">
        <w:t xml:space="preserve">n Swanston Street near the Melbourne Central sensor is higher between 5pm </w:t>
      </w:r>
      <w:r w:rsidR="003F6DFC">
        <w:t>to</w:t>
      </w:r>
      <w:r w:rsidR="00F62D9C">
        <w:t xml:space="preserve"> 10pm than before 12pm</w:t>
      </w:r>
      <w:r w:rsidR="002A4C65">
        <w:t xml:space="preserve">, January </w:t>
      </w:r>
      <w:r w:rsidR="003F6DFC">
        <w:t>to</w:t>
      </w:r>
      <w:r w:rsidR="002A4C65">
        <w:t xml:space="preserve"> June 2024.</w:t>
      </w:r>
      <w:bookmarkEnd w:id="7"/>
    </w:p>
    <w:tbl>
      <w:tblPr>
        <w:tblStyle w:val="TableGrid"/>
        <w:tblW w:w="0" w:type="auto"/>
        <w:tblLook w:val="04A0" w:firstRow="1" w:lastRow="0" w:firstColumn="1" w:lastColumn="0" w:noHBand="0" w:noVBand="1"/>
      </w:tblPr>
      <w:tblGrid>
        <w:gridCol w:w="1413"/>
        <w:gridCol w:w="3260"/>
      </w:tblGrid>
      <w:tr w:rsidR="00464284" w14:paraId="7A0DDDA0" w14:textId="5E938A0F" w:rsidTr="00CA189C">
        <w:tc>
          <w:tcPr>
            <w:tcW w:w="1413" w:type="dxa"/>
          </w:tcPr>
          <w:p w14:paraId="495BAA2E" w14:textId="310D04FD" w:rsidR="00464284" w:rsidRPr="008F55EC" w:rsidRDefault="00464284" w:rsidP="002E01B9">
            <w:pPr>
              <w:rPr>
                <w:b/>
                <w:sz w:val="22"/>
                <w:szCs w:val="22"/>
                <w:lang w:val="en-US"/>
              </w:rPr>
            </w:pPr>
            <w:r>
              <w:rPr>
                <w:b/>
                <w:sz w:val="22"/>
                <w:szCs w:val="22"/>
                <w:lang w:val="en-US"/>
              </w:rPr>
              <w:t>Time of Day</w:t>
            </w:r>
          </w:p>
        </w:tc>
        <w:tc>
          <w:tcPr>
            <w:tcW w:w="3260" w:type="dxa"/>
            <w:tcBorders>
              <w:bottom w:val="single" w:sz="4" w:space="0" w:color="auto"/>
            </w:tcBorders>
          </w:tcPr>
          <w:p w14:paraId="5C9C7A54" w14:textId="03D81944" w:rsidR="00464284" w:rsidRPr="008F55EC" w:rsidRDefault="00464284" w:rsidP="4E54D03C">
            <w:pPr>
              <w:rPr>
                <w:b/>
                <w:bCs/>
                <w:sz w:val="22"/>
                <w:szCs w:val="22"/>
                <w:lang w:val="en-US"/>
              </w:rPr>
            </w:pPr>
            <w:r>
              <w:rPr>
                <w:b/>
                <w:bCs/>
                <w:sz w:val="22"/>
                <w:szCs w:val="22"/>
                <w:lang w:val="en-US"/>
              </w:rPr>
              <w:t>Average Pedestrian Activity</w:t>
            </w:r>
          </w:p>
        </w:tc>
      </w:tr>
      <w:tr w:rsidR="00CA189C" w14:paraId="0D1CD57A" w14:textId="51AA3B90" w:rsidTr="00CA189C">
        <w:trPr>
          <w:trHeight w:val="300"/>
        </w:trPr>
        <w:tc>
          <w:tcPr>
            <w:tcW w:w="1413" w:type="dxa"/>
          </w:tcPr>
          <w:p w14:paraId="56ACEB01" w14:textId="51F89FB6" w:rsidR="00CA189C" w:rsidRDefault="00CA189C" w:rsidP="00CA189C">
            <w:pPr>
              <w:spacing w:line="240" w:lineRule="auto"/>
              <w:rPr>
                <w:rFonts w:eastAsia="Times New Roman" w:cs="Arial"/>
                <w:color w:val="000000" w:themeColor="text1"/>
                <w:sz w:val="22"/>
                <w:szCs w:val="22"/>
                <w:lang w:eastAsia="en-AU"/>
              </w:rPr>
            </w:pPr>
            <w:r>
              <w:rPr>
                <w:rFonts w:eastAsia="Times New Roman" w:cs="Arial"/>
                <w:color w:val="000000" w:themeColor="text1"/>
                <w:sz w:val="22"/>
                <w:szCs w:val="22"/>
                <w:lang w:eastAsia="en-AU"/>
              </w:rPr>
              <w:t>12 am</w:t>
            </w:r>
          </w:p>
        </w:tc>
        <w:tc>
          <w:tcPr>
            <w:tcW w:w="3260" w:type="dxa"/>
            <w:tcBorders>
              <w:top w:val="single" w:sz="4" w:space="0" w:color="auto"/>
              <w:left w:val="nil"/>
              <w:bottom w:val="single" w:sz="4" w:space="0" w:color="auto"/>
              <w:right w:val="single" w:sz="4" w:space="0" w:color="auto"/>
            </w:tcBorders>
            <w:shd w:val="clear" w:color="auto" w:fill="auto"/>
            <w:vAlign w:val="bottom"/>
          </w:tcPr>
          <w:p w14:paraId="3B956F55" w14:textId="08921131" w:rsidR="00CA189C" w:rsidRDefault="00CA189C" w:rsidP="00CA189C">
            <w:pPr>
              <w:jc w:val="right"/>
              <w:rPr>
                <w:sz w:val="22"/>
                <w:szCs w:val="22"/>
                <w:lang w:val="en-US"/>
              </w:rPr>
            </w:pPr>
            <w:r>
              <w:rPr>
                <w:rFonts w:cs="Arial"/>
                <w:color w:val="000000"/>
                <w:sz w:val="22"/>
                <w:szCs w:val="22"/>
              </w:rPr>
              <w:t>330</w:t>
            </w:r>
          </w:p>
        </w:tc>
      </w:tr>
      <w:tr w:rsidR="00CA189C" w14:paraId="3934235D" w14:textId="65F47DC2" w:rsidTr="00CA189C">
        <w:tc>
          <w:tcPr>
            <w:tcW w:w="1413" w:type="dxa"/>
          </w:tcPr>
          <w:p w14:paraId="18E1B18E" w14:textId="67EF1079" w:rsidR="00CA189C" w:rsidRPr="008F55EC" w:rsidRDefault="00CA189C" w:rsidP="00CA189C">
            <w:pPr>
              <w:spacing w:after="0" w:line="240" w:lineRule="auto"/>
              <w:rPr>
                <w:rFonts w:eastAsia="Times New Roman" w:cs="Arial"/>
                <w:color w:val="000000"/>
                <w:sz w:val="22"/>
                <w:szCs w:val="22"/>
                <w:lang w:eastAsia="en-AU"/>
              </w:rPr>
            </w:pPr>
            <w:r>
              <w:rPr>
                <w:rFonts w:eastAsia="Times New Roman" w:cs="Arial"/>
                <w:color w:val="000000"/>
                <w:sz w:val="22"/>
                <w:szCs w:val="22"/>
                <w:lang w:eastAsia="en-AU"/>
              </w:rPr>
              <w:t>1 am</w:t>
            </w:r>
          </w:p>
        </w:tc>
        <w:tc>
          <w:tcPr>
            <w:tcW w:w="3260" w:type="dxa"/>
            <w:tcBorders>
              <w:top w:val="single" w:sz="4" w:space="0" w:color="auto"/>
              <w:left w:val="nil"/>
              <w:bottom w:val="single" w:sz="4" w:space="0" w:color="auto"/>
              <w:right w:val="single" w:sz="4" w:space="0" w:color="auto"/>
            </w:tcBorders>
            <w:shd w:val="clear" w:color="auto" w:fill="auto"/>
            <w:vAlign w:val="bottom"/>
          </w:tcPr>
          <w:p w14:paraId="256545D1" w14:textId="59995119" w:rsidR="00CA189C" w:rsidRPr="008F55EC" w:rsidRDefault="00CA189C" w:rsidP="00CA189C">
            <w:pPr>
              <w:jc w:val="right"/>
              <w:rPr>
                <w:sz w:val="22"/>
                <w:szCs w:val="22"/>
                <w:lang w:val="en-US"/>
              </w:rPr>
            </w:pPr>
            <w:r>
              <w:rPr>
                <w:rFonts w:cs="Arial"/>
                <w:color w:val="000000"/>
                <w:sz w:val="22"/>
                <w:szCs w:val="22"/>
              </w:rPr>
              <w:t>230</w:t>
            </w:r>
          </w:p>
        </w:tc>
      </w:tr>
      <w:tr w:rsidR="00CA189C" w14:paraId="2B2956B1" w14:textId="055B166B" w:rsidTr="00CA189C">
        <w:tc>
          <w:tcPr>
            <w:tcW w:w="1413" w:type="dxa"/>
          </w:tcPr>
          <w:p w14:paraId="203D88B8" w14:textId="0EA059E2" w:rsidR="00CA189C" w:rsidRPr="008F55EC" w:rsidRDefault="00CA189C" w:rsidP="00CA189C">
            <w:pPr>
              <w:rPr>
                <w:sz w:val="22"/>
                <w:szCs w:val="22"/>
                <w:lang w:val="en-US"/>
              </w:rPr>
            </w:pPr>
            <w:r>
              <w:rPr>
                <w:sz w:val="22"/>
                <w:szCs w:val="22"/>
                <w:lang w:val="en-US"/>
              </w:rPr>
              <w:t>2 am</w:t>
            </w:r>
          </w:p>
        </w:tc>
        <w:tc>
          <w:tcPr>
            <w:tcW w:w="3260" w:type="dxa"/>
            <w:tcBorders>
              <w:top w:val="single" w:sz="4" w:space="0" w:color="auto"/>
              <w:left w:val="nil"/>
              <w:bottom w:val="single" w:sz="4" w:space="0" w:color="auto"/>
              <w:right w:val="single" w:sz="4" w:space="0" w:color="auto"/>
            </w:tcBorders>
            <w:shd w:val="clear" w:color="auto" w:fill="auto"/>
            <w:vAlign w:val="bottom"/>
          </w:tcPr>
          <w:p w14:paraId="73B2BDD4" w14:textId="2A814D78" w:rsidR="00CA189C" w:rsidRPr="008F55EC" w:rsidRDefault="00CA189C" w:rsidP="00CA189C">
            <w:pPr>
              <w:jc w:val="right"/>
              <w:rPr>
                <w:sz w:val="22"/>
                <w:szCs w:val="22"/>
                <w:lang w:val="en-US"/>
              </w:rPr>
            </w:pPr>
            <w:r>
              <w:rPr>
                <w:rFonts w:cs="Arial"/>
                <w:color w:val="000000"/>
                <w:sz w:val="22"/>
                <w:szCs w:val="22"/>
              </w:rPr>
              <w:t>120</w:t>
            </w:r>
          </w:p>
        </w:tc>
      </w:tr>
      <w:tr w:rsidR="00CA189C" w14:paraId="66EC2CEA" w14:textId="1451CFBC" w:rsidTr="00CA189C">
        <w:tc>
          <w:tcPr>
            <w:tcW w:w="1413" w:type="dxa"/>
          </w:tcPr>
          <w:p w14:paraId="6BEF94B2" w14:textId="33B3E3C6" w:rsidR="00CA189C" w:rsidRPr="008F55EC" w:rsidRDefault="00CA189C" w:rsidP="00CA189C">
            <w:pPr>
              <w:spacing w:after="0" w:line="240" w:lineRule="auto"/>
              <w:rPr>
                <w:rFonts w:eastAsia="Times New Roman" w:cs="Arial"/>
                <w:color w:val="000000"/>
                <w:sz w:val="22"/>
                <w:szCs w:val="22"/>
                <w:lang w:eastAsia="en-AU"/>
              </w:rPr>
            </w:pPr>
            <w:r>
              <w:rPr>
                <w:rFonts w:eastAsia="Times New Roman" w:cs="Arial"/>
                <w:color w:val="000000"/>
                <w:sz w:val="22"/>
                <w:szCs w:val="22"/>
                <w:lang w:eastAsia="en-AU"/>
              </w:rPr>
              <w:t>3 am</w:t>
            </w:r>
          </w:p>
        </w:tc>
        <w:tc>
          <w:tcPr>
            <w:tcW w:w="3260" w:type="dxa"/>
            <w:tcBorders>
              <w:top w:val="single" w:sz="4" w:space="0" w:color="auto"/>
              <w:left w:val="nil"/>
              <w:bottom w:val="single" w:sz="4" w:space="0" w:color="auto"/>
              <w:right w:val="single" w:sz="4" w:space="0" w:color="auto"/>
            </w:tcBorders>
            <w:shd w:val="clear" w:color="auto" w:fill="auto"/>
            <w:vAlign w:val="bottom"/>
          </w:tcPr>
          <w:p w14:paraId="61286D0B" w14:textId="11941F8A" w:rsidR="00CA189C" w:rsidRPr="008F55EC" w:rsidRDefault="00CA189C" w:rsidP="00CA189C">
            <w:pPr>
              <w:jc w:val="right"/>
              <w:rPr>
                <w:sz w:val="22"/>
                <w:szCs w:val="22"/>
                <w:lang w:val="en-US"/>
              </w:rPr>
            </w:pPr>
            <w:r>
              <w:rPr>
                <w:rFonts w:cs="Arial"/>
                <w:color w:val="000000"/>
                <w:sz w:val="22"/>
                <w:szCs w:val="22"/>
              </w:rPr>
              <w:t>80</w:t>
            </w:r>
          </w:p>
        </w:tc>
      </w:tr>
      <w:tr w:rsidR="00CA189C" w14:paraId="4B34D690" w14:textId="77777777" w:rsidTr="00CA189C">
        <w:tc>
          <w:tcPr>
            <w:tcW w:w="1413" w:type="dxa"/>
          </w:tcPr>
          <w:p w14:paraId="751A522F" w14:textId="4849080E" w:rsidR="00CA189C" w:rsidRDefault="00CA189C" w:rsidP="00CA189C">
            <w:pPr>
              <w:spacing w:after="0" w:line="240" w:lineRule="auto"/>
              <w:rPr>
                <w:rFonts w:eastAsia="Times New Roman" w:cs="Arial"/>
                <w:color w:val="000000"/>
                <w:sz w:val="22"/>
                <w:szCs w:val="22"/>
                <w:lang w:eastAsia="en-AU"/>
              </w:rPr>
            </w:pPr>
            <w:r>
              <w:rPr>
                <w:rFonts w:eastAsia="Times New Roman" w:cs="Arial"/>
                <w:color w:val="000000"/>
                <w:sz w:val="22"/>
                <w:szCs w:val="22"/>
                <w:lang w:eastAsia="en-AU"/>
              </w:rPr>
              <w:t>4 am</w:t>
            </w:r>
          </w:p>
        </w:tc>
        <w:tc>
          <w:tcPr>
            <w:tcW w:w="3260" w:type="dxa"/>
            <w:tcBorders>
              <w:top w:val="single" w:sz="4" w:space="0" w:color="auto"/>
              <w:left w:val="nil"/>
              <w:bottom w:val="single" w:sz="4" w:space="0" w:color="auto"/>
              <w:right w:val="single" w:sz="4" w:space="0" w:color="auto"/>
            </w:tcBorders>
            <w:shd w:val="clear" w:color="auto" w:fill="auto"/>
            <w:vAlign w:val="bottom"/>
          </w:tcPr>
          <w:p w14:paraId="0DCFC4DF" w14:textId="5FF61EE4" w:rsidR="00CA189C" w:rsidRPr="008F55EC" w:rsidRDefault="00CA189C" w:rsidP="00CA189C">
            <w:pPr>
              <w:jc w:val="right"/>
              <w:rPr>
                <w:sz w:val="22"/>
                <w:szCs w:val="22"/>
                <w:lang w:val="en-US"/>
              </w:rPr>
            </w:pPr>
            <w:r>
              <w:rPr>
                <w:rFonts w:cs="Arial"/>
                <w:color w:val="000000"/>
                <w:sz w:val="22"/>
                <w:szCs w:val="22"/>
              </w:rPr>
              <w:t>70</w:t>
            </w:r>
          </w:p>
        </w:tc>
      </w:tr>
      <w:tr w:rsidR="00CA189C" w14:paraId="59F5FA88" w14:textId="77777777" w:rsidTr="00CA189C">
        <w:tc>
          <w:tcPr>
            <w:tcW w:w="1413" w:type="dxa"/>
          </w:tcPr>
          <w:p w14:paraId="7D9CE4C7" w14:textId="6509CB21" w:rsidR="00CA189C" w:rsidRDefault="00CA189C" w:rsidP="00CA189C">
            <w:pPr>
              <w:spacing w:after="0" w:line="240" w:lineRule="auto"/>
              <w:rPr>
                <w:rFonts w:eastAsia="Times New Roman" w:cs="Arial"/>
                <w:color w:val="000000"/>
                <w:sz w:val="22"/>
                <w:szCs w:val="22"/>
                <w:lang w:eastAsia="en-AU"/>
              </w:rPr>
            </w:pPr>
            <w:r>
              <w:rPr>
                <w:rFonts w:eastAsia="Times New Roman" w:cs="Arial"/>
                <w:color w:val="000000"/>
                <w:sz w:val="22"/>
                <w:szCs w:val="22"/>
                <w:lang w:eastAsia="en-AU"/>
              </w:rPr>
              <w:t>5 am</w:t>
            </w:r>
          </w:p>
        </w:tc>
        <w:tc>
          <w:tcPr>
            <w:tcW w:w="3260" w:type="dxa"/>
            <w:tcBorders>
              <w:top w:val="single" w:sz="4" w:space="0" w:color="auto"/>
              <w:left w:val="nil"/>
              <w:bottom w:val="single" w:sz="4" w:space="0" w:color="auto"/>
              <w:right w:val="single" w:sz="4" w:space="0" w:color="auto"/>
            </w:tcBorders>
            <w:shd w:val="clear" w:color="auto" w:fill="auto"/>
            <w:vAlign w:val="bottom"/>
          </w:tcPr>
          <w:p w14:paraId="0701914B" w14:textId="5C2AB4C3" w:rsidR="00CA189C" w:rsidRPr="008F55EC" w:rsidRDefault="00CA189C" w:rsidP="00CA189C">
            <w:pPr>
              <w:jc w:val="right"/>
              <w:rPr>
                <w:sz w:val="22"/>
                <w:szCs w:val="22"/>
                <w:lang w:val="en-US"/>
              </w:rPr>
            </w:pPr>
            <w:r>
              <w:rPr>
                <w:rFonts w:cs="Arial"/>
                <w:color w:val="000000"/>
                <w:sz w:val="22"/>
                <w:szCs w:val="22"/>
              </w:rPr>
              <w:t>80</w:t>
            </w:r>
          </w:p>
        </w:tc>
      </w:tr>
      <w:tr w:rsidR="00CA189C" w14:paraId="1B0ED1EE" w14:textId="77777777" w:rsidTr="00CA189C">
        <w:tc>
          <w:tcPr>
            <w:tcW w:w="1413" w:type="dxa"/>
          </w:tcPr>
          <w:p w14:paraId="564E0EEF" w14:textId="480E5DE8" w:rsidR="00CA189C" w:rsidRDefault="00CA189C" w:rsidP="00CA189C">
            <w:pPr>
              <w:spacing w:after="0" w:line="240" w:lineRule="auto"/>
              <w:rPr>
                <w:rFonts w:eastAsia="Times New Roman" w:cs="Arial"/>
                <w:color w:val="000000"/>
                <w:sz w:val="22"/>
                <w:szCs w:val="22"/>
                <w:lang w:eastAsia="en-AU"/>
              </w:rPr>
            </w:pPr>
            <w:r>
              <w:rPr>
                <w:rFonts w:eastAsia="Times New Roman" w:cs="Arial"/>
                <w:color w:val="000000"/>
                <w:sz w:val="22"/>
                <w:szCs w:val="22"/>
                <w:lang w:eastAsia="en-AU"/>
              </w:rPr>
              <w:t>6 am</w:t>
            </w:r>
          </w:p>
        </w:tc>
        <w:tc>
          <w:tcPr>
            <w:tcW w:w="3260" w:type="dxa"/>
            <w:tcBorders>
              <w:top w:val="single" w:sz="4" w:space="0" w:color="auto"/>
              <w:left w:val="nil"/>
              <w:bottom w:val="single" w:sz="4" w:space="0" w:color="auto"/>
              <w:right w:val="single" w:sz="4" w:space="0" w:color="auto"/>
            </w:tcBorders>
            <w:shd w:val="clear" w:color="auto" w:fill="auto"/>
            <w:vAlign w:val="bottom"/>
          </w:tcPr>
          <w:p w14:paraId="0B9FDDBD" w14:textId="696367F2" w:rsidR="00CA189C" w:rsidRPr="008F55EC" w:rsidRDefault="00CA189C" w:rsidP="00CA189C">
            <w:pPr>
              <w:jc w:val="right"/>
              <w:rPr>
                <w:sz w:val="22"/>
                <w:szCs w:val="22"/>
                <w:lang w:val="en-US"/>
              </w:rPr>
            </w:pPr>
            <w:r>
              <w:rPr>
                <w:rFonts w:cs="Arial"/>
                <w:color w:val="000000"/>
                <w:sz w:val="22"/>
                <w:szCs w:val="22"/>
              </w:rPr>
              <w:t>150</w:t>
            </w:r>
          </w:p>
        </w:tc>
      </w:tr>
      <w:tr w:rsidR="00CA189C" w14:paraId="2F744038" w14:textId="77777777" w:rsidTr="00CA189C">
        <w:tc>
          <w:tcPr>
            <w:tcW w:w="1413" w:type="dxa"/>
          </w:tcPr>
          <w:p w14:paraId="36BC34C7" w14:textId="6769842E" w:rsidR="00CA189C" w:rsidRDefault="00CA189C" w:rsidP="00CA189C">
            <w:pPr>
              <w:spacing w:after="0" w:line="240" w:lineRule="auto"/>
              <w:rPr>
                <w:rFonts w:eastAsia="Times New Roman" w:cs="Arial"/>
                <w:color w:val="000000"/>
                <w:sz w:val="22"/>
                <w:szCs w:val="22"/>
                <w:lang w:eastAsia="en-AU"/>
              </w:rPr>
            </w:pPr>
            <w:r>
              <w:rPr>
                <w:rFonts w:eastAsia="Times New Roman" w:cs="Arial"/>
                <w:color w:val="000000"/>
                <w:sz w:val="22"/>
                <w:szCs w:val="22"/>
                <w:lang w:eastAsia="en-AU"/>
              </w:rPr>
              <w:t>7 am</w:t>
            </w:r>
          </w:p>
        </w:tc>
        <w:tc>
          <w:tcPr>
            <w:tcW w:w="3260" w:type="dxa"/>
            <w:tcBorders>
              <w:top w:val="single" w:sz="4" w:space="0" w:color="auto"/>
              <w:left w:val="nil"/>
              <w:bottom w:val="single" w:sz="4" w:space="0" w:color="auto"/>
              <w:right w:val="single" w:sz="4" w:space="0" w:color="auto"/>
            </w:tcBorders>
            <w:shd w:val="clear" w:color="auto" w:fill="auto"/>
            <w:vAlign w:val="bottom"/>
          </w:tcPr>
          <w:p w14:paraId="6D418783" w14:textId="4177B94F" w:rsidR="00CA189C" w:rsidRPr="008F55EC" w:rsidRDefault="00CA189C" w:rsidP="00CA189C">
            <w:pPr>
              <w:jc w:val="right"/>
              <w:rPr>
                <w:sz w:val="22"/>
                <w:szCs w:val="22"/>
                <w:lang w:val="en-US"/>
              </w:rPr>
            </w:pPr>
            <w:r>
              <w:rPr>
                <w:rFonts w:cs="Arial"/>
                <w:color w:val="000000"/>
                <w:sz w:val="22"/>
                <w:szCs w:val="22"/>
              </w:rPr>
              <w:t>230</w:t>
            </w:r>
          </w:p>
        </w:tc>
      </w:tr>
      <w:tr w:rsidR="00CA189C" w14:paraId="4392C8AC" w14:textId="77777777" w:rsidTr="00CA189C">
        <w:tc>
          <w:tcPr>
            <w:tcW w:w="1413" w:type="dxa"/>
          </w:tcPr>
          <w:p w14:paraId="3ECE13EB" w14:textId="558F6F1A" w:rsidR="00CA189C" w:rsidRDefault="00CA189C" w:rsidP="00CA189C">
            <w:pPr>
              <w:spacing w:after="0" w:line="240" w:lineRule="auto"/>
              <w:rPr>
                <w:rFonts w:eastAsia="Times New Roman" w:cs="Arial"/>
                <w:color w:val="000000"/>
                <w:sz w:val="22"/>
                <w:szCs w:val="22"/>
                <w:lang w:eastAsia="en-AU"/>
              </w:rPr>
            </w:pPr>
            <w:r>
              <w:rPr>
                <w:rFonts w:eastAsia="Times New Roman" w:cs="Arial"/>
                <w:color w:val="000000"/>
                <w:sz w:val="22"/>
                <w:szCs w:val="22"/>
                <w:lang w:eastAsia="en-AU"/>
              </w:rPr>
              <w:t>8 am</w:t>
            </w:r>
          </w:p>
        </w:tc>
        <w:tc>
          <w:tcPr>
            <w:tcW w:w="3260" w:type="dxa"/>
            <w:tcBorders>
              <w:top w:val="single" w:sz="4" w:space="0" w:color="auto"/>
              <w:left w:val="nil"/>
              <w:bottom w:val="single" w:sz="4" w:space="0" w:color="auto"/>
              <w:right w:val="single" w:sz="4" w:space="0" w:color="auto"/>
            </w:tcBorders>
            <w:shd w:val="clear" w:color="auto" w:fill="auto"/>
            <w:vAlign w:val="bottom"/>
          </w:tcPr>
          <w:p w14:paraId="02DEE82E" w14:textId="636C0F7B" w:rsidR="00CA189C" w:rsidRPr="008F55EC" w:rsidRDefault="00CA189C" w:rsidP="00CA189C">
            <w:pPr>
              <w:jc w:val="right"/>
              <w:rPr>
                <w:sz w:val="22"/>
                <w:szCs w:val="22"/>
                <w:lang w:val="en-US"/>
              </w:rPr>
            </w:pPr>
            <w:r>
              <w:rPr>
                <w:rFonts w:cs="Arial"/>
                <w:color w:val="000000"/>
                <w:sz w:val="22"/>
                <w:szCs w:val="22"/>
              </w:rPr>
              <w:t>560</w:t>
            </w:r>
          </w:p>
        </w:tc>
      </w:tr>
      <w:tr w:rsidR="00CA189C" w14:paraId="4E65F433" w14:textId="77777777" w:rsidTr="00CA189C">
        <w:tc>
          <w:tcPr>
            <w:tcW w:w="1413" w:type="dxa"/>
          </w:tcPr>
          <w:p w14:paraId="21BE4372" w14:textId="484793B5" w:rsidR="00CA189C" w:rsidRDefault="00CA189C" w:rsidP="00CA189C">
            <w:pPr>
              <w:spacing w:after="0" w:line="240" w:lineRule="auto"/>
              <w:rPr>
                <w:rFonts w:eastAsia="Times New Roman" w:cs="Arial"/>
                <w:color w:val="000000"/>
                <w:sz w:val="22"/>
                <w:szCs w:val="22"/>
                <w:lang w:eastAsia="en-AU"/>
              </w:rPr>
            </w:pPr>
            <w:r>
              <w:rPr>
                <w:rFonts w:eastAsia="Times New Roman" w:cs="Arial"/>
                <w:color w:val="000000"/>
                <w:sz w:val="22"/>
                <w:szCs w:val="22"/>
                <w:lang w:eastAsia="en-AU"/>
              </w:rPr>
              <w:t>9 am</w:t>
            </w:r>
          </w:p>
        </w:tc>
        <w:tc>
          <w:tcPr>
            <w:tcW w:w="3260" w:type="dxa"/>
            <w:tcBorders>
              <w:top w:val="single" w:sz="4" w:space="0" w:color="auto"/>
              <w:left w:val="nil"/>
              <w:bottom w:val="single" w:sz="4" w:space="0" w:color="auto"/>
              <w:right w:val="single" w:sz="4" w:space="0" w:color="auto"/>
            </w:tcBorders>
            <w:shd w:val="clear" w:color="auto" w:fill="auto"/>
            <w:vAlign w:val="bottom"/>
          </w:tcPr>
          <w:p w14:paraId="1B2E1EFE" w14:textId="52E87405" w:rsidR="00CA189C" w:rsidRPr="008F55EC" w:rsidRDefault="00CA189C" w:rsidP="00CA189C">
            <w:pPr>
              <w:jc w:val="right"/>
              <w:rPr>
                <w:sz w:val="22"/>
                <w:szCs w:val="22"/>
                <w:lang w:val="en-US"/>
              </w:rPr>
            </w:pPr>
            <w:r>
              <w:rPr>
                <w:rFonts w:cs="Arial"/>
                <w:color w:val="000000"/>
                <w:sz w:val="22"/>
                <w:szCs w:val="22"/>
              </w:rPr>
              <w:t>680</w:t>
            </w:r>
          </w:p>
        </w:tc>
      </w:tr>
      <w:tr w:rsidR="00CA189C" w14:paraId="3A96A08E" w14:textId="77777777" w:rsidTr="00CA189C">
        <w:tc>
          <w:tcPr>
            <w:tcW w:w="1413" w:type="dxa"/>
          </w:tcPr>
          <w:p w14:paraId="321DF16D" w14:textId="174E6BB7" w:rsidR="00CA189C" w:rsidRDefault="00CA189C" w:rsidP="00CA189C">
            <w:pPr>
              <w:spacing w:after="0" w:line="240" w:lineRule="auto"/>
              <w:rPr>
                <w:rFonts w:eastAsia="Times New Roman" w:cs="Arial"/>
                <w:color w:val="000000"/>
                <w:sz w:val="22"/>
                <w:szCs w:val="22"/>
                <w:lang w:eastAsia="en-AU"/>
              </w:rPr>
            </w:pPr>
            <w:r>
              <w:rPr>
                <w:rFonts w:eastAsia="Times New Roman" w:cs="Arial"/>
                <w:color w:val="000000"/>
                <w:sz w:val="22"/>
                <w:szCs w:val="22"/>
                <w:lang w:eastAsia="en-AU"/>
              </w:rPr>
              <w:t>10 am</w:t>
            </w:r>
          </w:p>
        </w:tc>
        <w:tc>
          <w:tcPr>
            <w:tcW w:w="3260" w:type="dxa"/>
            <w:tcBorders>
              <w:top w:val="single" w:sz="4" w:space="0" w:color="auto"/>
              <w:left w:val="nil"/>
              <w:bottom w:val="single" w:sz="4" w:space="0" w:color="auto"/>
              <w:right w:val="single" w:sz="4" w:space="0" w:color="auto"/>
            </w:tcBorders>
            <w:shd w:val="clear" w:color="auto" w:fill="auto"/>
            <w:vAlign w:val="bottom"/>
          </w:tcPr>
          <w:p w14:paraId="41C3B1A6" w14:textId="45F838C9" w:rsidR="00CA189C" w:rsidRPr="008F55EC" w:rsidRDefault="00CA189C" w:rsidP="00CA189C">
            <w:pPr>
              <w:jc w:val="right"/>
              <w:rPr>
                <w:sz w:val="22"/>
                <w:szCs w:val="22"/>
                <w:lang w:val="en-US"/>
              </w:rPr>
            </w:pPr>
            <w:r>
              <w:rPr>
                <w:rFonts w:cs="Arial"/>
                <w:color w:val="000000"/>
                <w:sz w:val="22"/>
                <w:szCs w:val="22"/>
              </w:rPr>
              <w:t>930</w:t>
            </w:r>
          </w:p>
        </w:tc>
      </w:tr>
      <w:tr w:rsidR="00CA189C" w14:paraId="76E48882" w14:textId="77777777" w:rsidTr="00CA189C">
        <w:tc>
          <w:tcPr>
            <w:tcW w:w="1413" w:type="dxa"/>
          </w:tcPr>
          <w:p w14:paraId="2D5D9306" w14:textId="22C3B852" w:rsidR="00CA189C" w:rsidRDefault="00CA189C" w:rsidP="00CA189C">
            <w:pPr>
              <w:spacing w:after="0" w:line="240" w:lineRule="auto"/>
              <w:rPr>
                <w:rFonts w:eastAsia="Times New Roman" w:cs="Arial"/>
                <w:color w:val="000000"/>
                <w:sz w:val="22"/>
                <w:szCs w:val="22"/>
                <w:lang w:eastAsia="en-AU"/>
              </w:rPr>
            </w:pPr>
            <w:r>
              <w:rPr>
                <w:rFonts w:eastAsia="Times New Roman" w:cs="Arial"/>
                <w:color w:val="000000"/>
                <w:sz w:val="22"/>
                <w:szCs w:val="22"/>
                <w:lang w:eastAsia="en-AU"/>
              </w:rPr>
              <w:t>11 am</w:t>
            </w:r>
          </w:p>
        </w:tc>
        <w:tc>
          <w:tcPr>
            <w:tcW w:w="3260" w:type="dxa"/>
            <w:tcBorders>
              <w:top w:val="single" w:sz="4" w:space="0" w:color="auto"/>
              <w:left w:val="nil"/>
              <w:bottom w:val="single" w:sz="4" w:space="0" w:color="auto"/>
              <w:right w:val="single" w:sz="4" w:space="0" w:color="auto"/>
            </w:tcBorders>
            <w:shd w:val="clear" w:color="auto" w:fill="auto"/>
            <w:vAlign w:val="bottom"/>
          </w:tcPr>
          <w:p w14:paraId="79DE2751" w14:textId="685A842D" w:rsidR="00CA189C" w:rsidRPr="008F55EC" w:rsidRDefault="00CA189C" w:rsidP="00CA189C">
            <w:pPr>
              <w:jc w:val="right"/>
              <w:rPr>
                <w:sz w:val="22"/>
                <w:szCs w:val="22"/>
                <w:lang w:val="en-US"/>
              </w:rPr>
            </w:pPr>
            <w:r>
              <w:rPr>
                <w:rFonts w:cs="Arial"/>
                <w:color w:val="000000"/>
                <w:sz w:val="22"/>
                <w:szCs w:val="22"/>
              </w:rPr>
              <w:t>1380</w:t>
            </w:r>
          </w:p>
        </w:tc>
      </w:tr>
      <w:tr w:rsidR="00CA189C" w14:paraId="5E9725BA" w14:textId="77777777" w:rsidTr="00CA189C">
        <w:tc>
          <w:tcPr>
            <w:tcW w:w="1413" w:type="dxa"/>
          </w:tcPr>
          <w:p w14:paraId="629CC502" w14:textId="2EF9E175" w:rsidR="00CA189C" w:rsidRDefault="00CA189C" w:rsidP="00CA189C">
            <w:pPr>
              <w:spacing w:after="0" w:line="240" w:lineRule="auto"/>
              <w:rPr>
                <w:rFonts w:eastAsia="Times New Roman" w:cs="Arial"/>
                <w:color w:val="000000"/>
                <w:sz w:val="22"/>
                <w:szCs w:val="22"/>
                <w:lang w:eastAsia="en-AU"/>
              </w:rPr>
            </w:pPr>
            <w:r>
              <w:rPr>
                <w:rFonts w:eastAsia="Times New Roman" w:cs="Arial"/>
                <w:color w:val="000000"/>
                <w:sz w:val="22"/>
                <w:szCs w:val="22"/>
                <w:lang w:eastAsia="en-AU"/>
              </w:rPr>
              <w:t>12 pm</w:t>
            </w:r>
          </w:p>
        </w:tc>
        <w:tc>
          <w:tcPr>
            <w:tcW w:w="3260" w:type="dxa"/>
            <w:tcBorders>
              <w:top w:val="single" w:sz="4" w:space="0" w:color="auto"/>
              <w:left w:val="nil"/>
              <w:bottom w:val="single" w:sz="4" w:space="0" w:color="auto"/>
              <w:right w:val="single" w:sz="4" w:space="0" w:color="auto"/>
            </w:tcBorders>
            <w:shd w:val="clear" w:color="auto" w:fill="auto"/>
            <w:vAlign w:val="bottom"/>
          </w:tcPr>
          <w:p w14:paraId="333EC5F4" w14:textId="1AB2D452" w:rsidR="00CA189C" w:rsidRPr="008F55EC" w:rsidRDefault="00CA189C" w:rsidP="00CA189C">
            <w:pPr>
              <w:jc w:val="right"/>
              <w:rPr>
                <w:sz w:val="22"/>
                <w:szCs w:val="22"/>
                <w:lang w:val="en-US"/>
              </w:rPr>
            </w:pPr>
            <w:r>
              <w:rPr>
                <w:rFonts w:cs="Arial"/>
                <w:color w:val="000000"/>
                <w:sz w:val="22"/>
                <w:szCs w:val="22"/>
              </w:rPr>
              <w:t>2200</w:t>
            </w:r>
          </w:p>
        </w:tc>
      </w:tr>
      <w:tr w:rsidR="00CA189C" w14:paraId="271504A0" w14:textId="77777777" w:rsidTr="00CA189C">
        <w:tc>
          <w:tcPr>
            <w:tcW w:w="1413" w:type="dxa"/>
          </w:tcPr>
          <w:p w14:paraId="2D14BCA7" w14:textId="5F33A216" w:rsidR="00CA189C" w:rsidRDefault="00CA189C" w:rsidP="00CA189C">
            <w:pPr>
              <w:spacing w:after="0" w:line="240" w:lineRule="auto"/>
              <w:rPr>
                <w:rFonts w:eastAsia="Times New Roman" w:cs="Arial"/>
                <w:color w:val="000000"/>
                <w:sz w:val="22"/>
                <w:szCs w:val="22"/>
                <w:lang w:eastAsia="en-AU"/>
              </w:rPr>
            </w:pPr>
            <w:r>
              <w:rPr>
                <w:rFonts w:eastAsia="Times New Roman" w:cs="Arial"/>
                <w:color w:val="000000"/>
                <w:sz w:val="22"/>
                <w:szCs w:val="22"/>
                <w:lang w:eastAsia="en-AU"/>
              </w:rPr>
              <w:t>1 pm</w:t>
            </w:r>
          </w:p>
        </w:tc>
        <w:tc>
          <w:tcPr>
            <w:tcW w:w="3260" w:type="dxa"/>
            <w:tcBorders>
              <w:top w:val="single" w:sz="4" w:space="0" w:color="auto"/>
              <w:left w:val="nil"/>
              <w:bottom w:val="single" w:sz="4" w:space="0" w:color="auto"/>
              <w:right w:val="single" w:sz="4" w:space="0" w:color="auto"/>
            </w:tcBorders>
            <w:shd w:val="clear" w:color="auto" w:fill="auto"/>
            <w:vAlign w:val="bottom"/>
          </w:tcPr>
          <w:p w14:paraId="0F961F06" w14:textId="1DA3FA43" w:rsidR="00CA189C" w:rsidRPr="008F55EC" w:rsidRDefault="00CA189C" w:rsidP="00CA189C">
            <w:pPr>
              <w:jc w:val="right"/>
              <w:rPr>
                <w:sz w:val="22"/>
                <w:szCs w:val="22"/>
                <w:lang w:val="en-US"/>
              </w:rPr>
            </w:pPr>
            <w:r>
              <w:rPr>
                <w:rFonts w:cs="Arial"/>
                <w:color w:val="000000"/>
                <w:sz w:val="22"/>
                <w:szCs w:val="22"/>
              </w:rPr>
              <w:t>2290</w:t>
            </w:r>
          </w:p>
        </w:tc>
      </w:tr>
      <w:tr w:rsidR="00CA189C" w14:paraId="437D4656" w14:textId="77777777" w:rsidTr="00CA189C">
        <w:tc>
          <w:tcPr>
            <w:tcW w:w="1413" w:type="dxa"/>
          </w:tcPr>
          <w:p w14:paraId="61D9DBBF" w14:textId="7FF35C49" w:rsidR="00CA189C" w:rsidRDefault="00CA189C" w:rsidP="00CA189C">
            <w:pPr>
              <w:spacing w:after="0" w:line="240" w:lineRule="auto"/>
              <w:rPr>
                <w:rFonts w:eastAsia="Times New Roman" w:cs="Arial"/>
                <w:color w:val="000000"/>
                <w:sz w:val="22"/>
                <w:szCs w:val="22"/>
                <w:lang w:eastAsia="en-AU"/>
              </w:rPr>
            </w:pPr>
            <w:r>
              <w:rPr>
                <w:rFonts w:eastAsia="Times New Roman" w:cs="Arial"/>
                <w:color w:val="000000"/>
                <w:sz w:val="22"/>
                <w:szCs w:val="22"/>
                <w:lang w:eastAsia="en-AU"/>
              </w:rPr>
              <w:t>2 pm</w:t>
            </w:r>
          </w:p>
        </w:tc>
        <w:tc>
          <w:tcPr>
            <w:tcW w:w="3260" w:type="dxa"/>
            <w:tcBorders>
              <w:top w:val="single" w:sz="4" w:space="0" w:color="auto"/>
              <w:left w:val="nil"/>
              <w:bottom w:val="single" w:sz="4" w:space="0" w:color="auto"/>
              <w:right w:val="single" w:sz="4" w:space="0" w:color="auto"/>
            </w:tcBorders>
            <w:shd w:val="clear" w:color="auto" w:fill="auto"/>
            <w:vAlign w:val="bottom"/>
          </w:tcPr>
          <w:p w14:paraId="7DD02A8A" w14:textId="34C84557" w:rsidR="00CA189C" w:rsidRPr="008F55EC" w:rsidRDefault="00CA189C" w:rsidP="00CA189C">
            <w:pPr>
              <w:jc w:val="right"/>
              <w:rPr>
                <w:sz w:val="22"/>
                <w:szCs w:val="22"/>
                <w:lang w:val="en-US"/>
              </w:rPr>
            </w:pPr>
            <w:r>
              <w:rPr>
                <w:rFonts w:cs="Arial"/>
                <w:color w:val="000000"/>
                <w:sz w:val="22"/>
                <w:szCs w:val="22"/>
              </w:rPr>
              <w:t>2200</w:t>
            </w:r>
          </w:p>
        </w:tc>
      </w:tr>
      <w:tr w:rsidR="00CA189C" w14:paraId="061A75C4" w14:textId="77777777" w:rsidTr="00CA189C">
        <w:tc>
          <w:tcPr>
            <w:tcW w:w="1413" w:type="dxa"/>
          </w:tcPr>
          <w:p w14:paraId="70BCABA1" w14:textId="7C06780B" w:rsidR="00CA189C" w:rsidRDefault="00CA189C" w:rsidP="00CA189C">
            <w:pPr>
              <w:spacing w:after="0" w:line="240" w:lineRule="auto"/>
              <w:rPr>
                <w:rFonts w:eastAsia="Times New Roman" w:cs="Arial"/>
                <w:color w:val="000000"/>
                <w:sz w:val="22"/>
                <w:szCs w:val="22"/>
                <w:lang w:eastAsia="en-AU"/>
              </w:rPr>
            </w:pPr>
            <w:r>
              <w:rPr>
                <w:rFonts w:eastAsia="Times New Roman" w:cs="Arial"/>
                <w:color w:val="000000"/>
                <w:sz w:val="22"/>
                <w:szCs w:val="22"/>
                <w:lang w:eastAsia="en-AU"/>
              </w:rPr>
              <w:t>3 pm</w:t>
            </w:r>
          </w:p>
        </w:tc>
        <w:tc>
          <w:tcPr>
            <w:tcW w:w="3260" w:type="dxa"/>
            <w:tcBorders>
              <w:top w:val="single" w:sz="4" w:space="0" w:color="auto"/>
              <w:left w:val="nil"/>
              <w:bottom w:val="single" w:sz="4" w:space="0" w:color="auto"/>
              <w:right w:val="single" w:sz="4" w:space="0" w:color="auto"/>
            </w:tcBorders>
            <w:shd w:val="clear" w:color="auto" w:fill="auto"/>
            <w:vAlign w:val="bottom"/>
          </w:tcPr>
          <w:p w14:paraId="11114251" w14:textId="3FA08948" w:rsidR="00CA189C" w:rsidRPr="008F55EC" w:rsidRDefault="00CA189C" w:rsidP="00CA189C">
            <w:pPr>
              <w:jc w:val="right"/>
              <w:rPr>
                <w:sz w:val="22"/>
                <w:szCs w:val="22"/>
                <w:lang w:val="en-US"/>
              </w:rPr>
            </w:pPr>
            <w:r>
              <w:rPr>
                <w:rFonts w:cs="Arial"/>
                <w:color w:val="000000"/>
                <w:sz w:val="22"/>
                <w:szCs w:val="22"/>
              </w:rPr>
              <w:t>2230</w:t>
            </w:r>
          </w:p>
        </w:tc>
      </w:tr>
      <w:tr w:rsidR="00CA189C" w14:paraId="6B6DB1FE" w14:textId="77777777" w:rsidTr="00CA189C">
        <w:tc>
          <w:tcPr>
            <w:tcW w:w="1413" w:type="dxa"/>
          </w:tcPr>
          <w:p w14:paraId="7E115FD6" w14:textId="7E817A5A" w:rsidR="00CA189C" w:rsidRDefault="00CA189C" w:rsidP="00CA189C">
            <w:pPr>
              <w:spacing w:after="0" w:line="240" w:lineRule="auto"/>
              <w:rPr>
                <w:rFonts w:eastAsia="Times New Roman" w:cs="Arial"/>
                <w:color w:val="000000"/>
                <w:sz w:val="22"/>
                <w:szCs w:val="22"/>
                <w:lang w:eastAsia="en-AU"/>
              </w:rPr>
            </w:pPr>
            <w:r>
              <w:rPr>
                <w:rFonts w:eastAsia="Times New Roman" w:cs="Arial"/>
                <w:color w:val="000000"/>
                <w:sz w:val="22"/>
                <w:szCs w:val="22"/>
                <w:lang w:eastAsia="en-AU"/>
              </w:rPr>
              <w:lastRenderedPageBreak/>
              <w:t>4 pm</w:t>
            </w:r>
          </w:p>
        </w:tc>
        <w:tc>
          <w:tcPr>
            <w:tcW w:w="3260" w:type="dxa"/>
            <w:tcBorders>
              <w:top w:val="single" w:sz="4" w:space="0" w:color="auto"/>
              <w:left w:val="nil"/>
              <w:bottom w:val="single" w:sz="4" w:space="0" w:color="auto"/>
              <w:right w:val="single" w:sz="4" w:space="0" w:color="auto"/>
            </w:tcBorders>
            <w:shd w:val="clear" w:color="auto" w:fill="auto"/>
            <w:vAlign w:val="bottom"/>
          </w:tcPr>
          <w:p w14:paraId="7B96982A" w14:textId="2A0B5D7A" w:rsidR="00CA189C" w:rsidRPr="008F55EC" w:rsidRDefault="00CA189C" w:rsidP="00CA189C">
            <w:pPr>
              <w:jc w:val="right"/>
              <w:rPr>
                <w:sz w:val="22"/>
                <w:szCs w:val="22"/>
                <w:lang w:val="en-US"/>
              </w:rPr>
            </w:pPr>
            <w:r>
              <w:rPr>
                <w:rFonts w:cs="Arial"/>
                <w:color w:val="000000"/>
                <w:sz w:val="22"/>
                <w:szCs w:val="22"/>
              </w:rPr>
              <w:t>2300</w:t>
            </w:r>
          </w:p>
        </w:tc>
      </w:tr>
      <w:tr w:rsidR="00CA189C" w14:paraId="3D7C260C" w14:textId="77777777" w:rsidTr="00CA189C">
        <w:tc>
          <w:tcPr>
            <w:tcW w:w="1413" w:type="dxa"/>
          </w:tcPr>
          <w:p w14:paraId="3F8B59CB" w14:textId="6A829DD0" w:rsidR="00CA189C" w:rsidRDefault="00CA189C" w:rsidP="00CA189C">
            <w:pPr>
              <w:spacing w:after="0" w:line="240" w:lineRule="auto"/>
              <w:rPr>
                <w:rFonts w:eastAsia="Times New Roman" w:cs="Arial"/>
                <w:color w:val="000000"/>
                <w:sz w:val="22"/>
                <w:szCs w:val="22"/>
                <w:lang w:eastAsia="en-AU"/>
              </w:rPr>
            </w:pPr>
            <w:r>
              <w:rPr>
                <w:rFonts w:eastAsia="Times New Roman" w:cs="Arial"/>
                <w:color w:val="000000"/>
                <w:sz w:val="22"/>
                <w:szCs w:val="22"/>
                <w:lang w:eastAsia="en-AU"/>
              </w:rPr>
              <w:t>5 pm</w:t>
            </w:r>
          </w:p>
        </w:tc>
        <w:tc>
          <w:tcPr>
            <w:tcW w:w="3260" w:type="dxa"/>
            <w:tcBorders>
              <w:top w:val="single" w:sz="4" w:space="0" w:color="auto"/>
              <w:left w:val="nil"/>
              <w:bottom w:val="single" w:sz="4" w:space="0" w:color="auto"/>
              <w:right w:val="single" w:sz="4" w:space="0" w:color="auto"/>
            </w:tcBorders>
            <w:shd w:val="clear" w:color="auto" w:fill="auto"/>
            <w:vAlign w:val="bottom"/>
          </w:tcPr>
          <w:p w14:paraId="60008A8D" w14:textId="737CA2C5" w:rsidR="00CA189C" w:rsidRPr="008F55EC" w:rsidRDefault="00CA189C" w:rsidP="00CA189C">
            <w:pPr>
              <w:jc w:val="right"/>
              <w:rPr>
                <w:sz w:val="22"/>
                <w:szCs w:val="22"/>
                <w:lang w:val="en-US"/>
              </w:rPr>
            </w:pPr>
            <w:r>
              <w:rPr>
                <w:rFonts w:cs="Arial"/>
                <w:color w:val="000000"/>
                <w:sz w:val="22"/>
                <w:szCs w:val="22"/>
              </w:rPr>
              <w:t>2540</w:t>
            </w:r>
          </w:p>
        </w:tc>
      </w:tr>
      <w:tr w:rsidR="00CA189C" w14:paraId="482908A7" w14:textId="77777777" w:rsidTr="00CA189C">
        <w:tc>
          <w:tcPr>
            <w:tcW w:w="1413" w:type="dxa"/>
          </w:tcPr>
          <w:p w14:paraId="218C9D98" w14:textId="127B787B" w:rsidR="00CA189C" w:rsidRDefault="00CA189C" w:rsidP="00CA189C">
            <w:pPr>
              <w:spacing w:after="0" w:line="240" w:lineRule="auto"/>
              <w:rPr>
                <w:rFonts w:eastAsia="Times New Roman" w:cs="Arial"/>
                <w:color w:val="000000"/>
                <w:sz w:val="22"/>
                <w:szCs w:val="22"/>
                <w:lang w:eastAsia="en-AU"/>
              </w:rPr>
            </w:pPr>
            <w:r>
              <w:rPr>
                <w:rFonts w:eastAsia="Times New Roman" w:cs="Arial"/>
                <w:color w:val="000000"/>
                <w:sz w:val="22"/>
                <w:szCs w:val="22"/>
                <w:lang w:eastAsia="en-AU"/>
              </w:rPr>
              <w:t>6 pm</w:t>
            </w:r>
          </w:p>
        </w:tc>
        <w:tc>
          <w:tcPr>
            <w:tcW w:w="3260" w:type="dxa"/>
            <w:tcBorders>
              <w:top w:val="single" w:sz="4" w:space="0" w:color="auto"/>
              <w:left w:val="nil"/>
              <w:bottom w:val="single" w:sz="4" w:space="0" w:color="auto"/>
              <w:right w:val="single" w:sz="4" w:space="0" w:color="auto"/>
            </w:tcBorders>
            <w:shd w:val="clear" w:color="auto" w:fill="auto"/>
            <w:vAlign w:val="bottom"/>
          </w:tcPr>
          <w:p w14:paraId="2A868DF6" w14:textId="7321B927" w:rsidR="00CA189C" w:rsidRPr="008F55EC" w:rsidRDefault="00CA189C" w:rsidP="00CA189C">
            <w:pPr>
              <w:jc w:val="right"/>
              <w:rPr>
                <w:sz w:val="22"/>
                <w:szCs w:val="22"/>
                <w:lang w:val="en-US"/>
              </w:rPr>
            </w:pPr>
            <w:r>
              <w:rPr>
                <w:rFonts w:cs="Arial"/>
                <w:color w:val="000000"/>
                <w:sz w:val="22"/>
                <w:szCs w:val="22"/>
              </w:rPr>
              <w:t>2440</w:t>
            </w:r>
          </w:p>
        </w:tc>
      </w:tr>
      <w:tr w:rsidR="00CA189C" w14:paraId="570C53B3" w14:textId="77777777" w:rsidTr="00CA189C">
        <w:tc>
          <w:tcPr>
            <w:tcW w:w="1413" w:type="dxa"/>
          </w:tcPr>
          <w:p w14:paraId="16C0478F" w14:textId="6C5F83A2" w:rsidR="00CA189C" w:rsidRDefault="00CA189C" w:rsidP="00CA189C">
            <w:pPr>
              <w:spacing w:after="0" w:line="240" w:lineRule="auto"/>
              <w:rPr>
                <w:rFonts w:eastAsia="Times New Roman" w:cs="Arial"/>
                <w:color w:val="000000"/>
                <w:sz w:val="22"/>
                <w:szCs w:val="22"/>
                <w:lang w:eastAsia="en-AU"/>
              </w:rPr>
            </w:pPr>
            <w:r>
              <w:rPr>
                <w:rFonts w:eastAsia="Times New Roman" w:cs="Arial"/>
                <w:color w:val="000000"/>
                <w:sz w:val="22"/>
                <w:szCs w:val="22"/>
                <w:lang w:eastAsia="en-AU"/>
              </w:rPr>
              <w:t>7 pm</w:t>
            </w:r>
          </w:p>
        </w:tc>
        <w:tc>
          <w:tcPr>
            <w:tcW w:w="3260" w:type="dxa"/>
            <w:tcBorders>
              <w:top w:val="single" w:sz="4" w:space="0" w:color="auto"/>
              <w:left w:val="nil"/>
              <w:bottom w:val="single" w:sz="4" w:space="0" w:color="auto"/>
              <w:right w:val="single" w:sz="4" w:space="0" w:color="auto"/>
            </w:tcBorders>
            <w:shd w:val="clear" w:color="auto" w:fill="auto"/>
            <w:vAlign w:val="bottom"/>
          </w:tcPr>
          <w:p w14:paraId="6985E408" w14:textId="5BC53259" w:rsidR="00CA189C" w:rsidRPr="008F55EC" w:rsidRDefault="00CA189C" w:rsidP="00CA189C">
            <w:pPr>
              <w:jc w:val="right"/>
              <w:rPr>
                <w:sz w:val="22"/>
                <w:szCs w:val="22"/>
                <w:lang w:val="en-US"/>
              </w:rPr>
            </w:pPr>
            <w:r>
              <w:rPr>
                <w:rFonts w:cs="Arial"/>
                <w:color w:val="000000"/>
                <w:sz w:val="22"/>
                <w:szCs w:val="22"/>
              </w:rPr>
              <w:t>2100</w:t>
            </w:r>
          </w:p>
        </w:tc>
      </w:tr>
      <w:tr w:rsidR="00CA189C" w14:paraId="7F1731A1" w14:textId="77777777" w:rsidTr="00CA189C">
        <w:tc>
          <w:tcPr>
            <w:tcW w:w="1413" w:type="dxa"/>
          </w:tcPr>
          <w:p w14:paraId="7F17ABBE" w14:textId="54338270" w:rsidR="00CA189C" w:rsidRDefault="00CA189C" w:rsidP="00CA189C">
            <w:pPr>
              <w:spacing w:after="0" w:line="240" w:lineRule="auto"/>
              <w:rPr>
                <w:rFonts w:eastAsia="Times New Roman" w:cs="Arial"/>
                <w:color w:val="000000"/>
                <w:sz w:val="22"/>
                <w:szCs w:val="22"/>
                <w:lang w:eastAsia="en-AU"/>
              </w:rPr>
            </w:pPr>
            <w:r>
              <w:rPr>
                <w:rFonts w:eastAsia="Times New Roman" w:cs="Arial"/>
                <w:color w:val="000000"/>
                <w:sz w:val="22"/>
                <w:szCs w:val="22"/>
                <w:lang w:eastAsia="en-AU"/>
              </w:rPr>
              <w:t>8 pm</w:t>
            </w:r>
          </w:p>
        </w:tc>
        <w:tc>
          <w:tcPr>
            <w:tcW w:w="3260" w:type="dxa"/>
            <w:tcBorders>
              <w:top w:val="single" w:sz="4" w:space="0" w:color="auto"/>
              <w:left w:val="nil"/>
              <w:bottom w:val="single" w:sz="4" w:space="0" w:color="auto"/>
              <w:right w:val="single" w:sz="4" w:space="0" w:color="auto"/>
            </w:tcBorders>
            <w:shd w:val="clear" w:color="auto" w:fill="auto"/>
            <w:vAlign w:val="bottom"/>
          </w:tcPr>
          <w:p w14:paraId="4A24A244" w14:textId="55A952F2" w:rsidR="00CA189C" w:rsidRPr="008F55EC" w:rsidRDefault="00CA189C" w:rsidP="00CA189C">
            <w:pPr>
              <w:jc w:val="right"/>
              <w:rPr>
                <w:sz w:val="22"/>
                <w:szCs w:val="22"/>
                <w:lang w:val="en-US"/>
              </w:rPr>
            </w:pPr>
            <w:r>
              <w:rPr>
                <w:rFonts w:cs="Arial"/>
                <w:color w:val="000000"/>
                <w:sz w:val="22"/>
                <w:szCs w:val="22"/>
              </w:rPr>
              <w:t>1870</w:t>
            </w:r>
          </w:p>
        </w:tc>
      </w:tr>
      <w:tr w:rsidR="00CA189C" w14:paraId="4B1B2C62" w14:textId="77777777" w:rsidTr="00CA189C">
        <w:tc>
          <w:tcPr>
            <w:tcW w:w="1413" w:type="dxa"/>
          </w:tcPr>
          <w:p w14:paraId="6BF1125A" w14:textId="21C96440" w:rsidR="00CA189C" w:rsidRDefault="00CA189C" w:rsidP="00CA189C">
            <w:pPr>
              <w:spacing w:after="0" w:line="240" w:lineRule="auto"/>
              <w:rPr>
                <w:rFonts w:eastAsia="Times New Roman" w:cs="Arial"/>
                <w:color w:val="000000"/>
                <w:sz w:val="22"/>
                <w:szCs w:val="22"/>
                <w:lang w:eastAsia="en-AU"/>
              </w:rPr>
            </w:pPr>
            <w:r>
              <w:rPr>
                <w:rFonts w:eastAsia="Times New Roman" w:cs="Arial"/>
                <w:color w:val="000000"/>
                <w:sz w:val="22"/>
                <w:szCs w:val="22"/>
                <w:lang w:eastAsia="en-AU"/>
              </w:rPr>
              <w:t>9 pm</w:t>
            </w:r>
          </w:p>
        </w:tc>
        <w:tc>
          <w:tcPr>
            <w:tcW w:w="3260" w:type="dxa"/>
            <w:tcBorders>
              <w:top w:val="single" w:sz="4" w:space="0" w:color="auto"/>
              <w:left w:val="nil"/>
              <w:bottom w:val="single" w:sz="4" w:space="0" w:color="auto"/>
              <w:right w:val="single" w:sz="4" w:space="0" w:color="auto"/>
            </w:tcBorders>
            <w:shd w:val="clear" w:color="auto" w:fill="auto"/>
            <w:vAlign w:val="bottom"/>
          </w:tcPr>
          <w:p w14:paraId="1A59F19F" w14:textId="21696491" w:rsidR="00CA189C" w:rsidRPr="008F55EC" w:rsidRDefault="00CA189C" w:rsidP="00CA189C">
            <w:pPr>
              <w:jc w:val="right"/>
              <w:rPr>
                <w:sz w:val="22"/>
                <w:szCs w:val="22"/>
                <w:lang w:val="en-US"/>
              </w:rPr>
            </w:pPr>
            <w:r>
              <w:rPr>
                <w:rFonts w:cs="Arial"/>
                <w:color w:val="000000"/>
                <w:sz w:val="22"/>
                <w:szCs w:val="22"/>
              </w:rPr>
              <w:t>1600</w:t>
            </w:r>
          </w:p>
        </w:tc>
      </w:tr>
      <w:tr w:rsidR="00CA189C" w14:paraId="64D94683" w14:textId="77777777" w:rsidTr="00CA189C">
        <w:tc>
          <w:tcPr>
            <w:tcW w:w="1413" w:type="dxa"/>
          </w:tcPr>
          <w:p w14:paraId="2B7C64BC" w14:textId="0E0B6D48" w:rsidR="00CA189C" w:rsidRDefault="00CA189C" w:rsidP="00CA189C">
            <w:pPr>
              <w:spacing w:after="0" w:line="240" w:lineRule="auto"/>
              <w:rPr>
                <w:rFonts w:eastAsia="Times New Roman" w:cs="Arial"/>
                <w:color w:val="000000"/>
                <w:sz w:val="22"/>
                <w:szCs w:val="22"/>
                <w:lang w:eastAsia="en-AU"/>
              </w:rPr>
            </w:pPr>
            <w:r>
              <w:rPr>
                <w:rFonts w:eastAsia="Times New Roman" w:cs="Arial"/>
                <w:color w:val="000000"/>
                <w:sz w:val="22"/>
                <w:szCs w:val="22"/>
                <w:lang w:eastAsia="en-AU"/>
              </w:rPr>
              <w:t>10 pm</w:t>
            </w:r>
          </w:p>
        </w:tc>
        <w:tc>
          <w:tcPr>
            <w:tcW w:w="3260" w:type="dxa"/>
            <w:tcBorders>
              <w:top w:val="single" w:sz="4" w:space="0" w:color="auto"/>
              <w:left w:val="nil"/>
              <w:bottom w:val="single" w:sz="4" w:space="0" w:color="auto"/>
              <w:right w:val="single" w:sz="4" w:space="0" w:color="auto"/>
            </w:tcBorders>
            <w:shd w:val="clear" w:color="auto" w:fill="auto"/>
            <w:vAlign w:val="bottom"/>
          </w:tcPr>
          <w:p w14:paraId="5E3144C8" w14:textId="0286E6EE" w:rsidR="00CA189C" w:rsidRPr="008F55EC" w:rsidRDefault="00CA189C" w:rsidP="00CA189C">
            <w:pPr>
              <w:jc w:val="right"/>
              <w:rPr>
                <w:sz w:val="22"/>
                <w:szCs w:val="22"/>
                <w:lang w:val="en-US"/>
              </w:rPr>
            </w:pPr>
            <w:r>
              <w:rPr>
                <w:rFonts w:cs="Arial"/>
                <w:color w:val="000000"/>
                <w:sz w:val="22"/>
                <w:szCs w:val="22"/>
              </w:rPr>
              <w:t>1160</w:t>
            </w:r>
          </w:p>
        </w:tc>
      </w:tr>
      <w:tr w:rsidR="00CA189C" w14:paraId="4DDAEB41" w14:textId="77777777" w:rsidTr="00CA189C">
        <w:tc>
          <w:tcPr>
            <w:tcW w:w="1413" w:type="dxa"/>
          </w:tcPr>
          <w:p w14:paraId="4766AFF9" w14:textId="2C87CC26" w:rsidR="00CA189C" w:rsidRDefault="00CA189C" w:rsidP="00CA189C">
            <w:pPr>
              <w:spacing w:after="0" w:line="240" w:lineRule="auto"/>
              <w:rPr>
                <w:rFonts w:eastAsia="Times New Roman" w:cs="Arial"/>
                <w:color w:val="000000"/>
                <w:sz w:val="22"/>
                <w:szCs w:val="22"/>
                <w:lang w:eastAsia="en-AU"/>
              </w:rPr>
            </w:pPr>
            <w:r>
              <w:rPr>
                <w:rFonts w:eastAsia="Times New Roman" w:cs="Arial"/>
                <w:color w:val="000000"/>
                <w:sz w:val="22"/>
                <w:szCs w:val="22"/>
                <w:lang w:eastAsia="en-AU"/>
              </w:rPr>
              <w:t>11 pm</w:t>
            </w:r>
          </w:p>
        </w:tc>
        <w:tc>
          <w:tcPr>
            <w:tcW w:w="3260" w:type="dxa"/>
            <w:tcBorders>
              <w:top w:val="single" w:sz="4" w:space="0" w:color="auto"/>
              <w:left w:val="nil"/>
              <w:bottom w:val="single" w:sz="4" w:space="0" w:color="auto"/>
              <w:right w:val="single" w:sz="4" w:space="0" w:color="auto"/>
            </w:tcBorders>
            <w:shd w:val="clear" w:color="auto" w:fill="auto"/>
            <w:vAlign w:val="bottom"/>
          </w:tcPr>
          <w:p w14:paraId="4979C876" w14:textId="78CE236F" w:rsidR="0061211D" w:rsidRPr="0061211D" w:rsidRDefault="00CA189C" w:rsidP="0061211D">
            <w:pPr>
              <w:jc w:val="right"/>
              <w:rPr>
                <w:rFonts w:cs="Arial"/>
                <w:color w:val="000000"/>
                <w:sz w:val="22"/>
                <w:szCs w:val="22"/>
              </w:rPr>
            </w:pPr>
            <w:r>
              <w:rPr>
                <w:rFonts w:cs="Arial"/>
                <w:color w:val="000000"/>
                <w:sz w:val="22"/>
                <w:szCs w:val="22"/>
              </w:rPr>
              <w:t>750</w:t>
            </w:r>
          </w:p>
        </w:tc>
      </w:tr>
    </w:tbl>
    <w:p w14:paraId="04082D7F" w14:textId="27F8E90D" w:rsidR="005C3F28" w:rsidRPr="00F61A91" w:rsidRDefault="45EC3D86" w:rsidP="4E54D03C">
      <w:pPr>
        <w:pStyle w:val="Heading3"/>
        <w:rPr>
          <w:rFonts w:hint="eastAsia"/>
        </w:rPr>
      </w:pPr>
      <w:bookmarkStart w:id="8" w:name="_Toc175665283"/>
      <w:r>
        <w:t xml:space="preserve">Table 2 </w:t>
      </w:r>
      <w:r w:rsidR="00A50617">
        <w:t>–</w:t>
      </w:r>
      <w:r>
        <w:t xml:space="preserve"> </w:t>
      </w:r>
      <w:r w:rsidR="00F62D9C">
        <w:t xml:space="preserve">Retail spend is increasing </w:t>
      </w:r>
      <w:r w:rsidR="00CA189C">
        <w:t>faster</w:t>
      </w:r>
      <w:r w:rsidR="00F62D9C">
        <w:t xml:space="preserve"> during non-work hours than work</w:t>
      </w:r>
      <w:r w:rsidR="00CA189C">
        <w:t xml:space="preserve"> </w:t>
      </w:r>
      <w:r w:rsidR="00F62D9C">
        <w:t xml:space="preserve">hours across </w:t>
      </w:r>
      <w:r w:rsidR="00CA189C">
        <w:t>the city</w:t>
      </w:r>
      <w:r w:rsidR="00F62D9C">
        <w:t>, June 2023 vs June 2024</w:t>
      </w:r>
      <w:r w:rsidR="0030394E">
        <w:t>.</w:t>
      </w:r>
      <w:bookmarkEnd w:id="8"/>
    </w:p>
    <w:tbl>
      <w:tblPr>
        <w:tblStyle w:val="TableGrid"/>
        <w:tblW w:w="7083" w:type="dxa"/>
        <w:tblLook w:val="04A0" w:firstRow="1" w:lastRow="0" w:firstColumn="1" w:lastColumn="0" w:noHBand="0" w:noVBand="1"/>
      </w:tblPr>
      <w:tblGrid>
        <w:gridCol w:w="2122"/>
        <w:gridCol w:w="2409"/>
        <w:gridCol w:w="2552"/>
      </w:tblGrid>
      <w:tr w:rsidR="00A50617" w14:paraId="13AB6C80" w14:textId="3BD52BED" w:rsidTr="00A50617">
        <w:trPr>
          <w:trHeight w:val="415"/>
        </w:trPr>
        <w:tc>
          <w:tcPr>
            <w:tcW w:w="2122" w:type="dxa"/>
          </w:tcPr>
          <w:p w14:paraId="09D091E0" w14:textId="03F066F7" w:rsidR="00A50617" w:rsidRPr="008F55EC" w:rsidRDefault="00464284" w:rsidP="0092528F">
            <w:pPr>
              <w:rPr>
                <w:b/>
                <w:sz w:val="22"/>
                <w:szCs w:val="22"/>
              </w:rPr>
            </w:pPr>
            <w:r>
              <w:rPr>
                <w:b/>
                <w:sz w:val="22"/>
                <w:szCs w:val="22"/>
              </w:rPr>
              <w:t>Geographic Area</w:t>
            </w:r>
          </w:p>
        </w:tc>
        <w:tc>
          <w:tcPr>
            <w:tcW w:w="2409" w:type="dxa"/>
          </w:tcPr>
          <w:p w14:paraId="4C55E1EE" w14:textId="4C1CDAF8" w:rsidR="00A50617" w:rsidRPr="008F55EC" w:rsidRDefault="00464284" w:rsidP="0092528F">
            <w:pPr>
              <w:rPr>
                <w:b/>
                <w:sz w:val="22"/>
                <w:szCs w:val="22"/>
              </w:rPr>
            </w:pPr>
            <w:r>
              <w:rPr>
                <w:b/>
                <w:sz w:val="22"/>
                <w:szCs w:val="22"/>
              </w:rPr>
              <w:t xml:space="preserve">Work hours </w:t>
            </w:r>
            <w:r>
              <w:rPr>
                <w:b/>
                <w:bCs/>
                <w:sz w:val="22"/>
                <w:szCs w:val="22"/>
              </w:rPr>
              <w:t xml:space="preserve">Percentage </w:t>
            </w:r>
            <w:r>
              <w:rPr>
                <w:b/>
                <w:sz w:val="22"/>
                <w:szCs w:val="22"/>
              </w:rPr>
              <w:t>Change</w:t>
            </w:r>
          </w:p>
        </w:tc>
        <w:tc>
          <w:tcPr>
            <w:tcW w:w="2552" w:type="dxa"/>
          </w:tcPr>
          <w:p w14:paraId="6AC62BD4" w14:textId="2E22E8C6" w:rsidR="00A50617" w:rsidRPr="008F55EC" w:rsidRDefault="00464284" w:rsidP="4E54D03C">
            <w:pPr>
              <w:rPr>
                <w:b/>
                <w:bCs/>
                <w:sz w:val="22"/>
                <w:szCs w:val="22"/>
              </w:rPr>
            </w:pPr>
            <w:r>
              <w:rPr>
                <w:b/>
                <w:bCs/>
                <w:sz w:val="22"/>
                <w:szCs w:val="22"/>
              </w:rPr>
              <w:t>Non-work hours Percentage Change</w:t>
            </w:r>
          </w:p>
        </w:tc>
      </w:tr>
      <w:tr w:rsidR="00A50617" w14:paraId="46DD5951" w14:textId="4CF2937A" w:rsidTr="00A50617">
        <w:trPr>
          <w:trHeight w:val="433"/>
        </w:trPr>
        <w:tc>
          <w:tcPr>
            <w:tcW w:w="2122" w:type="dxa"/>
          </w:tcPr>
          <w:p w14:paraId="359E63FE" w14:textId="75E1D8BB" w:rsidR="00A50617" w:rsidRPr="008F55EC" w:rsidRDefault="00464284" w:rsidP="00757EEC">
            <w:pPr>
              <w:rPr>
                <w:rFonts w:cs="Arial"/>
                <w:color w:val="000000"/>
                <w:sz w:val="22"/>
                <w:szCs w:val="22"/>
              </w:rPr>
            </w:pPr>
            <w:r>
              <w:rPr>
                <w:rFonts w:cs="Arial"/>
                <w:color w:val="000000"/>
                <w:sz w:val="22"/>
                <w:szCs w:val="22"/>
              </w:rPr>
              <w:t>West Melbourne</w:t>
            </w:r>
          </w:p>
        </w:tc>
        <w:tc>
          <w:tcPr>
            <w:tcW w:w="2409" w:type="dxa"/>
            <w:vAlign w:val="bottom"/>
          </w:tcPr>
          <w:p w14:paraId="165C3F6C" w14:textId="4EEA6115" w:rsidR="00A50617" w:rsidRPr="008F55EC" w:rsidRDefault="00CA189C" w:rsidP="00CA189C">
            <w:pPr>
              <w:jc w:val="right"/>
              <w:rPr>
                <w:sz w:val="22"/>
                <w:szCs w:val="22"/>
              </w:rPr>
            </w:pPr>
            <w:r>
              <w:rPr>
                <w:sz w:val="22"/>
                <w:szCs w:val="22"/>
              </w:rPr>
              <w:t>75%</w:t>
            </w:r>
          </w:p>
        </w:tc>
        <w:tc>
          <w:tcPr>
            <w:tcW w:w="2552" w:type="dxa"/>
            <w:vAlign w:val="bottom"/>
          </w:tcPr>
          <w:p w14:paraId="057FE03F" w14:textId="72ABC307" w:rsidR="00A50617" w:rsidRPr="008F55EC" w:rsidRDefault="00CA189C" w:rsidP="00CA189C">
            <w:pPr>
              <w:jc w:val="right"/>
              <w:rPr>
                <w:sz w:val="22"/>
                <w:szCs w:val="22"/>
              </w:rPr>
            </w:pPr>
            <w:r>
              <w:rPr>
                <w:sz w:val="22"/>
                <w:szCs w:val="22"/>
              </w:rPr>
              <w:t>174%</w:t>
            </w:r>
          </w:p>
        </w:tc>
      </w:tr>
      <w:tr w:rsidR="0030394E" w14:paraId="0E5CDBEE" w14:textId="77777777" w:rsidTr="00A50617">
        <w:trPr>
          <w:trHeight w:val="433"/>
        </w:trPr>
        <w:tc>
          <w:tcPr>
            <w:tcW w:w="2122" w:type="dxa"/>
          </w:tcPr>
          <w:p w14:paraId="65E13384" w14:textId="50C89961" w:rsidR="0030394E" w:rsidRDefault="00464284" w:rsidP="0030394E">
            <w:pPr>
              <w:rPr>
                <w:rFonts w:cs="Arial"/>
                <w:color w:val="000000"/>
                <w:sz w:val="22"/>
                <w:szCs w:val="22"/>
              </w:rPr>
            </w:pPr>
            <w:r>
              <w:rPr>
                <w:rFonts w:cs="Arial"/>
                <w:color w:val="000000"/>
                <w:sz w:val="22"/>
                <w:szCs w:val="22"/>
              </w:rPr>
              <w:t>Parkville</w:t>
            </w:r>
          </w:p>
        </w:tc>
        <w:tc>
          <w:tcPr>
            <w:tcW w:w="2409" w:type="dxa"/>
            <w:vAlign w:val="bottom"/>
          </w:tcPr>
          <w:p w14:paraId="0B823B87" w14:textId="7A42D51A" w:rsidR="0030394E" w:rsidRDefault="00CA189C" w:rsidP="00CA189C">
            <w:pPr>
              <w:jc w:val="right"/>
              <w:rPr>
                <w:sz w:val="22"/>
                <w:szCs w:val="22"/>
              </w:rPr>
            </w:pPr>
            <w:r>
              <w:rPr>
                <w:sz w:val="22"/>
                <w:szCs w:val="22"/>
              </w:rPr>
              <w:t>-2%</w:t>
            </w:r>
          </w:p>
        </w:tc>
        <w:tc>
          <w:tcPr>
            <w:tcW w:w="2552" w:type="dxa"/>
            <w:vAlign w:val="bottom"/>
          </w:tcPr>
          <w:p w14:paraId="1E326517" w14:textId="4CF6AAB8" w:rsidR="0030394E" w:rsidRDefault="00CA189C" w:rsidP="00CA189C">
            <w:pPr>
              <w:jc w:val="right"/>
              <w:rPr>
                <w:rFonts w:cs="Arial"/>
                <w:color w:val="000000"/>
                <w:sz w:val="22"/>
                <w:szCs w:val="22"/>
              </w:rPr>
            </w:pPr>
            <w:r>
              <w:rPr>
                <w:rFonts w:cs="Arial"/>
                <w:color w:val="000000"/>
                <w:sz w:val="22"/>
                <w:szCs w:val="22"/>
              </w:rPr>
              <w:t>108%</w:t>
            </w:r>
          </w:p>
        </w:tc>
      </w:tr>
      <w:tr w:rsidR="005C7F51" w14:paraId="41BE5C97" w14:textId="5AADEE28" w:rsidTr="00A50617">
        <w:trPr>
          <w:trHeight w:val="415"/>
        </w:trPr>
        <w:tc>
          <w:tcPr>
            <w:tcW w:w="2122" w:type="dxa"/>
          </w:tcPr>
          <w:p w14:paraId="6EF2FBE6" w14:textId="5BC0ADA3" w:rsidR="005C7F51" w:rsidRPr="008F55EC" w:rsidRDefault="00464284" w:rsidP="005C7F51">
            <w:pPr>
              <w:rPr>
                <w:rFonts w:cs="Arial"/>
                <w:color w:val="000000"/>
                <w:sz w:val="22"/>
                <w:szCs w:val="22"/>
              </w:rPr>
            </w:pPr>
            <w:r>
              <w:rPr>
                <w:rFonts w:cs="Arial"/>
                <w:color w:val="000000"/>
                <w:sz w:val="22"/>
                <w:szCs w:val="22"/>
              </w:rPr>
              <w:t>Kensington (Vic.)</w:t>
            </w:r>
          </w:p>
        </w:tc>
        <w:tc>
          <w:tcPr>
            <w:tcW w:w="2409" w:type="dxa"/>
            <w:vAlign w:val="bottom"/>
          </w:tcPr>
          <w:p w14:paraId="3DE824B1" w14:textId="3334DDBA" w:rsidR="005C7F51" w:rsidRPr="008F55EC" w:rsidRDefault="00CA189C" w:rsidP="00CA189C">
            <w:pPr>
              <w:jc w:val="right"/>
              <w:rPr>
                <w:sz w:val="22"/>
                <w:szCs w:val="22"/>
              </w:rPr>
            </w:pPr>
            <w:r>
              <w:rPr>
                <w:sz w:val="22"/>
                <w:szCs w:val="22"/>
              </w:rPr>
              <w:t>2%</w:t>
            </w:r>
          </w:p>
        </w:tc>
        <w:tc>
          <w:tcPr>
            <w:tcW w:w="2552" w:type="dxa"/>
            <w:vAlign w:val="bottom"/>
          </w:tcPr>
          <w:p w14:paraId="50BA6004" w14:textId="0B6C5428" w:rsidR="005C7F51" w:rsidRPr="008F55EC" w:rsidRDefault="00CA189C" w:rsidP="00CA189C">
            <w:pPr>
              <w:jc w:val="right"/>
              <w:rPr>
                <w:sz w:val="22"/>
                <w:szCs w:val="22"/>
              </w:rPr>
            </w:pPr>
            <w:r>
              <w:rPr>
                <w:sz w:val="22"/>
                <w:szCs w:val="22"/>
              </w:rPr>
              <w:t>102%</w:t>
            </w:r>
          </w:p>
        </w:tc>
      </w:tr>
      <w:tr w:rsidR="005C7F51" w14:paraId="3DCA3DFF" w14:textId="77777777" w:rsidTr="00A50617">
        <w:trPr>
          <w:trHeight w:val="415"/>
        </w:trPr>
        <w:tc>
          <w:tcPr>
            <w:tcW w:w="2122" w:type="dxa"/>
          </w:tcPr>
          <w:p w14:paraId="3D88CE13" w14:textId="24D70487" w:rsidR="005C7F51" w:rsidRDefault="00464284" w:rsidP="005C7F51">
            <w:pPr>
              <w:rPr>
                <w:rFonts w:cs="Arial"/>
                <w:color w:val="000000"/>
                <w:sz w:val="22"/>
                <w:szCs w:val="22"/>
              </w:rPr>
            </w:pPr>
            <w:r>
              <w:rPr>
                <w:rFonts w:cs="Arial"/>
                <w:color w:val="000000"/>
                <w:sz w:val="22"/>
                <w:szCs w:val="22"/>
              </w:rPr>
              <w:t>North Melbourne</w:t>
            </w:r>
          </w:p>
        </w:tc>
        <w:tc>
          <w:tcPr>
            <w:tcW w:w="2409" w:type="dxa"/>
            <w:vAlign w:val="bottom"/>
          </w:tcPr>
          <w:p w14:paraId="44568FA3" w14:textId="192F2093" w:rsidR="005C7F51" w:rsidRDefault="00CA189C" w:rsidP="00CA189C">
            <w:pPr>
              <w:jc w:val="right"/>
              <w:rPr>
                <w:sz w:val="22"/>
                <w:szCs w:val="22"/>
              </w:rPr>
            </w:pPr>
            <w:r>
              <w:rPr>
                <w:sz w:val="22"/>
                <w:szCs w:val="22"/>
              </w:rPr>
              <w:t>-14%</w:t>
            </w:r>
          </w:p>
        </w:tc>
        <w:tc>
          <w:tcPr>
            <w:tcW w:w="2552" w:type="dxa"/>
            <w:vAlign w:val="bottom"/>
          </w:tcPr>
          <w:p w14:paraId="47D126CC" w14:textId="3D9C0F09" w:rsidR="005C7F51" w:rsidRDefault="00CA189C" w:rsidP="00CA189C">
            <w:pPr>
              <w:jc w:val="right"/>
              <w:rPr>
                <w:sz w:val="22"/>
                <w:szCs w:val="22"/>
              </w:rPr>
            </w:pPr>
            <w:r>
              <w:rPr>
                <w:sz w:val="22"/>
                <w:szCs w:val="22"/>
              </w:rPr>
              <w:t>44%</w:t>
            </w:r>
          </w:p>
        </w:tc>
      </w:tr>
      <w:tr w:rsidR="005C7F51" w14:paraId="45D4EEFD" w14:textId="4F244613" w:rsidTr="00A50617">
        <w:trPr>
          <w:trHeight w:val="415"/>
        </w:trPr>
        <w:tc>
          <w:tcPr>
            <w:tcW w:w="2122" w:type="dxa"/>
          </w:tcPr>
          <w:p w14:paraId="476B28CC" w14:textId="44F0ADF8" w:rsidR="005C7F51" w:rsidRPr="008F55EC" w:rsidRDefault="00464284" w:rsidP="005C7F51">
            <w:pPr>
              <w:rPr>
                <w:rFonts w:cs="Arial"/>
                <w:color w:val="000000"/>
                <w:sz w:val="22"/>
                <w:szCs w:val="22"/>
              </w:rPr>
            </w:pPr>
            <w:r>
              <w:rPr>
                <w:rFonts w:cs="Arial"/>
                <w:color w:val="000000"/>
                <w:sz w:val="22"/>
                <w:szCs w:val="22"/>
              </w:rPr>
              <w:t>Melbourne CBD</w:t>
            </w:r>
          </w:p>
        </w:tc>
        <w:tc>
          <w:tcPr>
            <w:tcW w:w="2409" w:type="dxa"/>
            <w:vAlign w:val="bottom"/>
          </w:tcPr>
          <w:p w14:paraId="41210D1F" w14:textId="74D45702" w:rsidR="005C7F51" w:rsidRPr="008F55EC" w:rsidRDefault="00CA189C" w:rsidP="00CA189C">
            <w:pPr>
              <w:jc w:val="right"/>
              <w:rPr>
                <w:sz w:val="22"/>
                <w:szCs w:val="22"/>
              </w:rPr>
            </w:pPr>
            <w:r>
              <w:rPr>
                <w:sz w:val="22"/>
                <w:szCs w:val="22"/>
              </w:rPr>
              <w:t>-12%</w:t>
            </w:r>
          </w:p>
        </w:tc>
        <w:tc>
          <w:tcPr>
            <w:tcW w:w="2552" w:type="dxa"/>
            <w:vAlign w:val="bottom"/>
          </w:tcPr>
          <w:p w14:paraId="2C01382D" w14:textId="0CCD72CA" w:rsidR="005C7F51" w:rsidRPr="008F55EC" w:rsidRDefault="00CA189C" w:rsidP="00CA189C">
            <w:pPr>
              <w:jc w:val="right"/>
              <w:rPr>
                <w:sz w:val="22"/>
                <w:szCs w:val="22"/>
              </w:rPr>
            </w:pPr>
            <w:r>
              <w:rPr>
                <w:sz w:val="22"/>
                <w:szCs w:val="22"/>
              </w:rPr>
              <w:t>22%</w:t>
            </w:r>
          </w:p>
        </w:tc>
      </w:tr>
      <w:tr w:rsidR="005C7F51" w14:paraId="3BB1AF37" w14:textId="77777777" w:rsidTr="00A50617">
        <w:trPr>
          <w:trHeight w:val="415"/>
        </w:trPr>
        <w:tc>
          <w:tcPr>
            <w:tcW w:w="2122" w:type="dxa"/>
          </w:tcPr>
          <w:p w14:paraId="7C8987DE" w14:textId="15F5C248" w:rsidR="005C7F51" w:rsidRDefault="00464284" w:rsidP="005C7F51">
            <w:pPr>
              <w:rPr>
                <w:rFonts w:cs="Arial"/>
                <w:color w:val="000000"/>
                <w:sz w:val="22"/>
                <w:szCs w:val="22"/>
              </w:rPr>
            </w:pPr>
            <w:r>
              <w:rPr>
                <w:rFonts w:cs="Arial"/>
                <w:color w:val="000000"/>
                <w:sz w:val="22"/>
                <w:szCs w:val="22"/>
              </w:rPr>
              <w:t>Docklands</w:t>
            </w:r>
          </w:p>
        </w:tc>
        <w:tc>
          <w:tcPr>
            <w:tcW w:w="2409" w:type="dxa"/>
            <w:vAlign w:val="bottom"/>
          </w:tcPr>
          <w:p w14:paraId="432E4091" w14:textId="0B0F1017" w:rsidR="005C7F51" w:rsidRDefault="00CA189C" w:rsidP="00CA189C">
            <w:pPr>
              <w:jc w:val="right"/>
              <w:rPr>
                <w:sz w:val="22"/>
                <w:szCs w:val="22"/>
              </w:rPr>
            </w:pPr>
            <w:r>
              <w:rPr>
                <w:sz w:val="22"/>
                <w:szCs w:val="22"/>
              </w:rPr>
              <w:t>-11%</w:t>
            </w:r>
          </w:p>
        </w:tc>
        <w:tc>
          <w:tcPr>
            <w:tcW w:w="2552" w:type="dxa"/>
            <w:vAlign w:val="bottom"/>
          </w:tcPr>
          <w:p w14:paraId="606FCA53" w14:textId="5E37B82C" w:rsidR="005C7F51" w:rsidRDefault="00CA189C" w:rsidP="00CA189C">
            <w:pPr>
              <w:jc w:val="right"/>
              <w:rPr>
                <w:sz w:val="22"/>
                <w:szCs w:val="22"/>
              </w:rPr>
            </w:pPr>
            <w:r>
              <w:rPr>
                <w:sz w:val="22"/>
                <w:szCs w:val="22"/>
              </w:rPr>
              <w:t>20%</w:t>
            </w:r>
          </w:p>
        </w:tc>
      </w:tr>
      <w:tr w:rsidR="005C7F51" w14:paraId="0AD74DAB" w14:textId="77777777" w:rsidTr="00A50617">
        <w:trPr>
          <w:trHeight w:val="415"/>
        </w:trPr>
        <w:tc>
          <w:tcPr>
            <w:tcW w:w="2122" w:type="dxa"/>
          </w:tcPr>
          <w:p w14:paraId="6A2F52DB" w14:textId="1E58FF96" w:rsidR="005C7F51" w:rsidRDefault="00464284" w:rsidP="005C7F51">
            <w:pPr>
              <w:rPr>
                <w:rFonts w:cs="Arial"/>
                <w:color w:val="000000"/>
                <w:sz w:val="22"/>
                <w:szCs w:val="22"/>
              </w:rPr>
            </w:pPr>
            <w:r>
              <w:rPr>
                <w:rFonts w:cs="Arial"/>
                <w:color w:val="000000"/>
                <w:sz w:val="22"/>
                <w:szCs w:val="22"/>
              </w:rPr>
              <w:t>Carlton</w:t>
            </w:r>
          </w:p>
        </w:tc>
        <w:tc>
          <w:tcPr>
            <w:tcW w:w="2409" w:type="dxa"/>
            <w:vAlign w:val="bottom"/>
          </w:tcPr>
          <w:p w14:paraId="348A97DE" w14:textId="3387B74E" w:rsidR="005C7F51" w:rsidRDefault="00CA189C" w:rsidP="00CA189C">
            <w:pPr>
              <w:jc w:val="right"/>
              <w:rPr>
                <w:sz w:val="22"/>
                <w:szCs w:val="22"/>
              </w:rPr>
            </w:pPr>
            <w:r>
              <w:rPr>
                <w:sz w:val="22"/>
                <w:szCs w:val="22"/>
              </w:rPr>
              <w:t>-15%</w:t>
            </w:r>
          </w:p>
        </w:tc>
        <w:tc>
          <w:tcPr>
            <w:tcW w:w="2552" w:type="dxa"/>
            <w:vAlign w:val="bottom"/>
          </w:tcPr>
          <w:p w14:paraId="43F0E03D" w14:textId="64992517" w:rsidR="005C7F51" w:rsidRPr="008F55EC" w:rsidRDefault="00CA189C" w:rsidP="00CA189C">
            <w:pPr>
              <w:jc w:val="right"/>
              <w:rPr>
                <w:rFonts w:cs="Arial"/>
                <w:color w:val="000000"/>
                <w:sz w:val="22"/>
                <w:szCs w:val="22"/>
              </w:rPr>
            </w:pPr>
            <w:r>
              <w:rPr>
                <w:rFonts w:cs="Arial"/>
                <w:color w:val="000000"/>
                <w:sz w:val="22"/>
                <w:szCs w:val="22"/>
              </w:rPr>
              <w:t>21%</w:t>
            </w:r>
          </w:p>
        </w:tc>
      </w:tr>
      <w:tr w:rsidR="005C7F51" w14:paraId="3DDA49B0" w14:textId="77777777" w:rsidTr="00A50617">
        <w:trPr>
          <w:trHeight w:val="415"/>
        </w:trPr>
        <w:tc>
          <w:tcPr>
            <w:tcW w:w="2122" w:type="dxa"/>
          </w:tcPr>
          <w:p w14:paraId="3AFD4A77" w14:textId="1F9783EF" w:rsidR="005C7F51" w:rsidRDefault="00464284" w:rsidP="005C7F51">
            <w:pPr>
              <w:rPr>
                <w:rFonts w:cs="Arial"/>
                <w:color w:val="000000"/>
                <w:sz w:val="22"/>
                <w:szCs w:val="22"/>
              </w:rPr>
            </w:pPr>
            <w:r>
              <w:rPr>
                <w:rFonts w:cs="Arial"/>
                <w:color w:val="000000"/>
                <w:sz w:val="22"/>
                <w:szCs w:val="22"/>
              </w:rPr>
              <w:t>Southbank</w:t>
            </w:r>
          </w:p>
        </w:tc>
        <w:tc>
          <w:tcPr>
            <w:tcW w:w="2409" w:type="dxa"/>
            <w:vAlign w:val="bottom"/>
          </w:tcPr>
          <w:p w14:paraId="221E8396" w14:textId="322E1766" w:rsidR="005C7F51" w:rsidRPr="008F55EC" w:rsidRDefault="00CA189C" w:rsidP="00CA189C">
            <w:pPr>
              <w:jc w:val="right"/>
              <w:rPr>
                <w:sz w:val="22"/>
                <w:szCs w:val="22"/>
              </w:rPr>
            </w:pPr>
            <w:r>
              <w:rPr>
                <w:sz w:val="22"/>
                <w:szCs w:val="22"/>
              </w:rPr>
              <w:t>-23%</w:t>
            </w:r>
          </w:p>
        </w:tc>
        <w:tc>
          <w:tcPr>
            <w:tcW w:w="2552" w:type="dxa"/>
            <w:vAlign w:val="bottom"/>
          </w:tcPr>
          <w:p w14:paraId="07AAC87E" w14:textId="2B7C2D03" w:rsidR="005C7F51" w:rsidRPr="008F55EC" w:rsidRDefault="00CA189C" w:rsidP="00CA189C">
            <w:pPr>
              <w:jc w:val="right"/>
              <w:rPr>
                <w:rFonts w:cs="Arial"/>
                <w:color w:val="000000"/>
                <w:sz w:val="22"/>
                <w:szCs w:val="22"/>
              </w:rPr>
            </w:pPr>
            <w:r>
              <w:rPr>
                <w:rFonts w:cs="Arial"/>
                <w:color w:val="000000"/>
                <w:sz w:val="22"/>
                <w:szCs w:val="22"/>
              </w:rPr>
              <w:t>12%</w:t>
            </w:r>
          </w:p>
        </w:tc>
      </w:tr>
      <w:tr w:rsidR="005C7F51" w14:paraId="3B48B607" w14:textId="77777777" w:rsidTr="00A50617">
        <w:trPr>
          <w:trHeight w:val="415"/>
        </w:trPr>
        <w:tc>
          <w:tcPr>
            <w:tcW w:w="2122" w:type="dxa"/>
          </w:tcPr>
          <w:p w14:paraId="5CFDC89E" w14:textId="78FF37AA" w:rsidR="005C7F51" w:rsidRDefault="00464284" w:rsidP="005C7F51">
            <w:pPr>
              <w:rPr>
                <w:rFonts w:cs="Arial"/>
                <w:color w:val="000000"/>
                <w:sz w:val="22"/>
                <w:szCs w:val="22"/>
              </w:rPr>
            </w:pPr>
            <w:r>
              <w:rPr>
                <w:rFonts w:cs="Arial"/>
                <w:color w:val="000000"/>
                <w:sz w:val="22"/>
                <w:szCs w:val="22"/>
              </w:rPr>
              <w:t>East Melbourne</w:t>
            </w:r>
          </w:p>
        </w:tc>
        <w:tc>
          <w:tcPr>
            <w:tcW w:w="2409" w:type="dxa"/>
            <w:vAlign w:val="bottom"/>
          </w:tcPr>
          <w:p w14:paraId="0F063ED3" w14:textId="2F033968" w:rsidR="005C7F51" w:rsidRDefault="00CA189C" w:rsidP="00CA189C">
            <w:pPr>
              <w:jc w:val="right"/>
              <w:rPr>
                <w:sz w:val="22"/>
                <w:szCs w:val="22"/>
              </w:rPr>
            </w:pPr>
            <w:r>
              <w:rPr>
                <w:sz w:val="22"/>
                <w:szCs w:val="22"/>
              </w:rPr>
              <w:t>-15%</w:t>
            </w:r>
          </w:p>
        </w:tc>
        <w:tc>
          <w:tcPr>
            <w:tcW w:w="2552" w:type="dxa"/>
            <w:vAlign w:val="bottom"/>
          </w:tcPr>
          <w:p w14:paraId="7DA4EDEE" w14:textId="6BD22AC7" w:rsidR="005C7F51" w:rsidRDefault="00CA189C" w:rsidP="00CA189C">
            <w:pPr>
              <w:jc w:val="right"/>
              <w:rPr>
                <w:rFonts w:cs="Arial"/>
                <w:color w:val="000000"/>
                <w:sz w:val="22"/>
                <w:szCs w:val="22"/>
              </w:rPr>
            </w:pPr>
            <w:r>
              <w:rPr>
                <w:rFonts w:cs="Arial"/>
                <w:color w:val="000000"/>
                <w:sz w:val="22"/>
                <w:szCs w:val="22"/>
              </w:rPr>
              <w:t>-71%</w:t>
            </w:r>
          </w:p>
        </w:tc>
      </w:tr>
    </w:tbl>
    <w:bookmarkEnd w:id="3"/>
    <w:bookmarkEnd w:id="4"/>
    <w:bookmarkEnd w:id="5"/>
    <w:bookmarkEnd w:id="6"/>
    <w:p w14:paraId="74DB1BDA" w14:textId="66B0F365" w:rsidR="0061211D" w:rsidRDefault="0061211D" w:rsidP="0061211D">
      <w:pPr>
        <w:pStyle w:val="ListParagraph"/>
        <w:numPr>
          <w:ilvl w:val="0"/>
          <w:numId w:val="21"/>
        </w:numPr>
      </w:pPr>
      <w:r w:rsidRPr="005B476C">
        <w:t xml:space="preserve">Work hours are 8am to </w:t>
      </w:r>
      <w:r>
        <w:t>5</w:t>
      </w:r>
      <w:r w:rsidRPr="005B476C">
        <w:t>pm, Monday to Friday.</w:t>
      </w:r>
    </w:p>
    <w:p w14:paraId="2DA7A2F7" w14:textId="7234E7A1" w:rsidR="0061211D" w:rsidRDefault="0061211D" w:rsidP="0061211D">
      <w:pPr>
        <w:pStyle w:val="ListParagraph"/>
        <w:numPr>
          <w:ilvl w:val="0"/>
          <w:numId w:val="21"/>
        </w:numPr>
      </w:pPr>
      <w:r>
        <w:t>Non-work hours are all other hours.</w:t>
      </w:r>
    </w:p>
    <w:p w14:paraId="2BB05578" w14:textId="2B139BF2" w:rsidR="00BE6801" w:rsidRPr="00AF02E0" w:rsidRDefault="007A2C76" w:rsidP="4E54D03C">
      <w:pPr>
        <w:pStyle w:val="Heading2"/>
        <w:rPr>
          <w:rFonts w:hint="eastAsia"/>
        </w:rPr>
      </w:pPr>
      <w:bookmarkStart w:id="9" w:name="_Toc175665284"/>
      <w:r w:rsidRPr="007A2C76">
        <w:t>Night Market heats up</w:t>
      </w:r>
      <w:r>
        <w:t>.</w:t>
      </w:r>
      <w:bookmarkEnd w:id="9"/>
      <w:r w:rsidRPr="007A2C76">
        <w:t xml:space="preserve">  </w:t>
      </w:r>
    </w:p>
    <w:p w14:paraId="03C04664" w14:textId="26AA5C2F" w:rsidR="0030394E" w:rsidRDefault="000F28AB" w:rsidP="00E84AAE">
      <w:r w:rsidRPr="000F28AB">
        <w:t>The weather is cold, but twilight trade at the Winter Night Market is roaring. Activity in the area around the market between 5pm and 10pm is 2</w:t>
      </w:r>
      <w:r w:rsidR="004C1AB5">
        <w:t>0</w:t>
      </w:r>
      <w:r w:rsidRPr="000F28AB">
        <w:t xml:space="preserve"> per cent higher than 2023, and 3</w:t>
      </w:r>
      <w:r w:rsidR="004C1AB5">
        <w:t>4</w:t>
      </w:r>
      <w:r w:rsidRPr="000F28AB">
        <w:t xml:space="preserve"> per cent higher than 2019, as people </w:t>
      </w:r>
      <w:r w:rsidRPr="000F28AB">
        <w:lastRenderedPageBreak/>
        <w:t>warm up on cold nights in the city. It's the busiest it's ever been, with thousands of people flocking to its toasty atmosphere to enjoy delicious street food, spiced Milo, specialty shopping, crackling fires</w:t>
      </w:r>
      <w:r>
        <w:t>,</w:t>
      </w:r>
      <w:r w:rsidRPr="000F28AB">
        <w:t xml:space="preserve"> and live entertainment.</w:t>
      </w:r>
    </w:p>
    <w:p w14:paraId="03FD9257" w14:textId="1674A135" w:rsidR="000C1D7A" w:rsidRDefault="1001101E" w:rsidP="4E54D03C">
      <w:pPr>
        <w:pStyle w:val="Heading3"/>
        <w:rPr>
          <w:rFonts w:hint="eastAsia"/>
        </w:rPr>
      </w:pPr>
      <w:bookmarkStart w:id="10" w:name="_Toc175665285"/>
      <w:r>
        <w:t>Table 3</w:t>
      </w:r>
      <w:r w:rsidR="45EC3D86">
        <w:t xml:space="preserve"> </w:t>
      </w:r>
      <w:r w:rsidR="0030394E">
        <w:t>–</w:t>
      </w:r>
      <w:r w:rsidR="45EC3D86">
        <w:t xml:space="preserve"> </w:t>
      </w:r>
      <w:r w:rsidR="000F28AB" w:rsidRPr="000F28AB">
        <w:t>Activity around the Wednesday Winter Night Market is the busiest it has ever been.</w:t>
      </w:r>
      <w:bookmarkEnd w:id="10"/>
    </w:p>
    <w:tbl>
      <w:tblPr>
        <w:tblStyle w:val="TableGrid"/>
        <w:tblW w:w="0" w:type="auto"/>
        <w:tblLook w:val="04A0" w:firstRow="1" w:lastRow="0" w:firstColumn="1" w:lastColumn="0" w:noHBand="0" w:noVBand="1"/>
      </w:tblPr>
      <w:tblGrid>
        <w:gridCol w:w="4248"/>
        <w:gridCol w:w="3118"/>
      </w:tblGrid>
      <w:tr w:rsidR="00464284" w14:paraId="53776965" w14:textId="0545F308" w:rsidTr="00464284">
        <w:tc>
          <w:tcPr>
            <w:tcW w:w="4248" w:type="dxa"/>
            <w:vAlign w:val="center"/>
          </w:tcPr>
          <w:p w14:paraId="48CD76D1" w14:textId="6F06B537" w:rsidR="00464284" w:rsidRPr="00464284" w:rsidRDefault="00464284" w:rsidP="00E63D29">
            <w:pPr>
              <w:rPr>
                <w:rFonts w:cs="Arial"/>
                <w:b/>
                <w:bCs/>
                <w:sz w:val="22"/>
                <w:szCs w:val="22"/>
                <w:lang w:val="en-US"/>
              </w:rPr>
            </w:pPr>
            <w:r>
              <w:rPr>
                <w:rFonts w:cs="Arial"/>
                <w:b/>
                <w:bCs/>
                <w:sz w:val="22"/>
                <w:szCs w:val="22"/>
                <w:lang w:val="en-US"/>
              </w:rPr>
              <w:t>Date Period</w:t>
            </w:r>
          </w:p>
        </w:tc>
        <w:tc>
          <w:tcPr>
            <w:tcW w:w="3118" w:type="dxa"/>
            <w:vAlign w:val="center"/>
          </w:tcPr>
          <w:p w14:paraId="6DEA6025" w14:textId="4EF7165E" w:rsidR="00464284" w:rsidRPr="00464284" w:rsidRDefault="00464284" w:rsidP="00E63D29">
            <w:pPr>
              <w:rPr>
                <w:rFonts w:cs="Arial"/>
                <w:b/>
                <w:bCs/>
                <w:sz w:val="22"/>
                <w:szCs w:val="22"/>
                <w:lang w:val="en-US"/>
              </w:rPr>
            </w:pPr>
            <w:r w:rsidRPr="00464284">
              <w:rPr>
                <w:rFonts w:cs="Arial"/>
                <w:b/>
                <w:bCs/>
                <w:sz w:val="22"/>
                <w:szCs w:val="22"/>
                <w:lang w:val="en-US"/>
              </w:rPr>
              <w:t xml:space="preserve">Twilight </w:t>
            </w:r>
            <w:r w:rsidR="00043793">
              <w:rPr>
                <w:rFonts w:cs="Arial"/>
                <w:b/>
                <w:bCs/>
                <w:sz w:val="22"/>
                <w:szCs w:val="22"/>
                <w:lang w:val="en-US"/>
              </w:rPr>
              <w:t xml:space="preserve">Average </w:t>
            </w:r>
            <w:r w:rsidRPr="00464284">
              <w:rPr>
                <w:rFonts w:cs="Arial"/>
                <w:b/>
                <w:bCs/>
                <w:sz w:val="22"/>
                <w:szCs w:val="22"/>
                <w:lang w:val="en-US"/>
              </w:rPr>
              <w:t xml:space="preserve">Pedestrian Activity (5 pm </w:t>
            </w:r>
            <w:r w:rsidR="001772B1">
              <w:rPr>
                <w:rFonts w:cs="Arial"/>
                <w:b/>
                <w:bCs/>
                <w:sz w:val="22"/>
                <w:szCs w:val="22"/>
                <w:lang w:val="en-US"/>
              </w:rPr>
              <w:t>to</w:t>
            </w:r>
            <w:r w:rsidRPr="00464284">
              <w:rPr>
                <w:rFonts w:cs="Arial"/>
                <w:b/>
                <w:bCs/>
                <w:sz w:val="22"/>
                <w:szCs w:val="22"/>
                <w:lang w:val="en-US"/>
              </w:rPr>
              <w:t xml:space="preserve"> 10 pm)</w:t>
            </w:r>
          </w:p>
        </w:tc>
      </w:tr>
      <w:tr w:rsidR="00464284" w14:paraId="4CB5A68A" w14:textId="1379A778" w:rsidTr="00464284">
        <w:tc>
          <w:tcPr>
            <w:tcW w:w="4248" w:type="dxa"/>
            <w:vAlign w:val="center"/>
          </w:tcPr>
          <w:p w14:paraId="27132E92" w14:textId="702437B4" w:rsidR="00464284" w:rsidRPr="008F55EC" w:rsidRDefault="00464284" w:rsidP="00E63D29">
            <w:pPr>
              <w:rPr>
                <w:rFonts w:cs="Arial"/>
                <w:sz w:val="22"/>
                <w:szCs w:val="22"/>
                <w:lang w:val="en-US"/>
              </w:rPr>
            </w:pPr>
            <w:r>
              <w:rPr>
                <w:rFonts w:cs="Arial"/>
                <w:sz w:val="22"/>
                <w:szCs w:val="22"/>
                <w:lang w:val="en-US"/>
              </w:rPr>
              <w:t xml:space="preserve">2024 </w:t>
            </w:r>
            <w:r w:rsidR="000F28AB">
              <w:rPr>
                <w:rFonts w:cs="Arial"/>
                <w:sz w:val="22"/>
                <w:szCs w:val="22"/>
                <w:lang w:val="en-US"/>
              </w:rPr>
              <w:t>activity</w:t>
            </w:r>
          </w:p>
        </w:tc>
        <w:tc>
          <w:tcPr>
            <w:tcW w:w="3118" w:type="dxa"/>
            <w:vAlign w:val="center"/>
          </w:tcPr>
          <w:p w14:paraId="43EF41A1" w14:textId="090DFD4D" w:rsidR="00464284" w:rsidRPr="008F55EC" w:rsidRDefault="00043793" w:rsidP="00043793">
            <w:pPr>
              <w:jc w:val="right"/>
              <w:rPr>
                <w:rFonts w:cs="Arial"/>
                <w:sz w:val="22"/>
                <w:szCs w:val="22"/>
                <w:lang w:val="en-US"/>
              </w:rPr>
            </w:pPr>
            <w:r>
              <w:rPr>
                <w:rFonts w:cs="Arial"/>
                <w:sz w:val="22"/>
                <w:szCs w:val="22"/>
                <w:lang w:val="en-US"/>
              </w:rPr>
              <w:t>6,</w:t>
            </w:r>
            <w:r w:rsidR="004C1AB5">
              <w:rPr>
                <w:rFonts w:cs="Arial"/>
                <w:sz w:val="22"/>
                <w:szCs w:val="22"/>
                <w:lang w:val="en-US"/>
              </w:rPr>
              <w:t>2</w:t>
            </w:r>
            <w:r>
              <w:rPr>
                <w:rFonts w:cs="Arial"/>
                <w:sz w:val="22"/>
                <w:szCs w:val="22"/>
                <w:lang w:val="en-US"/>
              </w:rPr>
              <w:t>00</w:t>
            </w:r>
          </w:p>
        </w:tc>
      </w:tr>
      <w:tr w:rsidR="00464284" w14:paraId="0464A99F" w14:textId="568C4846" w:rsidTr="00464284">
        <w:tc>
          <w:tcPr>
            <w:tcW w:w="4248" w:type="dxa"/>
            <w:vAlign w:val="center"/>
          </w:tcPr>
          <w:p w14:paraId="54C9CBED" w14:textId="34A86F85" w:rsidR="00464284" w:rsidRPr="008F55EC" w:rsidRDefault="00464284" w:rsidP="005C7F51">
            <w:pPr>
              <w:rPr>
                <w:rFonts w:cs="Arial"/>
                <w:sz w:val="22"/>
                <w:szCs w:val="22"/>
                <w:lang w:val="en-US"/>
              </w:rPr>
            </w:pPr>
            <w:r>
              <w:rPr>
                <w:rFonts w:cs="Arial"/>
                <w:sz w:val="22"/>
                <w:szCs w:val="22"/>
                <w:lang w:val="en-US"/>
              </w:rPr>
              <w:t xml:space="preserve">2023 </w:t>
            </w:r>
            <w:r w:rsidR="000F28AB">
              <w:rPr>
                <w:rFonts w:cs="Arial"/>
                <w:sz w:val="22"/>
                <w:szCs w:val="22"/>
                <w:lang w:val="en-US"/>
              </w:rPr>
              <w:t>activity</w:t>
            </w:r>
          </w:p>
        </w:tc>
        <w:tc>
          <w:tcPr>
            <w:tcW w:w="3118" w:type="dxa"/>
            <w:vAlign w:val="center"/>
          </w:tcPr>
          <w:p w14:paraId="2E837678" w14:textId="05764DF7" w:rsidR="00464284" w:rsidRPr="008F55EC" w:rsidRDefault="00043793" w:rsidP="00043793">
            <w:pPr>
              <w:jc w:val="right"/>
              <w:rPr>
                <w:rFonts w:cs="Arial"/>
                <w:sz w:val="22"/>
                <w:szCs w:val="22"/>
                <w:lang w:val="en-US"/>
              </w:rPr>
            </w:pPr>
            <w:r>
              <w:rPr>
                <w:rFonts w:cs="Arial"/>
                <w:sz w:val="22"/>
                <w:szCs w:val="22"/>
                <w:lang w:val="en-US"/>
              </w:rPr>
              <w:t>5,200</w:t>
            </w:r>
          </w:p>
        </w:tc>
      </w:tr>
      <w:tr w:rsidR="00464284" w14:paraId="63CE3FFB" w14:textId="27F33E4A" w:rsidTr="00464284">
        <w:tc>
          <w:tcPr>
            <w:tcW w:w="4248" w:type="dxa"/>
            <w:vAlign w:val="center"/>
          </w:tcPr>
          <w:p w14:paraId="24CBEBF1" w14:textId="7A25C298" w:rsidR="00464284" w:rsidRPr="008F55EC" w:rsidRDefault="00464284" w:rsidP="005C7F51">
            <w:pPr>
              <w:rPr>
                <w:rFonts w:cs="Arial"/>
                <w:sz w:val="22"/>
                <w:szCs w:val="22"/>
                <w:lang w:val="en-US"/>
              </w:rPr>
            </w:pPr>
            <w:r>
              <w:rPr>
                <w:rFonts w:cs="Arial"/>
                <w:sz w:val="22"/>
                <w:szCs w:val="22"/>
                <w:lang w:val="en-US"/>
              </w:rPr>
              <w:t xml:space="preserve">2019 </w:t>
            </w:r>
            <w:r w:rsidR="000F28AB">
              <w:rPr>
                <w:rFonts w:cs="Arial"/>
                <w:sz w:val="22"/>
                <w:szCs w:val="22"/>
                <w:lang w:val="en-US"/>
              </w:rPr>
              <w:t>activity</w:t>
            </w:r>
          </w:p>
        </w:tc>
        <w:tc>
          <w:tcPr>
            <w:tcW w:w="3118" w:type="dxa"/>
            <w:vAlign w:val="center"/>
          </w:tcPr>
          <w:p w14:paraId="00C36A36" w14:textId="78C2CAC3" w:rsidR="00464284" w:rsidRPr="008F55EC" w:rsidRDefault="00043793" w:rsidP="00043793">
            <w:pPr>
              <w:jc w:val="right"/>
              <w:rPr>
                <w:rFonts w:cs="Arial"/>
                <w:sz w:val="22"/>
                <w:szCs w:val="22"/>
                <w:lang w:val="en-US"/>
              </w:rPr>
            </w:pPr>
            <w:r>
              <w:rPr>
                <w:rFonts w:cs="Arial"/>
                <w:sz w:val="22"/>
                <w:szCs w:val="22"/>
                <w:lang w:val="en-US"/>
              </w:rPr>
              <w:t>4,600</w:t>
            </w:r>
          </w:p>
        </w:tc>
      </w:tr>
    </w:tbl>
    <w:p w14:paraId="0AD4D55E" w14:textId="6FD711FD" w:rsidR="0061211D" w:rsidRDefault="0061211D" w:rsidP="0061211D">
      <w:pPr>
        <w:pStyle w:val="ListParagraph"/>
        <w:numPr>
          <w:ilvl w:val="0"/>
          <w:numId w:val="22"/>
        </w:numPr>
      </w:pPr>
      <w:r>
        <w:t>QVM Pedestrian activity includes QVM-Peel St, QVM-Queen St (East), QVM-Therry St (South), and QVM-Franklin St (North) sensors.</w:t>
      </w:r>
    </w:p>
    <w:p w14:paraId="18BACEAD" w14:textId="497245DA" w:rsidR="00E63D29" w:rsidRDefault="00043793" w:rsidP="00043793">
      <w:pPr>
        <w:spacing w:before="120"/>
        <w:ind w:left="360" w:hanging="360"/>
      </w:pPr>
      <w:r>
        <w:t>The 2024 Night</w:t>
      </w:r>
      <w:r w:rsidR="00126138">
        <w:t xml:space="preserve"> </w:t>
      </w:r>
      <w:r>
        <w:t>Markets have seen an increase in activity compared to previous years</w:t>
      </w:r>
      <w:r w:rsidR="0061211D">
        <w:t>:</w:t>
      </w:r>
    </w:p>
    <w:p w14:paraId="3DAA2012" w14:textId="45CFE20D" w:rsidR="0061211D" w:rsidRPr="00D57437" w:rsidRDefault="0061211D" w:rsidP="000F28AB">
      <w:pPr>
        <w:pStyle w:val="ListParagraph"/>
        <w:numPr>
          <w:ilvl w:val="0"/>
          <w:numId w:val="21"/>
        </w:numPr>
        <w:spacing w:before="120"/>
        <w:ind w:left="714" w:hanging="357"/>
      </w:pPr>
      <w:r>
        <w:t>The 2024 Night</w:t>
      </w:r>
      <w:r w:rsidR="00126138">
        <w:t xml:space="preserve"> </w:t>
      </w:r>
      <w:r>
        <w:t>Market</w:t>
      </w:r>
      <w:r w:rsidR="000F28AB">
        <w:t xml:space="preserve"> has seen</w:t>
      </w:r>
      <w:r>
        <w:t xml:space="preserve"> an increase of 2</w:t>
      </w:r>
      <w:r w:rsidR="004C1AB5">
        <w:t>0</w:t>
      </w:r>
      <w:r>
        <w:t>% in pedestrian activity</w:t>
      </w:r>
      <w:r w:rsidR="000F28AB">
        <w:t xml:space="preserve"> in the area</w:t>
      </w:r>
      <w:r>
        <w:t xml:space="preserve"> compared to 2023</w:t>
      </w:r>
      <w:r w:rsidR="000F28AB">
        <w:t xml:space="preserve">, and </w:t>
      </w:r>
      <w:r>
        <w:t>an increase of 3</w:t>
      </w:r>
      <w:r w:rsidR="004C1AB5">
        <w:t>4</w:t>
      </w:r>
      <w:r>
        <w:t>% compared to 2023.</w:t>
      </w:r>
    </w:p>
    <w:p w14:paraId="292C1514" w14:textId="1C939C8D" w:rsidR="00A5193E" w:rsidRPr="00AF02E0" w:rsidRDefault="00126138" w:rsidP="4E54D03C">
      <w:pPr>
        <w:pStyle w:val="Heading2"/>
        <w:rPr>
          <w:rFonts w:hint="eastAsia"/>
        </w:rPr>
      </w:pPr>
      <w:bookmarkStart w:id="11" w:name="_Toc175665286"/>
      <w:r>
        <w:t>Mark it a success</w:t>
      </w:r>
      <w:r w:rsidR="00F93CD4">
        <w:t>.</w:t>
      </w:r>
      <w:bookmarkEnd w:id="11"/>
    </w:p>
    <w:p w14:paraId="5C5370AC" w14:textId="3D26ADD0" w:rsidR="0009455A" w:rsidRDefault="000F28AB" w:rsidP="00E84AAE">
      <w:r w:rsidRPr="000F28AB">
        <w:t>Queen Victoria Market is buzzing during the day and night, which is great news for our market traders and inner north business owners. This iconic Melbourne attraction continues to go from strength to strength with a diverse range of food and beverage, retail</w:t>
      </w:r>
      <w:r w:rsidR="00411D07">
        <w:t>,</w:t>
      </w:r>
      <w:r w:rsidRPr="000F28AB">
        <w:t xml:space="preserve"> and creative offerings to encourage visitors to dine, shop and dwell in the precinct. With the City of Melbourne's</w:t>
      </w:r>
      <w:r>
        <w:t xml:space="preserve"> </w:t>
      </w:r>
      <w:hyperlink r:id="rId9" w:history="1">
        <w:r w:rsidR="00210889" w:rsidRPr="00210889">
          <w:rPr>
            <w:rStyle w:val="Hyperlink"/>
          </w:rPr>
          <w:t>ongoing investment in the precinct</w:t>
        </w:r>
      </w:hyperlink>
      <w:r w:rsidR="004921FD" w:rsidRPr="004921FD">
        <w:rPr>
          <w:rStyle w:val="FootnoteReference"/>
        </w:rPr>
        <w:footnoteReference w:id="2"/>
      </w:r>
      <w:r w:rsidR="00210889" w:rsidRPr="00210889">
        <w:t>, activity is higher than ever and has increased across all days of the week. Saturday is now the busiest day of the week with Tuesdays growing the most, up 2</w:t>
      </w:r>
      <w:r w:rsidR="004C1AB5">
        <w:t>7</w:t>
      </w:r>
      <w:r w:rsidR="00210889" w:rsidRPr="00210889">
        <w:t xml:space="preserve"> per cent since last year.</w:t>
      </w:r>
    </w:p>
    <w:p w14:paraId="3606F62E" w14:textId="6201B158" w:rsidR="00A5193E" w:rsidRDefault="0EF83AAF" w:rsidP="00D23D2B">
      <w:pPr>
        <w:pStyle w:val="Heading3"/>
        <w:rPr>
          <w:rFonts w:hint="eastAsia"/>
        </w:rPr>
      </w:pPr>
      <w:bookmarkStart w:id="12" w:name="_Toc175665287"/>
      <w:r>
        <w:t xml:space="preserve">Table </w:t>
      </w:r>
      <w:r w:rsidR="00C55B65">
        <w:t>4</w:t>
      </w:r>
      <w:r w:rsidR="1139249F">
        <w:t xml:space="preserve"> </w:t>
      </w:r>
      <w:r w:rsidR="00F93CD4">
        <w:t>–</w:t>
      </w:r>
      <w:r w:rsidR="1139249F">
        <w:t xml:space="preserve"> </w:t>
      </w:r>
      <w:r w:rsidR="00C55B65">
        <w:t xml:space="preserve">Pedestrian activity continues </w:t>
      </w:r>
      <w:r w:rsidR="007E6347">
        <w:t>to rise</w:t>
      </w:r>
      <w:r w:rsidR="00C55B65">
        <w:t xml:space="preserve"> </w:t>
      </w:r>
      <w:r w:rsidR="007E6347">
        <w:t>following</w:t>
      </w:r>
      <w:r w:rsidR="00C55B65">
        <w:t xml:space="preserve"> the completion of QVM’s new infrastructure work</w:t>
      </w:r>
      <w:r w:rsidR="00F93CD4">
        <w:t>.</w:t>
      </w:r>
      <w:bookmarkEnd w:id="12"/>
    </w:p>
    <w:tbl>
      <w:tblPr>
        <w:tblStyle w:val="TableGrid"/>
        <w:tblW w:w="0" w:type="auto"/>
        <w:tblLook w:val="04A0" w:firstRow="1" w:lastRow="0" w:firstColumn="1" w:lastColumn="0" w:noHBand="0" w:noVBand="1"/>
      </w:tblPr>
      <w:tblGrid>
        <w:gridCol w:w="1980"/>
        <w:gridCol w:w="2835"/>
      </w:tblGrid>
      <w:tr w:rsidR="005D0A71" w14:paraId="492F0334" w14:textId="77777777" w:rsidTr="00135F5D">
        <w:tc>
          <w:tcPr>
            <w:tcW w:w="1980" w:type="dxa"/>
            <w:vAlign w:val="bottom"/>
          </w:tcPr>
          <w:p w14:paraId="3820BF1D" w14:textId="21234C54" w:rsidR="005D0A71" w:rsidRPr="00906338" w:rsidRDefault="005D0A71" w:rsidP="00906338">
            <w:pPr>
              <w:rPr>
                <w:b/>
                <w:lang w:val="en-US"/>
              </w:rPr>
            </w:pPr>
            <w:r>
              <w:rPr>
                <w:b/>
                <w:lang w:val="en-US"/>
              </w:rPr>
              <w:t>Year Month</w:t>
            </w:r>
          </w:p>
        </w:tc>
        <w:tc>
          <w:tcPr>
            <w:tcW w:w="2835" w:type="dxa"/>
            <w:tcBorders>
              <w:bottom w:val="single" w:sz="4" w:space="0" w:color="auto"/>
            </w:tcBorders>
            <w:vAlign w:val="bottom"/>
          </w:tcPr>
          <w:p w14:paraId="5B509825" w14:textId="552A8241" w:rsidR="005D0A71" w:rsidRPr="00906338" w:rsidRDefault="007E6347" w:rsidP="00906338">
            <w:pPr>
              <w:rPr>
                <w:b/>
                <w:lang w:val="en-US"/>
              </w:rPr>
            </w:pPr>
            <w:r>
              <w:rPr>
                <w:b/>
                <w:lang w:val="en-US"/>
              </w:rPr>
              <w:t xml:space="preserve">Average </w:t>
            </w:r>
            <w:r w:rsidR="005D0A71">
              <w:rPr>
                <w:b/>
                <w:lang w:val="en-US"/>
              </w:rPr>
              <w:t>Pedestrian Activity</w:t>
            </w:r>
          </w:p>
        </w:tc>
      </w:tr>
      <w:tr w:rsidR="00135F5D" w14:paraId="74EF6455" w14:textId="77777777" w:rsidTr="00135F5D">
        <w:tc>
          <w:tcPr>
            <w:tcW w:w="1980" w:type="dxa"/>
            <w:vAlign w:val="bottom"/>
          </w:tcPr>
          <w:p w14:paraId="2B9ABDFB" w14:textId="6CEE7F35" w:rsidR="00135F5D" w:rsidRPr="00464284" w:rsidRDefault="00135F5D" w:rsidP="00135F5D">
            <w:pPr>
              <w:rPr>
                <w:lang w:val="en-US"/>
              </w:rPr>
            </w:pPr>
            <w:r w:rsidRPr="00464284">
              <w:rPr>
                <w:lang w:val="en-US"/>
              </w:rPr>
              <w:t>20</w:t>
            </w:r>
            <w:r>
              <w:rPr>
                <w:lang w:val="en-US"/>
              </w:rPr>
              <w:t>19</w:t>
            </w:r>
            <w:r w:rsidRPr="00464284">
              <w:rPr>
                <w:lang w:val="en-US"/>
              </w:rPr>
              <w:t xml:space="preserve"> January</w:t>
            </w:r>
          </w:p>
        </w:tc>
        <w:tc>
          <w:tcPr>
            <w:tcW w:w="2835" w:type="dxa"/>
            <w:tcBorders>
              <w:top w:val="single" w:sz="4" w:space="0" w:color="auto"/>
              <w:left w:val="nil"/>
              <w:bottom w:val="single" w:sz="4" w:space="0" w:color="auto"/>
              <w:right w:val="single" w:sz="4" w:space="0" w:color="auto"/>
            </w:tcBorders>
            <w:shd w:val="clear" w:color="auto" w:fill="auto"/>
            <w:vAlign w:val="bottom"/>
          </w:tcPr>
          <w:p w14:paraId="6A7702B9" w14:textId="52904FE8" w:rsidR="00135F5D" w:rsidRDefault="00135F5D" w:rsidP="00135F5D">
            <w:pPr>
              <w:jc w:val="right"/>
              <w:rPr>
                <w:lang w:val="en-US"/>
              </w:rPr>
            </w:pPr>
            <w:r>
              <w:rPr>
                <w:rFonts w:cs="Arial"/>
                <w:color w:val="000000"/>
                <w:sz w:val="22"/>
                <w:szCs w:val="22"/>
              </w:rPr>
              <w:t>16,100</w:t>
            </w:r>
          </w:p>
        </w:tc>
      </w:tr>
      <w:tr w:rsidR="00135F5D" w14:paraId="3EC596E3" w14:textId="77777777" w:rsidTr="00135F5D">
        <w:tc>
          <w:tcPr>
            <w:tcW w:w="1980" w:type="dxa"/>
            <w:vAlign w:val="bottom"/>
          </w:tcPr>
          <w:p w14:paraId="1EE90C96" w14:textId="33077DB4" w:rsidR="00135F5D" w:rsidRDefault="00135F5D" w:rsidP="00135F5D">
            <w:pPr>
              <w:rPr>
                <w:lang w:val="en-US"/>
              </w:rPr>
            </w:pPr>
            <w:r>
              <w:rPr>
                <w:lang w:val="en-US"/>
              </w:rPr>
              <w:t>2019 February</w:t>
            </w:r>
          </w:p>
        </w:tc>
        <w:tc>
          <w:tcPr>
            <w:tcW w:w="2835" w:type="dxa"/>
            <w:tcBorders>
              <w:top w:val="single" w:sz="4" w:space="0" w:color="auto"/>
              <w:left w:val="nil"/>
              <w:bottom w:val="single" w:sz="4" w:space="0" w:color="auto"/>
              <w:right w:val="single" w:sz="4" w:space="0" w:color="auto"/>
            </w:tcBorders>
            <w:shd w:val="clear" w:color="auto" w:fill="auto"/>
            <w:vAlign w:val="bottom"/>
          </w:tcPr>
          <w:p w14:paraId="6D94AC22" w14:textId="48755BB8" w:rsidR="00135F5D" w:rsidRDefault="00135F5D" w:rsidP="00135F5D">
            <w:pPr>
              <w:jc w:val="right"/>
              <w:rPr>
                <w:lang w:val="en-US"/>
              </w:rPr>
            </w:pPr>
            <w:r>
              <w:rPr>
                <w:rFonts w:cs="Arial"/>
                <w:color w:val="000000"/>
                <w:sz w:val="22"/>
                <w:szCs w:val="22"/>
              </w:rPr>
              <w:t>17,900</w:t>
            </w:r>
          </w:p>
        </w:tc>
      </w:tr>
      <w:tr w:rsidR="00135F5D" w14:paraId="2ACA46D7" w14:textId="77777777" w:rsidTr="00135F5D">
        <w:tc>
          <w:tcPr>
            <w:tcW w:w="1980" w:type="dxa"/>
            <w:vAlign w:val="bottom"/>
          </w:tcPr>
          <w:p w14:paraId="3D3A49B9" w14:textId="234E11B2" w:rsidR="00135F5D" w:rsidRDefault="00135F5D" w:rsidP="00135F5D">
            <w:pPr>
              <w:rPr>
                <w:lang w:val="en-US"/>
              </w:rPr>
            </w:pPr>
            <w:r>
              <w:rPr>
                <w:lang w:val="en-US"/>
              </w:rPr>
              <w:t>2019 March</w:t>
            </w:r>
          </w:p>
        </w:tc>
        <w:tc>
          <w:tcPr>
            <w:tcW w:w="2835" w:type="dxa"/>
            <w:tcBorders>
              <w:top w:val="single" w:sz="4" w:space="0" w:color="auto"/>
              <w:left w:val="nil"/>
              <w:bottom w:val="single" w:sz="4" w:space="0" w:color="auto"/>
              <w:right w:val="single" w:sz="4" w:space="0" w:color="auto"/>
            </w:tcBorders>
            <w:shd w:val="clear" w:color="auto" w:fill="auto"/>
            <w:vAlign w:val="bottom"/>
          </w:tcPr>
          <w:p w14:paraId="002B0E16" w14:textId="6993C147" w:rsidR="00135F5D" w:rsidRDefault="00135F5D" w:rsidP="00135F5D">
            <w:pPr>
              <w:jc w:val="right"/>
              <w:rPr>
                <w:lang w:val="en-US"/>
              </w:rPr>
            </w:pPr>
            <w:r>
              <w:rPr>
                <w:rFonts w:cs="Arial"/>
                <w:color w:val="000000"/>
                <w:sz w:val="22"/>
                <w:szCs w:val="22"/>
              </w:rPr>
              <w:t>18,200</w:t>
            </w:r>
          </w:p>
        </w:tc>
      </w:tr>
      <w:tr w:rsidR="00135F5D" w14:paraId="4400FA3A" w14:textId="77777777" w:rsidTr="00135F5D">
        <w:tc>
          <w:tcPr>
            <w:tcW w:w="1980" w:type="dxa"/>
            <w:vAlign w:val="bottom"/>
          </w:tcPr>
          <w:p w14:paraId="2D0C773C" w14:textId="50F8AF35" w:rsidR="00135F5D" w:rsidRDefault="00135F5D" w:rsidP="00135F5D">
            <w:pPr>
              <w:rPr>
                <w:lang w:val="en-US"/>
              </w:rPr>
            </w:pPr>
            <w:r>
              <w:rPr>
                <w:lang w:val="en-US"/>
              </w:rPr>
              <w:t>2019 April</w:t>
            </w:r>
          </w:p>
        </w:tc>
        <w:tc>
          <w:tcPr>
            <w:tcW w:w="2835" w:type="dxa"/>
            <w:tcBorders>
              <w:top w:val="single" w:sz="4" w:space="0" w:color="auto"/>
              <w:left w:val="nil"/>
              <w:bottom w:val="single" w:sz="4" w:space="0" w:color="auto"/>
              <w:right w:val="single" w:sz="4" w:space="0" w:color="auto"/>
            </w:tcBorders>
            <w:shd w:val="clear" w:color="auto" w:fill="auto"/>
            <w:vAlign w:val="bottom"/>
          </w:tcPr>
          <w:p w14:paraId="52470FA3" w14:textId="0981D6CE" w:rsidR="00135F5D" w:rsidRDefault="00135F5D" w:rsidP="00135F5D">
            <w:pPr>
              <w:jc w:val="right"/>
              <w:rPr>
                <w:lang w:val="en-US"/>
              </w:rPr>
            </w:pPr>
            <w:r>
              <w:rPr>
                <w:rFonts w:cs="Arial"/>
                <w:color w:val="000000"/>
                <w:sz w:val="22"/>
                <w:szCs w:val="22"/>
              </w:rPr>
              <w:t>17,500</w:t>
            </w:r>
          </w:p>
        </w:tc>
      </w:tr>
      <w:tr w:rsidR="00135F5D" w14:paraId="4B5C23DB" w14:textId="77777777" w:rsidTr="00135F5D">
        <w:tc>
          <w:tcPr>
            <w:tcW w:w="1980" w:type="dxa"/>
            <w:vAlign w:val="bottom"/>
          </w:tcPr>
          <w:p w14:paraId="748C68AC" w14:textId="09633EA6" w:rsidR="00135F5D" w:rsidRDefault="00135F5D" w:rsidP="00135F5D">
            <w:pPr>
              <w:rPr>
                <w:lang w:val="en-US"/>
              </w:rPr>
            </w:pPr>
            <w:r>
              <w:rPr>
                <w:lang w:val="en-US"/>
              </w:rPr>
              <w:t>2019 May</w:t>
            </w:r>
          </w:p>
        </w:tc>
        <w:tc>
          <w:tcPr>
            <w:tcW w:w="2835" w:type="dxa"/>
            <w:tcBorders>
              <w:top w:val="single" w:sz="4" w:space="0" w:color="auto"/>
              <w:left w:val="nil"/>
              <w:bottom w:val="single" w:sz="4" w:space="0" w:color="auto"/>
              <w:right w:val="single" w:sz="4" w:space="0" w:color="auto"/>
            </w:tcBorders>
            <w:shd w:val="clear" w:color="auto" w:fill="auto"/>
            <w:vAlign w:val="bottom"/>
          </w:tcPr>
          <w:p w14:paraId="49987403" w14:textId="5A8D9A89" w:rsidR="00135F5D" w:rsidRPr="00F93CD4" w:rsidRDefault="00135F5D" w:rsidP="00135F5D">
            <w:pPr>
              <w:jc w:val="right"/>
              <w:rPr>
                <w:sz w:val="22"/>
                <w:szCs w:val="22"/>
                <w:lang w:val="en-US"/>
              </w:rPr>
            </w:pPr>
            <w:r>
              <w:rPr>
                <w:rFonts w:cs="Arial"/>
                <w:color w:val="000000"/>
                <w:sz w:val="22"/>
                <w:szCs w:val="22"/>
              </w:rPr>
              <w:t>16,100</w:t>
            </w:r>
          </w:p>
        </w:tc>
      </w:tr>
      <w:tr w:rsidR="00135F5D" w14:paraId="573BA3C2" w14:textId="77777777" w:rsidTr="00135F5D">
        <w:tc>
          <w:tcPr>
            <w:tcW w:w="1980" w:type="dxa"/>
            <w:vAlign w:val="bottom"/>
          </w:tcPr>
          <w:p w14:paraId="28D866E5" w14:textId="44F4418E" w:rsidR="00135F5D" w:rsidRDefault="00135F5D" w:rsidP="00135F5D">
            <w:pPr>
              <w:rPr>
                <w:lang w:val="en-US"/>
              </w:rPr>
            </w:pPr>
            <w:r>
              <w:rPr>
                <w:lang w:val="en-US"/>
              </w:rPr>
              <w:t>2019 June</w:t>
            </w:r>
          </w:p>
        </w:tc>
        <w:tc>
          <w:tcPr>
            <w:tcW w:w="2835" w:type="dxa"/>
            <w:tcBorders>
              <w:top w:val="single" w:sz="4" w:space="0" w:color="auto"/>
              <w:left w:val="nil"/>
              <w:bottom w:val="single" w:sz="4" w:space="0" w:color="auto"/>
              <w:right w:val="single" w:sz="4" w:space="0" w:color="auto"/>
            </w:tcBorders>
            <w:shd w:val="clear" w:color="auto" w:fill="auto"/>
            <w:vAlign w:val="bottom"/>
          </w:tcPr>
          <w:p w14:paraId="10F02CF8" w14:textId="78D05402" w:rsidR="00135F5D" w:rsidRPr="00F93CD4" w:rsidRDefault="00135F5D" w:rsidP="00135F5D">
            <w:pPr>
              <w:jc w:val="right"/>
              <w:rPr>
                <w:sz w:val="22"/>
                <w:szCs w:val="22"/>
                <w:lang w:val="en-US"/>
              </w:rPr>
            </w:pPr>
            <w:r>
              <w:rPr>
                <w:rFonts w:cs="Arial"/>
                <w:color w:val="000000"/>
                <w:sz w:val="22"/>
                <w:szCs w:val="22"/>
              </w:rPr>
              <w:t>16,200</w:t>
            </w:r>
          </w:p>
        </w:tc>
      </w:tr>
      <w:tr w:rsidR="00135F5D" w14:paraId="519DAFE9" w14:textId="77777777" w:rsidTr="00135F5D">
        <w:tc>
          <w:tcPr>
            <w:tcW w:w="1980" w:type="dxa"/>
            <w:vAlign w:val="bottom"/>
          </w:tcPr>
          <w:p w14:paraId="1A9C96E4" w14:textId="5B32E198" w:rsidR="00135F5D" w:rsidRDefault="00135F5D" w:rsidP="00135F5D">
            <w:pPr>
              <w:rPr>
                <w:rFonts w:cs="Arial"/>
                <w:color w:val="000000"/>
                <w:sz w:val="22"/>
                <w:szCs w:val="22"/>
              </w:rPr>
            </w:pPr>
            <w:r>
              <w:rPr>
                <w:lang w:val="en-US"/>
              </w:rPr>
              <w:lastRenderedPageBreak/>
              <w:t>2019 July</w:t>
            </w:r>
          </w:p>
        </w:tc>
        <w:tc>
          <w:tcPr>
            <w:tcW w:w="2835" w:type="dxa"/>
            <w:tcBorders>
              <w:top w:val="single" w:sz="4" w:space="0" w:color="auto"/>
              <w:left w:val="nil"/>
              <w:bottom w:val="single" w:sz="4" w:space="0" w:color="auto"/>
              <w:right w:val="single" w:sz="4" w:space="0" w:color="auto"/>
            </w:tcBorders>
            <w:shd w:val="clear" w:color="auto" w:fill="auto"/>
            <w:vAlign w:val="bottom"/>
          </w:tcPr>
          <w:p w14:paraId="04555856" w14:textId="0EF19193" w:rsidR="00135F5D" w:rsidRPr="00F93CD4" w:rsidRDefault="00135F5D" w:rsidP="00135F5D">
            <w:pPr>
              <w:jc w:val="right"/>
              <w:rPr>
                <w:sz w:val="22"/>
                <w:szCs w:val="22"/>
                <w:lang w:val="en-US"/>
              </w:rPr>
            </w:pPr>
            <w:r>
              <w:rPr>
                <w:rFonts w:cs="Arial"/>
                <w:color w:val="000000"/>
                <w:sz w:val="22"/>
                <w:szCs w:val="22"/>
              </w:rPr>
              <w:t>17,600</w:t>
            </w:r>
          </w:p>
        </w:tc>
      </w:tr>
      <w:tr w:rsidR="00135F5D" w14:paraId="021D3755" w14:textId="77777777" w:rsidTr="00135F5D">
        <w:tc>
          <w:tcPr>
            <w:tcW w:w="1980" w:type="dxa"/>
            <w:vAlign w:val="bottom"/>
          </w:tcPr>
          <w:p w14:paraId="7C44C6C9" w14:textId="0616732D" w:rsidR="00135F5D" w:rsidRDefault="00135F5D" w:rsidP="00135F5D">
            <w:pPr>
              <w:rPr>
                <w:rFonts w:cs="Arial"/>
                <w:color w:val="000000"/>
                <w:sz w:val="22"/>
                <w:szCs w:val="22"/>
              </w:rPr>
            </w:pPr>
            <w:r>
              <w:rPr>
                <w:lang w:val="en-US"/>
              </w:rPr>
              <w:t>2019 August</w:t>
            </w:r>
          </w:p>
        </w:tc>
        <w:tc>
          <w:tcPr>
            <w:tcW w:w="2835" w:type="dxa"/>
            <w:tcBorders>
              <w:top w:val="single" w:sz="4" w:space="0" w:color="auto"/>
              <w:left w:val="nil"/>
              <w:bottom w:val="single" w:sz="4" w:space="0" w:color="auto"/>
              <w:right w:val="single" w:sz="4" w:space="0" w:color="auto"/>
            </w:tcBorders>
            <w:shd w:val="clear" w:color="auto" w:fill="auto"/>
            <w:vAlign w:val="bottom"/>
          </w:tcPr>
          <w:p w14:paraId="758B159C" w14:textId="12B76B1E" w:rsidR="00135F5D" w:rsidRPr="00F93CD4" w:rsidRDefault="00135F5D" w:rsidP="00135F5D">
            <w:pPr>
              <w:jc w:val="right"/>
              <w:rPr>
                <w:sz w:val="22"/>
                <w:szCs w:val="22"/>
                <w:lang w:val="en-US"/>
              </w:rPr>
            </w:pPr>
            <w:r>
              <w:rPr>
                <w:rFonts w:cs="Arial"/>
                <w:color w:val="000000"/>
                <w:sz w:val="22"/>
                <w:szCs w:val="22"/>
              </w:rPr>
              <w:t>17,800</w:t>
            </w:r>
          </w:p>
        </w:tc>
      </w:tr>
      <w:tr w:rsidR="00135F5D" w14:paraId="1A49771D" w14:textId="77777777" w:rsidTr="00135F5D">
        <w:tc>
          <w:tcPr>
            <w:tcW w:w="1980" w:type="dxa"/>
            <w:vAlign w:val="bottom"/>
          </w:tcPr>
          <w:p w14:paraId="79921C67" w14:textId="79820E29" w:rsidR="00135F5D" w:rsidRDefault="00135F5D" w:rsidP="00135F5D">
            <w:pPr>
              <w:rPr>
                <w:lang w:val="en-US"/>
              </w:rPr>
            </w:pPr>
            <w:r>
              <w:rPr>
                <w:lang w:val="en-US"/>
              </w:rPr>
              <w:t>2019 September</w:t>
            </w:r>
          </w:p>
        </w:tc>
        <w:tc>
          <w:tcPr>
            <w:tcW w:w="2835" w:type="dxa"/>
            <w:tcBorders>
              <w:top w:val="single" w:sz="4" w:space="0" w:color="auto"/>
              <w:left w:val="nil"/>
              <w:bottom w:val="single" w:sz="4" w:space="0" w:color="auto"/>
              <w:right w:val="single" w:sz="4" w:space="0" w:color="auto"/>
            </w:tcBorders>
            <w:shd w:val="clear" w:color="auto" w:fill="auto"/>
            <w:vAlign w:val="bottom"/>
          </w:tcPr>
          <w:p w14:paraId="75588D02" w14:textId="4AA4A872" w:rsidR="00135F5D" w:rsidRPr="00F93CD4" w:rsidRDefault="00135F5D" w:rsidP="00135F5D">
            <w:pPr>
              <w:jc w:val="right"/>
              <w:rPr>
                <w:sz w:val="22"/>
                <w:szCs w:val="22"/>
                <w:lang w:val="en-US"/>
              </w:rPr>
            </w:pPr>
            <w:r>
              <w:rPr>
                <w:rFonts w:cs="Arial"/>
                <w:color w:val="000000"/>
                <w:sz w:val="22"/>
                <w:szCs w:val="22"/>
              </w:rPr>
              <w:t>15,500</w:t>
            </w:r>
          </w:p>
        </w:tc>
      </w:tr>
      <w:tr w:rsidR="00135F5D" w14:paraId="5F866545" w14:textId="77777777" w:rsidTr="00135F5D">
        <w:tc>
          <w:tcPr>
            <w:tcW w:w="1980" w:type="dxa"/>
            <w:vAlign w:val="bottom"/>
          </w:tcPr>
          <w:p w14:paraId="7358E405" w14:textId="0179E4AE" w:rsidR="00135F5D" w:rsidRDefault="00135F5D" w:rsidP="00135F5D">
            <w:pPr>
              <w:rPr>
                <w:lang w:val="en-US"/>
              </w:rPr>
            </w:pPr>
            <w:r>
              <w:rPr>
                <w:lang w:val="en-US"/>
              </w:rPr>
              <w:t>2019 October</w:t>
            </w:r>
          </w:p>
        </w:tc>
        <w:tc>
          <w:tcPr>
            <w:tcW w:w="2835" w:type="dxa"/>
            <w:tcBorders>
              <w:top w:val="single" w:sz="4" w:space="0" w:color="auto"/>
              <w:left w:val="nil"/>
              <w:bottom w:val="single" w:sz="4" w:space="0" w:color="auto"/>
              <w:right w:val="single" w:sz="4" w:space="0" w:color="auto"/>
            </w:tcBorders>
            <w:shd w:val="clear" w:color="auto" w:fill="auto"/>
            <w:vAlign w:val="bottom"/>
          </w:tcPr>
          <w:p w14:paraId="34308D5A" w14:textId="7E7F3465" w:rsidR="00135F5D" w:rsidRPr="00F93CD4" w:rsidRDefault="00135F5D" w:rsidP="00135F5D">
            <w:pPr>
              <w:jc w:val="right"/>
              <w:rPr>
                <w:sz w:val="22"/>
                <w:szCs w:val="22"/>
                <w:lang w:val="en-US"/>
              </w:rPr>
            </w:pPr>
            <w:r>
              <w:rPr>
                <w:rFonts w:cs="Arial"/>
                <w:color w:val="000000"/>
                <w:sz w:val="22"/>
                <w:szCs w:val="22"/>
              </w:rPr>
              <w:t>16,300</w:t>
            </w:r>
          </w:p>
        </w:tc>
      </w:tr>
      <w:tr w:rsidR="00135F5D" w14:paraId="3B4C989B" w14:textId="77777777" w:rsidTr="00135F5D">
        <w:tc>
          <w:tcPr>
            <w:tcW w:w="1980" w:type="dxa"/>
            <w:vAlign w:val="bottom"/>
          </w:tcPr>
          <w:p w14:paraId="660444DF" w14:textId="7A7104CD" w:rsidR="00135F5D" w:rsidRDefault="00135F5D" w:rsidP="00135F5D">
            <w:pPr>
              <w:rPr>
                <w:lang w:val="en-US"/>
              </w:rPr>
            </w:pPr>
            <w:r>
              <w:rPr>
                <w:lang w:val="en-US"/>
              </w:rPr>
              <w:t>2019 November</w:t>
            </w:r>
          </w:p>
        </w:tc>
        <w:tc>
          <w:tcPr>
            <w:tcW w:w="2835" w:type="dxa"/>
            <w:tcBorders>
              <w:top w:val="single" w:sz="4" w:space="0" w:color="auto"/>
              <w:left w:val="nil"/>
              <w:bottom w:val="single" w:sz="4" w:space="0" w:color="auto"/>
              <w:right w:val="single" w:sz="4" w:space="0" w:color="auto"/>
            </w:tcBorders>
            <w:shd w:val="clear" w:color="auto" w:fill="auto"/>
            <w:vAlign w:val="bottom"/>
          </w:tcPr>
          <w:p w14:paraId="4CD31ED7" w14:textId="70299806" w:rsidR="00135F5D" w:rsidRPr="00F93CD4" w:rsidRDefault="00135F5D" w:rsidP="00135F5D">
            <w:pPr>
              <w:jc w:val="right"/>
              <w:rPr>
                <w:sz w:val="22"/>
                <w:szCs w:val="22"/>
                <w:lang w:val="en-US"/>
              </w:rPr>
            </w:pPr>
            <w:r>
              <w:rPr>
                <w:rFonts w:cs="Arial"/>
                <w:color w:val="000000"/>
                <w:sz w:val="22"/>
                <w:szCs w:val="22"/>
              </w:rPr>
              <w:t>17,600</w:t>
            </w:r>
          </w:p>
        </w:tc>
      </w:tr>
      <w:tr w:rsidR="00135F5D" w14:paraId="580F3C27" w14:textId="77777777" w:rsidTr="000532DE">
        <w:tc>
          <w:tcPr>
            <w:tcW w:w="1980" w:type="dxa"/>
            <w:vAlign w:val="bottom"/>
          </w:tcPr>
          <w:p w14:paraId="59F903D8" w14:textId="55E21C15" w:rsidR="00135F5D" w:rsidRDefault="00135F5D" w:rsidP="00135F5D">
            <w:pPr>
              <w:rPr>
                <w:lang w:val="en-US"/>
              </w:rPr>
            </w:pPr>
            <w:r>
              <w:rPr>
                <w:lang w:val="en-US"/>
              </w:rPr>
              <w:t>2019 December</w:t>
            </w:r>
          </w:p>
        </w:tc>
        <w:tc>
          <w:tcPr>
            <w:tcW w:w="2835" w:type="dxa"/>
            <w:tcBorders>
              <w:top w:val="single" w:sz="4" w:space="0" w:color="auto"/>
              <w:left w:val="nil"/>
              <w:bottom w:val="single" w:sz="4" w:space="0" w:color="auto"/>
              <w:right w:val="single" w:sz="4" w:space="0" w:color="auto"/>
            </w:tcBorders>
            <w:shd w:val="clear" w:color="auto" w:fill="auto"/>
            <w:vAlign w:val="bottom"/>
          </w:tcPr>
          <w:p w14:paraId="4115554D" w14:textId="30480459" w:rsidR="00135F5D" w:rsidRPr="00F93CD4" w:rsidRDefault="00135F5D" w:rsidP="00135F5D">
            <w:pPr>
              <w:jc w:val="right"/>
              <w:rPr>
                <w:sz w:val="22"/>
                <w:szCs w:val="22"/>
                <w:lang w:val="en-US"/>
              </w:rPr>
            </w:pPr>
            <w:r>
              <w:rPr>
                <w:rFonts w:cs="Arial"/>
                <w:color w:val="000000"/>
                <w:sz w:val="22"/>
                <w:szCs w:val="22"/>
              </w:rPr>
              <w:t>17,000</w:t>
            </w:r>
          </w:p>
        </w:tc>
      </w:tr>
      <w:tr w:rsidR="000532DE" w14:paraId="4D15FE2C" w14:textId="77777777" w:rsidTr="000532DE">
        <w:tc>
          <w:tcPr>
            <w:tcW w:w="1980" w:type="dxa"/>
            <w:vAlign w:val="bottom"/>
          </w:tcPr>
          <w:p w14:paraId="5F7C2039" w14:textId="740A8D14" w:rsidR="000532DE" w:rsidRDefault="000532DE" w:rsidP="000532DE">
            <w:pPr>
              <w:rPr>
                <w:lang w:val="en-US"/>
              </w:rPr>
            </w:pPr>
            <w:r w:rsidRPr="00464284">
              <w:rPr>
                <w:lang w:val="en-US"/>
              </w:rPr>
              <w:t>20</w:t>
            </w:r>
            <w:r>
              <w:rPr>
                <w:lang w:val="en-US"/>
              </w:rPr>
              <w:t>23</w:t>
            </w:r>
            <w:r w:rsidRPr="00464284">
              <w:rPr>
                <w:lang w:val="en-US"/>
              </w:rPr>
              <w:t xml:space="preserve"> January</w:t>
            </w:r>
          </w:p>
        </w:tc>
        <w:tc>
          <w:tcPr>
            <w:tcW w:w="2835" w:type="dxa"/>
            <w:tcBorders>
              <w:top w:val="single" w:sz="4" w:space="0" w:color="auto"/>
              <w:left w:val="nil"/>
              <w:bottom w:val="single" w:sz="4" w:space="0" w:color="auto"/>
              <w:right w:val="single" w:sz="4" w:space="0" w:color="auto"/>
            </w:tcBorders>
            <w:shd w:val="clear" w:color="auto" w:fill="auto"/>
            <w:vAlign w:val="bottom"/>
          </w:tcPr>
          <w:p w14:paraId="37ED273D" w14:textId="0BC6DC34" w:rsidR="000532DE" w:rsidRPr="00F93CD4" w:rsidRDefault="000532DE" w:rsidP="000532DE">
            <w:pPr>
              <w:jc w:val="right"/>
              <w:rPr>
                <w:sz w:val="22"/>
                <w:szCs w:val="22"/>
                <w:lang w:val="en-US"/>
              </w:rPr>
            </w:pPr>
            <w:r>
              <w:rPr>
                <w:rFonts w:cs="Arial"/>
                <w:color w:val="000000"/>
                <w:sz w:val="22"/>
                <w:szCs w:val="22"/>
              </w:rPr>
              <w:t>14,600</w:t>
            </w:r>
          </w:p>
        </w:tc>
      </w:tr>
      <w:tr w:rsidR="000532DE" w14:paraId="16FCDB46" w14:textId="77777777" w:rsidTr="000532DE">
        <w:tc>
          <w:tcPr>
            <w:tcW w:w="1980" w:type="dxa"/>
            <w:vAlign w:val="bottom"/>
          </w:tcPr>
          <w:p w14:paraId="41DBF17B" w14:textId="42155FA9" w:rsidR="000532DE" w:rsidRPr="00464284" w:rsidRDefault="000532DE" w:rsidP="000532DE">
            <w:pPr>
              <w:rPr>
                <w:lang w:val="en-US"/>
              </w:rPr>
            </w:pPr>
            <w:r>
              <w:rPr>
                <w:lang w:val="en-US"/>
              </w:rPr>
              <w:t>2023 February</w:t>
            </w:r>
          </w:p>
        </w:tc>
        <w:tc>
          <w:tcPr>
            <w:tcW w:w="2835" w:type="dxa"/>
            <w:tcBorders>
              <w:top w:val="single" w:sz="4" w:space="0" w:color="auto"/>
              <w:left w:val="nil"/>
              <w:bottom w:val="single" w:sz="4" w:space="0" w:color="auto"/>
              <w:right w:val="single" w:sz="4" w:space="0" w:color="auto"/>
            </w:tcBorders>
            <w:shd w:val="clear" w:color="auto" w:fill="auto"/>
            <w:vAlign w:val="bottom"/>
          </w:tcPr>
          <w:p w14:paraId="2DCBD407" w14:textId="47C14807" w:rsidR="000532DE" w:rsidRPr="00F93CD4" w:rsidRDefault="000532DE" w:rsidP="000532DE">
            <w:pPr>
              <w:jc w:val="right"/>
              <w:rPr>
                <w:sz w:val="22"/>
                <w:szCs w:val="22"/>
                <w:lang w:val="en-US"/>
              </w:rPr>
            </w:pPr>
            <w:r>
              <w:rPr>
                <w:rFonts w:cs="Arial"/>
                <w:color w:val="000000"/>
                <w:sz w:val="22"/>
                <w:szCs w:val="22"/>
              </w:rPr>
              <w:t>16,700</w:t>
            </w:r>
          </w:p>
        </w:tc>
      </w:tr>
      <w:tr w:rsidR="000532DE" w14:paraId="6D88C998" w14:textId="77777777" w:rsidTr="000532DE">
        <w:tc>
          <w:tcPr>
            <w:tcW w:w="1980" w:type="dxa"/>
            <w:vAlign w:val="bottom"/>
          </w:tcPr>
          <w:p w14:paraId="64F4604E" w14:textId="45CAE6A2" w:rsidR="000532DE" w:rsidRDefault="000532DE" w:rsidP="000532DE">
            <w:pPr>
              <w:rPr>
                <w:lang w:val="en-US"/>
              </w:rPr>
            </w:pPr>
            <w:r>
              <w:rPr>
                <w:lang w:val="en-US"/>
              </w:rPr>
              <w:t>2023 March</w:t>
            </w:r>
          </w:p>
        </w:tc>
        <w:tc>
          <w:tcPr>
            <w:tcW w:w="2835" w:type="dxa"/>
            <w:tcBorders>
              <w:top w:val="single" w:sz="4" w:space="0" w:color="auto"/>
              <w:left w:val="nil"/>
              <w:bottom w:val="single" w:sz="4" w:space="0" w:color="auto"/>
              <w:right w:val="single" w:sz="4" w:space="0" w:color="auto"/>
            </w:tcBorders>
            <w:shd w:val="clear" w:color="auto" w:fill="auto"/>
            <w:vAlign w:val="bottom"/>
          </w:tcPr>
          <w:p w14:paraId="0E1F6CA7" w14:textId="3F3CCFF5" w:rsidR="000532DE" w:rsidRPr="00F93CD4" w:rsidRDefault="000532DE" w:rsidP="000532DE">
            <w:pPr>
              <w:jc w:val="right"/>
              <w:rPr>
                <w:sz w:val="22"/>
                <w:szCs w:val="22"/>
                <w:lang w:val="en-US"/>
              </w:rPr>
            </w:pPr>
            <w:r>
              <w:rPr>
                <w:rFonts w:cs="Arial"/>
                <w:color w:val="000000"/>
                <w:sz w:val="22"/>
                <w:szCs w:val="22"/>
              </w:rPr>
              <w:t>18,300</w:t>
            </w:r>
          </w:p>
        </w:tc>
      </w:tr>
      <w:tr w:rsidR="000532DE" w14:paraId="3B0617DB" w14:textId="77777777" w:rsidTr="000532DE">
        <w:tc>
          <w:tcPr>
            <w:tcW w:w="1980" w:type="dxa"/>
            <w:vAlign w:val="bottom"/>
          </w:tcPr>
          <w:p w14:paraId="301960D7" w14:textId="6B46CBDB" w:rsidR="000532DE" w:rsidRDefault="000532DE" w:rsidP="000532DE">
            <w:pPr>
              <w:rPr>
                <w:lang w:val="en-US"/>
              </w:rPr>
            </w:pPr>
            <w:r>
              <w:rPr>
                <w:lang w:val="en-US"/>
              </w:rPr>
              <w:t>2023 April</w:t>
            </w:r>
          </w:p>
        </w:tc>
        <w:tc>
          <w:tcPr>
            <w:tcW w:w="2835" w:type="dxa"/>
            <w:tcBorders>
              <w:top w:val="single" w:sz="4" w:space="0" w:color="auto"/>
              <w:left w:val="nil"/>
              <w:bottom w:val="single" w:sz="4" w:space="0" w:color="auto"/>
              <w:right w:val="single" w:sz="4" w:space="0" w:color="auto"/>
            </w:tcBorders>
            <w:shd w:val="clear" w:color="auto" w:fill="auto"/>
            <w:vAlign w:val="bottom"/>
          </w:tcPr>
          <w:p w14:paraId="58A4D94B" w14:textId="55CB5C73" w:rsidR="000532DE" w:rsidRPr="00F93CD4" w:rsidRDefault="000532DE" w:rsidP="000532DE">
            <w:pPr>
              <w:jc w:val="right"/>
              <w:rPr>
                <w:sz w:val="22"/>
                <w:szCs w:val="22"/>
                <w:lang w:val="en-US"/>
              </w:rPr>
            </w:pPr>
            <w:r>
              <w:rPr>
                <w:rFonts w:cs="Arial"/>
                <w:color w:val="000000"/>
                <w:sz w:val="22"/>
                <w:szCs w:val="22"/>
              </w:rPr>
              <w:t>16,600</w:t>
            </w:r>
          </w:p>
        </w:tc>
      </w:tr>
      <w:tr w:rsidR="000532DE" w14:paraId="1F725FF7" w14:textId="77777777" w:rsidTr="000532DE">
        <w:tc>
          <w:tcPr>
            <w:tcW w:w="1980" w:type="dxa"/>
            <w:vAlign w:val="bottom"/>
          </w:tcPr>
          <w:p w14:paraId="26894C57" w14:textId="2EB57050" w:rsidR="000532DE" w:rsidRDefault="000532DE" w:rsidP="000532DE">
            <w:pPr>
              <w:rPr>
                <w:lang w:val="en-US"/>
              </w:rPr>
            </w:pPr>
            <w:r>
              <w:rPr>
                <w:lang w:val="en-US"/>
              </w:rPr>
              <w:t>2023 May</w:t>
            </w:r>
          </w:p>
        </w:tc>
        <w:tc>
          <w:tcPr>
            <w:tcW w:w="2835" w:type="dxa"/>
            <w:tcBorders>
              <w:top w:val="single" w:sz="4" w:space="0" w:color="auto"/>
              <w:left w:val="nil"/>
              <w:bottom w:val="single" w:sz="4" w:space="0" w:color="auto"/>
              <w:right w:val="single" w:sz="4" w:space="0" w:color="auto"/>
            </w:tcBorders>
            <w:shd w:val="clear" w:color="auto" w:fill="auto"/>
            <w:vAlign w:val="bottom"/>
          </w:tcPr>
          <w:p w14:paraId="7C426A89" w14:textId="174BD057" w:rsidR="000532DE" w:rsidRPr="00F93CD4" w:rsidRDefault="000532DE" w:rsidP="000532DE">
            <w:pPr>
              <w:jc w:val="right"/>
              <w:rPr>
                <w:sz w:val="22"/>
                <w:szCs w:val="22"/>
                <w:lang w:val="en-US"/>
              </w:rPr>
            </w:pPr>
            <w:r>
              <w:rPr>
                <w:rFonts w:cs="Arial"/>
                <w:color w:val="000000"/>
                <w:sz w:val="22"/>
                <w:szCs w:val="22"/>
              </w:rPr>
              <w:t>15,400</w:t>
            </w:r>
          </w:p>
        </w:tc>
      </w:tr>
      <w:tr w:rsidR="000532DE" w14:paraId="6EDBF208" w14:textId="77777777" w:rsidTr="000532DE">
        <w:tc>
          <w:tcPr>
            <w:tcW w:w="1980" w:type="dxa"/>
            <w:vAlign w:val="bottom"/>
          </w:tcPr>
          <w:p w14:paraId="097C156B" w14:textId="5AE2F1C2" w:rsidR="000532DE" w:rsidRDefault="000532DE" w:rsidP="000532DE">
            <w:pPr>
              <w:rPr>
                <w:lang w:val="en-US"/>
              </w:rPr>
            </w:pPr>
            <w:r>
              <w:rPr>
                <w:lang w:val="en-US"/>
              </w:rPr>
              <w:t>2023 June</w:t>
            </w:r>
          </w:p>
        </w:tc>
        <w:tc>
          <w:tcPr>
            <w:tcW w:w="2835" w:type="dxa"/>
            <w:tcBorders>
              <w:top w:val="single" w:sz="4" w:space="0" w:color="auto"/>
              <w:left w:val="nil"/>
              <w:bottom w:val="single" w:sz="4" w:space="0" w:color="auto"/>
              <w:right w:val="single" w:sz="4" w:space="0" w:color="auto"/>
            </w:tcBorders>
            <w:shd w:val="clear" w:color="auto" w:fill="auto"/>
            <w:vAlign w:val="bottom"/>
          </w:tcPr>
          <w:p w14:paraId="784E661C" w14:textId="4CAE1938" w:rsidR="000532DE" w:rsidRPr="00F93CD4" w:rsidRDefault="000532DE" w:rsidP="000532DE">
            <w:pPr>
              <w:jc w:val="right"/>
              <w:rPr>
                <w:sz w:val="22"/>
                <w:szCs w:val="22"/>
                <w:lang w:val="en-US"/>
              </w:rPr>
            </w:pPr>
            <w:r>
              <w:rPr>
                <w:rFonts w:cs="Arial"/>
                <w:color w:val="000000"/>
                <w:sz w:val="22"/>
                <w:szCs w:val="22"/>
              </w:rPr>
              <w:t>16,500</w:t>
            </w:r>
          </w:p>
        </w:tc>
      </w:tr>
      <w:tr w:rsidR="000532DE" w14:paraId="6C36EFCD" w14:textId="77777777" w:rsidTr="000532DE">
        <w:tc>
          <w:tcPr>
            <w:tcW w:w="1980" w:type="dxa"/>
            <w:vAlign w:val="bottom"/>
          </w:tcPr>
          <w:p w14:paraId="7529BF2F" w14:textId="2DC08ED0" w:rsidR="000532DE" w:rsidRDefault="000532DE" w:rsidP="000532DE">
            <w:pPr>
              <w:rPr>
                <w:lang w:val="en-US"/>
              </w:rPr>
            </w:pPr>
            <w:r>
              <w:rPr>
                <w:lang w:val="en-US"/>
              </w:rPr>
              <w:t>2023 July</w:t>
            </w:r>
          </w:p>
        </w:tc>
        <w:tc>
          <w:tcPr>
            <w:tcW w:w="2835" w:type="dxa"/>
            <w:tcBorders>
              <w:top w:val="single" w:sz="4" w:space="0" w:color="auto"/>
              <w:left w:val="nil"/>
              <w:bottom w:val="single" w:sz="4" w:space="0" w:color="auto"/>
              <w:right w:val="single" w:sz="4" w:space="0" w:color="auto"/>
            </w:tcBorders>
            <w:shd w:val="clear" w:color="auto" w:fill="auto"/>
            <w:vAlign w:val="bottom"/>
          </w:tcPr>
          <w:p w14:paraId="5D98722C" w14:textId="666F93B9" w:rsidR="000532DE" w:rsidRPr="00F93CD4" w:rsidRDefault="000532DE" w:rsidP="000532DE">
            <w:pPr>
              <w:jc w:val="right"/>
              <w:rPr>
                <w:sz w:val="22"/>
                <w:szCs w:val="22"/>
                <w:lang w:val="en-US"/>
              </w:rPr>
            </w:pPr>
            <w:r>
              <w:rPr>
                <w:rFonts w:cs="Arial"/>
                <w:color w:val="000000"/>
                <w:sz w:val="22"/>
                <w:szCs w:val="22"/>
              </w:rPr>
              <w:t>19,800</w:t>
            </w:r>
          </w:p>
        </w:tc>
      </w:tr>
      <w:tr w:rsidR="000532DE" w14:paraId="415C8BE8" w14:textId="77777777" w:rsidTr="000532DE">
        <w:tc>
          <w:tcPr>
            <w:tcW w:w="1980" w:type="dxa"/>
            <w:vAlign w:val="bottom"/>
          </w:tcPr>
          <w:p w14:paraId="51895297" w14:textId="3E2E180F" w:rsidR="000532DE" w:rsidRDefault="000532DE" w:rsidP="000532DE">
            <w:pPr>
              <w:rPr>
                <w:lang w:val="en-US"/>
              </w:rPr>
            </w:pPr>
            <w:r>
              <w:rPr>
                <w:lang w:val="en-US"/>
              </w:rPr>
              <w:t>2023 August</w:t>
            </w:r>
          </w:p>
        </w:tc>
        <w:tc>
          <w:tcPr>
            <w:tcW w:w="2835" w:type="dxa"/>
            <w:tcBorders>
              <w:top w:val="single" w:sz="4" w:space="0" w:color="auto"/>
              <w:left w:val="nil"/>
              <w:bottom w:val="single" w:sz="4" w:space="0" w:color="auto"/>
              <w:right w:val="single" w:sz="4" w:space="0" w:color="auto"/>
            </w:tcBorders>
            <w:shd w:val="clear" w:color="auto" w:fill="auto"/>
            <w:vAlign w:val="bottom"/>
          </w:tcPr>
          <w:p w14:paraId="1C3238DC" w14:textId="40A16A44" w:rsidR="000532DE" w:rsidRPr="00F93CD4" w:rsidRDefault="000532DE" w:rsidP="000532DE">
            <w:pPr>
              <w:jc w:val="right"/>
              <w:rPr>
                <w:sz w:val="22"/>
                <w:szCs w:val="22"/>
                <w:lang w:val="en-US"/>
              </w:rPr>
            </w:pPr>
            <w:r>
              <w:rPr>
                <w:rFonts w:cs="Arial"/>
                <w:color w:val="000000"/>
                <w:sz w:val="22"/>
                <w:szCs w:val="22"/>
              </w:rPr>
              <w:t>18,000</w:t>
            </w:r>
          </w:p>
        </w:tc>
      </w:tr>
      <w:tr w:rsidR="000532DE" w14:paraId="7A757EDF" w14:textId="77777777" w:rsidTr="000532DE">
        <w:tc>
          <w:tcPr>
            <w:tcW w:w="1980" w:type="dxa"/>
            <w:vAlign w:val="bottom"/>
          </w:tcPr>
          <w:p w14:paraId="34960428" w14:textId="37645933" w:rsidR="000532DE" w:rsidRDefault="000532DE" w:rsidP="000532DE">
            <w:pPr>
              <w:rPr>
                <w:lang w:val="en-US"/>
              </w:rPr>
            </w:pPr>
            <w:r>
              <w:rPr>
                <w:lang w:val="en-US"/>
              </w:rPr>
              <w:t>2023 September</w:t>
            </w:r>
          </w:p>
        </w:tc>
        <w:tc>
          <w:tcPr>
            <w:tcW w:w="2835" w:type="dxa"/>
            <w:tcBorders>
              <w:top w:val="single" w:sz="4" w:space="0" w:color="auto"/>
              <w:left w:val="nil"/>
              <w:bottom w:val="single" w:sz="4" w:space="0" w:color="auto"/>
              <w:right w:val="single" w:sz="4" w:space="0" w:color="auto"/>
            </w:tcBorders>
            <w:shd w:val="clear" w:color="auto" w:fill="auto"/>
            <w:vAlign w:val="bottom"/>
          </w:tcPr>
          <w:p w14:paraId="7A2A544F" w14:textId="6B832D87" w:rsidR="000532DE" w:rsidRPr="00F93CD4" w:rsidRDefault="000532DE" w:rsidP="000532DE">
            <w:pPr>
              <w:jc w:val="right"/>
              <w:rPr>
                <w:sz w:val="22"/>
                <w:szCs w:val="22"/>
                <w:lang w:val="en-US"/>
              </w:rPr>
            </w:pPr>
            <w:r>
              <w:rPr>
                <w:rFonts w:cs="Arial"/>
                <w:color w:val="000000"/>
                <w:sz w:val="22"/>
                <w:szCs w:val="22"/>
              </w:rPr>
              <w:t>17,600</w:t>
            </w:r>
          </w:p>
        </w:tc>
      </w:tr>
      <w:tr w:rsidR="000532DE" w14:paraId="115205A3" w14:textId="77777777" w:rsidTr="000532DE">
        <w:tc>
          <w:tcPr>
            <w:tcW w:w="1980" w:type="dxa"/>
            <w:vAlign w:val="bottom"/>
          </w:tcPr>
          <w:p w14:paraId="6E8FFC73" w14:textId="31274D61" w:rsidR="000532DE" w:rsidRDefault="000532DE" w:rsidP="000532DE">
            <w:pPr>
              <w:rPr>
                <w:lang w:val="en-US"/>
              </w:rPr>
            </w:pPr>
            <w:r>
              <w:rPr>
                <w:lang w:val="en-US"/>
              </w:rPr>
              <w:t>2023 October</w:t>
            </w:r>
          </w:p>
        </w:tc>
        <w:tc>
          <w:tcPr>
            <w:tcW w:w="2835" w:type="dxa"/>
            <w:tcBorders>
              <w:top w:val="single" w:sz="4" w:space="0" w:color="auto"/>
              <w:left w:val="nil"/>
              <w:bottom w:val="single" w:sz="4" w:space="0" w:color="auto"/>
              <w:right w:val="single" w:sz="4" w:space="0" w:color="auto"/>
            </w:tcBorders>
            <w:shd w:val="clear" w:color="auto" w:fill="auto"/>
            <w:vAlign w:val="bottom"/>
          </w:tcPr>
          <w:p w14:paraId="24D4C97B" w14:textId="2D56D5F7" w:rsidR="000532DE" w:rsidRPr="00F93CD4" w:rsidRDefault="000532DE" w:rsidP="000532DE">
            <w:pPr>
              <w:jc w:val="right"/>
              <w:rPr>
                <w:sz w:val="22"/>
                <w:szCs w:val="22"/>
                <w:lang w:val="en-US"/>
              </w:rPr>
            </w:pPr>
            <w:r>
              <w:rPr>
                <w:rFonts w:cs="Arial"/>
                <w:color w:val="000000"/>
                <w:sz w:val="22"/>
                <w:szCs w:val="22"/>
              </w:rPr>
              <w:t>18,500</w:t>
            </w:r>
          </w:p>
        </w:tc>
      </w:tr>
      <w:tr w:rsidR="000532DE" w14:paraId="3DE9BC46" w14:textId="77777777" w:rsidTr="000532DE">
        <w:tc>
          <w:tcPr>
            <w:tcW w:w="1980" w:type="dxa"/>
            <w:vAlign w:val="bottom"/>
          </w:tcPr>
          <w:p w14:paraId="11E94C9E" w14:textId="247B8BA0" w:rsidR="000532DE" w:rsidRDefault="000532DE" w:rsidP="000532DE">
            <w:pPr>
              <w:rPr>
                <w:lang w:val="en-US"/>
              </w:rPr>
            </w:pPr>
            <w:r>
              <w:rPr>
                <w:lang w:val="en-US"/>
              </w:rPr>
              <w:t>2023 November</w:t>
            </w:r>
          </w:p>
        </w:tc>
        <w:tc>
          <w:tcPr>
            <w:tcW w:w="2835" w:type="dxa"/>
            <w:tcBorders>
              <w:top w:val="single" w:sz="4" w:space="0" w:color="auto"/>
              <w:left w:val="nil"/>
              <w:bottom w:val="single" w:sz="4" w:space="0" w:color="auto"/>
              <w:right w:val="single" w:sz="4" w:space="0" w:color="auto"/>
            </w:tcBorders>
            <w:shd w:val="clear" w:color="auto" w:fill="auto"/>
            <w:vAlign w:val="bottom"/>
          </w:tcPr>
          <w:p w14:paraId="3E2CF23C" w14:textId="11339DC3" w:rsidR="000532DE" w:rsidRPr="00F93CD4" w:rsidRDefault="000532DE" w:rsidP="000532DE">
            <w:pPr>
              <w:jc w:val="right"/>
              <w:rPr>
                <w:sz w:val="22"/>
                <w:szCs w:val="22"/>
                <w:lang w:val="en-US"/>
              </w:rPr>
            </w:pPr>
            <w:r>
              <w:rPr>
                <w:rFonts w:cs="Arial"/>
                <w:color w:val="000000"/>
                <w:sz w:val="22"/>
                <w:szCs w:val="22"/>
              </w:rPr>
              <w:t>19,300</w:t>
            </w:r>
          </w:p>
        </w:tc>
      </w:tr>
      <w:tr w:rsidR="000532DE" w14:paraId="17A45AD6" w14:textId="77777777" w:rsidTr="000532DE">
        <w:tc>
          <w:tcPr>
            <w:tcW w:w="1980" w:type="dxa"/>
            <w:vAlign w:val="bottom"/>
          </w:tcPr>
          <w:p w14:paraId="02F820B4" w14:textId="58EE30FD" w:rsidR="000532DE" w:rsidRDefault="000532DE" w:rsidP="000532DE">
            <w:pPr>
              <w:rPr>
                <w:lang w:val="en-US"/>
              </w:rPr>
            </w:pPr>
            <w:r>
              <w:rPr>
                <w:lang w:val="en-US"/>
              </w:rPr>
              <w:t>2023 December</w:t>
            </w:r>
          </w:p>
        </w:tc>
        <w:tc>
          <w:tcPr>
            <w:tcW w:w="2835" w:type="dxa"/>
            <w:tcBorders>
              <w:top w:val="single" w:sz="4" w:space="0" w:color="auto"/>
              <w:left w:val="nil"/>
              <w:bottom w:val="single" w:sz="4" w:space="0" w:color="auto"/>
              <w:right w:val="single" w:sz="4" w:space="0" w:color="auto"/>
            </w:tcBorders>
            <w:shd w:val="clear" w:color="auto" w:fill="auto"/>
            <w:vAlign w:val="bottom"/>
          </w:tcPr>
          <w:p w14:paraId="040B5603" w14:textId="5BD371A8" w:rsidR="000532DE" w:rsidRPr="00F93CD4" w:rsidRDefault="000532DE" w:rsidP="000532DE">
            <w:pPr>
              <w:jc w:val="right"/>
              <w:rPr>
                <w:sz w:val="22"/>
                <w:szCs w:val="22"/>
                <w:lang w:val="en-US"/>
              </w:rPr>
            </w:pPr>
            <w:r>
              <w:rPr>
                <w:rFonts w:cs="Arial"/>
                <w:color w:val="000000"/>
                <w:sz w:val="22"/>
                <w:szCs w:val="22"/>
              </w:rPr>
              <w:t>20,300</w:t>
            </w:r>
          </w:p>
        </w:tc>
      </w:tr>
      <w:tr w:rsidR="000532DE" w14:paraId="3615152B" w14:textId="77777777" w:rsidTr="000532DE">
        <w:tc>
          <w:tcPr>
            <w:tcW w:w="1980" w:type="dxa"/>
            <w:vAlign w:val="bottom"/>
          </w:tcPr>
          <w:p w14:paraId="130A6149" w14:textId="36D0D422" w:rsidR="000532DE" w:rsidRDefault="000532DE" w:rsidP="000532DE">
            <w:pPr>
              <w:rPr>
                <w:lang w:val="en-US"/>
              </w:rPr>
            </w:pPr>
            <w:r w:rsidRPr="00464284">
              <w:rPr>
                <w:lang w:val="en-US"/>
              </w:rPr>
              <w:t>20</w:t>
            </w:r>
            <w:r>
              <w:rPr>
                <w:lang w:val="en-US"/>
              </w:rPr>
              <w:t>24</w:t>
            </w:r>
            <w:r w:rsidRPr="00464284">
              <w:rPr>
                <w:lang w:val="en-US"/>
              </w:rPr>
              <w:t xml:space="preserve"> January</w:t>
            </w:r>
          </w:p>
        </w:tc>
        <w:tc>
          <w:tcPr>
            <w:tcW w:w="2835" w:type="dxa"/>
            <w:tcBorders>
              <w:top w:val="single" w:sz="4" w:space="0" w:color="auto"/>
              <w:left w:val="nil"/>
              <w:bottom w:val="single" w:sz="4" w:space="0" w:color="auto"/>
              <w:right w:val="single" w:sz="4" w:space="0" w:color="auto"/>
            </w:tcBorders>
            <w:shd w:val="clear" w:color="auto" w:fill="auto"/>
            <w:vAlign w:val="bottom"/>
          </w:tcPr>
          <w:p w14:paraId="1042E45F" w14:textId="52022B5A" w:rsidR="000532DE" w:rsidRPr="00F93CD4" w:rsidRDefault="000532DE" w:rsidP="000532DE">
            <w:pPr>
              <w:jc w:val="right"/>
              <w:rPr>
                <w:sz w:val="22"/>
                <w:szCs w:val="22"/>
                <w:lang w:val="en-US"/>
              </w:rPr>
            </w:pPr>
            <w:r>
              <w:rPr>
                <w:rFonts w:cs="Arial"/>
                <w:color w:val="000000"/>
                <w:sz w:val="22"/>
                <w:szCs w:val="22"/>
              </w:rPr>
              <w:t>19,000</w:t>
            </w:r>
          </w:p>
        </w:tc>
      </w:tr>
      <w:tr w:rsidR="000532DE" w14:paraId="63B9E276" w14:textId="77777777" w:rsidTr="000532DE">
        <w:tc>
          <w:tcPr>
            <w:tcW w:w="1980" w:type="dxa"/>
            <w:vAlign w:val="bottom"/>
          </w:tcPr>
          <w:p w14:paraId="42C0E64A" w14:textId="7D2205EB" w:rsidR="000532DE" w:rsidRPr="00464284" w:rsidRDefault="000532DE" w:rsidP="000532DE">
            <w:pPr>
              <w:rPr>
                <w:lang w:val="en-US"/>
              </w:rPr>
            </w:pPr>
            <w:r>
              <w:rPr>
                <w:lang w:val="en-US"/>
              </w:rPr>
              <w:t>2024 February</w:t>
            </w:r>
          </w:p>
        </w:tc>
        <w:tc>
          <w:tcPr>
            <w:tcW w:w="2835" w:type="dxa"/>
            <w:tcBorders>
              <w:top w:val="single" w:sz="4" w:space="0" w:color="auto"/>
              <w:left w:val="nil"/>
              <w:bottom w:val="single" w:sz="4" w:space="0" w:color="auto"/>
              <w:right w:val="single" w:sz="4" w:space="0" w:color="auto"/>
            </w:tcBorders>
            <w:shd w:val="clear" w:color="auto" w:fill="auto"/>
            <w:vAlign w:val="bottom"/>
          </w:tcPr>
          <w:p w14:paraId="7D4F786D" w14:textId="12913C8F" w:rsidR="000532DE" w:rsidRPr="00F93CD4" w:rsidRDefault="000532DE" w:rsidP="000532DE">
            <w:pPr>
              <w:jc w:val="right"/>
              <w:rPr>
                <w:sz w:val="22"/>
                <w:szCs w:val="22"/>
                <w:lang w:val="en-US"/>
              </w:rPr>
            </w:pPr>
            <w:r>
              <w:rPr>
                <w:rFonts w:cs="Arial"/>
                <w:color w:val="000000"/>
                <w:sz w:val="22"/>
                <w:szCs w:val="22"/>
              </w:rPr>
              <w:t>21,800</w:t>
            </w:r>
          </w:p>
        </w:tc>
      </w:tr>
      <w:tr w:rsidR="000532DE" w14:paraId="5265F34B" w14:textId="77777777" w:rsidTr="000532DE">
        <w:tc>
          <w:tcPr>
            <w:tcW w:w="1980" w:type="dxa"/>
            <w:vAlign w:val="bottom"/>
          </w:tcPr>
          <w:p w14:paraId="79E61D00" w14:textId="3A7D1511" w:rsidR="000532DE" w:rsidRDefault="000532DE" w:rsidP="000532DE">
            <w:pPr>
              <w:rPr>
                <w:lang w:val="en-US"/>
              </w:rPr>
            </w:pPr>
            <w:r>
              <w:rPr>
                <w:lang w:val="en-US"/>
              </w:rPr>
              <w:t>2024 March</w:t>
            </w:r>
          </w:p>
        </w:tc>
        <w:tc>
          <w:tcPr>
            <w:tcW w:w="2835" w:type="dxa"/>
            <w:tcBorders>
              <w:top w:val="single" w:sz="4" w:space="0" w:color="auto"/>
              <w:left w:val="nil"/>
              <w:bottom w:val="single" w:sz="4" w:space="0" w:color="auto"/>
              <w:right w:val="single" w:sz="4" w:space="0" w:color="auto"/>
            </w:tcBorders>
            <w:shd w:val="clear" w:color="auto" w:fill="auto"/>
            <w:vAlign w:val="bottom"/>
          </w:tcPr>
          <w:p w14:paraId="0BF38B74" w14:textId="494C3D40" w:rsidR="000532DE" w:rsidRPr="00F93CD4" w:rsidRDefault="000532DE" w:rsidP="000532DE">
            <w:pPr>
              <w:jc w:val="right"/>
              <w:rPr>
                <w:sz w:val="22"/>
                <w:szCs w:val="22"/>
                <w:lang w:val="en-US"/>
              </w:rPr>
            </w:pPr>
            <w:r>
              <w:rPr>
                <w:rFonts w:cs="Arial"/>
                <w:color w:val="000000"/>
                <w:sz w:val="22"/>
                <w:szCs w:val="22"/>
              </w:rPr>
              <w:t>19,800</w:t>
            </w:r>
          </w:p>
        </w:tc>
      </w:tr>
      <w:tr w:rsidR="000532DE" w14:paraId="4D8327D3" w14:textId="77777777" w:rsidTr="000532DE">
        <w:tc>
          <w:tcPr>
            <w:tcW w:w="1980" w:type="dxa"/>
            <w:vAlign w:val="bottom"/>
          </w:tcPr>
          <w:p w14:paraId="312C7E85" w14:textId="26D96923" w:rsidR="000532DE" w:rsidRDefault="000532DE" w:rsidP="000532DE">
            <w:pPr>
              <w:rPr>
                <w:lang w:val="en-US"/>
              </w:rPr>
            </w:pPr>
            <w:r>
              <w:rPr>
                <w:lang w:val="en-US"/>
              </w:rPr>
              <w:t>2024 April</w:t>
            </w:r>
          </w:p>
        </w:tc>
        <w:tc>
          <w:tcPr>
            <w:tcW w:w="2835" w:type="dxa"/>
            <w:tcBorders>
              <w:top w:val="single" w:sz="4" w:space="0" w:color="auto"/>
              <w:left w:val="nil"/>
              <w:bottom w:val="single" w:sz="4" w:space="0" w:color="auto"/>
              <w:right w:val="single" w:sz="4" w:space="0" w:color="auto"/>
            </w:tcBorders>
            <w:shd w:val="clear" w:color="auto" w:fill="auto"/>
            <w:vAlign w:val="bottom"/>
          </w:tcPr>
          <w:p w14:paraId="12FE88FD" w14:textId="6B86950F" w:rsidR="000532DE" w:rsidRPr="00F93CD4" w:rsidRDefault="000532DE" w:rsidP="000532DE">
            <w:pPr>
              <w:jc w:val="right"/>
              <w:rPr>
                <w:sz w:val="22"/>
                <w:szCs w:val="22"/>
                <w:lang w:val="en-US"/>
              </w:rPr>
            </w:pPr>
            <w:r>
              <w:rPr>
                <w:rFonts w:cs="Arial"/>
                <w:color w:val="000000"/>
                <w:sz w:val="22"/>
                <w:szCs w:val="22"/>
              </w:rPr>
              <w:t>19,000</w:t>
            </w:r>
          </w:p>
        </w:tc>
      </w:tr>
      <w:tr w:rsidR="000532DE" w14:paraId="36E493D2" w14:textId="77777777" w:rsidTr="000532DE">
        <w:tc>
          <w:tcPr>
            <w:tcW w:w="1980" w:type="dxa"/>
            <w:vAlign w:val="bottom"/>
          </w:tcPr>
          <w:p w14:paraId="377692FE" w14:textId="793B50BD" w:rsidR="000532DE" w:rsidRDefault="000532DE" w:rsidP="000532DE">
            <w:pPr>
              <w:rPr>
                <w:lang w:val="en-US"/>
              </w:rPr>
            </w:pPr>
            <w:r>
              <w:rPr>
                <w:lang w:val="en-US"/>
              </w:rPr>
              <w:t>2024 May</w:t>
            </w:r>
          </w:p>
        </w:tc>
        <w:tc>
          <w:tcPr>
            <w:tcW w:w="2835" w:type="dxa"/>
            <w:tcBorders>
              <w:top w:val="single" w:sz="4" w:space="0" w:color="auto"/>
              <w:left w:val="nil"/>
              <w:bottom w:val="single" w:sz="4" w:space="0" w:color="auto"/>
              <w:right w:val="single" w:sz="4" w:space="0" w:color="auto"/>
            </w:tcBorders>
            <w:shd w:val="clear" w:color="auto" w:fill="auto"/>
            <w:vAlign w:val="bottom"/>
          </w:tcPr>
          <w:p w14:paraId="5AF1FB87" w14:textId="060CEB28" w:rsidR="000532DE" w:rsidRPr="00F93CD4" w:rsidRDefault="000532DE" w:rsidP="000532DE">
            <w:pPr>
              <w:jc w:val="right"/>
              <w:rPr>
                <w:sz w:val="22"/>
                <w:szCs w:val="22"/>
                <w:lang w:val="en-US"/>
              </w:rPr>
            </w:pPr>
            <w:r>
              <w:rPr>
                <w:rFonts w:cs="Arial"/>
                <w:color w:val="000000"/>
                <w:sz w:val="22"/>
                <w:szCs w:val="22"/>
              </w:rPr>
              <w:t>20,200</w:t>
            </w:r>
          </w:p>
        </w:tc>
      </w:tr>
      <w:tr w:rsidR="000532DE" w14:paraId="3A77E327" w14:textId="77777777" w:rsidTr="000532DE">
        <w:tc>
          <w:tcPr>
            <w:tcW w:w="1980" w:type="dxa"/>
            <w:vAlign w:val="bottom"/>
          </w:tcPr>
          <w:p w14:paraId="113AD9F5" w14:textId="4521087B" w:rsidR="000532DE" w:rsidRDefault="000532DE" w:rsidP="000532DE">
            <w:pPr>
              <w:rPr>
                <w:lang w:val="en-US"/>
              </w:rPr>
            </w:pPr>
            <w:r>
              <w:rPr>
                <w:lang w:val="en-US"/>
              </w:rPr>
              <w:lastRenderedPageBreak/>
              <w:t>2024 June</w:t>
            </w:r>
          </w:p>
        </w:tc>
        <w:tc>
          <w:tcPr>
            <w:tcW w:w="2835" w:type="dxa"/>
            <w:tcBorders>
              <w:top w:val="single" w:sz="4" w:space="0" w:color="auto"/>
              <w:left w:val="nil"/>
              <w:bottom w:val="single" w:sz="4" w:space="0" w:color="auto"/>
              <w:right w:val="single" w:sz="4" w:space="0" w:color="auto"/>
            </w:tcBorders>
            <w:shd w:val="clear" w:color="auto" w:fill="auto"/>
            <w:vAlign w:val="bottom"/>
          </w:tcPr>
          <w:p w14:paraId="19C8410E" w14:textId="40C443D9" w:rsidR="000532DE" w:rsidRPr="00F93CD4" w:rsidRDefault="000532DE" w:rsidP="000532DE">
            <w:pPr>
              <w:jc w:val="right"/>
              <w:rPr>
                <w:sz w:val="22"/>
                <w:szCs w:val="22"/>
                <w:lang w:val="en-US"/>
              </w:rPr>
            </w:pPr>
            <w:r>
              <w:rPr>
                <w:rFonts w:cs="Arial"/>
                <w:color w:val="000000"/>
                <w:sz w:val="22"/>
                <w:szCs w:val="22"/>
              </w:rPr>
              <w:t>22,100</w:t>
            </w:r>
          </w:p>
        </w:tc>
      </w:tr>
      <w:tr w:rsidR="000532DE" w14:paraId="3C730DB7" w14:textId="77777777" w:rsidTr="000532DE">
        <w:tc>
          <w:tcPr>
            <w:tcW w:w="1980" w:type="dxa"/>
            <w:vAlign w:val="bottom"/>
          </w:tcPr>
          <w:p w14:paraId="5BC066C0" w14:textId="3B58DE1D" w:rsidR="000532DE" w:rsidRDefault="000532DE" w:rsidP="000532DE">
            <w:pPr>
              <w:rPr>
                <w:lang w:val="en-US"/>
              </w:rPr>
            </w:pPr>
            <w:r>
              <w:rPr>
                <w:lang w:val="en-US"/>
              </w:rPr>
              <w:t>2024 July</w:t>
            </w:r>
          </w:p>
        </w:tc>
        <w:tc>
          <w:tcPr>
            <w:tcW w:w="2835" w:type="dxa"/>
            <w:tcBorders>
              <w:top w:val="single" w:sz="4" w:space="0" w:color="auto"/>
              <w:left w:val="nil"/>
              <w:bottom w:val="single" w:sz="4" w:space="0" w:color="auto"/>
              <w:right w:val="single" w:sz="4" w:space="0" w:color="auto"/>
            </w:tcBorders>
            <w:shd w:val="clear" w:color="auto" w:fill="auto"/>
            <w:vAlign w:val="bottom"/>
          </w:tcPr>
          <w:p w14:paraId="7F32BC92" w14:textId="4BBAE265" w:rsidR="000532DE" w:rsidRPr="00F93CD4" w:rsidRDefault="000532DE" w:rsidP="000532DE">
            <w:pPr>
              <w:jc w:val="right"/>
              <w:rPr>
                <w:sz w:val="22"/>
                <w:szCs w:val="22"/>
                <w:lang w:val="en-US"/>
              </w:rPr>
            </w:pPr>
            <w:r>
              <w:rPr>
                <w:rFonts w:cs="Arial"/>
                <w:color w:val="000000"/>
                <w:sz w:val="22"/>
                <w:szCs w:val="22"/>
              </w:rPr>
              <w:t>22,400</w:t>
            </w:r>
          </w:p>
        </w:tc>
      </w:tr>
      <w:tr w:rsidR="000532DE" w14:paraId="533EFB60" w14:textId="77777777" w:rsidTr="000532DE">
        <w:tc>
          <w:tcPr>
            <w:tcW w:w="1980" w:type="dxa"/>
            <w:vAlign w:val="bottom"/>
          </w:tcPr>
          <w:p w14:paraId="1C35A23B" w14:textId="5131120D" w:rsidR="000532DE" w:rsidRDefault="000532DE" w:rsidP="000532DE">
            <w:pPr>
              <w:rPr>
                <w:lang w:val="en-US"/>
              </w:rPr>
            </w:pPr>
            <w:r>
              <w:rPr>
                <w:lang w:val="en-US"/>
              </w:rPr>
              <w:t>2024 August</w:t>
            </w:r>
          </w:p>
        </w:tc>
        <w:tc>
          <w:tcPr>
            <w:tcW w:w="2835" w:type="dxa"/>
            <w:tcBorders>
              <w:top w:val="single" w:sz="4" w:space="0" w:color="auto"/>
              <w:left w:val="nil"/>
              <w:bottom w:val="single" w:sz="4" w:space="0" w:color="auto"/>
              <w:right w:val="single" w:sz="4" w:space="0" w:color="auto"/>
            </w:tcBorders>
            <w:shd w:val="clear" w:color="auto" w:fill="auto"/>
            <w:vAlign w:val="bottom"/>
          </w:tcPr>
          <w:p w14:paraId="509D606A" w14:textId="3F4BE4C1" w:rsidR="000532DE" w:rsidRPr="00F93CD4" w:rsidRDefault="000532DE" w:rsidP="000532DE">
            <w:pPr>
              <w:jc w:val="right"/>
              <w:rPr>
                <w:sz w:val="22"/>
                <w:szCs w:val="22"/>
                <w:lang w:val="en-US"/>
              </w:rPr>
            </w:pPr>
            <w:r>
              <w:rPr>
                <w:rFonts w:cs="Arial"/>
                <w:color w:val="000000"/>
                <w:sz w:val="22"/>
                <w:szCs w:val="22"/>
              </w:rPr>
              <w:t>23,</w:t>
            </w:r>
            <w:r w:rsidR="004C1AB5">
              <w:rPr>
                <w:rFonts w:cs="Arial"/>
                <w:color w:val="000000"/>
                <w:sz w:val="22"/>
                <w:szCs w:val="22"/>
              </w:rPr>
              <w:t>000</w:t>
            </w:r>
          </w:p>
        </w:tc>
      </w:tr>
    </w:tbl>
    <w:p w14:paraId="0686BC11" w14:textId="4A4C0238" w:rsidR="00247B25" w:rsidRDefault="00247B25" w:rsidP="00247B25">
      <w:pPr>
        <w:pStyle w:val="ListParagraph"/>
        <w:numPr>
          <w:ilvl w:val="0"/>
          <w:numId w:val="22"/>
        </w:numPr>
      </w:pPr>
      <w:r>
        <w:t xml:space="preserve">QVM </w:t>
      </w:r>
      <w:r w:rsidR="001772B1">
        <w:t>p</w:t>
      </w:r>
      <w:r>
        <w:t>edestrian activity includes QVM-Peel St, QVM-Queen St (East), QVM-Therry St (South), and QVM-Franklin St (North) sensors.</w:t>
      </w:r>
    </w:p>
    <w:p w14:paraId="22F2877D" w14:textId="436887F7" w:rsidR="00723A75" w:rsidRDefault="0EF83AAF" w:rsidP="00E84AAE">
      <w:pPr>
        <w:pStyle w:val="Heading3"/>
        <w:rPr>
          <w:rFonts w:hint="eastAsia"/>
        </w:rPr>
      </w:pPr>
      <w:bookmarkStart w:id="13" w:name="_Toc175665288"/>
      <w:r>
        <w:t xml:space="preserve">Table </w:t>
      </w:r>
      <w:r w:rsidR="00C55B65">
        <w:t>5</w:t>
      </w:r>
      <w:r w:rsidR="1139249F">
        <w:t xml:space="preserve"> </w:t>
      </w:r>
      <w:r w:rsidR="00F93CD4">
        <w:t>–</w:t>
      </w:r>
      <w:r w:rsidR="00E84AAE">
        <w:t xml:space="preserve"> </w:t>
      </w:r>
      <w:r w:rsidR="008D1BB5">
        <w:t>Activity is increasing across all days of the week, on both market and non-market days (Monday and Wednesday), January to July.</w:t>
      </w:r>
      <w:bookmarkEnd w:id="13"/>
    </w:p>
    <w:tbl>
      <w:tblPr>
        <w:tblStyle w:val="TableGrid"/>
        <w:tblW w:w="0" w:type="auto"/>
        <w:tblLook w:val="04A0" w:firstRow="1" w:lastRow="0" w:firstColumn="1" w:lastColumn="0" w:noHBand="0" w:noVBand="1"/>
      </w:tblPr>
      <w:tblGrid>
        <w:gridCol w:w="2405"/>
        <w:gridCol w:w="1985"/>
        <w:gridCol w:w="1985"/>
        <w:gridCol w:w="1985"/>
      </w:tblGrid>
      <w:tr w:rsidR="005D0A71" w14:paraId="7F1558E3" w14:textId="17FA9299" w:rsidTr="003467EC">
        <w:tc>
          <w:tcPr>
            <w:tcW w:w="2405" w:type="dxa"/>
            <w:vAlign w:val="center"/>
          </w:tcPr>
          <w:p w14:paraId="659B7906" w14:textId="58E3C772" w:rsidR="005D0A71" w:rsidRPr="005D0A71" w:rsidRDefault="005D0A71" w:rsidP="00906338">
            <w:pPr>
              <w:rPr>
                <w:rFonts w:cs="Arial"/>
                <w:b/>
                <w:bCs/>
                <w:sz w:val="22"/>
                <w:szCs w:val="22"/>
                <w:lang w:val="en-US"/>
              </w:rPr>
            </w:pPr>
            <w:r w:rsidRPr="005D0A71">
              <w:rPr>
                <w:rFonts w:cs="Arial"/>
                <w:b/>
                <w:bCs/>
                <w:sz w:val="22"/>
                <w:szCs w:val="22"/>
                <w:lang w:val="en-US"/>
              </w:rPr>
              <w:t>Day of the week</w:t>
            </w:r>
          </w:p>
        </w:tc>
        <w:tc>
          <w:tcPr>
            <w:tcW w:w="1985" w:type="dxa"/>
            <w:vAlign w:val="center"/>
          </w:tcPr>
          <w:p w14:paraId="187ED05F" w14:textId="33216CEF" w:rsidR="005D0A71" w:rsidRPr="005D0A71" w:rsidRDefault="005D0A71" w:rsidP="00906338">
            <w:pPr>
              <w:rPr>
                <w:rFonts w:cs="Arial"/>
                <w:b/>
                <w:bCs/>
                <w:sz w:val="22"/>
                <w:szCs w:val="22"/>
                <w:lang w:val="en-US"/>
              </w:rPr>
            </w:pPr>
            <w:r>
              <w:rPr>
                <w:rFonts w:cs="Arial"/>
                <w:b/>
                <w:bCs/>
                <w:sz w:val="22"/>
                <w:szCs w:val="22"/>
                <w:lang w:val="en-US"/>
              </w:rPr>
              <w:t xml:space="preserve">2019 </w:t>
            </w:r>
            <w:r w:rsidR="006443D9">
              <w:rPr>
                <w:rFonts w:cs="Arial"/>
                <w:b/>
                <w:bCs/>
                <w:sz w:val="22"/>
                <w:szCs w:val="22"/>
                <w:lang w:val="en-US"/>
              </w:rPr>
              <w:t xml:space="preserve">Average </w:t>
            </w:r>
            <w:r>
              <w:rPr>
                <w:rFonts w:cs="Arial"/>
                <w:b/>
                <w:bCs/>
                <w:sz w:val="22"/>
                <w:szCs w:val="22"/>
                <w:lang w:val="en-US"/>
              </w:rPr>
              <w:t>Pedestrian Activity</w:t>
            </w:r>
          </w:p>
        </w:tc>
        <w:tc>
          <w:tcPr>
            <w:tcW w:w="1985" w:type="dxa"/>
          </w:tcPr>
          <w:p w14:paraId="1D23545C" w14:textId="267F1DC0" w:rsidR="005D0A71" w:rsidRPr="005D0A71" w:rsidRDefault="005D0A71" w:rsidP="00906338">
            <w:pPr>
              <w:rPr>
                <w:rFonts w:cs="Arial"/>
                <w:b/>
                <w:bCs/>
                <w:sz w:val="22"/>
                <w:szCs w:val="22"/>
                <w:lang w:val="en-US"/>
              </w:rPr>
            </w:pPr>
            <w:r>
              <w:rPr>
                <w:rFonts w:cs="Arial"/>
                <w:b/>
                <w:bCs/>
                <w:sz w:val="22"/>
                <w:szCs w:val="22"/>
                <w:lang w:val="en-US"/>
              </w:rPr>
              <w:t xml:space="preserve">2023 </w:t>
            </w:r>
            <w:r w:rsidR="006443D9">
              <w:rPr>
                <w:rFonts w:cs="Arial"/>
                <w:b/>
                <w:bCs/>
                <w:sz w:val="22"/>
                <w:szCs w:val="22"/>
                <w:lang w:val="en-US"/>
              </w:rPr>
              <w:t xml:space="preserve">Average </w:t>
            </w:r>
            <w:r>
              <w:rPr>
                <w:rFonts w:cs="Arial"/>
                <w:b/>
                <w:bCs/>
                <w:sz w:val="22"/>
                <w:szCs w:val="22"/>
                <w:lang w:val="en-US"/>
              </w:rPr>
              <w:t>Pedestrian Activity</w:t>
            </w:r>
          </w:p>
        </w:tc>
        <w:tc>
          <w:tcPr>
            <w:tcW w:w="1985" w:type="dxa"/>
          </w:tcPr>
          <w:p w14:paraId="02D6B9E6" w14:textId="5A55A801" w:rsidR="005D0A71" w:rsidRDefault="005D0A71" w:rsidP="00906338">
            <w:pPr>
              <w:rPr>
                <w:rFonts w:cs="Arial"/>
                <w:b/>
                <w:bCs/>
                <w:sz w:val="22"/>
                <w:szCs w:val="22"/>
                <w:lang w:val="en-US"/>
              </w:rPr>
            </w:pPr>
            <w:r>
              <w:rPr>
                <w:rFonts w:cs="Arial"/>
                <w:b/>
                <w:bCs/>
                <w:sz w:val="22"/>
                <w:szCs w:val="22"/>
                <w:lang w:val="en-US"/>
              </w:rPr>
              <w:t xml:space="preserve">2024 </w:t>
            </w:r>
            <w:r w:rsidR="006443D9">
              <w:rPr>
                <w:rFonts w:cs="Arial"/>
                <w:b/>
                <w:bCs/>
                <w:sz w:val="22"/>
                <w:szCs w:val="22"/>
                <w:lang w:val="en-US"/>
              </w:rPr>
              <w:t xml:space="preserve">Average </w:t>
            </w:r>
            <w:r>
              <w:rPr>
                <w:rFonts w:cs="Arial"/>
                <w:b/>
                <w:bCs/>
                <w:sz w:val="22"/>
                <w:szCs w:val="22"/>
                <w:lang w:val="en-US"/>
              </w:rPr>
              <w:t>Pedestrian Activity</w:t>
            </w:r>
          </w:p>
        </w:tc>
      </w:tr>
      <w:tr w:rsidR="005D0A71" w14:paraId="75BF07DE" w14:textId="02A65685" w:rsidTr="003467EC">
        <w:tc>
          <w:tcPr>
            <w:tcW w:w="2405" w:type="dxa"/>
            <w:vAlign w:val="center"/>
          </w:tcPr>
          <w:p w14:paraId="710006B4" w14:textId="356E7EEB" w:rsidR="005D0A71" w:rsidRPr="008F55EC" w:rsidRDefault="005D0A71" w:rsidP="00906338">
            <w:pPr>
              <w:rPr>
                <w:rFonts w:cs="Arial"/>
                <w:sz w:val="22"/>
                <w:szCs w:val="22"/>
                <w:lang w:val="en-US"/>
              </w:rPr>
            </w:pPr>
            <w:r>
              <w:rPr>
                <w:rFonts w:cs="Arial"/>
                <w:sz w:val="22"/>
                <w:szCs w:val="22"/>
                <w:lang w:val="en-US"/>
              </w:rPr>
              <w:t>Monday</w:t>
            </w:r>
          </w:p>
        </w:tc>
        <w:tc>
          <w:tcPr>
            <w:tcW w:w="1985" w:type="dxa"/>
            <w:vAlign w:val="center"/>
          </w:tcPr>
          <w:p w14:paraId="290E2C8A" w14:textId="18A0C830" w:rsidR="005D0A71" w:rsidRPr="008F55EC" w:rsidRDefault="00F84BB4" w:rsidP="00F84BB4">
            <w:pPr>
              <w:jc w:val="right"/>
              <w:rPr>
                <w:rFonts w:cs="Arial"/>
                <w:sz w:val="22"/>
                <w:szCs w:val="22"/>
                <w:lang w:val="en-US"/>
              </w:rPr>
            </w:pPr>
            <w:r>
              <w:rPr>
                <w:rFonts w:cs="Arial"/>
                <w:sz w:val="22"/>
                <w:szCs w:val="22"/>
                <w:lang w:val="en-US"/>
              </w:rPr>
              <w:t>11,200</w:t>
            </w:r>
          </w:p>
        </w:tc>
        <w:tc>
          <w:tcPr>
            <w:tcW w:w="1985" w:type="dxa"/>
          </w:tcPr>
          <w:p w14:paraId="03730F2E" w14:textId="17AAFA79" w:rsidR="005D0A71" w:rsidRPr="008F55EC" w:rsidRDefault="00F84BB4" w:rsidP="00F84BB4">
            <w:pPr>
              <w:jc w:val="right"/>
              <w:rPr>
                <w:rFonts w:cs="Arial"/>
                <w:sz w:val="22"/>
                <w:szCs w:val="22"/>
                <w:lang w:val="en-US"/>
              </w:rPr>
            </w:pPr>
            <w:r>
              <w:rPr>
                <w:rFonts w:cs="Arial"/>
                <w:sz w:val="22"/>
                <w:szCs w:val="22"/>
                <w:lang w:val="en-US"/>
              </w:rPr>
              <w:t>11,</w:t>
            </w:r>
            <w:r w:rsidR="004C1AB5">
              <w:rPr>
                <w:rFonts w:cs="Arial"/>
                <w:sz w:val="22"/>
                <w:szCs w:val="22"/>
                <w:lang w:val="en-US"/>
              </w:rPr>
              <w:t>5</w:t>
            </w:r>
            <w:r>
              <w:rPr>
                <w:rFonts w:cs="Arial"/>
                <w:sz w:val="22"/>
                <w:szCs w:val="22"/>
                <w:lang w:val="en-US"/>
              </w:rPr>
              <w:t>00</w:t>
            </w:r>
          </w:p>
        </w:tc>
        <w:tc>
          <w:tcPr>
            <w:tcW w:w="1985" w:type="dxa"/>
          </w:tcPr>
          <w:p w14:paraId="4251D501" w14:textId="333B5907" w:rsidR="005D0A71" w:rsidRPr="008F55EC" w:rsidRDefault="00F84BB4" w:rsidP="00F84BB4">
            <w:pPr>
              <w:jc w:val="right"/>
              <w:rPr>
                <w:rFonts w:cs="Arial"/>
                <w:sz w:val="22"/>
                <w:szCs w:val="22"/>
                <w:lang w:val="en-US"/>
              </w:rPr>
            </w:pPr>
            <w:r>
              <w:rPr>
                <w:rFonts w:cs="Arial"/>
                <w:sz w:val="22"/>
                <w:szCs w:val="22"/>
                <w:lang w:val="en-US"/>
              </w:rPr>
              <w:t>13,</w:t>
            </w:r>
            <w:r w:rsidR="004C1AB5">
              <w:rPr>
                <w:rFonts w:cs="Arial"/>
                <w:sz w:val="22"/>
                <w:szCs w:val="22"/>
                <w:lang w:val="en-US"/>
              </w:rPr>
              <w:t>6</w:t>
            </w:r>
            <w:r>
              <w:rPr>
                <w:rFonts w:cs="Arial"/>
                <w:sz w:val="22"/>
                <w:szCs w:val="22"/>
                <w:lang w:val="en-US"/>
              </w:rPr>
              <w:t>00</w:t>
            </w:r>
          </w:p>
        </w:tc>
      </w:tr>
      <w:tr w:rsidR="005D0A71" w14:paraId="0AC09F7F" w14:textId="58656A0A" w:rsidTr="003467EC">
        <w:tc>
          <w:tcPr>
            <w:tcW w:w="2405" w:type="dxa"/>
            <w:vAlign w:val="center"/>
          </w:tcPr>
          <w:p w14:paraId="12BCFA3C" w14:textId="33F51787" w:rsidR="005D0A71" w:rsidRPr="008F55EC" w:rsidRDefault="005D0A71" w:rsidP="00F93CD4">
            <w:pPr>
              <w:rPr>
                <w:rFonts w:cs="Arial"/>
                <w:sz w:val="22"/>
                <w:szCs w:val="22"/>
                <w:lang w:val="en-US"/>
              </w:rPr>
            </w:pPr>
            <w:r>
              <w:rPr>
                <w:rFonts w:cs="Arial"/>
                <w:sz w:val="22"/>
                <w:szCs w:val="22"/>
                <w:lang w:val="en-US"/>
              </w:rPr>
              <w:t>Tuesday</w:t>
            </w:r>
          </w:p>
        </w:tc>
        <w:tc>
          <w:tcPr>
            <w:tcW w:w="1985" w:type="dxa"/>
            <w:vAlign w:val="center"/>
          </w:tcPr>
          <w:p w14:paraId="76D88DD6" w14:textId="1F6D1328" w:rsidR="005D0A71" w:rsidRPr="008F55EC" w:rsidRDefault="00F84BB4" w:rsidP="00F84BB4">
            <w:pPr>
              <w:jc w:val="right"/>
              <w:rPr>
                <w:rFonts w:cs="Arial"/>
                <w:sz w:val="22"/>
                <w:szCs w:val="22"/>
                <w:lang w:val="en-US"/>
              </w:rPr>
            </w:pPr>
            <w:r>
              <w:rPr>
                <w:rFonts w:cs="Arial"/>
                <w:sz w:val="22"/>
                <w:szCs w:val="22"/>
                <w:lang w:val="en-US"/>
              </w:rPr>
              <w:t>15,400</w:t>
            </w:r>
          </w:p>
        </w:tc>
        <w:tc>
          <w:tcPr>
            <w:tcW w:w="1985" w:type="dxa"/>
          </w:tcPr>
          <w:p w14:paraId="31C486C4" w14:textId="5F9C7509" w:rsidR="005D0A71" w:rsidRPr="008F55EC" w:rsidRDefault="00F84BB4" w:rsidP="00F84BB4">
            <w:pPr>
              <w:jc w:val="right"/>
              <w:rPr>
                <w:rFonts w:cs="Arial"/>
                <w:sz w:val="22"/>
                <w:szCs w:val="22"/>
                <w:lang w:val="en-US"/>
              </w:rPr>
            </w:pPr>
            <w:r>
              <w:rPr>
                <w:rFonts w:cs="Arial"/>
                <w:sz w:val="22"/>
                <w:szCs w:val="22"/>
                <w:lang w:val="en-US"/>
              </w:rPr>
              <w:t>14,</w:t>
            </w:r>
            <w:r w:rsidR="004C1AB5">
              <w:rPr>
                <w:rFonts w:cs="Arial"/>
                <w:sz w:val="22"/>
                <w:szCs w:val="22"/>
                <w:lang w:val="en-US"/>
              </w:rPr>
              <w:t>8</w:t>
            </w:r>
            <w:r>
              <w:rPr>
                <w:rFonts w:cs="Arial"/>
                <w:sz w:val="22"/>
                <w:szCs w:val="22"/>
                <w:lang w:val="en-US"/>
              </w:rPr>
              <w:t>00</w:t>
            </w:r>
          </w:p>
        </w:tc>
        <w:tc>
          <w:tcPr>
            <w:tcW w:w="1985" w:type="dxa"/>
          </w:tcPr>
          <w:p w14:paraId="45A1DC4C" w14:textId="6EBCC5BD" w:rsidR="005D0A71" w:rsidRPr="008F55EC" w:rsidRDefault="00F84BB4" w:rsidP="00F84BB4">
            <w:pPr>
              <w:jc w:val="right"/>
              <w:rPr>
                <w:rFonts w:cs="Arial"/>
                <w:sz w:val="22"/>
                <w:szCs w:val="22"/>
                <w:lang w:val="en-US"/>
              </w:rPr>
            </w:pPr>
            <w:r>
              <w:rPr>
                <w:rFonts w:cs="Arial"/>
                <w:sz w:val="22"/>
                <w:szCs w:val="22"/>
                <w:lang w:val="en-US"/>
              </w:rPr>
              <w:t>18,</w:t>
            </w:r>
            <w:r w:rsidR="004C1AB5">
              <w:rPr>
                <w:rFonts w:cs="Arial"/>
                <w:sz w:val="22"/>
                <w:szCs w:val="22"/>
                <w:lang w:val="en-US"/>
              </w:rPr>
              <w:t>7</w:t>
            </w:r>
            <w:r>
              <w:rPr>
                <w:rFonts w:cs="Arial"/>
                <w:sz w:val="22"/>
                <w:szCs w:val="22"/>
                <w:lang w:val="en-US"/>
              </w:rPr>
              <w:t>00</w:t>
            </w:r>
          </w:p>
        </w:tc>
      </w:tr>
      <w:tr w:rsidR="005D0A71" w14:paraId="1EA9D0B8" w14:textId="6D8D2134" w:rsidTr="003467EC">
        <w:tc>
          <w:tcPr>
            <w:tcW w:w="2405" w:type="dxa"/>
            <w:vAlign w:val="center"/>
          </w:tcPr>
          <w:p w14:paraId="69E1C473" w14:textId="7790C156" w:rsidR="005D0A71" w:rsidRPr="008F55EC" w:rsidRDefault="005D0A71" w:rsidP="00F93CD4">
            <w:pPr>
              <w:rPr>
                <w:rFonts w:cs="Arial"/>
                <w:sz w:val="22"/>
                <w:szCs w:val="22"/>
                <w:lang w:val="en-US"/>
              </w:rPr>
            </w:pPr>
            <w:r>
              <w:rPr>
                <w:rFonts w:cs="Arial"/>
                <w:sz w:val="22"/>
                <w:szCs w:val="22"/>
                <w:lang w:val="en-US"/>
              </w:rPr>
              <w:t>Wednesday</w:t>
            </w:r>
          </w:p>
        </w:tc>
        <w:tc>
          <w:tcPr>
            <w:tcW w:w="1985" w:type="dxa"/>
            <w:vAlign w:val="center"/>
          </w:tcPr>
          <w:p w14:paraId="153A61E6" w14:textId="03F5E6C3" w:rsidR="005D0A71" w:rsidRPr="008F55EC" w:rsidRDefault="00F84BB4" w:rsidP="00F84BB4">
            <w:pPr>
              <w:jc w:val="right"/>
              <w:rPr>
                <w:rFonts w:cs="Arial"/>
                <w:sz w:val="22"/>
                <w:szCs w:val="22"/>
                <w:lang w:val="en-US"/>
              </w:rPr>
            </w:pPr>
            <w:r>
              <w:rPr>
                <w:rFonts w:cs="Arial"/>
                <w:sz w:val="22"/>
                <w:szCs w:val="22"/>
                <w:lang w:val="en-US"/>
              </w:rPr>
              <w:t>20,</w:t>
            </w:r>
            <w:r w:rsidR="004C1AB5">
              <w:rPr>
                <w:rFonts w:cs="Arial"/>
                <w:sz w:val="22"/>
                <w:szCs w:val="22"/>
                <w:lang w:val="en-US"/>
              </w:rPr>
              <w:t>7</w:t>
            </w:r>
            <w:r>
              <w:rPr>
                <w:rFonts w:cs="Arial"/>
                <w:sz w:val="22"/>
                <w:szCs w:val="22"/>
                <w:lang w:val="en-US"/>
              </w:rPr>
              <w:t>00</w:t>
            </w:r>
          </w:p>
        </w:tc>
        <w:tc>
          <w:tcPr>
            <w:tcW w:w="1985" w:type="dxa"/>
          </w:tcPr>
          <w:p w14:paraId="61476BFA" w14:textId="30A67EB8" w:rsidR="005D0A71" w:rsidRPr="008F55EC" w:rsidRDefault="00F84BB4" w:rsidP="00F84BB4">
            <w:pPr>
              <w:jc w:val="right"/>
              <w:rPr>
                <w:rFonts w:cs="Arial"/>
                <w:sz w:val="22"/>
                <w:szCs w:val="22"/>
                <w:lang w:val="en-US"/>
              </w:rPr>
            </w:pPr>
            <w:r>
              <w:rPr>
                <w:rFonts w:cs="Arial"/>
                <w:sz w:val="22"/>
                <w:szCs w:val="22"/>
                <w:lang w:val="en-US"/>
              </w:rPr>
              <w:t>19,700</w:t>
            </w:r>
          </w:p>
        </w:tc>
        <w:tc>
          <w:tcPr>
            <w:tcW w:w="1985" w:type="dxa"/>
          </w:tcPr>
          <w:p w14:paraId="5A3FC0AC" w14:textId="0918EE28" w:rsidR="005D0A71" w:rsidRPr="008F55EC" w:rsidRDefault="00F84BB4" w:rsidP="00F84BB4">
            <w:pPr>
              <w:jc w:val="right"/>
              <w:rPr>
                <w:rFonts w:cs="Arial"/>
                <w:sz w:val="22"/>
                <w:szCs w:val="22"/>
                <w:lang w:val="en-US"/>
              </w:rPr>
            </w:pPr>
            <w:r>
              <w:rPr>
                <w:rFonts w:cs="Arial"/>
                <w:sz w:val="22"/>
                <w:szCs w:val="22"/>
                <w:lang w:val="en-US"/>
              </w:rPr>
              <w:t>2</w:t>
            </w:r>
            <w:r w:rsidR="004C1AB5">
              <w:rPr>
                <w:rFonts w:cs="Arial"/>
                <w:sz w:val="22"/>
                <w:szCs w:val="22"/>
                <w:lang w:val="en-US"/>
              </w:rPr>
              <w:t>3</w:t>
            </w:r>
            <w:r>
              <w:rPr>
                <w:rFonts w:cs="Arial"/>
                <w:sz w:val="22"/>
                <w:szCs w:val="22"/>
                <w:lang w:val="en-US"/>
              </w:rPr>
              <w:t>,</w:t>
            </w:r>
            <w:r w:rsidR="004C1AB5">
              <w:rPr>
                <w:rFonts w:cs="Arial"/>
                <w:sz w:val="22"/>
                <w:szCs w:val="22"/>
                <w:lang w:val="en-US"/>
              </w:rPr>
              <w:t>1</w:t>
            </w:r>
            <w:r>
              <w:rPr>
                <w:rFonts w:cs="Arial"/>
                <w:sz w:val="22"/>
                <w:szCs w:val="22"/>
                <w:lang w:val="en-US"/>
              </w:rPr>
              <w:t>00</w:t>
            </w:r>
          </w:p>
        </w:tc>
      </w:tr>
      <w:tr w:rsidR="005D0A71" w14:paraId="071595D3" w14:textId="5ACF7F31" w:rsidTr="003467EC">
        <w:tc>
          <w:tcPr>
            <w:tcW w:w="2405" w:type="dxa"/>
            <w:vAlign w:val="center"/>
          </w:tcPr>
          <w:p w14:paraId="0CBA9AF7" w14:textId="1AEC26E8" w:rsidR="005D0A71" w:rsidRDefault="005D0A71" w:rsidP="009F7577">
            <w:pPr>
              <w:rPr>
                <w:rFonts w:cs="Arial"/>
                <w:color w:val="000000"/>
                <w:sz w:val="22"/>
                <w:szCs w:val="22"/>
              </w:rPr>
            </w:pPr>
            <w:r>
              <w:rPr>
                <w:rFonts w:cs="Arial"/>
                <w:color w:val="000000"/>
                <w:sz w:val="22"/>
                <w:szCs w:val="22"/>
              </w:rPr>
              <w:t>Thursday</w:t>
            </w:r>
          </w:p>
        </w:tc>
        <w:tc>
          <w:tcPr>
            <w:tcW w:w="1985" w:type="dxa"/>
            <w:vAlign w:val="center"/>
          </w:tcPr>
          <w:p w14:paraId="6DD7B3B2" w14:textId="7483AEA5" w:rsidR="005D0A71" w:rsidRPr="008F55EC" w:rsidRDefault="00F84BB4" w:rsidP="00F84BB4">
            <w:pPr>
              <w:jc w:val="right"/>
              <w:rPr>
                <w:rFonts w:cs="Arial"/>
                <w:color w:val="000000"/>
                <w:sz w:val="22"/>
                <w:szCs w:val="22"/>
              </w:rPr>
            </w:pPr>
            <w:r>
              <w:rPr>
                <w:rFonts w:cs="Arial"/>
                <w:color w:val="000000"/>
                <w:sz w:val="22"/>
                <w:szCs w:val="22"/>
              </w:rPr>
              <w:t>16,100</w:t>
            </w:r>
          </w:p>
        </w:tc>
        <w:tc>
          <w:tcPr>
            <w:tcW w:w="1985" w:type="dxa"/>
          </w:tcPr>
          <w:p w14:paraId="6886C837" w14:textId="6E235861" w:rsidR="005D0A71" w:rsidRPr="008F55EC" w:rsidRDefault="00F84BB4" w:rsidP="00F84BB4">
            <w:pPr>
              <w:jc w:val="right"/>
              <w:rPr>
                <w:rFonts w:cs="Arial"/>
                <w:color w:val="000000"/>
                <w:sz w:val="22"/>
                <w:szCs w:val="22"/>
              </w:rPr>
            </w:pPr>
            <w:r>
              <w:rPr>
                <w:rFonts w:cs="Arial"/>
                <w:color w:val="000000"/>
                <w:sz w:val="22"/>
                <w:szCs w:val="22"/>
              </w:rPr>
              <w:t>15,</w:t>
            </w:r>
            <w:r w:rsidR="004C1AB5">
              <w:rPr>
                <w:rFonts w:cs="Arial"/>
                <w:color w:val="000000"/>
                <w:sz w:val="22"/>
                <w:szCs w:val="22"/>
              </w:rPr>
              <w:t>8</w:t>
            </w:r>
            <w:r>
              <w:rPr>
                <w:rFonts w:cs="Arial"/>
                <w:color w:val="000000"/>
                <w:sz w:val="22"/>
                <w:szCs w:val="22"/>
              </w:rPr>
              <w:t>00</w:t>
            </w:r>
          </w:p>
        </w:tc>
        <w:tc>
          <w:tcPr>
            <w:tcW w:w="1985" w:type="dxa"/>
          </w:tcPr>
          <w:p w14:paraId="654F6C8A" w14:textId="560E0094" w:rsidR="005D0A71" w:rsidRPr="008F55EC" w:rsidRDefault="00F84BB4" w:rsidP="00F84BB4">
            <w:pPr>
              <w:jc w:val="right"/>
              <w:rPr>
                <w:rFonts w:cs="Arial"/>
                <w:color w:val="000000"/>
                <w:sz w:val="22"/>
                <w:szCs w:val="22"/>
              </w:rPr>
            </w:pPr>
            <w:r>
              <w:rPr>
                <w:rFonts w:cs="Arial"/>
                <w:color w:val="000000"/>
                <w:sz w:val="22"/>
                <w:szCs w:val="22"/>
              </w:rPr>
              <w:t>19,</w:t>
            </w:r>
            <w:r w:rsidR="004C1AB5">
              <w:rPr>
                <w:rFonts w:cs="Arial"/>
                <w:color w:val="000000"/>
                <w:sz w:val="22"/>
                <w:szCs w:val="22"/>
              </w:rPr>
              <w:t>7</w:t>
            </w:r>
            <w:r>
              <w:rPr>
                <w:rFonts w:cs="Arial"/>
                <w:color w:val="000000"/>
                <w:sz w:val="22"/>
                <w:szCs w:val="22"/>
              </w:rPr>
              <w:t>00</w:t>
            </w:r>
          </w:p>
        </w:tc>
      </w:tr>
      <w:tr w:rsidR="005D0A71" w14:paraId="1C2F6EA3" w14:textId="3303DFFF" w:rsidTr="003467EC">
        <w:tc>
          <w:tcPr>
            <w:tcW w:w="2405" w:type="dxa"/>
            <w:vAlign w:val="center"/>
          </w:tcPr>
          <w:p w14:paraId="4F541A42" w14:textId="6414E5DD" w:rsidR="005D0A71" w:rsidRDefault="005D0A71" w:rsidP="009F7577">
            <w:pPr>
              <w:rPr>
                <w:rFonts w:cs="Arial"/>
                <w:color w:val="000000"/>
                <w:sz w:val="22"/>
                <w:szCs w:val="22"/>
              </w:rPr>
            </w:pPr>
            <w:r>
              <w:rPr>
                <w:rFonts w:cs="Arial"/>
                <w:color w:val="000000"/>
                <w:sz w:val="22"/>
                <w:szCs w:val="22"/>
              </w:rPr>
              <w:t>Friday</w:t>
            </w:r>
          </w:p>
        </w:tc>
        <w:tc>
          <w:tcPr>
            <w:tcW w:w="1985" w:type="dxa"/>
            <w:vAlign w:val="center"/>
          </w:tcPr>
          <w:p w14:paraId="688046F7" w14:textId="7499F751" w:rsidR="005D0A71" w:rsidRPr="008F55EC" w:rsidRDefault="00F84BB4" w:rsidP="00F84BB4">
            <w:pPr>
              <w:jc w:val="right"/>
              <w:rPr>
                <w:rFonts w:cs="Arial"/>
                <w:color w:val="000000"/>
                <w:sz w:val="22"/>
                <w:szCs w:val="22"/>
              </w:rPr>
            </w:pPr>
            <w:r>
              <w:rPr>
                <w:rFonts w:cs="Arial"/>
                <w:color w:val="000000"/>
                <w:sz w:val="22"/>
                <w:szCs w:val="22"/>
              </w:rPr>
              <w:t>16,</w:t>
            </w:r>
            <w:r w:rsidR="004C1AB5">
              <w:rPr>
                <w:rFonts w:cs="Arial"/>
                <w:color w:val="000000"/>
                <w:sz w:val="22"/>
                <w:szCs w:val="22"/>
              </w:rPr>
              <w:t>7</w:t>
            </w:r>
            <w:r>
              <w:rPr>
                <w:rFonts w:cs="Arial"/>
                <w:color w:val="000000"/>
                <w:sz w:val="22"/>
                <w:szCs w:val="22"/>
              </w:rPr>
              <w:t>00</w:t>
            </w:r>
          </w:p>
        </w:tc>
        <w:tc>
          <w:tcPr>
            <w:tcW w:w="1985" w:type="dxa"/>
          </w:tcPr>
          <w:p w14:paraId="601F1CEC" w14:textId="41AB9A90" w:rsidR="005D0A71" w:rsidRPr="008F55EC" w:rsidRDefault="00F84BB4" w:rsidP="00F84BB4">
            <w:pPr>
              <w:jc w:val="right"/>
              <w:rPr>
                <w:rFonts w:cs="Arial"/>
                <w:color w:val="000000"/>
                <w:sz w:val="22"/>
                <w:szCs w:val="22"/>
              </w:rPr>
            </w:pPr>
            <w:r>
              <w:rPr>
                <w:rFonts w:cs="Arial"/>
                <w:color w:val="000000"/>
                <w:sz w:val="22"/>
                <w:szCs w:val="22"/>
              </w:rPr>
              <w:t>16,</w:t>
            </w:r>
            <w:r w:rsidR="004C1AB5">
              <w:rPr>
                <w:rFonts w:cs="Arial"/>
                <w:color w:val="000000"/>
                <w:sz w:val="22"/>
                <w:szCs w:val="22"/>
              </w:rPr>
              <w:t>3</w:t>
            </w:r>
            <w:r>
              <w:rPr>
                <w:rFonts w:cs="Arial"/>
                <w:color w:val="000000"/>
                <w:sz w:val="22"/>
                <w:szCs w:val="22"/>
              </w:rPr>
              <w:t>00</w:t>
            </w:r>
          </w:p>
        </w:tc>
        <w:tc>
          <w:tcPr>
            <w:tcW w:w="1985" w:type="dxa"/>
          </w:tcPr>
          <w:p w14:paraId="36B508C3" w14:textId="11C8ACC4" w:rsidR="005D0A71" w:rsidRPr="008F55EC" w:rsidRDefault="00F84BB4" w:rsidP="00F84BB4">
            <w:pPr>
              <w:jc w:val="right"/>
              <w:rPr>
                <w:rFonts w:cs="Arial"/>
                <w:color w:val="000000"/>
                <w:sz w:val="22"/>
                <w:szCs w:val="22"/>
              </w:rPr>
            </w:pPr>
            <w:r>
              <w:rPr>
                <w:rFonts w:cs="Arial"/>
                <w:color w:val="000000"/>
                <w:sz w:val="22"/>
                <w:szCs w:val="22"/>
              </w:rPr>
              <w:t>20,</w:t>
            </w:r>
            <w:r w:rsidR="004C1AB5">
              <w:rPr>
                <w:rFonts w:cs="Arial"/>
                <w:color w:val="000000"/>
                <w:sz w:val="22"/>
                <w:szCs w:val="22"/>
              </w:rPr>
              <w:t>7</w:t>
            </w:r>
            <w:r>
              <w:rPr>
                <w:rFonts w:cs="Arial"/>
                <w:color w:val="000000"/>
                <w:sz w:val="22"/>
                <w:szCs w:val="22"/>
              </w:rPr>
              <w:t>00</w:t>
            </w:r>
          </w:p>
        </w:tc>
      </w:tr>
      <w:tr w:rsidR="005D0A71" w14:paraId="1AF55617" w14:textId="5A1DF37C" w:rsidTr="003467EC">
        <w:tc>
          <w:tcPr>
            <w:tcW w:w="2405" w:type="dxa"/>
            <w:vAlign w:val="center"/>
          </w:tcPr>
          <w:p w14:paraId="2F140105" w14:textId="2E822DF2" w:rsidR="005D0A71" w:rsidRDefault="005D0A71" w:rsidP="009F7577">
            <w:pPr>
              <w:rPr>
                <w:rFonts w:cs="Arial"/>
                <w:color w:val="000000"/>
                <w:sz w:val="22"/>
                <w:szCs w:val="22"/>
              </w:rPr>
            </w:pPr>
            <w:r>
              <w:rPr>
                <w:rFonts w:cs="Arial"/>
                <w:color w:val="000000"/>
                <w:sz w:val="22"/>
                <w:szCs w:val="22"/>
              </w:rPr>
              <w:t>Saturday</w:t>
            </w:r>
          </w:p>
        </w:tc>
        <w:tc>
          <w:tcPr>
            <w:tcW w:w="1985" w:type="dxa"/>
            <w:vAlign w:val="center"/>
          </w:tcPr>
          <w:p w14:paraId="2D77EC2B" w14:textId="3EF3BE46" w:rsidR="005D0A71" w:rsidRPr="008F55EC" w:rsidRDefault="00F84BB4" w:rsidP="00F84BB4">
            <w:pPr>
              <w:jc w:val="right"/>
              <w:rPr>
                <w:rFonts w:cs="Arial"/>
                <w:color w:val="000000"/>
                <w:sz w:val="22"/>
                <w:szCs w:val="22"/>
              </w:rPr>
            </w:pPr>
            <w:r>
              <w:rPr>
                <w:rFonts w:cs="Arial"/>
                <w:color w:val="000000"/>
                <w:sz w:val="22"/>
                <w:szCs w:val="22"/>
              </w:rPr>
              <w:t>20,100</w:t>
            </w:r>
          </w:p>
        </w:tc>
        <w:tc>
          <w:tcPr>
            <w:tcW w:w="1985" w:type="dxa"/>
          </w:tcPr>
          <w:p w14:paraId="6CABEECE" w14:textId="39032D97" w:rsidR="005D0A71" w:rsidRPr="008F55EC" w:rsidRDefault="00F84BB4" w:rsidP="00F84BB4">
            <w:pPr>
              <w:jc w:val="right"/>
              <w:rPr>
                <w:rFonts w:cs="Arial"/>
                <w:color w:val="000000"/>
                <w:sz w:val="22"/>
                <w:szCs w:val="22"/>
              </w:rPr>
            </w:pPr>
            <w:r>
              <w:rPr>
                <w:rFonts w:cs="Arial"/>
                <w:color w:val="000000"/>
                <w:sz w:val="22"/>
                <w:szCs w:val="22"/>
              </w:rPr>
              <w:t>20,</w:t>
            </w:r>
            <w:r w:rsidR="004C1AB5">
              <w:rPr>
                <w:rFonts w:cs="Arial"/>
                <w:color w:val="000000"/>
                <w:sz w:val="22"/>
                <w:szCs w:val="22"/>
              </w:rPr>
              <w:t>6</w:t>
            </w:r>
            <w:r>
              <w:rPr>
                <w:rFonts w:cs="Arial"/>
                <w:color w:val="000000"/>
                <w:sz w:val="22"/>
                <w:szCs w:val="22"/>
              </w:rPr>
              <w:t>00</w:t>
            </w:r>
          </w:p>
        </w:tc>
        <w:tc>
          <w:tcPr>
            <w:tcW w:w="1985" w:type="dxa"/>
          </w:tcPr>
          <w:p w14:paraId="4A12C34C" w14:textId="5EF2C950" w:rsidR="005D0A71" w:rsidRPr="008F55EC" w:rsidRDefault="00F84BB4" w:rsidP="00F84BB4">
            <w:pPr>
              <w:jc w:val="right"/>
              <w:rPr>
                <w:rFonts w:cs="Arial"/>
                <w:color w:val="000000"/>
                <w:sz w:val="22"/>
                <w:szCs w:val="22"/>
              </w:rPr>
            </w:pPr>
            <w:r>
              <w:rPr>
                <w:rFonts w:cs="Arial"/>
                <w:color w:val="000000"/>
                <w:sz w:val="22"/>
                <w:szCs w:val="22"/>
              </w:rPr>
              <w:t>2</w:t>
            </w:r>
            <w:r w:rsidR="004C1AB5">
              <w:rPr>
                <w:rFonts w:cs="Arial"/>
                <w:color w:val="000000"/>
                <w:sz w:val="22"/>
                <w:szCs w:val="22"/>
              </w:rPr>
              <w:t>6</w:t>
            </w:r>
            <w:r>
              <w:rPr>
                <w:rFonts w:cs="Arial"/>
                <w:color w:val="000000"/>
                <w:sz w:val="22"/>
                <w:szCs w:val="22"/>
              </w:rPr>
              <w:t>,</w:t>
            </w:r>
            <w:r w:rsidR="004C1AB5">
              <w:rPr>
                <w:rFonts w:cs="Arial"/>
                <w:color w:val="000000"/>
                <w:sz w:val="22"/>
                <w:szCs w:val="22"/>
              </w:rPr>
              <w:t>0</w:t>
            </w:r>
            <w:r>
              <w:rPr>
                <w:rFonts w:cs="Arial"/>
                <w:color w:val="000000"/>
                <w:sz w:val="22"/>
                <w:szCs w:val="22"/>
              </w:rPr>
              <w:t>00</w:t>
            </w:r>
          </w:p>
        </w:tc>
      </w:tr>
      <w:tr w:rsidR="005D0A71" w14:paraId="7A3E724D" w14:textId="4CDB1FFD" w:rsidTr="003467EC">
        <w:tc>
          <w:tcPr>
            <w:tcW w:w="2405" w:type="dxa"/>
            <w:vAlign w:val="center"/>
          </w:tcPr>
          <w:p w14:paraId="4E2DD93B" w14:textId="701850AB" w:rsidR="005D0A71" w:rsidRDefault="005D0A71" w:rsidP="009F7577">
            <w:pPr>
              <w:rPr>
                <w:rFonts w:cs="Arial"/>
                <w:color w:val="000000"/>
                <w:sz w:val="22"/>
                <w:szCs w:val="22"/>
              </w:rPr>
            </w:pPr>
            <w:r>
              <w:rPr>
                <w:rFonts w:cs="Arial"/>
                <w:color w:val="000000"/>
                <w:sz w:val="22"/>
                <w:szCs w:val="22"/>
              </w:rPr>
              <w:t>Sunday</w:t>
            </w:r>
          </w:p>
        </w:tc>
        <w:tc>
          <w:tcPr>
            <w:tcW w:w="1985" w:type="dxa"/>
            <w:vAlign w:val="center"/>
          </w:tcPr>
          <w:p w14:paraId="4FF38752" w14:textId="2F0A1FFF" w:rsidR="005D0A71" w:rsidRPr="008F55EC" w:rsidRDefault="00F84BB4" w:rsidP="00F84BB4">
            <w:pPr>
              <w:jc w:val="right"/>
              <w:rPr>
                <w:rFonts w:cs="Arial"/>
                <w:color w:val="000000"/>
                <w:sz w:val="22"/>
                <w:szCs w:val="22"/>
              </w:rPr>
            </w:pPr>
            <w:r>
              <w:rPr>
                <w:rFonts w:cs="Arial"/>
                <w:color w:val="000000"/>
                <w:sz w:val="22"/>
                <w:szCs w:val="22"/>
              </w:rPr>
              <w:t>19,</w:t>
            </w:r>
            <w:r w:rsidR="004C1AB5">
              <w:rPr>
                <w:rFonts w:cs="Arial"/>
                <w:color w:val="000000"/>
                <w:sz w:val="22"/>
                <w:szCs w:val="22"/>
              </w:rPr>
              <w:t>8</w:t>
            </w:r>
            <w:r>
              <w:rPr>
                <w:rFonts w:cs="Arial"/>
                <w:color w:val="000000"/>
                <w:sz w:val="22"/>
                <w:szCs w:val="22"/>
              </w:rPr>
              <w:t>00</w:t>
            </w:r>
          </w:p>
        </w:tc>
        <w:tc>
          <w:tcPr>
            <w:tcW w:w="1985" w:type="dxa"/>
          </w:tcPr>
          <w:p w14:paraId="4C9B3B4A" w14:textId="6A795E5A" w:rsidR="005D0A71" w:rsidRPr="008F55EC" w:rsidRDefault="00F84BB4" w:rsidP="00F84BB4">
            <w:pPr>
              <w:jc w:val="right"/>
              <w:rPr>
                <w:rFonts w:cs="Arial"/>
                <w:color w:val="000000"/>
                <w:sz w:val="22"/>
                <w:szCs w:val="22"/>
              </w:rPr>
            </w:pPr>
            <w:r>
              <w:rPr>
                <w:rFonts w:cs="Arial"/>
                <w:color w:val="000000"/>
                <w:sz w:val="22"/>
                <w:szCs w:val="22"/>
              </w:rPr>
              <w:t>20,</w:t>
            </w:r>
            <w:r w:rsidR="004C1AB5">
              <w:rPr>
                <w:rFonts w:cs="Arial"/>
                <w:color w:val="000000"/>
                <w:sz w:val="22"/>
                <w:szCs w:val="22"/>
              </w:rPr>
              <w:t>4</w:t>
            </w:r>
            <w:r>
              <w:rPr>
                <w:rFonts w:cs="Arial"/>
                <w:color w:val="000000"/>
                <w:sz w:val="22"/>
                <w:szCs w:val="22"/>
              </w:rPr>
              <w:t>00</w:t>
            </w:r>
          </w:p>
        </w:tc>
        <w:tc>
          <w:tcPr>
            <w:tcW w:w="1985" w:type="dxa"/>
          </w:tcPr>
          <w:p w14:paraId="0D66FD89" w14:textId="64B341F3" w:rsidR="005D0A71" w:rsidRPr="008F55EC" w:rsidRDefault="00F84BB4" w:rsidP="00F84BB4">
            <w:pPr>
              <w:jc w:val="right"/>
              <w:rPr>
                <w:rFonts w:cs="Arial"/>
                <w:color w:val="000000"/>
                <w:sz w:val="22"/>
                <w:szCs w:val="22"/>
              </w:rPr>
            </w:pPr>
            <w:r>
              <w:rPr>
                <w:rFonts w:cs="Arial"/>
                <w:color w:val="000000"/>
                <w:sz w:val="22"/>
                <w:szCs w:val="22"/>
              </w:rPr>
              <w:t>24,</w:t>
            </w:r>
            <w:r w:rsidR="004C1AB5">
              <w:rPr>
                <w:rFonts w:cs="Arial"/>
                <w:color w:val="000000"/>
                <w:sz w:val="22"/>
                <w:szCs w:val="22"/>
              </w:rPr>
              <w:t>8</w:t>
            </w:r>
            <w:r>
              <w:rPr>
                <w:rFonts w:cs="Arial"/>
                <w:color w:val="000000"/>
                <w:sz w:val="22"/>
                <w:szCs w:val="22"/>
              </w:rPr>
              <w:t>00</w:t>
            </w:r>
          </w:p>
        </w:tc>
      </w:tr>
    </w:tbl>
    <w:p w14:paraId="24517A9D" w14:textId="6F0B60EB" w:rsidR="00247B25" w:rsidRDefault="00247B25" w:rsidP="00247B25">
      <w:pPr>
        <w:pStyle w:val="ListParagraph"/>
        <w:numPr>
          <w:ilvl w:val="0"/>
          <w:numId w:val="22"/>
        </w:numPr>
      </w:pPr>
      <w:r>
        <w:t xml:space="preserve">QVM </w:t>
      </w:r>
      <w:r w:rsidR="00AF4B64">
        <w:t>p</w:t>
      </w:r>
      <w:r>
        <w:t>edestrian activity includes QVM-Peel St, QVM-Queen St (East), QVM-Therry St (South), and QVM-Franklin St (North) sensors.</w:t>
      </w:r>
    </w:p>
    <w:p w14:paraId="3D677209" w14:textId="79E981AF" w:rsidR="000437C5" w:rsidRDefault="009F7577" w:rsidP="00F221E1">
      <w:pPr>
        <w:pStyle w:val="Heading1"/>
        <w:rPr>
          <w:rFonts w:hint="eastAsia"/>
        </w:rPr>
      </w:pPr>
      <w:bookmarkStart w:id="14" w:name="_Toc175665289"/>
      <w:r>
        <w:t>Neighbourhood Spend Trends</w:t>
      </w:r>
      <w:bookmarkEnd w:id="14"/>
    </w:p>
    <w:p w14:paraId="481AB15D" w14:textId="1E02EC1F" w:rsidR="00E84AAE" w:rsidRDefault="00CB2D6A" w:rsidP="00E84AAE">
      <w:r w:rsidRPr="00CB2D6A">
        <w:t xml:space="preserve">Our Neighbourhood Spend Trends show when people spend, what they're buying, and where they're coming from to help you tailor your offering to boost your business. Explore the positive impact of twilight trade in the city’s </w:t>
      </w:r>
      <w:r w:rsidR="009B6E1F">
        <w:t>n</w:t>
      </w:r>
      <w:r w:rsidRPr="00CB2D6A">
        <w:t>orth and the Queen Victoria Market precinct, where retail spend is rising outside work hours.</w:t>
      </w:r>
    </w:p>
    <w:p w14:paraId="26A945E7" w14:textId="0FAFF736" w:rsidR="009F7577" w:rsidRPr="009F7577" w:rsidRDefault="009F7577" w:rsidP="00F221E1">
      <w:pPr>
        <w:pStyle w:val="Heading2"/>
        <w:rPr>
          <w:rFonts w:hint="eastAsia"/>
        </w:rPr>
      </w:pPr>
      <w:bookmarkStart w:id="15" w:name="_Toc175665290"/>
      <w:r>
        <w:t>Melbourne CBD</w:t>
      </w:r>
      <w:r w:rsidR="00C55B65">
        <w:t xml:space="preserve"> – North</w:t>
      </w:r>
      <w:bookmarkEnd w:id="15"/>
    </w:p>
    <w:p w14:paraId="41A4505F" w14:textId="4E696CB7" w:rsidR="00723A75" w:rsidRDefault="0EF83AAF" w:rsidP="4E54D03C">
      <w:pPr>
        <w:pStyle w:val="Heading3"/>
        <w:rPr>
          <w:rFonts w:hint="eastAsia"/>
        </w:rPr>
      </w:pPr>
      <w:bookmarkStart w:id="16" w:name="_Toc175665291"/>
      <w:r>
        <w:t xml:space="preserve">Table </w:t>
      </w:r>
      <w:r w:rsidR="00C55B65">
        <w:t>6</w:t>
      </w:r>
      <w:r w:rsidR="6CA1FDE4">
        <w:t xml:space="preserve"> </w:t>
      </w:r>
      <w:r w:rsidR="009F7577">
        <w:t>–</w:t>
      </w:r>
      <w:r w:rsidR="6CA1FDE4">
        <w:t xml:space="preserve"> </w:t>
      </w:r>
      <w:r w:rsidR="009F7577">
        <w:t>Spending</w:t>
      </w:r>
      <w:r w:rsidR="00E84AAE">
        <w:t xml:space="preserve"> by</w:t>
      </w:r>
      <w:r w:rsidR="009F7577">
        <w:t xml:space="preserve"> </w:t>
      </w:r>
      <w:r w:rsidR="00F64925">
        <w:t>c</w:t>
      </w:r>
      <w:r w:rsidR="009F7577">
        <w:t>ategor</w:t>
      </w:r>
      <w:r w:rsidR="000F3A62">
        <w:t>y</w:t>
      </w:r>
      <w:r w:rsidR="009F7577">
        <w:t>, Q</w:t>
      </w:r>
      <w:r w:rsidR="00C55B65">
        <w:t>2</w:t>
      </w:r>
      <w:r w:rsidR="009F7577">
        <w:t xml:space="preserve"> 2024</w:t>
      </w:r>
      <w:bookmarkEnd w:id="16"/>
    </w:p>
    <w:tbl>
      <w:tblPr>
        <w:tblStyle w:val="TableGrid"/>
        <w:tblW w:w="0" w:type="auto"/>
        <w:tblLook w:val="04A0" w:firstRow="1" w:lastRow="0" w:firstColumn="1" w:lastColumn="0" w:noHBand="0" w:noVBand="1"/>
      </w:tblPr>
      <w:tblGrid>
        <w:gridCol w:w="1980"/>
        <w:gridCol w:w="2977"/>
      </w:tblGrid>
      <w:tr w:rsidR="00F64925" w:rsidRPr="008F55EC" w14:paraId="26E5A4B1" w14:textId="77777777" w:rsidTr="00F1256F">
        <w:tc>
          <w:tcPr>
            <w:tcW w:w="1980" w:type="dxa"/>
            <w:vAlign w:val="center"/>
          </w:tcPr>
          <w:p w14:paraId="2C98157F" w14:textId="6FA641CB" w:rsidR="00F64925" w:rsidRPr="00F64925" w:rsidRDefault="00F64925" w:rsidP="00AA3C19">
            <w:pPr>
              <w:rPr>
                <w:rFonts w:cs="Arial"/>
                <w:b/>
                <w:bCs/>
                <w:sz w:val="22"/>
                <w:szCs w:val="22"/>
                <w:lang w:val="en-US"/>
              </w:rPr>
            </w:pPr>
            <w:r w:rsidRPr="00F64925">
              <w:rPr>
                <w:rFonts w:cs="Arial"/>
                <w:b/>
                <w:bCs/>
                <w:sz w:val="22"/>
                <w:szCs w:val="22"/>
                <w:lang w:val="en-US"/>
              </w:rPr>
              <w:t>Category</w:t>
            </w:r>
          </w:p>
        </w:tc>
        <w:tc>
          <w:tcPr>
            <w:tcW w:w="2977" w:type="dxa"/>
            <w:vAlign w:val="center"/>
          </w:tcPr>
          <w:p w14:paraId="617D81B3" w14:textId="61FBE0AE" w:rsidR="00F64925" w:rsidRPr="008F55EC" w:rsidRDefault="00F64925" w:rsidP="00AA3C19">
            <w:pPr>
              <w:rPr>
                <w:rFonts w:cs="Arial"/>
                <w:sz w:val="22"/>
                <w:szCs w:val="22"/>
                <w:lang w:val="en-US"/>
              </w:rPr>
            </w:pPr>
            <w:r>
              <w:rPr>
                <w:rFonts w:cs="Arial"/>
                <w:b/>
                <w:bCs/>
                <w:color w:val="000000"/>
                <w:sz w:val="22"/>
                <w:szCs w:val="22"/>
              </w:rPr>
              <w:t>Adjusted Spend</w:t>
            </w:r>
          </w:p>
        </w:tc>
      </w:tr>
      <w:tr w:rsidR="00F64925" w:rsidRPr="008F55EC" w14:paraId="13108588" w14:textId="77777777" w:rsidTr="00F1256F">
        <w:tc>
          <w:tcPr>
            <w:tcW w:w="1980" w:type="dxa"/>
            <w:vAlign w:val="center"/>
          </w:tcPr>
          <w:p w14:paraId="52EBED05" w14:textId="0B5D911C" w:rsidR="00F64925" w:rsidRPr="008F55EC" w:rsidRDefault="000A53E6" w:rsidP="00AA3C19">
            <w:pPr>
              <w:rPr>
                <w:rFonts w:cs="Arial"/>
                <w:sz w:val="22"/>
                <w:szCs w:val="22"/>
                <w:lang w:val="en-US"/>
              </w:rPr>
            </w:pPr>
            <w:r>
              <w:rPr>
                <w:rFonts w:cs="Arial"/>
                <w:sz w:val="22"/>
                <w:szCs w:val="22"/>
                <w:lang w:val="en-US"/>
              </w:rPr>
              <w:t>Retail</w:t>
            </w:r>
          </w:p>
        </w:tc>
        <w:tc>
          <w:tcPr>
            <w:tcW w:w="2977" w:type="dxa"/>
            <w:vAlign w:val="center"/>
          </w:tcPr>
          <w:p w14:paraId="3FF0C709" w14:textId="32204FE0" w:rsidR="00F64925" w:rsidRPr="008F55EC" w:rsidRDefault="000A53E6" w:rsidP="000A53E6">
            <w:pPr>
              <w:jc w:val="right"/>
              <w:rPr>
                <w:rFonts w:cs="Arial"/>
                <w:sz w:val="22"/>
                <w:szCs w:val="22"/>
                <w:lang w:val="en-US"/>
              </w:rPr>
            </w:pPr>
            <w:r>
              <w:rPr>
                <w:rFonts w:cs="Arial"/>
                <w:sz w:val="22"/>
                <w:szCs w:val="22"/>
                <w:lang w:val="en-US"/>
              </w:rPr>
              <w:t>$63,863,000</w:t>
            </w:r>
          </w:p>
        </w:tc>
      </w:tr>
      <w:tr w:rsidR="00F64925" w:rsidRPr="008F55EC" w14:paraId="1F9C9639" w14:textId="77777777" w:rsidTr="00F1256F">
        <w:tc>
          <w:tcPr>
            <w:tcW w:w="1980" w:type="dxa"/>
            <w:vAlign w:val="center"/>
          </w:tcPr>
          <w:p w14:paraId="7BDF5D0A" w14:textId="5C0877AD" w:rsidR="00F64925" w:rsidRPr="008F55EC" w:rsidRDefault="000A53E6" w:rsidP="00AA3C19">
            <w:pPr>
              <w:rPr>
                <w:rFonts w:cs="Arial"/>
                <w:sz w:val="22"/>
                <w:szCs w:val="22"/>
                <w:lang w:val="en-US"/>
              </w:rPr>
            </w:pPr>
            <w:r>
              <w:rPr>
                <w:rFonts w:cs="Arial"/>
                <w:sz w:val="22"/>
                <w:szCs w:val="22"/>
                <w:lang w:val="en-US"/>
              </w:rPr>
              <w:lastRenderedPageBreak/>
              <w:t>Entertainment</w:t>
            </w:r>
          </w:p>
        </w:tc>
        <w:tc>
          <w:tcPr>
            <w:tcW w:w="2977" w:type="dxa"/>
            <w:vAlign w:val="center"/>
          </w:tcPr>
          <w:p w14:paraId="43013009" w14:textId="35CB55DC" w:rsidR="00F64925" w:rsidRPr="008F55EC" w:rsidRDefault="000A53E6" w:rsidP="000A53E6">
            <w:pPr>
              <w:jc w:val="right"/>
              <w:rPr>
                <w:rFonts w:cs="Arial"/>
                <w:sz w:val="22"/>
                <w:szCs w:val="22"/>
                <w:lang w:val="en-US"/>
              </w:rPr>
            </w:pPr>
            <w:r>
              <w:rPr>
                <w:rFonts w:cs="Arial"/>
                <w:sz w:val="22"/>
                <w:szCs w:val="22"/>
                <w:lang w:val="en-US"/>
              </w:rPr>
              <w:t>$34,782,000</w:t>
            </w:r>
          </w:p>
        </w:tc>
      </w:tr>
      <w:tr w:rsidR="00F64925" w:rsidRPr="008F55EC" w14:paraId="5C543805" w14:textId="77777777" w:rsidTr="00F1256F">
        <w:tc>
          <w:tcPr>
            <w:tcW w:w="1980" w:type="dxa"/>
            <w:vAlign w:val="center"/>
          </w:tcPr>
          <w:p w14:paraId="5350B8E9" w14:textId="7BA47A5E" w:rsidR="00F64925" w:rsidRDefault="000A53E6" w:rsidP="00AA3C19">
            <w:pPr>
              <w:rPr>
                <w:rFonts w:cs="Arial"/>
                <w:color w:val="000000"/>
                <w:sz w:val="22"/>
                <w:szCs w:val="22"/>
              </w:rPr>
            </w:pPr>
            <w:r>
              <w:rPr>
                <w:rFonts w:cs="Arial"/>
                <w:color w:val="000000"/>
                <w:sz w:val="22"/>
                <w:szCs w:val="22"/>
              </w:rPr>
              <w:t>Commercial</w:t>
            </w:r>
          </w:p>
        </w:tc>
        <w:tc>
          <w:tcPr>
            <w:tcW w:w="2977" w:type="dxa"/>
            <w:vAlign w:val="center"/>
          </w:tcPr>
          <w:p w14:paraId="5AD29969" w14:textId="3AC340FB" w:rsidR="00F64925" w:rsidRPr="008F55EC" w:rsidRDefault="000A53E6" w:rsidP="000A53E6">
            <w:pPr>
              <w:jc w:val="right"/>
              <w:rPr>
                <w:rFonts w:cs="Arial"/>
                <w:sz w:val="22"/>
                <w:szCs w:val="22"/>
                <w:lang w:val="en-US"/>
              </w:rPr>
            </w:pPr>
            <w:r>
              <w:rPr>
                <w:rFonts w:cs="Arial"/>
                <w:sz w:val="22"/>
                <w:szCs w:val="22"/>
                <w:lang w:val="en-US"/>
              </w:rPr>
              <w:t>$4,100,000</w:t>
            </w:r>
          </w:p>
        </w:tc>
      </w:tr>
      <w:tr w:rsidR="00F64925" w:rsidRPr="008F55EC" w14:paraId="0FA24A07" w14:textId="77777777" w:rsidTr="00F1256F">
        <w:tc>
          <w:tcPr>
            <w:tcW w:w="1980" w:type="dxa"/>
            <w:vAlign w:val="center"/>
          </w:tcPr>
          <w:p w14:paraId="60F975CD" w14:textId="4A5802A3" w:rsidR="00F64925" w:rsidRDefault="000A53E6" w:rsidP="00AA3C19">
            <w:pPr>
              <w:rPr>
                <w:rFonts w:cs="Arial"/>
                <w:color w:val="000000"/>
                <w:sz w:val="22"/>
                <w:szCs w:val="22"/>
              </w:rPr>
            </w:pPr>
            <w:r>
              <w:rPr>
                <w:rFonts w:cs="Arial"/>
                <w:color w:val="000000"/>
                <w:sz w:val="22"/>
                <w:szCs w:val="22"/>
              </w:rPr>
              <w:t>Tourism</w:t>
            </w:r>
          </w:p>
        </w:tc>
        <w:tc>
          <w:tcPr>
            <w:tcW w:w="2977" w:type="dxa"/>
            <w:vAlign w:val="center"/>
          </w:tcPr>
          <w:p w14:paraId="5D292CA3" w14:textId="46E10DEE" w:rsidR="00F64925" w:rsidRPr="008F55EC" w:rsidRDefault="000A53E6" w:rsidP="000A53E6">
            <w:pPr>
              <w:jc w:val="right"/>
              <w:rPr>
                <w:rFonts w:cs="Arial"/>
                <w:sz w:val="22"/>
                <w:szCs w:val="22"/>
                <w:lang w:val="en-US"/>
              </w:rPr>
            </w:pPr>
            <w:r>
              <w:rPr>
                <w:rFonts w:cs="Arial"/>
                <w:sz w:val="22"/>
                <w:szCs w:val="22"/>
                <w:lang w:val="en-US"/>
              </w:rPr>
              <w:t>$3,888,000</w:t>
            </w:r>
          </w:p>
        </w:tc>
      </w:tr>
    </w:tbl>
    <w:p w14:paraId="30D90A39" w14:textId="04F50B18" w:rsidR="009F7577" w:rsidRDefault="009F7577" w:rsidP="009F7577">
      <w:pPr>
        <w:pStyle w:val="Heading3"/>
        <w:rPr>
          <w:rFonts w:hint="eastAsia"/>
        </w:rPr>
      </w:pPr>
      <w:bookmarkStart w:id="17" w:name="_Toc175665292"/>
      <w:r>
        <w:t xml:space="preserve">Table </w:t>
      </w:r>
      <w:r w:rsidR="00C55B65">
        <w:t>7</w:t>
      </w:r>
      <w:r>
        <w:t xml:space="preserve"> – Work </w:t>
      </w:r>
      <w:r w:rsidR="00F64925">
        <w:t>h</w:t>
      </w:r>
      <w:r>
        <w:t xml:space="preserve">ours and </w:t>
      </w:r>
      <w:r w:rsidR="00F64925">
        <w:t>n</w:t>
      </w:r>
      <w:r>
        <w:t xml:space="preserve">on-work </w:t>
      </w:r>
      <w:r w:rsidR="00F64925">
        <w:t>h</w:t>
      </w:r>
      <w:r>
        <w:t xml:space="preserve">ours </w:t>
      </w:r>
      <w:r w:rsidR="00F64925">
        <w:t>s</w:t>
      </w:r>
      <w:r>
        <w:t>pend</w:t>
      </w:r>
      <w:r w:rsidR="00B776A9">
        <w:t xml:space="preserve"> in Melbourne CBD – </w:t>
      </w:r>
      <w:r w:rsidR="00B776A9">
        <w:rPr>
          <w:rFonts w:hint="eastAsia"/>
        </w:rPr>
        <w:t>North</w:t>
      </w:r>
      <w:r>
        <w:t>, Q</w:t>
      </w:r>
      <w:r w:rsidR="00C55B65">
        <w:t>2</w:t>
      </w:r>
      <w:r>
        <w:t xml:space="preserve"> 2024</w:t>
      </w:r>
      <w:bookmarkEnd w:id="17"/>
    </w:p>
    <w:tbl>
      <w:tblPr>
        <w:tblStyle w:val="TableGrid"/>
        <w:tblW w:w="0" w:type="auto"/>
        <w:tblLook w:val="04A0" w:firstRow="1" w:lastRow="0" w:firstColumn="1" w:lastColumn="0" w:noHBand="0" w:noVBand="1"/>
      </w:tblPr>
      <w:tblGrid>
        <w:gridCol w:w="2689"/>
        <w:gridCol w:w="2268"/>
        <w:gridCol w:w="3118"/>
      </w:tblGrid>
      <w:tr w:rsidR="00F64925" w:rsidRPr="008F55EC" w14:paraId="4CEE8B83" w14:textId="04A459C0" w:rsidTr="00F64925">
        <w:tc>
          <w:tcPr>
            <w:tcW w:w="2689" w:type="dxa"/>
            <w:vAlign w:val="center"/>
          </w:tcPr>
          <w:p w14:paraId="4E87028C" w14:textId="28FD47F2" w:rsidR="00F64925" w:rsidRPr="00F64925" w:rsidRDefault="00F64925" w:rsidP="00AA3C19">
            <w:pPr>
              <w:rPr>
                <w:rFonts w:cs="Arial"/>
                <w:b/>
                <w:bCs/>
                <w:sz w:val="22"/>
                <w:szCs w:val="22"/>
                <w:lang w:val="en-US"/>
              </w:rPr>
            </w:pPr>
            <w:r>
              <w:rPr>
                <w:rFonts w:cs="Arial"/>
                <w:b/>
                <w:bCs/>
                <w:sz w:val="22"/>
                <w:szCs w:val="22"/>
                <w:lang w:val="en-US"/>
              </w:rPr>
              <w:t>Time Period</w:t>
            </w:r>
          </w:p>
        </w:tc>
        <w:tc>
          <w:tcPr>
            <w:tcW w:w="2268" w:type="dxa"/>
            <w:vAlign w:val="center"/>
          </w:tcPr>
          <w:p w14:paraId="2C7984F6" w14:textId="16AFE991" w:rsidR="00F64925" w:rsidRPr="008F55EC" w:rsidRDefault="00F64925" w:rsidP="00AA3C19">
            <w:pPr>
              <w:rPr>
                <w:rFonts w:cs="Arial"/>
                <w:sz w:val="22"/>
                <w:szCs w:val="22"/>
                <w:lang w:val="en-US"/>
              </w:rPr>
            </w:pPr>
            <w:r>
              <w:rPr>
                <w:rFonts w:cs="Arial"/>
                <w:b/>
                <w:bCs/>
                <w:color w:val="000000"/>
                <w:sz w:val="22"/>
                <w:szCs w:val="22"/>
              </w:rPr>
              <w:t>Adjusted Spend</w:t>
            </w:r>
          </w:p>
        </w:tc>
        <w:tc>
          <w:tcPr>
            <w:tcW w:w="3118" w:type="dxa"/>
          </w:tcPr>
          <w:p w14:paraId="3013D9C4" w14:textId="342EDAC2" w:rsidR="00F64925" w:rsidRDefault="00F64925" w:rsidP="00AA3C19">
            <w:pPr>
              <w:rPr>
                <w:rFonts w:cs="Arial"/>
                <w:b/>
                <w:bCs/>
                <w:color w:val="000000"/>
                <w:sz w:val="22"/>
                <w:szCs w:val="22"/>
              </w:rPr>
            </w:pPr>
            <w:r>
              <w:rPr>
                <w:rFonts w:cs="Arial"/>
                <w:b/>
                <w:bCs/>
                <w:color w:val="000000"/>
                <w:sz w:val="22"/>
                <w:szCs w:val="22"/>
              </w:rPr>
              <w:t>Percent of Average Spend</w:t>
            </w:r>
          </w:p>
        </w:tc>
      </w:tr>
      <w:tr w:rsidR="00C55B65" w:rsidRPr="008F55EC" w14:paraId="722E7603" w14:textId="049604D4" w:rsidTr="00F64925">
        <w:tc>
          <w:tcPr>
            <w:tcW w:w="2689" w:type="dxa"/>
            <w:vAlign w:val="center"/>
          </w:tcPr>
          <w:p w14:paraId="766AF8A1" w14:textId="6F54513D" w:rsidR="00C55B65" w:rsidRPr="008F55EC" w:rsidRDefault="00C55B65" w:rsidP="00C55B65">
            <w:pPr>
              <w:rPr>
                <w:rFonts w:cs="Arial"/>
                <w:sz w:val="22"/>
                <w:szCs w:val="22"/>
                <w:lang w:val="en-US"/>
              </w:rPr>
            </w:pPr>
            <w:r>
              <w:rPr>
                <w:rFonts w:cs="Arial"/>
                <w:color w:val="000000"/>
                <w:sz w:val="22"/>
                <w:szCs w:val="22"/>
              </w:rPr>
              <w:t>Work hours</w:t>
            </w:r>
          </w:p>
        </w:tc>
        <w:tc>
          <w:tcPr>
            <w:tcW w:w="2268" w:type="dxa"/>
            <w:vAlign w:val="center"/>
          </w:tcPr>
          <w:p w14:paraId="00D122BE" w14:textId="5ECFE2EE" w:rsidR="00C55B65" w:rsidRPr="008F55EC" w:rsidRDefault="000A53E6" w:rsidP="000A53E6">
            <w:pPr>
              <w:jc w:val="right"/>
              <w:rPr>
                <w:rFonts w:cs="Arial"/>
                <w:sz w:val="22"/>
                <w:szCs w:val="22"/>
                <w:lang w:val="en-US"/>
              </w:rPr>
            </w:pPr>
            <w:r>
              <w:rPr>
                <w:rFonts w:cs="Arial"/>
                <w:sz w:val="22"/>
                <w:szCs w:val="22"/>
                <w:lang w:val="en-US"/>
              </w:rPr>
              <w:t>$60,000,000</w:t>
            </w:r>
          </w:p>
        </w:tc>
        <w:tc>
          <w:tcPr>
            <w:tcW w:w="3118" w:type="dxa"/>
          </w:tcPr>
          <w:p w14:paraId="0A43FD94" w14:textId="2AACCCE4" w:rsidR="00C55B65" w:rsidRPr="008F55EC" w:rsidRDefault="000A53E6" w:rsidP="000A53E6">
            <w:pPr>
              <w:jc w:val="right"/>
              <w:rPr>
                <w:rFonts w:cs="Arial"/>
                <w:sz w:val="22"/>
                <w:szCs w:val="22"/>
                <w:lang w:val="en-US"/>
              </w:rPr>
            </w:pPr>
            <w:r>
              <w:rPr>
                <w:rFonts w:cs="Arial"/>
                <w:sz w:val="22"/>
                <w:szCs w:val="22"/>
                <w:lang w:val="en-US"/>
              </w:rPr>
              <w:t>56%</w:t>
            </w:r>
          </w:p>
        </w:tc>
      </w:tr>
      <w:tr w:rsidR="00C55B65" w:rsidRPr="008F55EC" w14:paraId="71CF9BA6" w14:textId="6D63D1F5" w:rsidTr="00F64925">
        <w:tc>
          <w:tcPr>
            <w:tcW w:w="2689" w:type="dxa"/>
            <w:vAlign w:val="center"/>
          </w:tcPr>
          <w:p w14:paraId="7B724A9F" w14:textId="10BD9569" w:rsidR="00C55B65" w:rsidRPr="008F55EC" w:rsidRDefault="00C55B65" w:rsidP="00C55B65">
            <w:pPr>
              <w:rPr>
                <w:rFonts w:cs="Arial"/>
                <w:sz w:val="22"/>
                <w:szCs w:val="22"/>
                <w:lang w:val="en-US"/>
              </w:rPr>
            </w:pPr>
            <w:r>
              <w:rPr>
                <w:rFonts w:cs="Arial"/>
                <w:color w:val="000000"/>
                <w:sz w:val="22"/>
                <w:szCs w:val="22"/>
              </w:rPr>
              <w:t>Non-work hours</w:t>
            </w:r>
          </w:p>
        </w:tc>
        <w:tc>
          <w:tcPr>
            <w:tcW w:w="2268" w:type="dxa"/>
            <w:vAlign w:val="center"/>
          </w:tcPr>
          <w:p w14:paraId="6AA5B2F7" w14:textId="03191740" w:rsidR="00C55B65" w:rsidRPr="008F55EC" w:rsidRDefault="000A53E6" w:rsidP="000A53E6">
            <w:pPr>
              <w:jc w:val="right"/>
              <w:rPr>
                <w:rFonts w:cs="Arial"/>
                <w:sz w:val="22"/>
                <w:szCs w:val="22"/>
                <w:lang w:val="en-US"/>
              </w:rPr>
            </w:pPr>
            <w:r>
              <w:rPr>
                <w:rFonts w:cs="Arial"/>
                <w:sz w:val="22"/>
                <w:szCs w:val="22"/>
                <w:lang w:val="en-US"/>
              </w:rPr>
              <w:t>$47,000,000</w:t>
            </w:r>
          </w:p>
        </w:tc>
        <w:tc>
          <w:tcPr>
            <w:tcW w:w="3118" w:type="dxa"/>
          </w:tcPr>
          <w:p w14:paraId="297A90E0" w14:textId="768BE7AD" w:rsidR="00C55B65" w:rsidRPr="008F55EC" w:rsidRDefault="000A53E6" w:rsidP="000A53E6">
            <w:pPr>
              <w:jc w:val="right"/>
              <w:rPr>
                <w:rFonts w:cs="Arial"/>
                <w:sz w:val="22"/>
                <w:szCs w:val="22"/>
                <w:lang w:val="en-US"/>
              </w:rPr>
            </w:pPr>
            <w:r>
              <w:rPr>
                <w:rFonts w:cs="Arial"/>
                <w:sz w:val="22"/>
                <w:szCs w:val="22"/>
                <w:lang w:val="en-US"/>
              </w:rPr>
              <w:t>44%</w:t>
            </w:r>
          </w:p>
        </w:tc>
      </w:tr>
    </w:tbl>
    <w:p w14:paraId="2D6CEC97" w14:textId="1492CCD4" w:rsidR="004B0A87" w:rsidRDefault="004B0A87" w:rsidP="004B0A87">
      <w:pPr>
        <w:pStyle w:val="ListParagraph"/>
        <w:numPr>
          <w:ilvl w:val="0"/>
          <w:numId w:val="21"/>
        </w:numPr>
      </w:pPr>
      <w:r w:rsidRPr="005B476C">
        <w:t>Work hours are 8am to 6pm, Monday to Friday.</w:t>
      </w:r>
    </w:p>
    <w:p w14:paraId="66538CCA" w14:textId="4AB1FF80" w:rsidR="002031FC" w:rsidRDefault="002031FC" w:rsidP="002031FC">
      <w:pPr>
        <w:pStyle w:val="Heading3"/>
        <w:rPr>
          <w:rFonts w:hint="eastAsia"/>
        </w:rPr>
      </w:pPr>
      <w:bookmarkStart w:id="18" w:name="_Toc175665293"/>
      <w:r>
        <w:t xml:space="preserve">Table </w:t>
      </w:r>
      <w:r w:rsidR="00C55B65">
        <w:t>8</w:t>
      </w:r>
      <w:r>
        <w:t xml:space="preserve"> – </w:t>
      </w:r>
      <w:r w:rsidRPr="002031FC">
        <w:t>Weekday and weekend spend in Melbourne CBD</w:t>
      </w:r>
      <w:r w:rsidR="00C55B65">
        <w:t xml:space="preserve"> – North</w:t>
      </w:r>
      <w:r w:rsidRPr="002031FC">
        <w:t>, Q</w:t>
      </w:r>
      <w:r w:rsidR="00C55B65">
        <w:t>2</w:t>
      </w:r>
      <w:r w:rsidRPr="002031FC">
        <w:t xml:space="preserve"> 2024</w:t>
      </w:r>
      <w:bookmarkEnd w:id="18"/>
      <w:r>
        <w:t xml:space="preserve"> </w:t>
      </w:r>
    </w:p>
    <w:tbl>
      <w:tblPr>
        <w:tblStyle w:val="TableGrid"/>
        <w:tblW w:w="0" w:type="auto"/>
        <w:tblLook w:val="04A0" w:firstRow="1" w:lastRow="0" w:firstColumn="1" w:lastColumn="0" w:noHBand="0" w:noVBand="1"/>
      </w:tblPr>
      <w:tblGrid>
        <w:gridCol w:w="2689"/>
        <w:gridCol w:w="2268"/>
        <w:gridCol w:w="3118"/>
      </w:tblGrid>
      <w:tr w:rsidR="00C55B65" w:rsidRPr="008F55EC" w14:paraId="17F54338" w14:textId="77777777" w:rsidTr="00922857">
        <w:tc>
          <w:tcPr>
            <w:tcW w:w="2689" w:type="dxa"/>
            <w:vAlign w:val="center"/>
          </w:tcPr>
          <w:p w14:paraId="2E4CFDFF" w14:textId="6FDE38F0" w:rsidR="00C55B65" w:rsidRPr="00F64925" w:rsidRDefault="00C55B65" w:rsidP="00C55B65">
            <w:pPr>
              <w:rPr>
                <w:rFonts w:cs="Arial"/>
                <w:b/>
                <w:bCs/>
                <w:sz w:val="22"/>
                <w:szCs w:val="22"/>
                <w:lang w:val="en-US"/>
              </w:rPr>
            </w:pPr>
            <w:r>
              <w:rPr>
                <w:rFonts w:cs="Arial"/>
                <w:b/>
                <w:bCs/>
                <w:sz w:val="22"/>
                <w:szCs w:val="22"/>
                <w:lang w:val="en-US"/>
              </w:rPr>
              <w:t>Time Period</w:t>
            </w:r>
          </w:p>
        </w:tc>
        <w:tc>
          <w:tcPr>
            <w:tcW w:w="2268" w:type="dxa"/>
            <w:vAlign w:val="center"/>
          </w:tcPr>
          <w:p w14:paraId="5AB8E698" w14:textId="3B3B5097" w:rsidR="00C55B65" w:rsidRPr="008F55EC" w:rsidRDefault="00C55B65" w:rsidP="00C55B65">
            <w:pPr>
              <w:rPr>
                <w:rFonts w:cs="Arial"/>
                <w:sz w:val="22"/>
                <w:szCs w:val="22"/>
                <w:lang w:val="en-US"/>
              </w:rPr>
            </w:pPr>
            <w:r>
              <w:rPr>
                <w:rFonts w:cs="Arial"/>
                <w:b/>
                <w:bCs/>
                <w:color w:val="000000"/>
                <w:sz w:val="22"/>
                <w:szCs w:val="22"/>
              </w:rPr>
              <w:t>Adjusted Spend</w:t>
            </w:r>
          </w:p>
        </w:tc>
        <w:tc>
          <w:tcPr>
            <w:tcW w:w="3118" w:type="dxa"/>
          </w:tcPr>
          <w:p w14:paraId="02732F96" w14:textId="6D8F7F01" w:rsidR="00C55B65" w:rsidRDefault="00C55B65" w:rsidP="00C55B65">
            <w:pPr>
              <w:rPr>
                <w:rFonts w:cs="Arial"/>
                <w:b/>
                <w:bCs/>
                <w:color w:val="000000"/>
                <w:sz w:val="22"/>
                <w:szCs w:val="22"/>
              </w:rPr>
            </w:pPr>
            <w:r>
              <w:rPr>
                <w:rFonts w:cs="Arial"/>
                <w:b/>
                <w:bCs/>
                <w:color w:val="000000"/>
                <w:sz w:val="22"/>
                <w:szCs w:val="22"/>
              </w:rPr>
              <w:t>Percent of Average Spend</w:t>
            </w:r>
          </w:p>
        </w:tc>
      </w:tr>
      <w:tr w:rsidR="00C55B65" w:rsidRPr="008F55EC" w14:paraId="3CFC5ABF" w14:textId="77777777" w:rsidTr="00922857">
        <w:tc>
          <w:tcPr>
            <w:tcW w:w="2689" w:type="dxa"/>
            <w:vAlign w:val="center"/>
          </w:tcPr>
          <w:p w14:paraId="372077E4" w14:textId="4D3E99DA" w:rsidR="00C55B65" w:rsidRPr="008F55EC" w:rsidRDefault="00C55B65" w:rsidP="00C55B65">
            <w:pPr>
              <w:rPr>
                <w:rFonts w:cs="Arial"/>
                <w:sz w:val="22"/>
                <w:szCs w:val="22"/>
                <w:lang w:val="en-US"/>
              </w:rPr>
            </w:pPr>
            <w:r>
              <w:rPr>
                <w:rFonts w:cs="Arial"/>
                <w:color w:val="000000"/>
                <w:sz w:val="22"/>
                <w:szCs w:val="22"/>
              </w:rPr>
              <w:t>Weekdays</w:t>
            </w:r>
          </w:p>
        </w:tc>
        <w:tc>
          <w:tcPr>
            <w:tcW w:w="2268" w:type="dxa"/>
            <w:vAlign w:val="center"/>
          </w:tcPr>
          <w:p w14:paraId="73A42750" w14:textId="2D3A3455" w:rsidR="00C55B65" w:rsidRPr="008F55EC" w:rsidRDefault="000A53E6" w:rsidP="000A53E6">
            <w:pPr>
              <w:jc w:val="right"/>
              <w:rPr>
                <w:rFonts w:cs="Arial"/>
                <w:sz w:val="22"/>
                <w:szCs w:val="22"/>
                <w:lang w:val="en-US"/>
              </w:rPr>
            </w:pPr>
            <w:r>
              <w:rPr>
                <w:rFonts w:cs="Arial"/>
                <w:sz w:val="22"/>
                <w:szCs w:val="22"/>
                <w:lang w:val="en-US"/>
              </w:rPr>
              <w:t>$72,000,000</w:t>
            </w:r>
          </w:p>
        </w:tc>
        <w:tc>
          <w:tcPr>
            <w:tcW w:w="3118" w:type="dxa"/>
          </w:tcPr>
          <w:p w14:paraId="7B851ED2" w14:textId="59941E09" w:rsidR="00C55B65" w:rsidRPr="008F55EC" w:rsidRDefault="000A53E6" w:rsidP="000A53E6">
            <w:pPr>
              <w:jc w:val="right"/>
              <w:rPr>
                <w:rFonts w:cs="Arial"/>
                <w:sz w:val="22"/>
                <w:szCs w:val="22"/>
                <w:lang w:val="en-US"/>
              </w:rPr>
            </w:pPr>
            <w:r>
              <w:rPr>
                <w:rFonts w:cs="Arial"/>
                <w:sz w:val="22"/>
                <w:szCs w:val="22"/>
                <w:lang w:val="en-US"/>
              </w:rPr>
              <w:t>68%</w:t>
            </w:r>
          </w:p>
        </w:tc>
      </w:tr>
      <w:tr w:rsidR="00C55B65" w:rsidRPr="008F55EC" w14:paraId="0B046565" w14:textId="77777777" w:rsidTr="00922857">
        <w:tc>
          <w:tcPr>
            <w:tcW w:w="2689" w:type="dxa"/>
            <w:vAlign w:val="center"/>
          </w:tcPr>
          <w:p w14:paraId="38321FFD" w14:textId="75A13036" w:rsidR="00C55B65" w:rsidRPr="008F55EC" w:rsidRDefault="00C55B65" w:rsidP="00C55B65">
            <w:pPr>
              <w:rPr>
                <w:rFonts w:cs="Arial"/>
                <w:sz w:val="22"/>
                <w:szCs w:val="22"/>
                <w:lang w:val="en-US"/>
              </w:rPr>
            </w:pPr>
            <w:r>
              <w:rPr>
                <w:rFonts w:cs="Arial"/>
                <w:color w:val="000000"/>
                <w:sz w:val="22"/>
                <w:szCs w:val="22"/>
              </w:rPr>
              <w:t>Weekends</w:t>
            </w:r>
          </w:p>
        </w:tc>
        <w:tc>
          <w:tcPr>
            <w:tcW w:w="2268" w:type="dxa"/>
            <w:vAlign w:val="center"/>
          </w:tcPr>
          <w:p w14:paraId="7601F523" w14:textId="1F211C76" w:rsidR="00C55B65" w:rsidRPr="008F55EC" w:rsidRDefault="000A53E6" w:rsidP="000A53E6">
            <w:pPr>
              <w:jc w:val="right"/>
              <w:rPr>
                <w:rFonts w:cs="Arial"/>
                <w:sz w:val="22"/>
                <w:szCs w:val="22"/>
                <w:lang w:val="en-US"/>
              </w:rPr>
            </w:pPr>
            <w:r>
              <w:rPr>
                <w:rFonts w:cs="Arial"/>
                <w:sz w:val="22"/>
                <w:szCs w:val="22"/>
                <w:lang w:val="en-US"/>
              </w:rPr>
              <w:t>$34,000,000</w:t>
            </w:r>
          </w:p>
        </w:tc>
        <w:tc>
          <w:tcPr>
            <w:tcW w:w="3118" w:type="dxa"/>
          </w:tcPr>
          <w:p w14:paraId="442643D0" w14:textId="57043921" w:rsidR="00C55B65" w:rsidRPr="008F55EC" w:rsidRDefault="000A53E6" w:rsidP="000A53E6">
            <w:pPr>
              <w:jc w:val="right"/>
              <w:rPr>
                <w:rFonts w:cs="Arial"/>
                <w:sz w:val="22"/>
                <w:szCs w:val="22"/>
                <w:lang w:val="en-US"/>
              </w:rPr>
            </w:pPr>
            <w:r>
              <w:rPr>
                <w:rFonts w:cs="Arial"/>
                <w:sz w:val="22"/>
                <w:szCs w:val="22"/>
                <w:lang w:val="en-US"/>
              </w:rPr>
              <w:t>32%</w:t>
            </w:r>
          </w:p>
        </w:tc>
      </w:tr>
    </w:tbl>
    <w:p w14:paraId="0BEFA9AD" w14:textId="3E3656D1" w:rsidR="009F7577" w:rsidRDefault="009F7577" w:rsidP="009F7577">
      <w:pPr>
        <w:pStyle w:val="Heading3"/>
        <w:rPr>
          <w:rFonts w:hint="eastAsia"/>
        </w:rPr>
      </w:pPr>
      <w:bookmarkStart w:id="19" w:name="_Toc175665294"/>
      <w:r>
        <w:t xml:space="preserve">Table </w:t>
      </w:r>
      <w:r w:rsidR="00C55B65">
        <w:t>9</w:t>
      </w:r>
      <w:r w:rsidR="002031FC">
        <w:t>.</w:t>
      </w:r>
      <w:r w:rsidR="002F4DE8">
        <w:t>a</w:t>
      </w:r>
      <w:r>
        <w:t xml:space="preserve"> – </w:t>
      </w:r>
      <w:r w:rsidR="000F3A62" w:rsidRPr="000F3A62">
        <w:t>Where spending in Melbourne CBD</w:t>
      </w:r>
      <w:r w:rsidR="00C55B65">
        <w:t xml:space="preserve"> – North</w:t>
      </w:r>
      <w:r w:rsidR="000F3A62" w:rsidRPr="000F3A62">
        <w:t xml:space="preserve"> came from, Q</w:t>
      </w:r>
      <w:r w:rsidR="000A53E6">
        <w:t>2</w:t>
      </w:r>
      <w:r w:rsidR="000F3A62" w:rsidRPr="000F3A62">
        <w:t xml:space="preserve"> 2024</w:t>
      </w:r>
      <w:bookmarkEnd w:id="19"/>
    </w:p>
    <w:tbl>
      <w:tblPr>
        <w:tblStyle w:val="TableGrid"/>
        <w:tblW w:w="0" w:type="auto"/>
        <w:tblLook w:val="04A0" w:firstRow="1" w:lastRow="0" w:firstColumn="1" w:lastColumn="0" w:noHBand="0" w:noVBand="1"/>
      </w:tblPr>
      <w:tblGrid>
        <w:gridCol w:w="2972"/>
        <w:gridCol w:w="1985"/>
        <w:gridCol w:w="3118"/>
      </w:tblGrid>
      <w:tr w:rsidR="00BA5216" w:rsidRPr="008F55EC" w14:paraId="225C4378" w14:textId="77777777" w:rsidTr="00AA3C19">
        <w:tc>
          <w:tcPr>
            <w:tcW w:w="2972" w:type="dxa"/>
            <w:vAlign w:val="center"/>
          </w:tcPr>
          <w:p w14:paraId="6CDF0906" w14:textId="77777777" w:rsidR="00BA5216" w:rsidRPr="00F64925" w:rsidRDefault="00BA5216" w:rsidP="00AA3C19">
            <w:pPr>
              <w:rPr>
                <w:rFonts w:cs="Arial"/>
                <w:b/>
                <w:bCs/>
                <w:sz w:val="22"/>
                <w:szCs w:val="22"/>
                <w:lang w:val="en-US"/>
              </w:rPr>
            </w:pPr>
            <w:r>
              <w:rPr>
                <w:rFonts w:cs="Arial"/>
                <w:b/>
                <w:bCs/>
                <w:sz w:val="22"/>
                <w:szCs w:val="22"/>
                <w:lang w:val="en-US"/>
              </w:rPr>
              <w:t>Customer Type</w:t>
            </w:r>
          </w:p>
        </w:tc>
        <w:tc>
          <w:tcPr>
            <w:tcW w:w="1985" w:type="dxa"/>
            <w:vAlign w:val="center"/>
          </w:tcPr>
          <w:p w14:paraId="436A0B3D" w14:textId="77777777" w:rsidR="00BA5216" w:rsidRPr="008F55EC" w:rsidRDefault="00BA5216" w:rsidP="00AA3C19">
            <w:pPr>
              <w:rPr>
                <w:rFonts w:cs="Arial"/>
                <w:sz w:val="22"/>
                <w:szCs w:val="22"/>
                <w:lang w:val="en-US"/>
              </w:rPr>
            </w:pPr>
            <w:r>
              <w:rPr>
                <w:rFonts w:cs="Arial"/>
                <w:b/>
                <w:bCs/>
                <w:color w:val="000000"/>
                <w:sz w:val="22"/>
                <w:szCs w:val="22"/>
              </w:rPr>
              <w:t>Adjusted Spend</w:t>
            </w:r>
          </w:p>
        </w:tc>
        <w:tc>
          <w:tcPr>
            <w:tcW w:w="3118" w:type="dxa"/>
          </w:tcPr>
          <w:p w14:paraId="563DF7E7" w14:textId="77777777" w:rsidR="00BA5216" w:rsidRDefault="00BA5216" w:rsidP="00AA3C19">
            <w:pPr>
              <w:rPr>
                <w:rFonts w:cs="Arial"/>
                <w:b/>
                <w:bCs/>
                <w:color w:val="000000"/>
                <w:sz w:val="22"/>
                <w:szCs w:val="22"/>
              </w:rPr>
            </w:pPr>
            <w:r>
              <w:rPr>
                <w:rFonts w:cs="Arial"/>
                <w:b/>
                <w:bCs/>
                <w:color w:val="000000"/>
                <w:sz w:val="22"/>
                <w:szCs w:val="22"/>
              </w:rPr>
              <w:t>Percent of Average Spend</w:t>
            </w:r>
          </w:p>
        </w:tc>
      </w:tr>
      <w:tr w:rsidR="00BA5216" w:rsidRPr="008F55EC" w14:paraId="7561685D" w14:textId="77777777" w:rsidTr="00AA3C19">
        <w:tc>
          <w:tcPr>
            <w:tcW w:w="2972" w:type="dxa"/>
            <w:vAlign w:val="center"/>
          </w:tcPr>
          <w:p w14:paraId="4895114F" w14:textId="77777777" w:rsidR="00BA5216" w:rsidRPr="008F55EC" w:rsidRDefault="00BA5216" w:rsidP="00AA3C19">
            <w:pPr>
              <w:rPr>
                <w:rFonts w:cs="Arial"/>
                <w:sz w:val="22"/>
                <w:szCs w:val="22"/>
                <w:lang w:val="en-US"/>
              </w:rPr>
            </w:pPr>
            <w:r>
              <w:rPr>
                <w:rFonts w:cs="Arial"/>
                <w:sz w:val="22"/>
                <w:szCs w:val="22"/>
                <w:lang w:val="en-US"/>
              </w:rPr>
              <w:t>City of Melbourne residents</w:t>
            </w:r>
          </w:p>
        </w:tc>
        <w:tc>
          <w:tcPr>
            <w:tcW w:w="1985" w:type="dxa"/>
            <w:vAlign w:val="center"/>
          </w:tcPr>
          <w:p w14:paraId="19C5DED1" w14:textId="31397065" w:rsidR="00BA5216" w:rsidRPr="008F55EC" w:rsidRDefault="000A53E6" w:rsidP="000A53E6">
            <w:pPr>
              <w:jc w:val="right"/>
              <w:rPr>
                <w:rFonts w:cs="Arial"/>
                <w:sz w:val="22"/>
                <w:szCs w:val="22"/>
                <w:lang w:val="en-US"/>
              </w:rPr>
            </w:pPr>
            <w:r>
              <w:rPr>
                <w:rFonts w:cs="Arial"/>
                <w:sz w:val="22"/>
                <w:szCs w:val="22"/>
                <w:lang w:val="en-US"/>
              </w:rPr>
              <w:t>$17,000,000</w:t>
            </w:r>
          </w:p>
        </w:tc>
        <w:tc>
          <w:tcPr>
            <w:tcW w:w="3118" w:type="dxa"/>
          </w:tcPr>
          <w:p w14:paraId="5701A69B" w14:textId="32A88235" w:rsidR="00BA5216" w:rsidRPr="008F55EC" w:rsidRDefault="000A53E6" w:rsidP="000A53E6">
            <w:pPr>
              <w:jc w:val="right"/>
              <w:rPr>
                <w:rFonts w:cs="Arial"/>
                <w:sz w:val="22"/>
                <w:szCs w:val="22"/>
                <w:lang w:val="en-US"/>
              </w:rPr>
            </w:pPr>
            <w:r>
              <w:rPr>
                <w:rFonts w:cs="Arial"/>
                <w:sz w:val="22"/>
                <w:szCs w:val="22"/>
                <w:lang w:val="en-US"/>
              </w:rPr>
              <w:t>15%</w:t>
            </w:r>
          </w:p>
        </w:tc>
      </w:tr>
      <w:tr w:rsidR="00BA5216" w:rsidRPr="008F55EC" w14:paraId="1F7EF73E" w14:textId="77777777" w:rsidTr="00AA3C19">
        <w:tc>
          <w:tcPr>
            <w:tcW w:w="2972" w:type="dxa"/>
            <w:vAlign w:val="center"/>
          </w:tcPr>
          <w:p w14:paraId="34EDB2BE" w14:textId="77777777" w:rsidR="00BA5216" w:rsidRPr="008F55EC" w:rsidRDefault="00BA5216" w:rsidP="00AA3C19">
            <w:pPr>
              <w:rPr>
                <w:rFonts w:cs="Arial"/>
                <w:sz w:val="22"/>
                <w:szCs w:val="22"/>
                <w:lang w:val="en-US"/>
              </w:rPr>
            </w:pPr>
            <w:r>
              <w:rPr>
                <w:rFonts w:cs="Arial"/>
                <w:color w:val="000000"/>
                <w:sz w:val="22"/>
                <w:szCs w:val="22"/>
              </w:rPr>
              <w:t>Visitors</w:t>
            </w:r>
          </w:p>
        </w:tc>
        <w:tc>
          <w:tcPr>
            <w:tcW w:w="1985" w:type="dxa"/>
            <w:vAlign w:val="center"/>
          </w:tcPr>
          <w:p w14:paraId="1DEEFFB6" w14:textId="2F6F72E9" w:rsidR="00BA5216" w:rsidRPr="008F55EC" w:rsidRDefault="000A53E6" w:rsidP="000A53E6">
            <w:pPr>
              <w:jc w:val="right"/>
              <w:rPr>
                <w:rFonts w:cs="Arial"/>
                <w:sz w:val="22"/>
                <w:szCs w:val="22"/>
                <w:lang w:val="en-US"/>
              </w:rPr>
            </w:pPr>
            <w:r>
              <w:rPr>
                <w:rFonts w:cs="Arial"/>
                <w:sz w:val="22"/>
                <w:szCs w:val="22"/>
                <w:lang w:val="en-US"/>
              </w:rPr>
              <w:t>$89,000,000</w:t>
            </w:r>
          </w:p>
        </w:tc>
        <w:tc>
          <w:tcPr>
            <w:tcW w:w="3118" w:type="dxa"/>
          </w:tcPr>
          <w:p w14:paraId="74D4B70A" w14:textId="023E1196" w:rsidR="00BA5216" w:rsidRPr="008F55EC" w:rsidRDefault="000A53E6" w:rsidP="000A53E6">
            <w:pPr>
              <w:jc w:val="right"/>
              <w:rPr>
                <w:rFonts w:cs="Arial"/>
                <w:sz w:val="22"/>
                <w:szCs w:val="22"/>
                <w:lang w:val="en-US"/>
              </w:rPr>
            </w:pPr>
            <w:r>
              <w:rPr>
                <w:rFonts w:cs="Arial"/>
                <w:sz w:val="22"/>
                <w:szCs w:val="22"/>
                <w:lang w:val="en-US"/>
              </w:rPr>
              <w:t>85%</w:t>
            </w:r>
          </w:p>
        </w:tc>
      </w:tr>
    </w:tbl>
    <w:p w14:paraId="1195A177" w14:textId="276C2523" w:rsidR="009F7577" w:rsidRDefault="009F7577" w:rsidP="009F7577">
      <w:pPr>
        <w:pStyle w:val="Heading3"/>
        <w:rPr>
          <w:rFonts w:hint="eastAsia"/>
        </w:rPr>
      </w:pPr>
      <w:bookmarkStart w:id="20" w:name="_Toc175665295"/>
      <w:r>
        <w:t xml:space="preserve">Table </w:t>
      </w:r>
      <w:r w:rsidR="00C55B65">
        <w:t>9</w:t>
      </w:r>
      <w:r w:rsidR="002031FC">
        <w:t>.</w:t>
      </w:r>
      <w:r w:rsidR="002F4DE8">
        <w:t>b</w:t>
      </w:r>
      <w:r>
        <w:t xml:space="preserve"> – </w:t>
      </w:r>
      <w:r w:rsidR="002031FC" w:rsidRPr="000F3A62">
        <w:t>Where spending in Melbourne CBD</w:t>
      </w:r>
      <w:r w:rsidR="00C55B65">
        <w:t xml:space="preserve"> – North</w:t>
      </w:r>
      <w:r w:rsidR="002031FC" w:rsidRPr="000F3A62">
        <w:t xml:space="preserve"> came from, Q</w:t>
      </w:r>
      <w:r w:rsidR="000A53E6">
        <w:t>2</w:t>
      </w:r>
      <w:r w:rsidR="002031FC" w:rsidRPr="000F3A62">
        <w:t xml:space="preserve"> 2024</w:t>
      </w:r>
      <w:bookmarkEnd w:id="20"/>
    </w:p>
    <w:tbl>
      <w:tblPr>
        <w:tblStyle w:val="TableGrid"/>
        <w:tblW w:w="0" w:type="auto"/>
        <w:tblLook w:val="04A0" w:firstRow="1" w:lastRow="0" w:firstColumn="1" w:lastColumn="0" w:noHBand="0" w:noVBand="1"/>
      </w:tblPr>
      <w:tblGrid>
        <w:gridCol w:w="2972"/>
        <w:gridCol w:w="1985"/>
      </w:tblGrid>
      <w:tr w:rsidR="0009455A" w:rsidRPr="008F55EC" w14:paraId="347534B0" w14:textId="77777777" w:rsidTr="00AA3C19">
        <w:tc>
          <w:tcPr>
            <w:tcW w:w="2972" w:type="dxa"/>
            <w:vAlign w:val="center"/>
          </w:tcPr>
          <w:p w14:paraId="65AB01C5" w14:textId="2E359215" w:rsidR="0009455A" w:rsidRPr="00F64925" w:rsidRDefault="009B4DE8" w:rsidP="00AA3C19">
            <w:pPr>
              <w:rPr>
                <w:rFonts w:cs="Arial"/>
                <w:b/>
                <w:bCs/>
                <w:sz w:val="22"/>
                <w:szCs w:val="22"/>
                <w:lang w:val="en-US"/>
              </w:rPr>
            </w:pPr>
            <w:r>
              <w:rPr>
                <w:rFonts w:cs="Arial"/>
                <w:b/>
                <w:bCs/>
                <w:sz w:val="22"/>
                <w:szCs w:val="22"/>
                <w:lang w:val="en-US"/>
              </w:rPr>
              <w:t>Council Area</w:t>
            </w:r>
          </w:p>
        </w:tc>
        <w:tc>
          <w:tcPr>
            <w:tcW w:w="1985" w:type="dxa"/>
            <w:vAlign w:val="center"/>
          </w:tcPr>
          <w:p w14:paraId="6C6FC5FE" w14:textId="50F63F6D" w:rsidR="0009455A" w:rsidRPr="008F55EC" w:rsidRDefault="0009455A" w:rsidP="00AA3C19">
            <w:pPr>
              <w:rPr>
                <w:rFonts w:cs="Arial"/>
                <w:sz w:val="22"/>
                <w:szCs w:val="22"/>
                <w:lang w:val="en-US"/>
              </w:rPr>
            </w:pPr>
            <w:r>
              <w:rPr>
                <w:rFonts w:cs="Arial"/>
                <w:b/>
                <w:bCs/>
                <w:color w:val="000000"/>
                <w:sz w:val="22"/>
                <w:szCs w:val="22"/>
              </w:rPr>
              <w:t>Adjusted Spend</w:t>
            </w:r>
          </w:p>
        </w:tc>
      </w:tr>
      <w:tr w:rsidR="0009455A" w:rsidRPr="008F55EC" w14:paraId="657AB0E9" w14:textId="77777777" w:rsidTr="00AA3C19">
        <w:tc>
          <w:tcPr>
            <w:tcW w:w="2972" w:type="dxa"/>
            <w:vAlign w:val="center"/>
          </w:tcPr>
          <w:p w14:paraId="0F730355" w14:textId="31E2245E" w:rsidR="0009455A" w:rsidRPr="008F55EC" w:rsidRDefault="000A53E6" w:rsidP="00AA3C19">
            <w:pPr>
              <w:rPr>
                <w:rFonts w:cs="Arial"/>
                <w:sz w:val="22"/>
                <w:szCs w:val="22"/>
                <w:lang w:val="en-US"/>
              </w:rPr>
            </w:pPr>
            <w:r>
              <w:rPr>
                <w:rFonts w:cs="Arial"/>
                <w:sz w:val="22"/>
                <w:szCs w:val="22"/>
                <w:lang w:val="en-US"/>
              </w:rPr>
              <w:t>Boroondara</w:t>
            </w:r>
          </w:p>
        </w:tc>
        <w:tc>
          <w:tcPr>
            <w:tcW w:w="1985" w:type="dxa"/>
            <w:vAlign w:val="center"/>
          </w:tcPr>
          <w:p w14:paraId="4A537A9E" w14:textId="5DAD9F7A" w:rsidR="0009455A" w:rsidRPr="008F55EC" w:rsidRDefault="000A53E6" w:rsidP="000A53E6">
            <w:pPr>
              <w:jc w:val="right"/>
              <w:rPr>
                <w:rFonts w:cs="Arial"/>
                <w:sz w:val="22"/>
                <w:szCs w:val="22"/>
                <w:lang w:val="en-US"/>
              </w:rPr>
            </w:pPr>
            <w:r>
              <w:rPr>
                <w:rFonts w:cs="Arial"/>
                <w:sz w:val="22"/>
                <w:szCs w:val="22"/>
                <w:lang w:val="en-US"/>
              </w:rPr>
              <w:t>$3,135,000</w:t>
            </w:r>
          </w:p>
        </w:tc>
      </w:tr>
      <w:tr w:rsidR="0009455A" w:rsidRPr="008F55EC" w14:paraId="69C0E613" w14:textId="77777777" w:rsidTr="00AA3C19">
        <w:tc>
          <w:tcPr>
            <w:tcW w:w="2972" w:type="dxa"/>
            <w:vAlign w:val="center"/>
          </w:tcPr>
          <w:p w14:paraId="2EE1B5FC" w14:textId="374522B1" w:rsidR="0009455A" w:rsidRPr="008F55EC" w:rsidRDefault="000A53E6" w:rsidP="00AA3C19">
            <w:pPr>
              <w:rPr>
                <w:rFonts w:cs="Arial"/>
                <w:sz w:val="22"/>
                <w:szCs w:val="22"/>
                <w:lang w:val="en-US"/>
              </w:rPr>
            </w:pPr>
            <w:proofErr w:type="spellStart"/>
            <w:r>
              <w:rPr>
                <w:rFonts w:cs="Arial"/>
                <w:sz w:val="22"/>
                <w:szCs w:val="22"/>
                <w:lang w:val="en-US"/>
              </w:rPr>
              <w:t>Yarra</w:t>
            </w:r>
            <w:proofErr w:type="spellEnd"/>
          </w:p>
        </w:tc>
        <w:tc>
          <w:tcPr>
            <w:tcW w:w="1985" w:type="dxa"/>
            <w:vAlign w:val="center"/>
          </w:tcPr>
          <w:p w14:paraId="240F4822" w14:textId="016240F6" w:rsidR="0009455A" w:rsidRPr="008F55EC" w:rsidRDefault="000A53E6" w:rsidP="000A53E6">
            <w:pPr>
              <w:jc w:val="right"/>
              <w:rPr>
                <w:rFonts w:cs="Arial"/>
                <w:sz w:val="22"/>
                <w:szCs w:val="22"/>
                <w:lang w:val="en-US"/>
              </w:rPr>
            </w:pPr>
            <w:r>
              <w:rPr>
                <w:rFonts w:cs="Arial"/>
                <w:sz w:val="22"/>
                <w:szCs w:val="22"/>
                <w:lang w:val="en-US"/>
              </w:rPr>
              <w:t>$3,069,000</w:t>
            </w:r>
          </w:p>
        </w:tc>
      </w:tr>
      <w:tr w:rsidR="0009455A" w:rsidRPr="008F55EC" w14:paraId="505FC20A" w14:textId="77777777" w:rsidTr="00AA3C19">
        <w:tc>
          <w:tcPr>
            <w:tcW w:w="2972" w:type="dxa"/>
            <w:vAlign w:val="center"/>
          </w:tcPr>
          <w:p w14:paraId="28475F50" w14:textId="29B0EFC6" w:rsidR="0009455A" w:rsidRPr="008F55EC" w:rsidRDefault="000A53E6" w:rsidP="00AA3C19">
            <w:pPr>
              <w:rPr>
                <w:rFonts w:cs="Arial"/>
                <w:sz w:val="22"/>
                <w:szCs w:val="22"/>
                <w:lang w:val="en-US"/>
              </w:rPr>
            </w:pPr>
            <w:r>
              <w:rPr>
                <w:rFonts w:cs="Arial"/>
                <w:sz w:val="22"/>
                <w:szCs w:val="22"/>
                <w:lang w:val="en-US"/>
              </w:rPr>
              <w:t>Port Phillip</w:t>
            </w:r>
          </w:p>
        </w:tc>
        <w:tc>
          <w:tcPr>
            <w:tcW w:w="1985" w:type="dxa"/>
            <w:vAlign w:val="center"/>
          </w:tcPr>
          <w:p w14:paraId="552055EE" w14:textId="25009A30" w:rsidR="0009455A" w:rsidRPr="008F55EC" w:rsidRDefault="000A53E6" w:rsidP="000A53E6">
            <w:pPr>
              <w:jc w:val="right"/>
              <w:rPr>
                <w:rFonts w:cs="Arial"/>
                <w:sz w:val="22"/>
                <w:szCs w:val="22"/>
                <w:lang w:val="en-US"/>
              </w:rPr>
            </w:pPr>
            <w:r>
              <w:rPr>
                <w:rFonts w:cs="Arial"/>
                <w:sz w:val="22"/>
                <w:szCs w:val="22"/>
                <w:lang w:val="en-US"/>
              </w:rPr>
              <w:t>$2,896,000</w:t>
            </w:r>
          </w:p>
        </w:tc>
      </w:tr>
      <w:tr w:rsidR="0009455A" w:rsidRPr="008F55EC" w14:paraId="12BEB79F" w14:textId="77777777" w:rsidTr="00AA3C19">
        <w:tc>
          <w:tcPr>
            <w:tcW w:w="2972" w:type="dxa"/>
            <w:vAlign w:val="center"/>
          </w:tcPr>
          <w:p w14:paraId="04A3DA5F" w14:textId="1030BFB8" w:rsidR="0009455A" w:rsidRPr="008F55EC" w:rsidRDefault="000A53E6" w:rsidP="00AA3C19">
            <w:pPr>
              <w:rPr>
                <w:rFonts w:cs="Arial"/>
                <w:sz w:val="22"/>
                <w:szCs w:val="22"/>
                <w:lang w:val="en-US"/>
              </w:rPr>
            </w:pPr>
            <w:r>
              <w:rPr>
                <w:rFonts w:cs="Arial"/>
                <w:sz w:val="22"/>
                <w:szCs w:val="22"/>
                <w:lang w:val="en-US"/>
              </w:rPr>
              <w:t>Brunswick – Coburg</w:t>
            </w:r>
          </w:p>
        </w:tc>
        <w:tc>
          <w:tcPr>
            <w:tcW w:w="1985" w:type="dxa"/>
            <w:vAlign w:val="center"/>
          </w:tcPr>
          <w:p w14:paraId="1CFD0EBC" w14:textId="06FEB2DA" w:rsidR="0009455A" w:rsidRPr="008F55EC" w:rsidRDefault="000A53E6" w:rsidP="000A53E6">
            <w:pPr>
              <w:jc w:val="right"/>
              <w:rPr>
                <w:rFonts w:cs="Arial"/>
                <w:sz w:val="22"/>
                <w:szCs w:val="22"/>
                <w:lang w:val="en-US"/>
              </w:rPr>
            </w:pPr>
            <w:r>
              <w:rPr>
                <w:rFonts w:cs="Arial"/>
                <w:sz w:val="22"/>
                <w:szCs w:val="22"/>
                <w:lang w:val="en-US"/>
              </w:rPr>
              <w:t>$2,717,000</w:t>
            </w:r>
          </w:p>
        </w:tc>
      </w:tr>
      <w:tr w:rsidR="0009455A" w:rsidRPr="008F55EC" w14:paraId="60C50255" w14:textId="77777777" w:rsidTr="00AA3C19">
        <w:tc>
          <w:tcPr>
            <w:tcW w:w="2972" w:type="dxa"/>
            <w:vAlign w:val="center"/>
          </w:tcPr>
          <w:p w14:paraId="3997096E" w14:textId="06D4BE50" w:rsidR="0009455A" w:rsidRPr="008F55EC" w:rsidRDefault="000A53E6" w:rsidP="00AA3C19">
            <w:pPr>
              <w:rPr>
                <w:rFonts w:cs="Arial"/>
                <w:sz w:val="22"/>
                <w:szCs w:val="22"/>
                <w:lang w:val="en-US"/>
              </w:rPr>
            </w:pPr>
            <w:r>
              <w:rPr>
                <w:rFonts w:cs="Arial"/>
                <w:sz w:val="22"/>
                <w:szCs w:val="22"/>
                <w:lang w:val="en-US"/>
              </w:rPr>
              <w:t>Maribyrnong</w:t>
            </w:r>
          </w:p>
        </w:tc>
        <w:tc>
          <w:tcPr>
            <w:tcW w:w="1985" w:type="dxa"/>
            <w:vAlign w:val="center"/>
          </w:tcPr>
          <w:p w14:paraId="7251A36A" w14:textId="5C4010FF" w:rsidR="0009455A" w:rsidRPr="008F55EC" w:rsidRDefault="000A53E6" w:rsidP="000A53E6">
            <w:pPr>
              <w:jc w:val="right"/>
              <w:rPr>
                <w:rFonts w:cs="Arial"/>
                <w:sz w:val="22"/>
                <w:szCs w:val="22"/>
                <w:lang w:val="en-US"/>
              </w:rPr>
            </w:pPr>
            <w:r>
              <w:rPr>
                <w:rFonts w:cs="Arial"/>
                <w:sz w:val="22"/>
                <w:szCs w:val="22"/>
                <w:lang w:val="en-US"/>
              </w:rPr>
              <w:t>$1,988,000</w:t>
            </w:r>
          </w:p>
        </w:tc>
      </w:tr>
    </w:tbl>
    <w:p w14:paraId="1678E6C9" w14:textId="7B184007" w:rsidR="00F64925" w:rsidRPr="009F7577" w:rsidRDefault="00C55B65" w:rsidP="00F221E1">
      <w:pPr>
        <w:pStyle w:val="Heading2"/>
        <w:rPr>
          <w:rFonts w:hint="eastAsia"/>
        </w:rPr>
      </w:pPr>
      <w:bookmarkStart w:id="21" w:name="_Toc175665296"/>
      <w:r>
        <w:lastRenderedPageBreak/>
        <w:t>North Melbourne</w:t>
      </w:r>
      <w:bookmarkEnd w:id="21"/>
    </w:p>
    <w:p w14:paraId="594C2F00" w14:textId="52ABD22E" w:rsidR="00F64925" w:rsidRDefault="00F64925" w:rsidP="00F64925">
      <w:pPr>
        <w:pStyle w:val="Heading3"/>
        <w:rPr>
          <w:rFonts w:hint="eastAsia"/>
        </w:rPr>
      </w:pPr>
      <w:bookmarkStart w:id="22" w:name="_Toc175665297"/>
      <w:r>
        <w:t>Table 1</w:t>
      </w:r>
      <w:r w:rsidR="00C55B65">
        <w:t>0</w:t>
      </w:r>
      <w:r>
        <w:t xml:space="preserve"> – Spending</w:t>
      </w:r>
      <w:r w:rsidR="000F3A62">
        <w:t xml:space="preserve"> by</w:t>
      </w:r>
      <w:r>
        <w:t xml:space="preserve"> categor</w:t>
      </w:r>
      <w:r w:rsidR="000F3A62">
        <w:t>y</w:t>
      </w:r>
      <w:r>
        <w:t>, Q</w:t>
      </w:r>
      <w:r w:rsidR="00C55B65">
        <w:t>2</w:t>
      </w:r>
      <w:r>
        <w:t xml:space="preserve"> 2024</w:t>
      </w:r>
      <w:bookmarkEnd w:id="22"/>
    </w:p>
    <w:tbl>
      <w:tblPr>
        <w:tblStyle w:val="TableGrid"/>
        <w:tblW w:w="0" w:type="auto"/>
        <w:tblLook w:val="04A0" w:firstRow="1" w:lastRow="0" w:firstColumn="1" w:lastColumn="0" w:noHBand="0" w:noVBand="1"/>
      </w:tblPr>
      <w:tblGrid>
        <w:gridCol w:w="1980"/>
        <w:gridCol w:w="2977"/>
      </w:tblGrid>
      <w:tr w:rsidR="00F1256F" w:rsidRPr="008F55EC" w14:paraId="552FD9E6" w14:textId="77777777" w:rsidTr="00AA3C19">
        <w:tc>
          <w:tcPr>
            <w:tcW w:w="1980" w:type="dxa"/>
            <w:vAlign w:val="center"/>
          </w:tcPr>
          <w:p w14:paraId="32602796" w14:textId="77777777" w:rsidR="00F1256F" w:rsidRPr="00F64925" w:rsidRDefault="00F1256F" w:rsidP="00AA3C19">
            <w:pPr>
              <w:rPr>
                <w:rFonts w:cs="Arial"/>
                <w:b/>
                <w:bCs/>
                <w:sz w:val="22"/>
                <w:szCs w:val="22"/>
                <w:lang w:val="en-US"/>
              </w:rPr>
            </w:pPr>
            <w:r w:rsidRPr="00F64925">
              <w:rPr>
                <w:rFonts w:cs="Arial"/>
                <w:b/>
                <w:bCs/>
                <w:sz w:val="22"/>
                <w:szCs w:val="22"/>
                <w:lang w:val="en-US"/>
              </w:rPr>
              <w:t>Category</w:t>
            </w:r>
          </w:p>
        </w:tc>
        <w:tc>
          <w:tcPr>
            <w:tcW w:w="2977" w:type="dxa"/>
            <w:vAlign w:val="center"/>
          </w:tcPr>
          <w:p w14:paraId="2DDB67F4" w14:textId="77777777" w:rsidR="00F1256F" w:rsidRPr="008F55EC" w:rsidRDefault="00F1256F" w:rsidP="00AA3C19">
            <w:pPr>
              <w:rPr>
                <w:rFonts w:cs="Arial"/>
                <w:sz w:val="22"/>
                <w:szCs w:val="22"/>
                <w:lang w:val="en-US"/>
              </w:rPr>
            </w:pPr>
            <w:r>
              <w:rPr>
                <w:rFonts w:cs="Arial"/>
                <w:b/>
                <w:bCs/>
                <w:color w:val="000000"/>
                <w:sz w:val="22"/>
                <w:szCs w:val="22"/>
              </w:rPr>
              <w:t>Adjusted Spend</w:t>
            </w:r>
          </w:p>
        </w:tc>
      </w:tr>
      <w:tr w:rsidR="00F1256F" w:rsidRPr="008F55EC" w14:paraId="59DBFAF7" w14:textId="77777777" w:rsidTr="00AA3C19">
        <w:tc>
          <w:tcPr>
            <w:tcW w:w="1980" w:type="dxa"/>
            <w:vAlign w:val="center"/>
          </w:tcPr>
          <w:p w14:paraId="27C739BA" w14:textId="7C88A854" w:rsidR="00F1256F" w:rsidRPr="008F55EC" w:rsidRDefault="00387840" w:rsidP="00AA3C19">
            <w:pPr>
              <w:rPr>
                <w:rFonts w:cs="Arial"/>
                <w:sz w:val="22"/>
                <w:szCs w:val="22"/>
                <w:lang w:val="en-US"/>
              </w:rPr>
            </w:pPr>
            <w:r>
              <w:rPr>
                <w:rFonts w:cs="Arial"/>
                <w:sz w:val="22"/>
                <w:szCs w:val="22"/>
                <w:lang w:val="en-US"/>
              </w:rPr>
              <w:t>Retail</w:t>
            </w:r>
          </w:p>
        </w:tc>
        <w:tc>
          <w:tcPr>
            <w:tcW w:w="2977" w:type="dxa"/>
            <w:vAlign w:val="center"/>
          </w:tcPr>
          <w:p w14:paraId="20FE6100" w14:textId="2634C597" w:rsidR="00F1256F" w:rsidRPr="008F55EC" w:rsidRDefault="00387840" w:rsidP="00387840">
            <w:pPr>
              <w:jc w:val="right"/>
              <w:rPr>
                <w:rFonts w:cs="Arial"/>
                <w:sz w:val="22"/>
                <w:szCs w:val="22"/>
                <w:lang w:val="en-US"/>
              </w:rPr>
            </w:pPr>
            <w:r>
              <w:rPr>
                <w:rFonts w:cs="Arial"/>
                <w:sz w:val="22"/>
                <w:szCs w:val="22"/>
                <w:lang w:val="en-US"/>
              </w:rPr>
              <w:t>$33,097,000</w:t>
            </w:r>
          </w:p>
        </w:tc>
      </w:tr>
      <w:tr w:rsidR="00F1256F" w:rsidRPr="008F55EC" w14:paraId="25A21A5F" w14:textId="77777777" w:rsidTr="00AA3C19">
        <w:tc>
          <w:tcPr>
            <w:tcW w:w="1980" w:type="dxa"/>
            <w:vAlign w:val="center"/>
          </w:tcPr>
          <w:p w14:paraId="6737B7E2" w14:textId="1E5605AE" w:rsidR="00F1256F" w:rsidRPr="008F55EC" w:rsidRDefault="00387840" w:rsidP="00AA3C19">
            <w:pPr>
              <w:rPr>
                <w:rFonts w:cs="Arial"/>
                <w:sz w:val="22"/>
                <w:szCs w:val="22"/>
                <w:lang w:val="en-US"/>
              </w:rPr>
            </w:pPr>
            <w:r>
              <w:rPr>
                <w:rFonts w:cs="Arial"/>
                <w:sz w:val="22"/>
                <w:szCs w:val="22"/>
                <w:lang w:val="en-US"/>
              </w:rPr>
              <w:t>Entertainment</w:t>
            </w:r>
          </w:p>
        </w:tc>
        <w:tc>
          <w:tcPr>
            <w:tcW w:w="2977" w:type="dxa"/>
            <w:vAlign w:val="center"/>
          </w:tcPr>
          <w:p w14:paraId="5F96575B" w14:textId="2E7776BA" w:rsidR="00F1256F" w:rsidRPr="008F55EC" w:rsidRDefault="00387840" w:rsidP="00387840">
            <w:pPr>
              <w:jc w:val="right"/>
              <w:rPr>
                <w:rFonts w:cs="Arial"/>
                <w:sz w:val="22"/>
                <w:szCs w:val="22"/>
                <w:lang w:val="en-US"/>
              </w:rPr>
            </w:pPr>
            <w:r>
              <w:rPr>
                <w:rFonts w:cs="Arial"/>
                <w:sz w:val="22"/>
                <w:szCs w:val="22"/>
                <w:lang w:val="en-US"/>
              </w:rPr>
              <w:t>$24,624,000</w:t>
            </w:r>
          </w:p>
        </w:tc>
      </w:tr>
      <w:tr w:rsidR="00F1256F" w:rsidRPr="008F55EC" w14:paraId="1C6BB9C9" w14:textId="77777777" w:rsidTr="00AA3C19">
        <w:tc>
          <w:tcPr>
            <w:tcW w:w="1980" w:type="dxa"/>
            <w:vAlign w:val="center"/>
          </w:tcPr>
          <w:p w14:paraId="56DA7FF5" w14:textId="4130DB69" w:rsidR="00F1256F" w:rsidRDefault="00387840" w:rsidP="00AA3C19">
            <w:pPr>
              <w:rPr>
                <w:rFonts w:cs="Arial"/>
                <w:color w:val="000000"/>
                <w:sz w:val="22"/>
                <w:szCs w:val="22"/>
              </w:rPr>
            </w:pPr>
            <w:r>
              <w:rPr>
                <w:rFonts w:cs="Arial"/>
                <w:color w:val="000000"/>
                <w:sz w:val="22"/>
                <w:szCs w:val="22"/>
              </w:rPr>
              <w:t>Commercial</w:t>
            </w:r>
          </w:p>
        </w:tc>
        <w:tc>
          <w:tcPr>
            <w:tcW w:w="2977" w:type="dxa"/>
            <w:vAlign w:val="center"/>
          </w:tcPr>
          <w:p w14:paraId="176BC4DB" w14:textId="3FEE80CF" w:rsidR="00F1256F" w:rsidRPr="008F55EC" w:rsidRDefault="00387840" w:rsidP="00387840">
            <w:pPr>
              <w:jc w:val="right"/>
              <w:rPr>
                <w:rFonts w:cs="Arial"/>
                <w:sz w:val="22"/>
                <w:szCs w:val="22"/>
                <w:lang w:val="en-US"/>
              </w:rPr>
            </w:pPr>
            <w:r>
              <w:rPr>
                <w:rFonts w:cs="Arial"/>
                <w:sz w:val="22"/>
                <w:szCs w:val="22"/>
                <w:lang w:val="en-US"/>
              </w:rPr>
              <w:t>$13,411,000</w:t>
            </w:r>
          </w:p>
        </w:tc>
      </w:tr>
      <w:tr w:rsidR="00F1256F" w:rsidRPr="008F55EC" w14:paraId="1C3D02E2" w14:textId="77777777" w:rsidTr="00AA3C19">
        <w:tc>
          <w:tcPr>
            <w:tcW w:w="1980" w:type="dxa"/>
            <w:vAlign w:val="center"/>
          </w:tcPr>
          <w:p w14:paraId="6BC31EA5" w14:textId="2652EE77" w:rsidR="00F1256F" w:rsidRDefault="00387840" w:rsidP="00AA3C19">
            <w:pPr>
              <w:rPr>
                <w:rFonts w:cs="Arial"/>
                <w:color w:val="000000"/>
                <w:sz w:val="22"/>
                <w:szCs w:val="22"/>
              </w:rPr>
            </w:pPr>
            <w:r>
              <w:rPr>
                <w:rFonts w:cs="Arial"/>
                <w:color w:val="000000"/>
                <w:sz w:val="22"/>
                <w:szCs w:val="22"/>
              </w:rPr>
              <w:t>Tourism</w:t>
            </w:r>
          </w:p>
        </w:tc>
        <w:tc>
          <w:tcPr>
            <w:tcW w:w="2977" w:type="dxa"/>
            <w:vAlign w:val="center"/>
          </w:tcPr>
          <w:p w14:paraId="377B9CD9" w14:textId="600E281C" w:rsidR="00F1256F" w:rsidRPr="008F55EC" w:rsidRDefault="00387840" w:rsidP="00387840">
            <w:pPr>
              <w:jc w:val="right"/>
              <w:rPr>
                <w:rFonts w:cs="Arial"/>
                <w:sz w:val="22"/>
                <w:szCs w:val="22"/>
                <w:lang w:val="en-US"/>
              </w:rPr>
            </w:pPr>
            <w:r>
              <w:rPr>
                <w:rFonts w:cs="Arial"/>
                <w:sz w:val="22"/>
                <w:szCs w:val="22"/>
                <w:lang w:val="en-US"/>
              </w:rPr>
              <w:t>$12,666,000</w:t>
            </w:r>
          </w:p>
        </w:tc>
      </w:tr>
    </w:tbl>
    <w:p w14:paraId="5AB3FD66" w14:textId="0A642142" w:rsidR="00F64925" w:rsidRDefault="00F64925" w:rsidP="00F64925">
      <w:pPr>
        <w:pStyle w:val="Heading3"/>
        <w:rPr>
          <w:rFonts w:hint="eastAsia"/>
        </w:rPr>
      </w:pPr>
      <w:bookmarkStart w:id="23" w:name="_Toc175665298"/>
      <w:r>
        <w:t>Table 1</w:t>
      </w:r>
      <w:r w:rsidR="00C55B65">
        <w:t>1</w:t>
      </w:r>
      <w:r>
        <w:t xml:space="preserve"> – Work hours and non-work hours spend</w:t>
      </w:r>
      <w:r w:rsidR="00B776A9">
        <w:t xml:space="preserve"> </w:t>
      </w:r>
      <w:r w:rsidR="00B776A9" w:rsidRPr="002031FC">
        <w:t xml:space="preserve">in </w:t>
      </w:r>
      <w:r w:rsidR="00B776A9">
        <w:t>North Melbourne</w:t>
      </w:r>
      <w:r>
        <w:t>, Q</w:t>
      </w:r>
      <w:r w:rsidR="00C55B65">
        <w:t>2</w:t>
      </w:r>
      <w:r>
        <w:t xml:space="preserve"> 2024</w:t>
      </w:r>
      <w:bookmarkEnd w:id="23"/>
    </w:p>
    <w:tbl>
      <w:tblPr>
        <w:tblStyle w:val="TableGrid"/>
        <w:tblW w:w="0" w:type="auto"/>
        <w:tblLook w:val="04A0" w:firstRow="1" w:lastRow="0" w:firstColumn="1" w:lastColumn="0" w:noHBand="0" w:noVBand="1"/>
      </w:tblPr>
      <w:tblGrid>
        <w:gridCol w:w="2972"/>
        <w:gridCol w:w="1985"/>
        <w:gridCol w:w="3118"/>
      </w:tblGrid>
      <w:tr w:rsidR="00BA5216" w:rsidRPr="008F55EC" w14:paraId="1E14B8A4" w14:textId="77777777" w:rsidTr="00BA5216">
        <w:tc>
          <w:tcPr>
            <w:tcW w:w="2972" w:type="dxa"/>
            <w:vAlign w:val="center"/>
          </w:tcPr>
          <w:p w14:paraId="3B41BC8E" w14:textId="77777777" w:rsidR="00F64925" w:rsidRPr="00F64925" w:rsidRDefault="00F64925" w:rsidP="00AA3C19">
            <w:pPr>
              <w:rPr>
                <w:rFonts w:cs="Arial"/>
                <w:b/>
                <w:bCs/>
                <w:sz w:val="22"/>
                <w:szCs w:val="22"/>
                <w:lang w:val="en-US"/>
              </w:rPr>
            </w:pPr>
            <w:r>
              <w:rPr>
                <w:rFonts w:cs="Arial"/>
                <w:b/>
                <w:bCs/>
                <w:sz w:val="22"/>
                <w:szCs w:val="22"/>
                <w:lang w:val="en-US"/>
              </w:rPr>
              <w:t>Time Period</w:t>
            </w:r>
          </w:p>
        </w:tc>
        <w:tc>
          <w:tcPr>
            <w:tcW w:w="1985" w:type="dxa"/>
            <w:vAlign w:val="center"/>
          </w:tcPr>
          <w:p w14:paraId="63EB6255" w14:textId="77777777" w:rsidR="00F64925" w:rsidRPr="008F55EC" w:rsidRDefault="00F64925" w:rsidP="00AA3C19">
            <w:pPr>
              <w:rPr>
                <w:rFonts w:cs="Arial"/>
                <w:sz w:val="22"/>
                <w:szCs w:val="22"/>
                <w:lang w:val="en-US"/>
              </w:rPr>
            </w:pPr>
            <w:r>
              <w:rPr>
                <w:rFonts w:cs="Arial"/>
                <w:b/>
                <w:bCs/>
                <w:color w:val="000000"/>
                <w:sz w:val="22"/>
                <w:szCs w:val="22"/>
              </w:rPr>
              <w:t>Adjusted Spend</w:t>
            </w:r>
          </w:p>
        </w:tc>
        <w:tc>
          <w:tcPr>
            <w:tcW w:w="3118" w:type="dxa"/>
          </w:tcPr>
          <w:p w14:paraId="58285369" w14:textId="77777777" w:rsidR="00F64925" w:rsidRDefault="00F64925" w:rsidP="00AA3C19">
            <w:pPr>
              <w:rPr>
                <w:rFonts w:cs="Arial"/>
                <w:b/>
                <w:bCs/>
                <w:color w:val="000000"/>
                <w:sz w:val="22"/>
                <w:szCs w:val="22"/>
              </w:rPr>
            </w:pPr>
            <w:r>
              <w:rPr>
                <w:rFonts w:cs="Arial"/>
                <w:b/>
                <w:bCs/>
                <w:color w:val="000000"/>
                <w:sz w:val="22"/>
                <w:szCs w:val="22"/>
              </w:rPr>
              <w:t>Percent of Average Spend</w:t>
            </w:r>
          </w:p>
        </w:tc>
      </w:tr>
      <w:tr w:rsidR="00BA5216" w:rsidRPr="008F55EC" w14:paraId="445B3108" w14:textId="77777777" w:rsidTr="00BA5216">
        <w:tc>
          <w:tcPr>
            <w:tcW w:w="2972" w:type="dxa"/>
            <w:vAlign w:val="center"/>
          </w:tcPr>
          <w:p w14:paraId="1BFC28B9" w14:textId="77777777" w:rsidR="00F64925" w:rsidRPr="008F55EC" w:rsidRDefault="00F64925" w:rsidP="00AA3C19">
            <w:pPr>
              <w:rPr>
                <w:rFonts w:cs="Arial"/>
                <w:sz w:val="22"/>
                <w:szCs w:val="22"/>
                <w:lang w:val="en-US"/>
              </w:rPr>
            </w:pPr>
            <w:r>
              <w:rPr>
                <w:rFonts w:cs="Arial"/>
                <w:color w:val="000000"/>
                <w:sz w:val="22"/>
                <w:szCs w:val="22"/>
              </w:rPr>
              <w:t>Work hours</w:t>
            </w:r>
          </w:p>
        </w:tc>
        <w:tc>
          <w:tcPr>
            <w:tcW w:w="1985" w:type="dxa"/>
            <w:vAlign w:val="center"/>
          </w:tcPr>
          <w:p w14:paraId="33B2FD13" w14:textId="4348945D" w:rsidR="00F64925" w:rsidRPr="008F55EC" w:rsidRDefault="00387840" w:rsidP="00387840">
            <w:pPr>
              <w:jc w:val="right"/>
              <w:rPr>
                <w:rFonts w:cs="Arial"/>
                <w:sz w:val="22"/>
                <w:szCs w:val="22"/>
                <w:lang w:val="en-US"/>
              </w:rPr>
            </w:pPr>
            <w:r>
              <w:rPr>
                <w:rFonts w:cs="Arial"/>
                <w:sz w:val="22"/>
                <w:szCs w:val="22"/>
                <w:lang w:val="en-US"/>
              </w:rPr>
              <w:t>$49,000,000</w:t>
            </w:r>
          </w:p>
        </w:tc>
        <w:tc>
          <w:tcPr>
            <w:tcW w:w="3118" w:type="dxa"/>
          </w:tcPr>
          <w:p w14:paraId="74A3A0C2" w14:textId="3C6C906E" w:rsidR="00F64925" w:rsidRPr="008F55EC" w:rsidRDefault="00387840" w:rsidP="00387840">
            <w:pPr>
              <w:jc w:val="right"/>
              <w:rPr>
                <w:rFonts w:cs="Arial"/>
                <w:sz w:val="22"/>
                <w:szCs w:val="22"/>
                <w:lang w:val="en-US"/>
              </w:rPr>
            </w:pPr>
            <w:r>
              <w:rPr>
                <w:rFonts w:cs="Arial"/>
                <w:sz w:val="22"/>
                <w:szCs w:val="22"/>
                <w:lang w:val="en-US"/>
              </w:rPr>
              <w:t>59%</w:t>
            </w:r>
          </w:p>
        </w:tc>
      </w:tr>
      <w:tr w:rsidR="00BA5216" w:rsidRPr="008F55EC" w14:paraId="0E667ED7" w14:textId="77777777" w:rsidTr="00BA5216">
        <w:tc>
          <w:tcPr>
            <w:tcW w:w="2972" w:type="dxa"/>
            <w:vAlign w:val="center"/>
          </w:tcPr>
          <w:p w14:paraId="7974D1CD" w14:textId="77777777" w:rsidR="00F64925" w:rsidRPr="008F55EC" w:rsidRDefault="00F64925" w:rsidP="00AA3C19">
            <w:pPr>
              <w:rPr>
                <w:rFonts w:cs="Arial"/>
                <w:sz w:val="22"/>
                <w:szCs w:val="22"/>
                <w:lang w:val="en-US"/>
              </w:rPr>
            </w:pPr>
            <w:r>
              <w:rPr>
                <w:rFonts w:cs="Arial"/>
                <w:color w:val="000000"/>
                <w:sz w:val="22"/>
                <w:szCs w:val="22"/>
              </w:rPr>
              <w:t>Non-work hours</w:t>
            </w:r>
          </w:p>
        </w:tc>
        <w:tc>
          <w:tcPr>
            <w:tcW w:w="1985" w:type="dxa"/>
            <w:vAlign w:val="center"/>
          </w:tcPr>
          <w:p w14:paraId="11A193C5" w14:textId="797B819F" w:rsidR="00F64925" w:rsidRPr="008F55EC" w:rsidRDefault="00387840" w:rsidP="00387840">
            <w:pPr>
              <w:jc w:val="right"/>
              <w:rPr>
                <w:rFonts w:cs="Arial"/>
                <w:sz w:val="22"/>
                <w:szCs w:val="22"/>
                <w:lang w:val="en-US"/>
              </w:rPr>
            </w:pPr>
            <w:r>
              <w:rPr>
                <w:rFonts w:cs="Arial"/>
                <w:sz w:val="22"/>
                <w:szCs w:val="22"/>
                <w:lang w:val="en-US"/>
              </w:rPr>
              <w:t>$35,000,000</w:t>
            </w:r>
          </w:p>
        </w:tc>
        <w:tc>
          <w:tcPr>
            <w:tcW w:w="3118" w:type="dxa"/>
          </w:tcPr>
          <w:p w14:paraId="7EAEAE6D" w14:textId="2D72E9E7" w:rsidR="00F64925" w:rsidRPr="008F55EC" w:rsidRDefault="00387840" w:rsidP="00387840">
            <w:pPr>
              <w:jc w:val="right"/>
              <w:rPr>
                <w:rFonts w:cs="Arial"/>
                <w:sz w:val="22"/>
                <w:szCs w:val="22"/>
                <w:lang w:val="en-US"/>
              </w:rPr>
            </w:pPr>
            <w:r>
              <w:rPr>
                <w:rFonts w:cs="Arial"/>
                <w:sz w:val="22"/>
                <w:szCs w:val="22"/>
                <w:lang w:val="en-US"/>
              </w:rPr>
              <w:t>41%</w:t>
            </w:r>
          </w:p>
        </w:tc>
      </w:tr>
    </w:tbl>
    <w:p w14:paraId="5D4489CB" w14:textId="03E60521" w:rsidR="004B0A87" w:rsidRDefault="004B0A87" w:rsidP="004B0A87">
      <w:pPr>
        <w:pStyle w:val="ListParagraph"/>
        <w:numPr>
          <w:ilvl w:val="0"/>
          <w:numId w:val="21"/>
        </w:numPr>
      </w:pPr>
      <w:r w:rsidRPr="005B476C">
        <w:t>Work hours are 8am to 6pm, Monday to Friday.</w:t>
      </w:r>
    </w:p>
    <w:p w14:paraId="53D041BE" w14:textId="735C5599" w:rsidR="009B4DE8" w:rsidRDefault="009B4DE8" w:rsidP="009B4DE8">
      <w:pPr>
        <w:pStyle w:val="Heading3"/>
        <w:rPr>
          <w:rFonts w:hint="eastAsia"/>
        </w:rPr>
      </w:pPr>
      <w:bookmarkStart w:id="24" w:name="_Toc175665299"/>
      <w:r>
        <w:t>Table 1</w:t>
      </w:r>
      <w:r w:rsidR="00C55B65">
        <w:t>2</w:t>
      </w:r>
      <w:r>
        <w:t xml:space="preserve"> – </w:t>
      </w:r>
      <w:r w:rsidRPr="002031FC">
        <w:t xml:space="preserve">Weekday and weekend spend in </w:t>
      </w:r>
      <w:r w:rsidR="00C55B65">
        <w:t>North Melbourne</w:t>
      </w:r>
      <w:r w:rsidRPr="002031FC">
        <w:t>, Q</w:t>
      </w:r>
      <w:r w:rsidR="00C55B65">
        <w:t>2</w:t>
      </w:r>
      <w:r w:rsidRPr="002031FC">
        <w:t xml:space="preserve"> 2024</w:t>
      </w:r>
      <w:bookmarkEnd w:id="24"/>
      <w:r>
        <w:t xml:space="preserve"> </w:t>
      </w:r>
    </w:p>
    <w:tbl>
      <w:tblPr>
        <w:tblStyle w:val="TableGrid"/>
        <w:tblW w:w="0" w:type="auto"/>
        <w:tblLook w:val="04A0" w:firstRow="1" w:lastRow="0" w:firstColumn="1" w:lastColumn="0" w:noHBand="0" w:noVBand="1"/>
      </w:tblPr>
      <w:tblGrid>
        <w:gridCol w:w="2689"/>
        <w:gridCol w:w="2268"/>
        <w:gridCol w:w="3118"/>
      </w:tblGrid>
      <w:tr w:rsidR="009B4DE8" w:rsidRPr="008F55EC" w14:paraId="0D8C98E4" w14:textId="77777777" w:rsidTr="00922857">
        <w:tc>
          <w:tcPr>
            <w:tcW w:w="2689" w:type="dxa"/>
            <w:vAlign w:val="center"/>
          </w:tcPr>
          <w:p w14:paraId="7776F807" w14:textId="77777777" w:rsidR="009B4DE8" w:rsidRPr="00F64925" w:rsidRDefault="009B4DE8" w:rsidP="00922857">
            <w:pPr>
              <w:rPr>
                <w:rFonts w:cs="Arial"/>
                <w:b/>
                <w:bCs/>
                <w:sz w:val="22"/>
                <w:szCs w:val="22"/>
                <w:lang w:val="en-US"/>
              </w:rPr>
            </w:pPr>
            <w:r>
              <w:rPr>
                <w:rFonts w:cs="Arial"/>
                <w:b/>
                <w:bCs/>
                <w:sz w:val="22"/>
                <w:szCs w:val="22"/>
                <w:lang w:val="en-US"/>
              </w:rPr>
              <w:t>Time Period</w:t>
            </w:r>
          </w:p>
        </w:tc>
        <w:tc>
          <w:tcPr>
            <w:tcW w:w="2268" w:type="dxa"/>
            <w:vAlign w:val="center"/>
          </w:tcPr>
          <w:p w14:paraId="2A1614DD" w14:textId="77777777" w:rsidR="009B4DE8" w:rsidRPr="008F55EC" w:rsidRDefault="009B4DE8" w:rsidP="00922857">
            <w:pPr>
              <w:rPr>
                <w:rFonts w:cs="Arial"/>
                <w:sz w:val="22"/>
                <w:szCs w:val="22"/>
                <w:lang w:val="en-US"/>
              </w:rPr>
            </w:pPr>
            <w:r>
              <w:rPr>
                <w:rFonts w:cs="Arial"/>
                <w:b/>
                <w:bCs/>
                <w:color w:val="000000"/>
                <w:sz w:val="22"/>
                <w:szCs w:val="22"/>
              </w:rPr>
              <w:t>Adjusted Spend</w:t>
            </w:r>
          </w:p>
        </w:tc>
        <w:tc>
          <w:tcPr>
            <w:tcW w:w="3118" w:type="dxa"/>
          </w:tcPr>
          <w:p w14:paraId="2C2B208D" w14:textId="77777777" w:rsidR="009B4DE8" w:rsidRDefault="009B4DE8" w:rsidP="00922857">
            <w:pPr>
              <w:rPr>
                <w:rFonts w:cs="Arial"/>
                <w:b/>
                <w:bCs/>
                <w:color w:val="000000"/>
                <w:sz w:val="22"/>
                <w:szCs w:val="22"/>
              </w:rPr>
            </w:pPr>
            <w:r>
              <w:rPr>
                <w:rFonts w:cs="Arial"/>
                <w:b/>
                <w:bCs/>
                <w:color w:val="000000"/>
                <w:sz w:val="22"/>
                <w:szCs w:val="22"/>
              </w:rPr>
              <w:t>Percent of Average Spend</w:t>
            </w:r>
          </w:p>
        </w:tc>
      </w:tr>
      <w:tr w:rsidR="009B4DE8" w:rsidRPr="008F55EC" w14:paraId="6C49F10F" w14:textId="77777777" w:rsidTr="00922857">
        <w:tc>
          <w:tcPr>
            <w:tcW w:w="2689" w:type="dxa"/>
            <w:vAlign w:val="center"/>
          </w:tcPr>
          <w:p w14:paraId="65D22A3C" w14:textId="77777777" w:rsidR="009B4DE8" w:rsidRPr="008F55EC" w:rsidRDefault="009B4DE8" w:rsidP="00922857">
            <w:pPr>
              <w:rPr>
                <w:rFonts w:cs="Arial"/>
                <w:sz w:val="22"/>
                <w:szCs w:val="22"/>
                <w:lang w:val="en-US"/>
              </w:rPr>
            </w:pPr>
            <w:r>
              <w:rPr>
                <w:rFonts w:cs="Arial"/>
                <w:color w:val="000000"/>
                <w:sz w:val="22"/>
                <w:szCs w:val="22"/>
              </w:rPr>
              <w:t>Weekdays</w:t>
            </w:r>
          </w:p>
        </w:tc>
        <w:tc>
          <w:tcPr>
            <w:tcW w:w="2268" w:type="dxa"/>
            <w:vAlign w:val="center"/>
          </w:tcPr>
          <w:p w14:paraId="4AAB1D9B" w14:textId="3A69EEE3" w:rsidR="009B4DE8" w:rsidRPr="008F55EC" w:rsidRDefault="00387840" w:rsidP="00387840">
            <w:pPr>
              <w:jc w:val="right"/>
              <w:rPr>
                <w:rFonts w:cs="Arial"/>
                <w:sz w:val="22"/>
                <w:szCs w:val="22"/>
                <w:lang w:val="en-US"/>
              </w:rPr>
            </w:pPr>
            <w:r>
              <w:rPr>
                <w:rFonts w:cs="Arial"/>
                <w:sz w:val="22"/>
                <w:szCs w:val="22"/>
                <w:lang w:val="en-US"/>
              </w:rPr>
              <w:t>$61,000,000</w:t>
            </w:r>
          </w:p>
        </w:tc>
        <w:tc>
          <w:tcPr>
            <w:tcW w:w="3118" w:type="dxa"/>
          </w:tcPr>
          <w:p w14:paraId="219BAD09" w14:textId="36A3006B" w:rsidR="009B4DE8" w:rsidRPr="008F55EC" w:rsidRDefault="00387840" w:rsidP="00387840">
            <w:pPr>
              <w:jc w:val="right"/>
              <w:rPr>
                <w:rFonts w:cs="Arial"/>
                <w:sz w:val="22"/>
                <w:szCs w:val="22"/>
                <w:lang w:val="en-US"/>
              </w:rPr>
            </w:pPr>
            <w:r>
              <w:rPr>
                <w:rFonts w:cs="Arial"/>
                <w:sz w:val="22"/>
                <w:szCs w:val="22"/>
                <w:lang w:val="en-US"/>
              </w:rPr>
              <w:t>73%</w:t>
            </w:r>
          </w:p>
        </w:tc>
      </w:tr>
      <w:tr w:rsidR="009B4DE8" w:rsidRPr="008F55EC" w14:paraId="1AA10B1D" w14:textId="77777777" w:rsidTr="00922857">
        <w:tc>
          <w:tcPr>
            <w:tcW w:w="2689" w:type="dxa"/>
            <w:vAlign w:val="center"/>
          </w:tcPr>
          <w:p w14:paraId="6BB1AE87" w14:textId="77777777" w:rsidR="009B4DE8" w:rsidRPr="008F55EC" w:rsidRDefault="009B4DE8" w:rsidP="00922857">
            <w:pPr>
              <w:rPr>
                <w:rFonts w:cs="Arial"/>
                <w:sz w:val="22"/>
                <w:szCs w:val="22"/>
                <w:lang w:val="en-US"/>
              </w:rPr>
            </w:pPr>
            <w:r>
              <w:rPr>
                <w:rFonts w:cs="Arial"/>
                <w:color w:val="000000"/>
                <w:sz w:val="22"/>
                <w:szCs w:val="22"/>
              </w:rPr>
              <w:t>Weekends</w:t>
            </w:r>
          </w:p>
        </w:tc>
        <w:tc>
          <w:tcPr>
            <w:tcW w:w="2268" w:type="dxa"/>
            <w:vAlign w:val="center"/>
          </w:tcPr>
          <w:p w14:paraId="1A816868" w14:textId="5943E86E" w:rsidR="009B4DE8" w:rsidRPr="008F55EC" w:rsidRDefault="00387840" w:rsidP="00387840">
            <w:pPr>
              <w:jc w:val="right"/>
              <w:rPr>
                <w:rFonts w:cs="Arial"/>
                <w:sz w:val="22"/>
                <w:szCs w:val="22"/>
                <w:lang w:val="en-US"/>
              </w:rPr>
            </w:pPr>
            <w:r>
              <w:rPr>
                <w:rFonts w:cs="Arial"/>
                <w:sz w:val="22"/>
                <w:szCs w:val="22"/>
                <w:lang w:val="en-US"/>
              </w:rPr>
              <w:t>$23,000,000</w:t>
            </w:r>
          </w:p>
        </w:tc>
        <w:tc>
          <w:tcPr>
            <w:tcW w:w="3118" w:type="dxa"/>
          </w:tcPr>
          <w:p w14:paraId="718F1EE4" w14:textId="0F8A1F97" w:rsidR="009B4DE8" w:rsidRPr="008F55EC" w:rsidRDefault="00387840" w:rsidP="00387840">
            <w:pPr>
              <w:jc w:val="right"/>
              <w:rPr>
                <w:rFonts w:cs="Arial"/>
                <w:sz w:val="22"/>
                <w:szCs w:val="22"/>
                <w:lang w:val="en-US"/>
              </w:rPr>
            </w:pPr>
            <w:r>
              <w:rPr>
                <w:rFonts w:cs="Arial"/>
                <w:sz w:val="22"/>
                <w:szCs w:val="22"/>
                <w:lang w:val="en-US"/>
              </w:rPr>
              <w:t>27%</w:t>
            </w:r>
          </w:p>
        </w:tc>
      </w:tr>
    </w:tbl>
    <w:p w14:paraId="460D0932" w14:textId="34B9E51B" w:rsidR="00F64925" w:rsidRDefault="00F64925" w:rsidP="00F64925">
      <w:pPr>
        <w:pStyle w:val="Heading3"/>
        <w:rPr>
          <w:rFonts w:hint="eastAsia"/>
        </w:rPr>
      </w:pPr>
      <w:bookmarkStart w:id="25" w:name="_Toc175665300"/>
      <w:r>
        <w:t>Table 1</w:t>
      </w:r>
      <w:r w:rsidR="00C55B65">
        <w:t>3</w:t>
      </w:r>
      <w:r w:rsidR="009B4DE8">
        <w:t>.</w:t>
      </w:r>
      <w:r w:rsidR="002F4DE8">
        <w:t>a</w:t>
      </w:r>
      <w:r>
        <w:t xml:space="preserve"> – </w:t>
      </w:r>
      <w:r w:rsidR="009B4DE8" w:rsidRPr="009B4DE8">
        <w:t xml:space="preserve">Where spending in </w:t>
      </w:r>
      <w:r w:rsidR="00C55B65">
        <w:t>North Melbourne</w:t>
      </w:r>
      <w:r w:rsidR="00C55B65" w:rsidRPr="009B4DE8">
        <w:t xml:space="preserve"> </w:t>
      </w:r>
      <w:r w:rsidR="009B4DE8" w:rsidRPr="009B4DE8">
        <w:t>came from, Q</w:t>
      </w:r>
      <w:r w:rsidR="00C55B65">
        <w:t>2</w:t>
      </w:r>
      <w:r w:rsidR="009B4DE8" w:rsidRPr="009B4DE8">
        <w:t xml:space="preserve"> 2024</w:t>
      </w:r>
      <w:bookmarkEnd w:id="25"/>
    </w:p>
    <w:tbl>
      <w:tblPr>
        <w:tblStyle w:val="TableGrid"/>
        <w:tblW w:w="0" w:type="auto"/>
        <w:tblLook w:val="04A0" w:firstRow="1" w:lastRow="0" w:firstColumn="1" w:lastColumn="0" w:noHBand="0" w:noVBand="1"/>
      </w:tblPr>
      <w:tblGrid>
        <w:gridCol w:w="2972"/>
        <w:gridCol w:w="1985"/>
        <w:gridCol w:w="3118"/>
      </w:tblGrid>
      <w:tr w:rsidR="00F64925" w:rsidRPr="008F55EC" w14:paraId="78F0521C" w14:textId="77777777" w:rsidTr="00BA5216">
        <w:tc>
          <w:tcPr>
            <w:tcW w:w="2972" w:type="dxa"/>
            <w:vAlign w:val="center"/>
          </w:tcPr>
          <w:p w14:paraId="22FDE77B" w14:textId="4BB53821" w:rsidR="00F64925" w:rsidRPr="00F64925" w:rsidRDefault="00F64925" w:rsidP="00AA3C19">
            <w:pPr>
              <w:rPr>
                <w:rFonts w:cs="Arial"/>
                <w:b/>
                <w:bCs/>
                <w:sz w:val="22"/>
                <w:szCs w:val="22"/>
                <w:lang w:val="en-US"/>
              </w:rPr>
            </w:pPr>
            <w:bookmarkStart w:id="26" w:name="_Hlk167445344"/>
            <w:r>
              <w:rPr>
                <w:rFonts w:cs="Arial"/>
                <w:b/>
                <w:bCs/>
                <w:sz w:val="22"/>
                <w:szCs w:val="22"/>
                <w:lang w:val="en-US"/>
              </w:rPr>
              <w:t>Customer Type</w:t>
            </w:r>
          </w:p>
        </w:tc>
        <w:tc>
          <w:tcPr>
            <w:tcW w:w="1985" w:type="dxa"/>
            <w:vAlign w:val="center"/>
          </w:tcPr>
          <w:p w14:paraId="01A60F30" w14:textId="77777777" w:rsidR="00F64925" w:rsidRPr="008F55EC" w:rsidRDefault="00F64925" w:rsidP="00AA3C19">
            <w:pPr>
              <w:rPr>
                <w:rFonts w:cs="Arial"/>
                <w:sz w:val="22"/>
                <w:szCs w:val="22"/>
                <w:lang w:val="en-US"/>
              </w:rPr>
            </w:pPr>
            <w:r>
              <w:rPr>
                <w:rFonts w:cs="Arial"/>
                <w:b/>
                <w:bCs/>
                <w:color w:val="000000"/>
                <w:sz w:val="22"/>
                <w:szCs w:val="22"/>
              </w:rPr>
              <w:t>Adjusted Spend</w:t>
            </w:r>
          </w:p>
        </w:tc>
        <w:tc>
          <w:tcPr>
            <w:tcW w:w="3118" w:type="dxa"/>
          </w:tcPr>
          <w:p w14:paraId="5AA14C13" w14:textId="77777777" w:rsidR="00F64925" w:rsidRDefault="00F64925" w:rsidP="00AA3C19">
            <w:pPr>
              <w:rPr>
                <w:rFonts w:cs="Arial"/>
                <w:b/>
                <w:bCs/>
                <w:color w:val="000000"/>
                <w:sz w:val="22"/>
                <w:szCs w:val="22"/>
              </w:rPr>
            </w:pPr>
            <w:r>
              <w:rPr>
                <w:rFonts w:cs="Arial"/>
                <w:b/>
                <w:bCs/>
                <w:color w:val="000000"/>
                <w:sz w:val="22"/>
                <w:szCs w:val="22"/>
              </w:rPr>
              <w:t>Percent of Average Spend</w:t>
            </w:r>
          </w:p>
        </w:tc>
      </w:tr>
      <w:tr w:rsidR="00F64925" w:rsidRPr="008F55EC" w14:paraId="35D4D472" w14:textId="77777777" w:rsidTr="00BA5216">
        <w:tc>
          <w:tcPr>
            <w:tcW w:w="2972" w:type="dxa"/>
            <w:vAlign w:val="center"/>
          </w:tcPr>
          <w:p w14:paraId="368B0657" w14:textId="38C67887" w:rsidR="00F64925" w:rsidRPr="008F55EC" w:rsidRDefault="00F64925" w:rsidP="00AA3C19">
            <w:pPr>
              <w:rPr>
                <w:rFonts w:cs="Arial"/>
                <w:sz w:val="22"/>
                <w:szCs w:val="22"/>
                <w:lang w:val="en-US"/>
              </w:rPr>
            </w:pPr>
            <w:r>
              <w:rPr>
                <w:rFonts w:cs="Arial"/>
                <w:sz w:val="22"/>
                <w:szCs w:val="22"/>
                <w:lang w:val="en-US"/>
              </w:rPr>
              <w:t>City of Melbourne residents</w:t>
            </w:r>
          </w:p>
        </w:tc>
        <w:tc>
          <w:tcPr>
            <w:tcW w:w="1985" w:type="dxa"/>
            <w:vAlign w:val="center"/>
          </w:tcPr>
          <w:p w14:paraId="0E7F0F5A" w14:textId="78E9676F" w:rsidR="00F64925" w:rsidRPr="008F55EC" w:rsidRDefault="00387840" w:rsidP="00387840">
            <w:pPr>
              <w:jc w:val="right"/>
              <w:rPr>
                <w:rFonts w:cs="Arial"/>
                <w:sz w:val="22"/>
                <w:szCs w:val="22"/>
                <w:lang w:val="en-US"/>
              </w:rPr>
            </w:pPr>
            <w:r>
              <w:rPr>
                <w:rFonts w:cs="Arial"/>
                <w:sz w:val="22"/>
                <w:szCs w:val="22"/>
                <w:lang w:val="en-US"/>
              </w:rPr>
              <w:t>$18,000,000</w:t>
            </w:r>
          </w:p>
        </w:tc>
        <w:tc>
          <w:tcPr>
            <w:tcW w:w="3118" w:type="dxa"/>
          </w:tcPr>
          <w:p w14:paraId="3B7C97B5" w14:textId="0160184A" w:rsidR="00F64925" w:rsidRPr="008F55EC" w:rsidRDefault="00387840" w:rsidP="00387840">
            <w:pPr>
              <w:jc w:val="right"/>
              <w:rPr>
                <w:rFonts w:cs="Arial"/>
                <w:sz w:val="22"/>
                <w:szCs w:val="22"/>
                <w:lang w:val="en-US"/>
              </w:rPr>
            </w:pPr>
            <w:r>
              <w:rPr>
                <w:rFonts w:cs="Arial"/>
                <w:sz w:val="22"/>
                <w:szCs w:val="22"/>
                <w:lang w:val="en-US"/>
              </w:rPr>
              <w:t>21%</w:t>
            </w:r>
          </w:p>
        </w:tc>
      </w:tr>
      <w:tr w:rsidR="00F64925" w:rsidRPr="008F55EC" w14:paraId="465D5834" w14:textId="77777777" w:rsidTr="00BA5216">
        <w:tc>
          <w:tcPr>
            <w:tcW w:w="2972" w:type="dxa"/>
            <w:vAlign w:val="center"/>
          </w:tcPr>
          <w:p w14:paraId="40E6DD26" w14:textId="4645EA6C" w:rsidR="00F64925" w:rsidRPr="008F55EC" w:rsidRDefault="00F64925" w:rsidP="00AA3C19">
            <w:pPr>
              <w:rPr>
                <w:rFonts w:cs="Arial"/>
                <w:sz w:val="22"/>
                <w:szCs w:val="22"/>
                <w:lang w:val="en-US"/>
              </w:rPr>
            </w:pPr>
            <w:r>
              <w:rPr>
                <w:rFonts w:cs="Arial"/>
                <w:color w:val="000000"/>
                <w:sz w:val="22"/>
                <w:szCs w:val="22"/>
              </w:rPr>
              <w:t>Visitors</w:t>
            </w:r>
          </w:p>
        </w:tc>
        <w:tc>
          <w:tcPr>
            <w:tcW w:w="1985" w:type="dxa"/>
            <w:vAlign w:val="center"/>
          </w:tcPr>
          <w:p w14:paraId="73BEDC6F" w14:textId="0A401C91" w:rsidR="00F64925" w:rsidRPr="008F55EC" w:rsidRDefault="00387840" w:rsidP="00387840">
            <w:pPr>
              <w:jc w:val="right"/>
              <w:rPr>
                <w:rFonts w:cs="Arial"/>
                <w:sz w:val="22"/>
                <w:szCs w:val="22"/>
                <w:lang w:val="en-US"/>
              </w:rPr>
            </w:pPr>
            <w:r>
              <w:rPr>
                <w:rFonts w:cs="Arial"/>
                <w:sz w:val="22"/>
                <w:szCs w:val="22"/>
                <w:lang w:val="en-US"/>
              </w:rPr>
              <w:t>$66,000,000</w:t>
            </w:r>
          </w:p>
        </w:tc>
        <w:tc>
          <w:tcPr>
            <w:tcW w:w="3118" w:type="dxa"/>
          </w:tcPr>
          <w:p w14:paraId="7C1B8229" w14:textId="24B4C870" w:rsidR="00F64925" w:rsidRPr="008F55EC" w:rsidRDefault="00387840" w:rsidP="00387840">
            <w:pPr>
              <w:jc w:val="right"/>
              <w:rPr>
                <w:rFonts w:cs="Arial"/>
                <w:sz w:val="22"/>
                <w:szCs w:val="22"/>
                <w:lang w:val="en-US"/>
              </w:rPr>
            </w:pPr>
            <w:r>
              <w:rPr>
                <w:rFonts w:cs="Arial"/>
                <w:sz w:val="22"/>
                <w:szCs w:val="22"/>
                <w:lang w:val="en-US"/>
              </w:rPr>
              <w:t>79%</w:t>
            </w:r>
          </w:p>
        </w:tc>
      </w:tr>
    </w:tbl>
    <w:p w14:paraId="7D26A684" w14:textId="10BEBF31" w:rsidR="00F64925" w:rsidRDefault="00F64925" w:rsidP="00F64925">
      <w:pPr>
        <w:pStyle w:val="Heading3"/>
        <w:rPr>
          <w:rFonts w:hint="eastAsia"/>
        </w:rPr>
      </w:pPr>
      <w:bookmarkStart w:id="27" w:name="_Toc175665301"/>
      <w:bookmarkEnd w:id="26"/>
      <w:r>
        <w:t>Table 1</w:t>
      </w:r>
      <w:r w:rsidR="00C55B65">
        <w:t>3</w:t>
      </w:r>
      <w:r w:rsidR="009B4DE8">
        <w:t>.</w:t>
      </w:r>
      <w:r w:rsidR="002F4DE8">
        <w:t>b</w:t>
      </w:r>
      <w:r>
        <w:t xml:space="preserve"> – </w:t>
      </w:r>
      <w:r w:rsidR="009B4DE8" w:rsidRPr="009B4DE8">
        <w:t xml:space="preserve">Where spending in </w:t>
      </w:r>
      <w:r w:rsidR="00C55B65">
        <w:t>North Melbourne</w:t>
      </w:r>
      <w:r w:rsidR="00C55B65" w:rsidRPr="009B4DE8">
        <w:t xml:space="preserve"> </w:t>
      </w:r>
      <w:r w:rsidR="009B4DE8" w:rsidRPr="009B4DE8">
        <w:t>came from, Q</w:t>
      </w:r>
      <w:r w:rsidR="00C55B65">
        <w:t>2</w:t>
      </w:r>
      <w:r w:rsidR="009B4DE8" w:rsidRPr="009B4DE8">
        <w:t xml:space="preserve"> 2024</w:t>
      </w:r>
      <w:bookmarkEnd w:id="27"/>
    </w:p>
    <w:tbl>
      <w:tblPr>
        <w:tblStyle w:val="TableGrid"/>
        <w:tblW w:w="0" w:type="auto"/>
        <w:tblLook w:val="04A0" w:firstRow="1" w:lastRow="0" w:firstColumn="1" w:lastColumn="0" w:noHBand="0" w:noVBand="1"/>
      </w:tblPr>
      <w:tblGrid>
        <w:gridCol w:w="2972"/>
        <w:gridCol w:w="1985"/>
      </w:tblGrid>
      <w:tr w:rsidR="0009455A" w:rsidRPr="008F55EC" w14:paraId="33A336EC" w14:textId="77777777" w:rsidTr="00AA3C19">
        <w:tc>
          <w:tcPr>
            <w:tcW w:w="2972" w:type="dxa"/>
            <w:vAlign w:val="center"/>
          </w:tcPr>
          <w:p w14:paraId="0753FC37" w14:textId="387CDA76" w:rsidR="0009455A" w:rsidRPr="00F64925" w:rsidRDefault="009B4DE8" w:rsidP="00AA3C19">
            <w:pPr>
              <w:rPr>
                <w:rFonts w:cs="Arial"/>
                <w:b/>
                <w:bCs/>
                <w:sz w:val="22"/>
                <w:szCs w:val="22"/>
                <w:lang w:val="en-US"/>
              </w:rPr>
            </w:pPr>
            <w:r>
              <w:rPr>
                <w:rFonts w:cs="Arial"/>
                <w:b/>
                <w:bCs/>
                <w:sz w:val="22"/>
                <w:szCs w:val="22"/>
                <w:lang w:val="en-US"/>
              </w:rPr>
              <w:t>Council Area</w:t>
            </w:r>
          </w:p>
        </w:tc>
        <w:tc>
          <w:tcPr>
            <w:tcW w:w="1985" w:type="dxa"/>
            <w:vAlign w:val="center"/>
          </w:tcPr>
          <w:p w14:paraId="3BFF725E" w14:textId="77777777" w:rsidR="0009455A" w:rsidRPr="008F55EC" w:rsidRDefault="0009455A" w:rsidP="00AA3C19">
            <w:pPr>
              <w:rPr>
                <w:rFonts w:cs="Arial"/>
                <w:sz w:val="22"/>
                <w:szCs w:val="22"/>
                <w:lang w:val="en-US"/>
              </w:rPr>
            </w:pPr>
            <w:r>
              <w:rPr>
                <w:rFonts w:cs="Arial"/>
                <w:b/>
                <w:bCs/>
                <w:color w:val="000000"/>
                <w:sz w:val="22"/>
                <w:szCs w:val="22"/>
              </w:rPr>
              <w:t>Adjusted Spend</w:t>
            </w:r>
          </w:p>
        </w:tc>
      </w:tr>
      <w:tr w:rsidR="0009455A" w:rsidRPr="008F55EC" w14:paraId="5F7F41F6" w14:textId="77777777" w:rsidTr="00AA3C19">
        <w:tc>
          <w:tcPr>
            <w:tcW w:w="2972" w:type="dxa"/>
            <w:vAlign w:val="center"/>
          </w:tcPr>
          <w:p w14:paraId="177EB8E1" w14:textId="0B11E532" w:rsidR="0009455A" w:rsidRPr="008F55EC" w:rsidRDefault="00387840" w:rsidP="00AA3C19">
            <w:pPr>
              <w:rPr>
                <w:rFonts w:cs="Arial"/>
                <w:sz w:val="22"/>
                <w:szCs w:val="22"/>
                <w:lang w:val="en-US"/>
              </w:rPr>
            </w:pPr>
            <w:r>
              <w:rPr>
                <w:rFonts w:cs="Arial"/>
                <w:sz w:val="22"/>
                <w:szCs w:val="22"/>
                <w:lang w:val="en-US"/>
              </w:rPr>
              <w:t>Essendon</w:t>
            </w:r>
          </w:p>
        </w:tc>
        <w:tc>
          <w:tcPr>
            <w:tcW w:w="1985" w:type="dxa"/>
            <w:vAlign w:val="center"/>
          </w:tcPr>
          <w:p w14:paraId="73874B9A" w14:textId="3DFC7F02" w:rsidR="0009455A" w:rsidRPr="008F55EC" w:rsidRDefault="00387840" w:rsidP="00387840">
            <w:pPr>
              <w:jc w:val="right"/>
              <w:rPr>
                <w:rFonts w:cs="Arial"/>
                <w:sz w:val="22"/>
                <w:szCs w:val="22"/>
                <w:lang w:val="en-US"/>
              </w:rPr>
            </w:pPr>
            <w:r>
              <w:rPr>
                <w:rFonts w:cs="Arial"/>
                <w:sz w:val="22"/>
                <w:szCs w:val="22"/>
                <w:lang w:val="en-US"/>
              </w:rPr>
              <w:t>$3,326,000</w:t>
            </w:r>
          </w:p>
        </w:tc>
      </w:tr>
      <w:tr w:rsidR="0009455A" w:rsidRPr="008F55EC" w14:paraId="008E08A8" w14:textId="77777777" w:rsidTr="00AA3C19">
        <w:tc>
          <w:tcPr>
            <w:tcW w:w="2972" w:type="dxa"/>
            <w:vAlign w:val="center"/>
          </w:tcPr>
          <w:p w14:paraId="30125A20" w14:textId="25D8039B" w:rsidR="0009455A" w:rsidRPr="008F55EC" w:rsidRDefault="00387840" w:rsidP="00AA3C19">
            <w:pPr>
              <w:rPr>
                <w:rFonts w:cs="Arial"/>
                <w:sz w:val="22"/>
                <w:szCs w:val="22"/>
                <w:lang w:val="en-US"/>
              </w:rPr>
            </w:pPr>
            <w:r>
              <w:rPr>
                <w:rFonts w:cs="Arial"/>
                <w:sz w:val="22"/>
                <w:szCs w:val="22"/>
                <w:lang w:val="en-US"/>
              </w:rPr>
              <w:lastRenderedPageBreak/>
              <w:t>Port Phillip</w:t>
            </w:r>
          </w:p>
        </w:tc>
        <w:tc>
          <w:tcPr>
            <w:tcW w:w="1985" w:type="dxa"/>
            <w:vAlign w:val="center"/>
          </w:tcPr>
          <w:p w14:paraId="4B185CB5" w14:textId="38A4EC39" w:rsidR="0009455A" w:rsidRPr="008F55EC" w:rsidRDefault="00387840" w:rsidP="00387840">
            <w:pPr>
              <w:jc w:val="right"/>
              <w:rPr>
                <w:rFonts w:cs="Arial"/>
                <w:sz w:val="22"/>
                <w:szCs w:val="22"/>
                <w:lang w:val="en-US"/>
              </w:rPr>
            </w:pPr>
            <w:r>
              <w:rPr>
                <w:rFonts w:cs="Arial"/>
                <w:sz w:val="22"/>
                <w:szCs w:val="22"/>
                <w:lang w:val="en-US"/>
              </w:rPr>
              <w:t>$2,104,000</w:t>
            </w:r>
          </w:p>
        </w:tc>
      </w:tr>
      <w:tr w:rsidR="0009455A" w:rsidRPr="008F55EC" w14:paraId="508B4388" w14:textId="77777777" w:rsidTr="00AA3C19">
        <w:tc>
          <w:tcPr>
            <w:tcW w:w="2972" w:type="dxa"/>
            <w:vAlign w:val="center"/>
          </w:tcPr>
          <w:p w14:paraId="63EED71E" w14:textId="7A09AE84" w:rsidR="0009455A" w:rsidRPr="008F55EC" w:rsidRDefault="00387840" w:rsidP="00AA3C19">
            <w:pPr>
              <w:rPr>
                <w:rFonts w:cs="Arial"/>
                <w:sz w:val="22"/>
                <w:szCs w:val="22"/>
                <w:lang w:val="en-US"/>
              </w:rPr>
            </w:pPr>
            <w:r>
              <w:rPr>
                <w:rFonts w:cs="Arial"/>
                <w:sz w:val="22"/>
                <w:szCs w:val="22"/>
                <w:lang w:val="en-US"/>
              </w:rPr>
              <w:t>Brunswick – Coburg</w:t>
            </w:r>
          </w:p>
        </w:tc>
        <w:tc>
          <w:tcPr>
            <w:tcW w:w="1985" w:type="dxa"/>
            <w:vAlign w:val="center"/>
          </w:tcPr>
          <w:p w14:paraId="5CBF872D" w14:textId="0245900A" w:rsidR="0009455A" w:rsidRPr="008F55EC" w:rsidRDefault="00387840" w:rsidP="00387840">
            <w:pPr>
              <w:jc w:val="right"/>
              <w:rPr>
                <w:rFonts w:cs="Arial"/>
                <w:sz w:val="22"/>
                <w:szCs w:val="22"/>
                <w:lang w:val="en-US"/>
              </w:rPr>
            </w:pPr>
            <w:r>
              <w:rPr>
                <w:rFonts w:cs="Arial"/>
                <w:sz w:val="22"/>
                <w:szCs w:val="22"/>
                <w:lang w:val="en-US"/>
              </w:rPr>
              <w:t>$2,085,000</w:t>
            </w:r>
          </w:p>
        </w:tc>
      </w:tr>
      <w:tr w:rsidR="0009455A" w:rsidRPr="008F55EC" w14:paraId="1AD9930A" w14:textId="77777777" w:rsidTr="00AA3C19">
        <w:tc>
          <w:tcPr>
            <w:tcW w:w="2972" w:type="dxa"/>
            <w:vAlign w:val="center"/>
          </w:tcPr>
          <w:p w14:paraId="09AAAB6D" w14:textId="23362C98" w:rsidR="0009455A" w:rsidRPr="008F55EC" w:rsidRDefault="00387840" w:rsidP="00AA3C19">
            <w:pPr>
              <w:rPr>
                <w:rFonts w:cs="Arial"/>
                <w:sz w:val="22"/>
                <w:szCs w:val="22"/>
                <w:lang w:val="en-US"/>
              </w:rPr>
            </w:pPr>
            <w:proofErr w:type="spellStart"/>
            <w:r>
              <w:rPr>
                <w:rFonts w:cs="Arial"/>
                <w:sz w:val="22"/>
                <w:szCs w:val="22"/>
                <w:lang w:val="en-US"/>
              </w:rPr>
              <w:t>Yarra</w:t>
            </w:r>
            <w:proofErr w:type="spellEnd"/>
          </w:p>
        </w:tc>
        <w:tc>
          <w:tcPr>
            <w:tcW w:w="1985" w:type="dxa"/>
            <w:vAlign w:val="center"/>
          </w:tcPr>
          <w:p w14:paraId="737F211A" w14:textId="7ECA3F2E" w:rsidR="0009455A" w:rsidRPr="008F55EC" w:rsidRDefault="00387840" w:rsidP="00387840">
            <w:pPr>
              <w:jc w:val="right"/>
              <w:rPr>
                <w:rFonts w:cs="Arial"/>
                <w:sz w:val="22"/>
                <w:szCs w:val="22"/>
                <w:lang w:val="en-US"/>
              </w:rPr>
            </w:pPr>
            <w:r>
              <w:rPr>
                <w:rFonts w:cs="Arial"/>
                <w:sz w:val="22"/>
                <w:szCs w:val="22"/>
                <w:lang w:val="en-US"/>
              </w:rPr>
              <w:t>$1,770,000</w:t>
            </w:r>
          </w:p>
        </w:tc>
      </w:tr>
      <w:tr w:rsidR="0009455A" w:rsidRPr="008F55EC" w14:paraId="0D0FBB63" w14:textId="77777777" w:rsidTr="00AA3C19">
        <w:tc>
          <w:tcPr>
            <w:tcW w:w="2972" w:type="dxa"/>
            <w:vAlign w:val="center"/>
          </w:tcPr>
          <w:p w14:paraId="27EA9910" w14:textId="73C5AC73" w:rsidR="0009455A" w:rsidRPr="008F55EC" w:rsidRDefault="00387840" w:rsidP="00AA3C19">
            <w:pPr>
              <w:rPr>
                <w:rFonts w:cs="Arial"/>
                <w:sz w:val="22"/>
                <w:szCs w:val="22"/>
                <w:lang w:val="en-US"/>
              </w:rPr>
            </w:pPr>
            <w:r>
              <w:rPr>
                <w:rFonts w:cs="Arial"/>
                <w:sz w:val="22"/>
                <w:szCs w:val="22"/>
                <w:lang w:val="en-US"/>
              </w:rPr>
              <w:t>Maribyrnong</w:t>
            </w:r>
          </w:p>
        </w:tc>
        <w:tc>
          <w:tcPr>
            <w:tcW w:w="1985" w:type="dxa"/>
            <w:vAlign w:val="center"/>
          </w:tcPr>
          <w:p w14:paraId="6DFEB7A7" w14:textId="550448BF" w:rsidR="0009455A" w:rsidRPr="008F55EC" w:rsidRDefault="00387840" w:rsidP="00387840">
            <w:pPr>
              <w:jc w:val="right"/>
              <w:rPr>
                <w:rFonts w:cs="Arial"/>
                <w:sz w:val="22"/>
                <w:szCs w:val="22"/>
                <w:lang w:val="en-US"/>
              </w:rPr>
            </w:pPr>
            <w:r>
              <w:rPr>
                <w:rFonts w:cs="Arial"/>
                <w:sz w:val="22"/>
                <w:szCs w:val="22"/>
                <w:lang w:val="en-US"/>
              </w:rPr>
              <w:t>$1,757,000</w:t>
            </w:r>
          </w:p>
        </w:tc>
      </w:tr>
    </w:tbl>
    <w:p w14:paraId="686563D1" w14:textId="088B47AB" w:rsidR="00F64925" w:rsidRPr="009F7577" w:rsidRDefault="00C55B65" w:rsidP="00F221E1">
      <w:pPr>
        <w:pStyle w:val="Heading2"/>
        <w:rPr>
          <w:rFonts w:hint="eastAsia"/>
        </w:rPr>
      </w:pPr>
      <w:bookmarkStart w:id="28" w:name="_Toc175665302"/>
      <w:r>
        <w:t>West Melbourne</w:t>
      </w:r>
      <w:bookmarkEnd w:id="28"/>
    </w:p>
    <w:p w14:paraId="3C684FE7" w14:textId="0DB741CF" w:rsidR="00F64925" w:rsidRDefault="00F64925" w:rsidP="00F64925">
      <w:pPr>
        <w:pStyle w:val="Heading3"/>
        <w:rPr>
          <w:rFonts w:hint="eastAsia"/>
        </w:rPr>
      </w:pPr>
      <w:bookmarkStart w:id="29" w:name="_Toc175665303"/>
      <w:r>
        <w:t>Table 1</w:t>
      </w:r>
      <w:r w:rsidR="00C55B65">
        <w:t>4</w:t>
      </w:r>
      <w:r>
        <w:t xml:space="preserve"> – Spending </w:t>
      </w:r>
      <w:r w:rsidR="000F3A62">
        <w:t xml:space="preserve">by </w:t>
      </w:r>
      <w:r>
        <w:t>categor</w:t>
      </w:r>
      <w:r w:rsidR="000F3A62">
        <w:t>y</w:t>
      </w:r>
      <w:r>
        <w:t>, Q</w:t>
      </w:r>
      <w:r w:rsidR="00C55B65">
        <w:t>2</w:t>
      </w:r>
      <w:r>
        <w:t xml:space="preserve"> 2024</w:t>
      </w:r>
      <w:bookmarkEnd w:id="29"/>
    </w:p>
    <w:tbl>
      <w:tblPr>
        <w:tblStyle w:val="TableGrid"/>
        <w:tblW w:w="0" w:type="auto"/>
        <w:tblLook w:val="04A0" w:firstRow="1" w:lastRow="0" w:firstColumn="1" w:lastColumn="0" w:noHBand="0" w:noVBand="1"/>
      </w:tblPr>
      <w:tblGrid>
        <w:gridCol w:w="1980"/>
        <w:gridCol w:w="2977"/>
      </w:tblGrid>
      <w:tr w:rsidR="00F1256F" w:rsidRPr="008F55EC" w14:paraId="18783BF3" w14:textId="77777777" w:rsidTr="00AA3C19">
        <w:tc>
          <w:tcPr>
            <w:tcW w:w="1980" w:type="dxa"/>
            <w:vAlign w:val="center"/>
          </w:tcPr>
          <w:p w14:paraId="6BA4479B" w14:textId="77777777" w:rsidR="00F1256F" w:rsidRPr="00F64925" w:rsidRDefault="00F1256F" w:rsidP="00AA3C19">
            <w:pPr>
              <w:rPr>
                <w:rFonts w:cs="Arial"/>
                <w:b/>
                <w:bCs/>
                <w:sz w:val="22"/>
                <w:szCs w:val="22"/>
                <w:lang w:val="en-US"/>
              </w:rPr>
            </w:pPr>
            <w:r w:rsidRPr="00F64925">
              <w:rPr>
                <w:rFonts w:cs="Arial"/>
                <w:b/>
                <w:bCs/>
                <w:sz w:val="22"/>
                <w:szCs w:val="22"/>
                <w:lang w:val="en-US"/>
              </w:rPr>
              <w:t>Category</w:t>
            </w:r>
          </w:p>
        </w:tc>
        <w:tc>
          <w:tcPr>
            <w:tcW w:w="2977" w:type="dxa"/>
            <w:vAlign w:val="center"/>
          </w:tcPr>
          <w:p w14:paraId="185BE54B" w14:textId="77777777" w:rsidR="00F1256F" w:rsidRPr="008F55EC" w:rsidRDefault="00F1256F" w:rsidP="00AA3C19">
            <w:pPr>
              <w:rPr>
                <w:rFonts w:cs="Arial"/>
                <w:sz w:val="22"/>
                <w:szCs w:val="22"/>
                <w:lang w:val="en-US"/>
              </w:rPr>
            </w:pPr>
            <w:r>
              <w:rPr>
                <w:rFonts w:cs="Arial"/>
                <w:b/>
                <w:bCs/>
                <w:color w:val="000000"/>
                <w:sz w:val="22"/>
                <w:szCs w:val="22"/>
              </w:rPr>
              <w:t>Adjusted Spend</w:t>
            </w:r>
          </w:p>
        </w:tc>
      </w:tr>
      <w:tr w:rsidR="00F1256F" w:rsidRPr="008F55EC" w14:paraId="24AF132F" w14:textId="77777777" w:rsidTr="00AA3C19">
        <w:tc>
          <w:tcPr>
            <w:tcW w:w="1980" w:type="dxa"/>
            <w:vAlign w:val="center"/>
          </w:tcPr>
          <w:p w14:paraId="57A09A9D" w14:textId="357F5E46" w:rsidR="00F1256F" w:rsidRPr="008F55EC" w:rsidRDefault="00B95A9B" w:rsidP="00AA3C19">
            <w:pPr>
              <w:rPr>
                <w:rFonts w:cs="Arial"/>
                <w:sz w:val="22"/>
                <w:szCs w:val="22"/>
                <w:lang w:val="en-US"/>
              </w:rPr>
            </w:pPr>
            <w:r>
              <w:rPr>
                <w:rFonts w:cs="Arial"/>
                <w:sz w:val="22"/>
                <w:szCs w:val="22"/>
                <w:lang w:val="en-US"/>
              </w:rPr>
              <w:t>Retail</w:t>
            </w:r>
          </w:p>
        </w:tc>
        <w:tc>
          <w:tcPr>
            <w:tcW w:w="2977" w:type="dxa"/>
            <w:vAlign w:val="center"/>
          </w:tcPr>
          <w:p w14:paraId="475861DC" w14:textId="7D950254" w:rsidR="00F1256F" w:rsidRPr="008F55EC" w:rsidRDefault="00B95A9B" w:rsidP="00B95A9B">
            <w:pPr>
              <w:jc w:val="right"/>
              <w:rPr>
                <w:rFonts w:cs="Arial"/>
                <w:sz w:val="22"/>
                <w:szCs w:val="22"/>
                <w:lang w:val="en-US"/>
              </w:rPr>
            </w:pPr>
            <w:r>
              <w:rPr>
                <w:rFonts w:cs="Arial"/>
                <w:sz w:val="22"/>
                <w:szCs w:val="22"/>
                <w:lang w:val="en-US"/>
              </w:rPr>
              <w:t>$12,225,000</w:t>
            </w:r>
          </w:p>
        </w:tc>
      </w:tr>
      <w:tr w:rsidR="00F1256F" w:rsidRPr="008F55EC" w14:paraId="6270595F" w14:textId="77777777" w:rsidTr="00AA3C19">
        <w:tc>
          <w:tcPr>
            <w:tcW w:w="1980" w:type="dxa"/>
            <w:vAlign w:val="center"/>
          </w:tcPr>
          <w:p w14:paraId="6B7FB8E1" w14:textId="5B526BF1" w:rsidR="00F1256F" w:rsidRPr="008F55EC" w:rsidRDefault="00B95A9B" w:rsidP="00AA3C19">
            <w:pPr>
              <w:rPr>
                <w:rFonts w:cs="Arial"/>
                <w:sz w:val="22"/>
                <w:szCs w:val="22"/>
                <w:lang w:val="en-US"/>
              </w:rPr>
            </w:pPr>
            <w:r>
              <w:rPr>
                <w:rFonts w:cs="Arial"/>
                <w:sz w:val="22"/>
                <w:szCs w:val="22"/>
                <w:lang w:val="en-US"/>
              </w:rPr>
              <w:t>Entertainment</w:t>
            </w:r>
          </w:p>
        </w:tc>
        <w:tc>
          <w:tcPr>
            <w:tcW w:w="2977" w:type="dxa"/>
            <w:vAlign w:val="center"/>
          </w:tcPr>
          <w:p w14:paraId="1DE48288" w14:textId="5B777DAC" w:rsidR="00F1256F" w:rsidRPr="008F55EC" w:rsidRDefault="00B95A9B" w:rsidP="00B95A9B">
            <w:pPr>
              <w:jc w:val="right"/>
              <w:rPr>
                <w:rFonts w:cs="Arial"/>
                <w:sz w:val="22"/>
                <w:szCs w:val="22"/>
                <w:lang w:val="en-US"/>
              </w:rPr>
            </w:pPr>
            <w:r>
              <w:rPr>
                <w:rFonts w:cs="Arial"/>
                <w:sz w:val="22"/>
                <w:szCs w:val="22"/>
                <w:lang w:val="en-US"/>
              </w:rPr>
              <w:t>$6,348,000</w:t>
            </w:r>
          </w:p>
        </w:tc>
      </w:tr>
      <w:tr w:rsidR="00F1256F" w:rsidRPr="008F55EC" w14:paraId="6A013266" w14:textId="77777777" w:rsidTr="00AA3C19">
        <w:tc>
          <w:tcPr>
            <w:tcW w:w="1980" w:type="dxa"/>
            <w:vAlign w:val="center"/>
          </w:tcPr>
          <w:p w14:paraId="0B2173AC" w14:textId="00517162" w:rsidR="00F1256F" w:rsidRDefault="00B95A9B" w:rsidP="00AA3C19">
            <w:pPr>
              <w:rPr>
                <w:rFonts w:cs="Arial"/>
                <w:color w:val="000000"/>
                <w:sz w:val="22"/>
                <w:szCs w:val="22"/>
              </w:rPr>
            </w:pPr>
            <w:r>
              <w:rPr>
                <w:rFonts w:cs="Arial"/>
                <w:color w:val="000000"/>
                <w:sz w:val="22"/>
                <w:szCs w:val="22"/>
              </w:rPr>
              <w:t>Commercial</w:t>
            </w:r>
          </w:p>
        </w:tc>
        <w:tc>
          <w:tcPr>
            <w:tcW w:w="2977" w:type="dxa"/>
            <w:vAlign w:val="center"/>
          </w:tcPr>
          <w:p w14:paraId="1D5F3F04" w14:textId="42DE68B1" w:rsidR="00F1256F" w:rsidRPr="008F55EC" w:rsidRDefault="00B95A9B" w:rsidP="00B95A9B">
            <w:pPr>
              <w:jc w:val="right"/>
              <w:rPr>
                <w:rFonts w:cs="Arial"/>
                <w:sz w:val="22"/>
                <w:szCs w:val="22"/>
                <w:lang w:val="en-US"/>
              </w:rPr>
            </w:pPr>
            <w:r>
              <w:rPr>
                <w:rFonts w:cs="Arial"/>
                <w:sz w:val="22"/>
                <w:szCs w:val="22"/>
                <w:lang w:val="en-US"/>
              </w:rPr>
              <w:t>$2,512,000</w:t>
            </w:r>
          </w:p>
        </w:tc>
      </w:tr>
      <w:tr w:rsidR="00F1256F" w:rsidRPr="008F55EC" w14:paraId="6BA571F0" w14:textId="77777777" w:rsidTr="00AA3C19">
        <w:tc>
          <w:tcPr>
            <w:tcW w:w="1980" w:type="dxa"/>
            <w:vAlign w:val="center"/>
          </w:tcPr>
          <w:p w14:paraId="4AF76ADD" w14:textId="5D459B26" w:rsidR="00F1256F" w:rsidRDefault="00B95A9B" w:rsidP="00AA3C19">
            <w:pPr>
              <w:rPr>
                <w:rFonts w:cs="Arial"/>
                <w:color w:val="000000"/>
                <w:sz w:val="22"/>
                <w:szCs w:val="22"/>
              </w:rPr>
            </w:pPr>
            <w:r>
              <w:rPr>
                <w:rFonts w:cs="Arial"/>
                <w:color w:val="000000"/>
                <w:sz w:val="22"/>
                <w:szCs w:val="22"/>
              </w:rPr>
              <w:t>Tourism</w:t>
            </w:r>
          </w:p>
        </w:tc>
        <w:tc>
          <w:tcPr>
            <w:tcW w:w="2977" w:type="dxa"/>
            <w:vAlign w:val="center"/>
          </w:tcPr>
          <w:p w14:paraId="10CB8B23" w14:textId="24E18F34" w:rsidR="00F1256F" w:rsidRPr="008F55EC" w:rsidRDefault="00B95A9B" w:rsidP="00B95A9B">
            <w:pPr>
              <w:jc w:val="right"/>
              <w:rPr>
                <w:rFonts w:cs="Arial"/>
                <w:sz w:val="22"/>
                <w:szCs w:val="22"/>
                <w:lang w:val="en-US"/>
              </w:rPr>
            </w:pPr>
            <w:r>
              <w:rPr>
                <w:rFonts w:cs="Arial"/>
                <w:sz w:val="22"/>
                <w:szCs w:val="22"/>
                <w:lang w:val="en-US"/>
              </w:rPr>
              <w:t>$15,000</w:t>
            </w:r>
          </w:p>
        </w:tc>
      </w:tr>
    </w:tbl>
    <w:p w14:paraId="08CE2AE9" w14:textId="388CAD75" w:rsidR="00F64925" w:rsidRDefault="00F64925" w:rsidP="00F64925">
      <w:pPr>
        <w:pStyle w:val="Heading3"/>
        <w:rPr>
          <w:rFonts w:hint="eastAsia"/>
        </w:rPr>
      </w:pPr>
      <w:bookmarkStart w:id="30" w:name="_Toc175665304"/>
      <w:r>
        <w:t>Table 1</w:t>
      </w:r>
      <w:r w:rsidR="00C55B65">
        <w:t>5</w:t>
      </w:r>
      <w:r>
        <w:t xml:space="preserve"> – Work hours and non-work hours spend</w:t>
      </w:r>
      <w:r w:rsidR="00B776A9">
        <w:t xml:space="preserve"> </w:t>
      </w:r>
      <w:r w:rsidR="00B776A9" w:rsidRPr="002031FC">
        <w:t xml:space="preserve">in </w:t>
      </w:r>
      <w:r w:rsidR="00B776A9">
        <w:t>West Melbourne</w:t>
      </w:r>
      <w:r>
        <w:t>, Q</w:t>
      </w:r>
      <w:r w:rsidR="00C55B65">
        <w:t>2</w:t>
      </w:r>
      <w:r>
        <w:t xml:space="preserve"> 2024</w:t>
      </w:r>
      <w:bookmarkEnd w:id="30"/>
    </w:p>
    <w:tbl>
      <w:tblPr>
        <w:tblStyle w:val="TableGrid"/>
        <w:tblW w:w="0" w:type="auto"/>
        <w:tblLook w:val="04A0" w:firstRow="1" w:lastRow="0" w:firstColumn="1" w:lastColumn="0" w:noHBand="0" w:noVBand="1"/>
      </w:tblPr>
      <w:tblGrid>
        <w:gridCol w:w="2689"/>
        <w:gridCol w:w="2268"/>
        <w:gridCol w:w="3118"/>
      </w:tblGrid>
      <w:tr w:rsidR="00F64925" w:rsidRPr="008F55EC" w14:paraId="46B4EA5B" w14:textId="77777777" w:rsidTr="00AA3C19">
        <w:tc>
          <w:tcPr>
            <w:tcW w:w="2689" w:type="dxa"/>
            <w:vAlign w:val="center"/>
          </w:tcPr>
          <w:p w14:paraId="3357BF4F" w14:textId="77777777" w:rsidR="00F64925" w:rsidRPr="00F64925" w:rsidRDefault="00F64925" w:rsidP="00AA3C19">
            <w:pPr>
              <w:rPr>
                <w:rFonts w:cs="Arial"/>
                <w:b/>
                <w:bCs/>
                <w:sz w:val="22"/>
                <w:szCs w:val="22"/>
                <w:lang w:val="en-US"/>
              </w:rPr>
            </w:pPr>
            <w:r>
              <w:rPr>
                <w:rFonts w:cs="Arial"/>
                <w:b/>
                <w:bCs/>
                <w:sz w:val="22"/>
                <w:szCs w:val="22"/>
                <w:lang w:val="en-US"/>
              </w:rPr>
              <w:t>Time Period</w:t>
            </w:r>
          </w:p>
        </w:tc>
        <w:tc>
          <w:tcPr>
            <w:tcW w:w="2268" w:type="dxa"/>
            <w:vAlign w:val="center"/>
          </w:tcPr>
          <w:p w14:paraId="485301A1" w14:textId="77777777" w:rsidR="00F64925" w:rsidRPr="008F55EC" w:rsidRDefault="00F64925" w:rsidP="00AA3C19">
            <w:pPr>
              <w:rPr>
                <w:rFonts w:cs="Arial"/>
                <w:sz w:val="22"/>
                <w:szCs w:val="22"/>
                <w:lang w:val="en-US"/>
              </w:rPr>
            </w:pPr>
            <w:r>
              <w:rPr>
                <w:rFonts w:cs="Arial"/>
                <w:b/>
                <w:bCs/>
                <w:color w:val="000000"/>
                <w:sz w:val="22"/>
                <w:szCs w:val="22"/>
              </w:rPr>
              <w:t>Adjusted Spend</w:t>
            </w:r>
          </w:p>
        </w:tc>
        <w:tc>
          <w:tcPr>
            <w:tcW w:w="3118" w:type="dxa"/>
          </w:tcPr>
          <w:p w14:paraId="337265B7" w14:textId="77777777" w:rsidR="00F64925" w:rsidRDefault="00F64925" w:rsidP="00AA3C19">
            <w:pPr>
              <w:rPr>
                <w:rFonts w:cs="Arial"/>
                <w:b/>
                <w:bCs/>
                <w:color w:val="000000"/>
                <w:sz w:val="22"/>
                <w:szCs w:val="22"/>
              </w:rPr>
            </w:pPr>
            <w:r>
              <w:rPr>
                <w:rFonts w:cs="Arial"/>
                <w:b/>
                <w:bCs/>
                <w:color w:val="000000"/>
                <w:sz w:val="22"/>
                <w:szCs w:val="22"/>
              </w:rPr>
              <w:t>Percent of Average Spend</w:t>
            </w:r>
          </w:p>
        </w:tc>
      </w:tr>
      <w:tr w:rsidR="00F64925" w:rsidRPr="008F55EC" w14:paraId="7222ABCE" w14:textId="77777777" w:rsidTr="00AA3C19">
        <w:tc>
          <w:tcPr>
            <w:tcW w:w="2689" w:type="dxa"/>
            <w:vAlign w:val="center"/>
          </w:tcPr>
          <w:p w14:paraId="258F8CD6" w14:textId="77777777" w:rsidR="00F64925" w:rsidRPr="008F55EC" w:rsidRDefault="00F64925" w:rsidP="00AA3C19">
            <w:pPr>
              <w:rPr>
                <w:rFonts w:cs="Arial"/>
                <w:sz w:val="22"/>
                <w:szCs w:val="22"/>
                <w:lang w:val="en-US"/>
              </w:rPr>
            </w:pPr>
            <w:r>
              <w:rPr>
                <w:rFonts w:cs="Arial"/>
                <w:color w:val="000000"/>
                <w:sz w:val="22"/>
                <w:szCs w:val="22"/>
              </w:rPr>
              <w:t>Work hours</w:t>
            </w:r>
          </w:p>
        </w:tc>
        <w:tc>
          <w:tcPr>
            <w:tcW w:w="2268" w:type="dxa"/>
            <w:vAlign w:val="center"/>
          </w:tcPr>
          <w:p w14:paraId="0F1AB72D" w14:textId="7683FA12" w:rsidR="00F64925" w:rsidRPr="008F55EC" w:rsidRDefault="00B95A9B" w:rsidP="00B95A9B">
            <w:pPr>
              <w:jc w:val="right"/>
              <w:rPr>
                <w:rFonts w:cs="Arial"/>
                <w:sz w:val="22"/>
                <w:szCs w:val="22"/>
                <w:lang w:val="en-US"/>
              </w:rPr>
            </w:pPr>
            <w:r>
              <w:rPr>
                <w:rFonts w:cs="Arial"/>
                <w:sz w:val="22"/>
                <w:szCs w:val="22"/>
                <w:lang w:val="en-US"/>
              </w:rPr>
              <w:t>$14,000,000</w:t>
            </w:r>
          </w:p>
        </w:tc>
        <w:tc>
          <w:tcPr>
            <w:tcW w:w="3118" w:type="dxa"/>
          </w:tcPr>
          <w:p w14:paraId="0EF1ED20" w14:textId="75690A41" w:rsidR="00F64925" w:rsidRPr="008F55EC" w:rsidRDefault="00B95A9B" w:rsidP="00B95A9B">
            <w:pPr>
              <w:jc w:val="right"/>
              <w:rPr>
                <w:rFonts w:cs="Arial"/>
                <w:sz w:val="22"/>
                <w:szCs w:val="22"/>
                <w:lang w:val="en-US"/>
              </w:rPr>
            </w:pPr>
            <w:r>
              <w:rPr>
                <w:rFonts w:cs="Arial"/>
                <w:sz w:val="22"/>
                <w:szCs w:val="22"/>
                <w:lang w:val="en-US"/>
              </w:rPr>
              <w:t>65%</w:t>
            </w:r>
          </w:p>
        </w:tc>
      </w:tr>
      <w:tr w:rsidR="00F64925" w:rsidRPr="008F55EC" w14:paraId="77889DDC" w14:textId="77777777" w:rsidTr="00AA3C19">
        <w:tc>
          <w:tcPr>
            <w:tcW w:w="2689" w:type="dxa"/>
            <w:vAlign w:val="center"/>
          </w:tcPr>
          <w:p w14:paraId="3725ED1B" w14:textId="77777777" w:rsidR="00F64925" w:rsidRPr="008F55EC" w:rsidRDefault="00F64925" w:rsidP="00AA3C19">
            <w:pPr>
              <w:rPr>
                <w:rFonts w:cs="Arial"/>
                <w:sz w:val="22"/>
                <w:szCs w:val="22"/>
                <w:lang w:val="en-US"/>
              </w:rPr>
            </w:pPr>
            <w:r>
              <w:rPr>
                <w:rFonts w:cs="Arial"/>
                <w:color w:val="000000"/>
                <w:sz w:val="22"/>
                <w:szCs w:val="22"/>
              </w:rPr>
              <w:t>Non-work hours</w:t>
            </w:r>
          </w:p>
        </w:tc>
        <w:tc>
          <w:tcPr>
            <w:tcW w:w="2268" w:type="dxa"/>
            <w:vAlign w:val="center"/>
          </w:tcPr>
          <w:p w14:paraId="4505F49B" w14:textId="44F11D09" w:rsidR="00F64925" w:rsidRPr="008F55EC" w:rsidRDefault="00B95A9B" w:rsidP="00B95A9B">
            <w:pPr>
              <w:jc w:val="right"/>
              <w:rPr>
                <w:rFonts w:cs="Arial"/>
                <w:sz w:val="22"/>
                <w:szCs w:val="22"/>
                <w:lang w:val="en-US"/>
              </w:rPr>
            </w:pPr>
            <w:r>
              <w:rPr>
                <w:rFonts w:cs="Arial"/>
                <w:sz w:val="22"/>
                <w:szCs w:val="22"/>
                <w:lang w:val="en-US"/>
              </w:rPr>
              <w:t>$7,000,000</w:t>
            </w:r>
          </w:p>
        </w:tc>
        <w:tc>
          <w:tcPr>
            <w:tcW w:w="3118" w:type="dxa"/>
          </w:tcPr>
          <w:p w14:paraId="1085C94F" w14:textId="2C60B7C4" w:rsidR="00F64925" w:rsidRPr="008F55EC" w:rsidRDefault="00B95A9B" w:rsidP="00B95A9B">
            <w:pPr>
              <w:jc w:val="right"/>
              <w:rPr>
                <w:rFonts w:cs="Arial"/>
                <w:sz w:val="22"/>
                <w:szCs w:val="22"/>
                <w:lang w:val="en-US"/>
              </w:rPr>
            </w:pPr>
            <w:r>
              <w:rPr>
                <w:rFonts w:cs="Arial"/>
                <w:sz w:val="22"/>
                <w:szCs w:val="22"/>
                <w:lang w:val="en-US"/>
              </w:rPr>
              <w:t>35%</w:t>
            </w:r>
          </w:p>
        </w:tc>
      </w:tr>
    </w:tbl>
    <w:p w14:paraId="62230873" w14:textId="2B3BE35A" w:rsidR="004B0A87" w:rsidRDefault="004B0A87" w:rsidP="004B0A87">
      <w:pPr>
        <w:pStyle w:val="ListParagraph"/>
        <w:numPr>
          <w:ilvl w:val="0"/>
          <w:numId w:val="21"/>
        </w:numPr>
      </w:pPr>
      <w:r w:rsidRPr="005B476C">
        <w:t>Work hours are 8am to 6pm, Monday to Friday.</w:t>
      </w:r>
    </w:p>
    <w:p w14:paraId="34C12089" w14:textId="6EA2ECC9" w:rsidR="009B4DE8" w:rsidRDefault="009B4DE8" w:rsidP="009B4DE8">
      <w:pPr>
        <w:pStyle w:val="Heading3"/>
        <w:rPr>
          <w:rFonts w:hint="eastAsia"/>
        </w:rPr>
      </w:pPr>
      <w:bookmarkStart w:id="31" w:name="_Toc175665305"/>
      <w:r>
        <w:t>Table 1</w:t>
      </w:r>
      <w:r w:rsidR="00C55B65">
        <w:t>6</w:t>
      </w:r>
      <w:r>
        <w:t xml:space="preserve"> – </w:t>
      </w:r>
      <w:r w:rsidRPr="002031FC">
        <w:t xml:space="preserve">Weekday and weekend spend in </w:t>
      </w:r>
      <w:r w:rsidR="00C55B65">
        <w:t>West Melbourne</w:t>
      </w:r>
      <w:r w:rsidRPr="002031FC">
        <w:t>, Q</w:t>
      </w:r>
      <w:r w:rsidR="00C55B65">
        <w:t>2</w:t>
      </w:r>
      <w:r w:rsidRPr="002031FC">
        <w:t xml:space="preserve"> 2024</w:t>
      </w:r>
      <w:bookmarkEnd w:id="31"/>
      <w:r>
        <w:t xml:space="preserve"> </w:t>
      </w:r>
    </w:p>
    <w:tbl>
      <w:tblPr>
        <w:tblStyle w:val="TableGrid"/>
        <w:tblW w:w="0" w:type="auto"/>
        <w:tblLook w:val="04A0" w:firstRow="1" w:lastRow="0" w:firstColumn="1" w:lastColumn="0" w:noHBand="0" w:noVBand="1"/>
      </w:tblPr>
      <w:tblGrid>
        <w:gridCol w:w="2689"/>
        <w:gridCol w:w="2268"/>
        <w:gridCol w:w="3118"/>
      </w:tblGrid>
      <w:tr w:rsidR="009B4DE8" w:rsidRPr="008F55EC" w14:paraId="76D67C29" w14:textId="77777777" w:rsidTr="00922857">
        <w:tc>
          <w:tcPr>
            <w:tcW w:w="2689" w:type="dxa"/>
            <w:vAlign w:val="center"/>
          </w:tcPr>
          <w:p w14:paraId="7009ED27" w14:textId="77777777" w:rsidR="009B4DE8" w:rsidRPr="00F64925" w:rsidRDefault="009B4DE8" w:rsidP="00922857">
            <w:pPr>
              <w:rPr>
                <w:rFonts w:cs="Arial"/>
                <w:b/>
                <w:bCs/>
                <w:sz w:val="22"/>
                <w:szCs w:val="22"/>
                <w:lang w:val="en-US"/>
              </w:rPr>
            </w:pPr>
            <w:r>
              <w:rPr>
                <w:rFonts w:cs="Arial"/>
                <w:b/>
                <w:bCs/>
                <w:sz w:val="22"/>
                <w:szCs w:val="22"/>
                <w:lang w:val="en-US"/>
              </w:rPr>
              <w:t>Time Period</w:t>
            </w:r>
          </w:p>
        </w:tc>
        <w:tc>
          <w:tcPr>
            <w:tcW w:w="2268" w:type="dxa"/>
            <w:vAlign w:val="center"/>
          </w:tcPr>
          <w:p w14:paraId="47DBD2A6" w14:textId="77777777" w:rsidR="009B4DE8" w:rsidRPr="008F55EC" w:rsidRDefault="009B4DE8" w:rsidP="00922857">
            <w:pPr>
              <w:rPr>
                <w:rFonts w:cs="Arial"/>
                <w:sz w:val="22"/>
                <w:szCs w:val="22"/>
                <w:lang w:val="en-US"/>
              </w:rPr>
            </w:pPr>
            <w:r>
              <w:rPr>
                <w:rFonts w:cs="Arial"/>
                <w:b/>
                <w:bCs/>
                <w:color w:val="000000"/>
                <w:sz w:val="22"/>
                <w:szCs w:val="22"/>
              </w:rPr>
              <w:t>Adjusted Spend</w:t>
            </w:r>
          </w:p>
        </w:tc>
        <w:tc>
          <w:tcPr>
            <w:tcW w:w="3118" w:type="dxa"/>
          </w:tcPr>
          <w:p w14:paraId="572D1048" w14:textId="77777777" w:rsidR="009B4DE8" w:rsidRDefault="009B4DE8" w:rsidP="00922857">
            <w:pPr>
              <w:rPr>
                <w:rFonts w:cs="Arial"/>
                <w:b/>
                <w:bCs/>
                <w:color w:val="000000"/>
                <w:sz w:val="22"/>
                <w:szCs w:val="22"/>
              </w:rPr>
            </w:pPr>
            <w:r>
              <w:rPr>
                <w:rFonts w:cs="Arial"/>
                <w:b/>
                <w:bCs/>
                <w:color w:val="000000"/>
                <w:sz w:val="22"/>
                <w:szCs w:val="22"/>
              </w:rPr>
              <w:t>Percent of Average Spend</w:t>
            </w:r>
          </w:p>
        </w:tc>
      </w:tr>
      <w:tr w:rsidR="009B4DE8" w:rsidRPr="008F55EC" w14:paraId="1636B825" w14:textId="77777777" w:rsidTr="00922857">
        <w:tc>
          <w:tcPr>
            <w:tcW w:w="2689" w:type="dxa"/>
            <w:vAlign w:val="center"/>
          </w:tcPr>
          <w:p w14:paraId="1D662137" w14:textId="77777777" w:rsidR="009B4DE8" w:rsidRPr="008F55EC" w:rsidRDefault="009B4DE8" w:rsidP="00922857">
            <w:pPr>
              <w:rPr>
                <w:rFonts w:cs="Arial"/>
                <w:sz w:val="22"/>
                <w:szCs w:val="22"/>
                <w:lang w:val="en-US"/>
              </w:rPr>
            </w:pPr>
            <w:r>
              <w:rPr>
                <w:rFonts w:cs="Arial"/>
                <w:color w:val="000000"/>
                <w:sz w:val="22"/>
                <w:szCs w:val="22"/>
              </w:rPr>
              <w:t>Weekdays</w:t>
            </w:r>
          </w:p>
        </w:tc>
        <w:tc>
          <w:tcPr>
            <w:tcW w:w="2268" w:type="dxa"/>
            <w:vAlign w:val="center"/>
          </w:tcPr>
          <w:p w14:paraId="7214F93E" w14:textId="716BE760" w:rsidR="009B4DE8" w:rsidRPr="008F55EC" w:rsidRDefault="00B95A9B" w:rsidP="00B95A9B">
            <w:pPr>
              <w:jc w:val="right"/>
              <w:rPr>
                <w:rFonts w:cs="Arial"/>
                <w:sz w:val="22"/>
                <w:szCs w:val="22"/>
                <w:lang w:val="en-US"/>
              </w:rPr>
            </w:pPr>
            <w:r>
              <w:rPr>
                <w:rFonts w:cs="Arial"/>
                <w:sz w:val="22"/>
                <w:szCs w:val="22"/>
                <w:lang w:val="en-US"/>
              </w:rPr>
              <w:t>$16,000,000</w:t>
            </w:r>
          </w:p>
        </w:tc>
        <w:tc>
          <w:tcPr>
            <w:tcW w:w="3118" w:type="dxa"/>
          </w:tcPr>
          <w:p w14:paraId="29AABD8E" w14:textId="38A1CB49" w:rsidR="009B4DE8" w:rsidRPr="008F55EC" w:rsidRDefault="00B95A9B" w:rsidP="00B95A9B">
            <w:pPr>
              <w:jc w:val="right"/>
              <w:rPr>
                <w:rFonts w:cs="Arial"/>
                <w:sz w:val="22"/>
                <w:szCs w:val="22"/>
                <w:lang w:val="en-US"/>
              </w:rPr>
            </w:pPr>
            <w:r>
              <w:rPr>
                <w:rFonts w:cs="Arial"/>
                <w:sz w:val="22"/>
                <w:szCs w:val="22"/>
                <w:lang w:val="en-US"/>
              </w:rPr>
              <w:t>76%</w:t>
            </w:r>
          </w:p>
        </w:tc>
      </w:tr>
      <w:tr w:rsidR="009B4DE8" w:rsidRPr="008F55EC" w14:paraId="395426A7" w14:textId="77777777" w:rsidTr="00922857">
        <w:tc>
          <w:tcPr>
            <w:tcW w:w="2689" w:type="dxa"/>
            <w:vAlign w:val="center"/>
          </w:tcPr>
          <w:p w14:paraId="4C4328D3" w14:textId="77777777" w:rsidR="009B4DE8" w:rsidRPr="008F55EC" w:rsidRDefault="009B4DE8" w:rsidP="00922857">
            <w:pPr>
              <w:rPr>
                <w:rFonts w:cs="Arial"/>
                <w:sz w:val="22"/>
                <w:szCs w:val="22"/>
                <w:lang w:val="en-US"/>
              </w:rPr>
            </w:pPr>
            <w:r>
              <w:rPr>
                <w:rFonts w:cs="Arial"/>
                <w:color w:val="000000"/>
                <w:sz w:val="22"/>
                <w:szCs w:val="22"/>
              </w:rPr>
              <w:t>Weekends</w:t>
            </w:r>
          </w:p>
        </w:tc>
        <w:tc>
          <w:tcPr>
            <w:tcW w:w="2268" w:type="dxa"/>
            <w:vAlign w:val="center"/>
          </w:tcPr>
          <w:p w14:paraId="47820822" w14:textId="497E25A6" w:rsidR="009B4DE8" w:rsidRPr="008F55EC" w:rsidRDefault="00B95A9B" w:rsidP="00B95A9B">
            <w:pPr>
              <w:jc w:val="right"/>
              <w:rPr>
                <w:rFonts w:cs="Arial"/>
                <w:sz w:val="22"/>
                <w:szCs w:val="22"/>
                <w:lang w:val="en-US"/>
              </w:rPr>
            </w:pPr>
            <w:r>
              <w:rPr>
                <w:rFonts w:cs="Arial"/>
                <w:sz w:val="22"/>
                <w:szCs w:val="22"/>
                <w:lang w:val="en-US"/>
              </w:rPr>
              <w:t>$5,000,000</w:t>
            </w:r>
          </w:p>
        </w:tc>
        <w:tc>
          <w:tcPr>
            <w:tcW w:w="3118" w:type="dxa"/>
          </w:tcPr>
          <w:p w14:paraId="627EE641" w14:textId="130CF5CD" w:rsidR="009B4DE8" w:rsidRPr="008F55EC" w:rsidRDefault="00B95A9B" w:rsidP="00B95A9B">
            <w:pPr>
              <w:jc w:val="right"/>
              <w:rPr>
                <w:rFonts w:cs="Arial"/>
                <w:sz w:val="22"/>
                <w:szCs w:val="22"/>
                <w:lang w:val="en-US"/>
              </w:rPr>
            </w:pPr>
            <w:r>
              <w:rPr>
                <w:rFonts w:cs="Arial"/>
                <w:sz w:val="22"/>
                <w:szCs w:val="22"/>
                <w:lang w:val="en-US"/>
              </w:rPr>
              <w:t>24%</w:t>
            </w:r>
          </w:p>
        </w:tc>
      </w:tr>
    </w:tbl>
    <w:p w14:paraId="6850E5E3" w14:textId="76F77D92" w:rsidR="00F64925" w:rsidRDefault="00F64925" w:rsidP="00F64925">
      <w:pPr>
        <w:pStyle w:val="Heading3"/>
        <w:rPr>
          <w:rFonts w:hint="eastAsia"/>
        </w:rPr>
      </w:pPr>
      <w:bookmarkStart w:id="32" w:name="_Toc175665306"/>
      <w:r>
        <w:t>Table 1</w:t>
      </w:r>
      <w:r w:rsidR="00C55B65">
        <w:t>7</w:t>
      </w:r>
      <w:r w:rsidR="009B4DE8">
        <w:t>.</w:t>
      </w:r>
      <w:r w:rsidR="002F4DE8">
        <w:t>a</w:t>
      </w:r>
      <w:r>
        <w:t xml:space="preserve"> – </w:t>
      </w:r>
      <w:r w:rsidR="009B4DE8" w:rsidRPr="009B4DE8">
        <w:t xml:space="preserve">Where spending in </w:t>
      </w:r>
      <w:r w:rsidR="00C55B65">
        <w:t>West Melbourne</w:t>
      </w:r>
      <w:r w:rsidR="00C55B65" w:rsidRPr="009B4DE8">
        <w:t xml:space="preserve"> </w:t>
      </w:r>
      <w:r w:rsidR="009B4DE8" w:rsidRPr="009B4DE8">
        <w:t>came from, Q</w:t>
      </w:r>
      <w:r w:rsidR="00C55B65">
        <w:t>2</w:t>
      </w:r>
      <w:r w:rsidR="009B4DE8" w:rsidRPr="009B4DE8">
        <w:t xml:space="preserve"> 2024</w:t>
      </w:r>
      <w:bookmarkEnd w:id="32"/>
    </w:p>
    <w:tbl>
      <w:tblPr>
        <w:tblStyle w:val="TableGrid"/>
        <w:tblW w:w="0" w:type="auto"/>
        <w:tblLook w:val="04A0" w:firstRow="1" w:lastRow="0" w:firstColumn="1" w:lastColumn="0" w:noHBand="0" w:noVBand="1"/>
      </w:tblPr>
      <w:tblGrid>
        <w:gridCol w:w="2972"/>
        <w:gridCol w:w="1985"/>
        <w:gridCol w:w="3118"/>
      </w:tblGrid>
      <w:tr w:rsidR="00BA5216" w:rsidRPr="008F55EC" w14:paraId="6D6C69AB" w14:textId="77777777" w:rsidTr="00AA3C19">
        <w:tc>
          <w:tcPr>
            <w:tcW w:w="2972" w:type="dxa"/>
            <w:vAlign w:val="center"/>
          </w:tcPr>
          <w:p w14:paraId="703B16A8" w14:textId="77777777" w:rsidR="00BA5216" w:rsidRPr="00F64925" w:rsidRDefault="00BA5216" w:rsidP="00AA3C19">
            <w:pPr>
              <w:rPr>
                <w:rFonts w:cs="Arial"/>
                <w:b/>
                <w:bCs/>
                <w:sz w:val="22"/>
                <w:szCs w:val="22"/>
                <w:lang w:val="en-US"/>
              </w:rPr>
            </w:pPr>
            <w:r>
              <w:rPr>
                <w:rFonts w:cs="Arial"/>
                <w:b/>
                <w:bCs/>
                <w:sz w:val="22"/>
                <w:szCs w:val="22"/>
                <w:lang w:val="en-US"/>
              </w:rPr>
              <w:t>Customer Type</w:t>
            </w:r>
          </w:p>
        </w:tc>
        <w:tc>
          <w:tcPr>
            <w:tcW w:w="1985" w:type="dxa"/>
            <w:vAlign w:val="center"/>
          </w:tcPr>
          <w:p w14:paraId="25E13188" w14:textId="77777777" w:rsidR="00BA5216" w:rsidRPr="008F55EC" w:rsidRDefault="00BA5216" w:rsidP="00AA3C19">
            <w:pPr>
              <w:rPr>
                <w:rFonts w:cs="Arial"/>
                <w:sz w:val="22"/>
                <w:szCs w:val="22"/>
                <w:lang w:val="en-US"/>
              </w:rPr>
            </w:pPr>
            <w:r>
              <w:rPr>
                <w:rFonts w:cs="Arial"/>
                <w:b/>
                <w:bCs/>
                <w:color w:val="000000"/>
                <w:sz w:val="22"/>
                <w:szCs w:val="22"/>
              </w:rPr>
              <w:t>Adjusted Spend</w:t>
            </w:r>
          </w:p>
        </w:tc>
        <w:tc>
          <w:tcPr>
            <w:tcW w:w="3118" w:type="dxa"/>
          </w:tcPr>
          <w:p w14:paraId="4B35E3AE" w14:textId="77777777" w:rsidR="00BA5216" w:rsidRDefault="00BA5216" w:rsidP="00AA3C19">
            <w:pPr>
              <w:rPr>
                <w:rFonts w:cs="Arial"/>
                <w:b/>
                <w:bCs/>
                <w:color w:val="000000"/>
                <w:sz w:val="22"/>
                <w:szCs w:val="22"/>
              </w:rPr>
            </w:pPr>
            <w:r>
              <w:rPr>
                <w:rFonts w:cs="Arial"/>
                <w:b/>
                <w:bCs/>
                <w:color w:val="000000"/>
                <w:sz w:val="22"/>
                <w:szCs w:val="22"/>
              </w:rPr>
              <w:t>Percent of Average Spend</w:t>
            </w:r>
          </w:p>
        </w:tc>
      </w:tr>
      <w:tr w:rsidR="00BA5216" w:rsidRPr="008F55EC" w14:paraId="319B9AD3" w14:textId="77777777" w:rsidTr="00AA3C19">
        <w:tc>
          <w:tcPr>
            <w:tcW w:w="2972" w:type="dxa"/>
            <w:vAlign w:val="center"/>
          </w:tcPr>
          <w:p w14:paraId="731EAEB1" w14:textId="77777777" w:rsidR="00BA5216" w:rsidRPr="008F55EC" w:rsidRDefault="00BA5216" w:rsidP="00AA3C19">
            <w:pPr>
              <w:rPr>
                <w:rFonts w:cs="Arial"/>
                <w:sz w:val="22"/>
                <w:szCs w:val="22"/>
                <w:lang w:val="en-US"/>
              </w:rPr>
            </w:pPr>
            <w:r>
              <w:rPr>
                <w:rFonts w:cs="Arial"/>
                <w:sz w:val="22"/>
                <w:szCs w:val="22"/>
                <w:lang w:val="en-US"/>
              </w:rPr>
              <w:t>City of Melbourne residents</w:t>
            </w:r>
          </w:p>
        </w:tc>
        <w:tc>
          <w:tcPr>
            <w:tcW w:w="1985" w:type="dxa"/>
            <w:vAlign w:val="center"/>
          </w:tcPr>
          <w:p w14:paraId="7B20B9F4" w14:textId="64B2B740" w:rsidR="00BA5216" w:rsidRPr="008F55EC" w:rsidRDefault="00B95A9B" w:rsidP="00B95A9B">
            <w:pPr>
              <w:jc w:val="right"/>
              <w:rPr>
                <w:rFonts w:cs="Arial"/>
                <w:sz w:val="22"/>
                <w:szCs w:val="22"/>
                <w:lang w:val="en-US"/>
              </w:rPr>
            </w:pPr>
            <w:r>
              <w:rPr>
                <w:rFonts w:cs="Arial"/>
                <w:sz w:val="22"/>
                <w:szCs w:val="22"/>
                <w:lang w:val="en-US"/>
              </w:rPr>
              <w:t>$4,000,000</w:t>
            </w:r>
          </w:p>
        </w:tc>
        <w:tc>
          <w:tcPr>
            <w:tcW w:w="3118" w:type="dxa"/>
          </w:tcPr>
          <w:p w14:paraId="318AB702" w14:textId="51AD0899" w:rsidR="00BA5216" w:rsidRPr="008F55EC" w:rsidRDefault="00B95A9B" w:rsidP="00B95A9B">
            <w:pPr>
              <w:jc w:val="right"/>
              <w:rPr>
                <w:rFonts w:cs="Arial"/>
                <w:sz w:val="22"/>
                <w:szCs w:val="22"/>
                <w:lang w:val="en-US"/>
              </w:rPr>
            </w:pPr>
            <w:r>
              <w:rPr>
                <w:rFonts w:cs="Arial"/>
                <w:sz w:val="22"/>
                <w:szCs w:val="22"/>
                <w:lang w:val="en-US"/>
              </w:rPr>
              <w:t>17%</w:t>
            </w:r>
          </w:p>
        </w:tc>
      </w:tr>
      <w:tr w:rsidR="00BA5216" w:rsidRPr="008F55EC" w14:paraId="7C78D5DD" w14:textId="77777777" w:rsidTr="00AA3C19">
        <w:tc>
          <w:tcPr>
            <w:tcW w:w="2972" w:type="dxa"/>
            <w:vAlign w:val="center"/>
          </w:tcPr>
          <w:p w14:paraId="398F54FD" w14:textId="77777777" w:rsidR="00BA5216" w:rsidRPr="008F55EC" w:rsidRDefault="00BA5216" w:rsidP="00AA3C19">
            <w:pPr>
              <w:rPr>
                <w:rFonts w:cs="Arial"/>
                <w:sz w:val="22"/>
                <w:szCs w:val="22"/>
                <w:lang w:val="en-US"/>
              </w:rPr>
            </w:pPr>
            <w:r>
              <w:rPr>
                <w:rFonts w:cs="Arial"/>
                <w:color w:val="000000"/>
                <w:sz w:val="22"/>
                <w:szCs w:val="22"/>
              </w:rPr>
              <w:lastRenderedPageBreak/>
              <w:t>Visitors</w:t>
            </w:r>
          </w:p>
        </w:tc>
        <w:tc>
          <w:tcPr>
            <w:tcW w:w="1985" w:type="dxa"/>
            <w:vAlign w:val="center"/>
          </w:tcPr>
          <w:p w14:paraId="4ABC3A90" w14:textId="206FEFF4" w:rsidR="00BA5216" w:rsidRPr="008F55EC" w:rsidRDefault="00B95A9B" w:rsidP="00B95A9B">
            <w:pPr>
              <w:jc w:val="right"/>
              <w:rPr>
                <w:rFonts w:cs="Arial"/>
                <w:sz w:val="22"/>
                <w:szCs w:val="22"/>
                <w:lang w:val="en-US"/>
              </w:rPr>
            </w:pPr>
            <w:r>
              <w:rPr>
                <w:rFonts w:cs="Arial"/>
                <w:sz w:val="22"/>
                <w:szCs w:val="22"/>
                <w:lang w:val="en-US"/>
              </w:rPr>
              <w:t>$18,000,000</w:t>
            </w:r>
          </w:p>
        </w:tc>
        <w:tc>
          <w:tcPr>
            <w:tcW w:w="3118" w:type="dxa"/>
          </w:tcPr>
          <w:p w14:paraId="321F792F" w14:textId="4156B53F" w:rsidR="00BA5216" w:rsidRPr="008F55EC" w:rsidRDefault="00B95A9B" w:rsidP="00B95A9B">
            <w:pPr>
              <w:jc w:val="right"/>
              <w:rPr>
                <w:rFonts w:cs="Arial"/>
                <w:sz w:val="22"/>
                <w:szCs w:val="22"/>
                <w:lang w:val="en-US"/>
              </w:rPr>
            </w:pPr>
            <w:r>
              <w:rPr>
                <w:rFonts w:cs="Arial"/>
                <w:sz w:val="22"/>
                <w:szCs w:val="22"/>
                <w:lang w:val="en-US"/>
              </w:rPr>
              <w:t>83%</w:t>
            </w:r>
          </w:p>
        </w:tc>
      </w:tr>
    </w:tbl>
    <w:p w14:paraId="02902CFB" w14:textId="084BCC7B" w:rsidR="00F64925" w:rsidRDefault="00F64925" w:rsidP="00F64925">
      <w:pPr>
        <w:pStyle w:val="Heading3"/>
        <w:rPr>
          <w:rFonts w:hint="eastAsia"/>
        </w:rPr>
      </w:pPr>
      <w:bookmarkStart w:id="33" w:name="_Toc175665307"/>
      <w:r>
        <w:t>Table 1</w:t>
      </w:r>
      <w:r w:rsidR="00C55B65">
        <w:t>7</w:t>
      </w:r>
      <w:r w:rsidR="009B4DE8">
        <w:t>.</w:t>
      </w:r>
      <w:r w:rsidR="002F4DE8">
        <w:t>b</w:t>
      </w:r>
      <w:r>
        <w:t xml:space="preserve"> – </w:t>
      </w:r>
      <w:r w:rsidR="009B4DE8" w:rsidRPr="009B4DE8">
        <w:t xml:space="preserve">Where spending in </w:t>
      </w:r>
      <w:r w:rsidR="00C55B65">
        <w:t>West Melbourne</w:t>
      </w:r>
      <w:r w:rsidR="00C55B65" w:rsidRPr="009B4DE8">
        <w:t xml:space="preserve"> </w:t>
      </w:r>
      <w:r w:rsidR="009B4DE8" w:rsidRPr="009B4DE8">
        <w:t>came from, Q</w:t>
      </w:r>
      <w:r w:rsidR="00C55B65">
        <w:t>2</w:t>
      </w:r>
      <w:r w:rsidR="009B4DE8" w:rsidRPr="009B4DE8">
        <w:t xml:space="preserve"> 2024</w:t>
      </w:r>
      <w:bookmarkEnd w:id="33"/>
    </w:p>
    <w:tbl>
      <w:tblPr>
        <w:tblStyle w:val="TableGrid"/>
        <w:tblW w:w="0" w:type="auto"/>
        <w:tblLook w:val="04A0" w:firstRow="1" w:lastRow="0" w:firstColumn="1" w:lastColumn="0" w:noHBand="0" w:noVBand="1"/>
      </w:tblPr>
      <w:tblGrid>
        <w:gridCol w:w="2972"/>
        <w:gridCol w:w="1985"/>
      </w:tblGrid>
      <w:tr w:rsidR="0009455A" w:rsidRPr="008F55EC" w14:paraId="686EA463" w14:textId="77777777" w:rsidTr="00AA3C19">
        <w:tc>
          <w:tcPr>
            <w:tcW w:w="2972" w:type="dxa"/>
            <w:vAlign w:val="center"/>
          </w:tcPr>
          <w:p w14:paraId="7BA0247B" w14:textId="101F1079" w:rsidR="0009455A" w:rsidRPr="00F64925" w:rsidRDefault="009B4DE8" w:rsidP="00AA3C19">
            <w:pPr>
              <w:rPr>
                <w:rFonts w:cs="Arial"/>
                <w:b/>
                <w:bCs/>
                <w:sz w:val="22"/>
                <w:szCs w:val="22"/>
                <w:lang w:val="en-US"/>
              </w:rPr>
            </w:pPr>
            <w:r>
              <w:rPr>
                <w:rFonts w:cs="Arial"/>
                <w:b/>
                <w:bCs/>
                <w:sz w:val="22"/>
                <w:szCs w:val="22"/>
                <w:lang w:val="en-US"/>
              </w:rPr>
              <w:t>Council Area</w:t>
            </w:r>
          </w:p>
        </w:tc>
        <w:tc>
          <w:tcPr>
            <w:tcW w:w="1985" w:type="dxa"/>
            <w:vAlign w:val="center"/>
          </w:tcPr>
          <w:p w14:paraId="49A478EC" w14:textId="77777777" w:rsidR="0009455A" w:rsidRPr="008F55EC" w:rsidRDefault="0009455A" w:rsidP="00AA3C19">
            <w:pPr>
              <w:rPr>
                <w:rFonts w:cs="Arial"/>
                <w:sz w:val="22"/>
                <w:szCs w:val="22"/>
                <w:lang w:val="en-US"/>
              </w:rPr>
            </w:pPr>
            <w:r>
              <w:rPr>
                <w:rFonts w:cs="Arial"/>
                <w:b/>
                <w:bCs/>
                <w:color w:val="000000"/>
                <w:sz w:val="22"/>
                <w:szCs w:val="22"/>
              </w:rPr>
              <w:t>Adjusted Spend</w:t>
            </w:r>
          </w:p>
        </w:tc>
      </w:tr>
      <w:tr w:rsidR="0009455A" w:rsidRPr="008F55EC" w14:paraId="0A2FF1B0" w14:textId="77777777" w:rsidTr="00AA3C19">
        <w:tc>
          <w:tcPr>
            <w:tcW w:w="2972" w:type="dxa"/>
            <w:vAlign w:val="center"/>
          </w:tcPr>
          <w:p w14:paraId="77A54AD8" w14:textId="13D4370A" w:rsidR="0009455A" w:rsidRPr="008F55EC" w:rsidRDefault="00B95A9B" w:rsidP="00AA3C19">
            <w:pPr>
              <w:rPr>
                <w:rFonts w:cs="Arial"/>
                <w:sz w:val="22"/>
                <w:szCs w:val="22"/>
                <w:lang w:val="en-US"/>
              </w:rPr>
            </w:pPr>
            <w:r>
              <w:rPr>
                <w:rFonts w:cs="Arial"/>
                <w:sz w:val="22"/>
                <w:szCs w:val="22"/>
                <w:lang w:val="en-US"/>
              </w:rPr>
              <w:t>Maribyrnong</w:t>
            </w:r>
          </w:p>
        </w:tc>
        <w:tc>
          <w:tcPr>
            <w:tcW w:w="1985" w:type="dxa"/>
            <w:vAlign w:val="center"/>
          </w:tcPr>
          <w:p w14:paraId="1B353B5B" w14:textId="36561FAB" w:rsidR="0009455A" w:rsidRPr="008F55EC" w:rsidRDefault="00B95A9B" w:rsidP="00B95A9B">
            <w:pPr>
              <w:jc w:val="right"/>
              <w:rPr>
                <w:rFonts w:cs="Arial"/>
                <w:sz w:val="22"/>
                <w:szCs w:val="22"/>
                <w:lang w:val="en-US"/>
              </w:rPr>
            </w:pPr>
            <w:r>
              <w:rPr>
                <w:rFonts w:cs="Arial"/>
                <w:sz w:val="22"/>
                <w:szCs w:val="22"/>
                <w:lang w:val="en-US"/>
              </w:rPr>
              <w:t>$730,000</w:t>
            </w:r>
          </w:p>
        </w:tc>
      </w:tr>
      <w:tr w:rsidR="0009455A" w:rsidRPr="008F55EC" w14:paraId="1F2CCE27" w14:textId="77777777" w:rsidTr="00AA3C19">
        <w:tc>
          <w:tcPr>
            <w:tcW w:w="2972" w:type="dxa"/>
            <w:vAlign w:val="center"/>
          </w:tcPr>
          <w:p w14:paraId="6C57A090" w14:textId="7078D6D4" w:rsidR="0009455A" w:rsidRPr="008F55EC" w:rsidRDefault="00B95A9B" w:rsidP="00AA3C19">
            <w:pPr>
              <w:rPr>
                <w:rFonts w:cs="Arial"/>
                <w:sz w:val="22"/>
                <w:szCs w:val="22"/>
                <w:lang w:val="en-US"/>
              </w:rPr>
            </w:pPr>
            <w:proofErr w:type="spellStart"/>
            <w:r>
              <w:rPr>
                <w:rFonts w:cs="Arial"/>
                <w:sz w:val="22"/>
                <w:szCs w:val="22"/>
                <w:lang w:val="en-US"/>
              </w:rPr>
              <w:t>Brimbank</w:t>
            </w:r>
            <w:proofErr w:type="spellEnd"/>
          </w:p>
        </w:tc>
        <w:tc>
          <w:tcPr>
            <w:tcW w:w="1985" w:type="dxa"/>
            <w:vAlign w:val="center"/>
          </w:tcPr>
          <w:p w14:paraId="78B793EB" w14:textId="5A601033" w:rsidR="0009455A" w:rsidRPr="008F55EC" w:rsidRDefault="00B95A9B" w:rsidP="00B95A9B">
            <w:pPr>
              <w:jc w:val="right"/>
              <w:rPr>
                <w:rFonts w:cs="Arial"/>
                <w:sz w:val="22"/>
                <w:szCs w:val="22"/>
                <w:lang w:val="en-US"/>
              </w:rPr>
            </w:pPr>
            <w:r>
              <w:rPr>
                <w:rFonts w:cs="Arial"/>
                <w:sz w:val="22"/>
                <w:szCs w:val="22"/>
                <w:lang w:val="en-US"/>
              </w:rPr>
              <w:t>$456,000</w:t>
            </w:r>
          </w:p>
        </w:tc>
      </w:tr>
      <w:tr w:rsidR="0009455A" w:rsidRPr="008F55EC" w14:paraId="5FC52678" w14:textId="77777777" w:rsidTr="00AA3C19">
        <w:tc>
          <w:tcPr>
            <w:tcW w:w="2972" w:type="dxa"/>
            <w:vAlign w:val="center"/>
          </w:tcPr>
          <w:p w14:paraId="7D0138B9" w14:textId="2AC05F3A" w:rsidR="0009455A" w:rsidRPr="008F55EC" w:rsidRDefault="00B95A9B" w:rsidP="00AA3C19">
            <w:pPr>
              <w:rPr>
                <w:rFonts w:cs="Arial"/>
                <w:sz w:val="22"/>
                <w:szCs w:val="22"/>
                <w:lang w:val="en-US"/>
              </w:rPr>
            </w:pPr>
            <w:r>
              <w:rPr>
                <w:rFonts w:cs="Arial"/>
                <w:sz w:val="22"/>
                <w:szCs w:val="22"/>
                <w:lang w:val="en-US"/>
              </w:rPr>
              <w:t>Essendon</w:t>
            </w:r>
          </w:p>
        </w:tc>
        <w:tc>
          <w:tcPr>
            <w:tcW w:w="1985" w:type="dxa"/>
            <w:vAlign w:val="center"/>
          </w:tcPr>
          <w:p w14:paraId="32EA18C1" w14:textId="1B43B832" w:rsidR="0009455A" w:rsidRPr="008F55EC" w:rsidRDefault="00B95A9B" w:rsidP="00B95A9B">
            <w:pPr>
              <w:jc w:val="right"/>
              <w:rPr>
                <w:rFonts w:cs="Arial"/>
                <w:sz w:val="22"/>
                <w:szCs w:val="22"/>
                <w:lang w:val="en-US"/>
              </w:rPr>
            </w:pPr>
            <w:r>
              <w:rPr>
                <w:rFonts w:cs="Arial"/>
                <w:sz w:val="22"/>
                <w:szCs w:val="22"/>
                <w:lang w:val="en-US"/>
              </w:rPr>
              <w:t>$438,000</w:t>
            </w:r>
          </w:p>
        </w:tc>
      </w:tr>
      <w:tr w:rsidR="0009455A" w:rsidRPr="008F55EC" w14:paraId="06863948" w14:textId="77777777" w:rsidTr="00AA3C19">
        <w:tc>
          <w:tcPr>
            <w:tcW w:w="2972" w:type="dxa"/>
            <w:vAlign w:val="center"/>
          </w:tcPr>
          <w:p w14:paraId="70B8DD8A" w14:textId="5B603EBF" w:rsidR="0009455A" w:rsidRPr="008F55EC" w:rsidRDefault="00B95A9B" w:rsidP="00AA3C19">
            <w:pPr>
              <w:rPr>
                <w:rFonts w:cs="Arial"/>
                <w:sz w:val="22"/>
                <w:szCs w:val="22"/>
                <w:lang w:val="en-US"/>
              </w:rPr>
            </w:pPr>
            <w:r>
              <w:rPr>
                <w:rFonts w:cs="Arial"/>
                <w:sz w:val="22"/>
                <w:szCs w:val="22"/>
                <w:lang w:val="en-US"/>
              </w:rPr>
              <w:t>Brunswick – Coburg</w:t>
            </w:r>
          </w:p>
        </w:tc>
        <w:tc>
          <w:tcPr>
            <w:tcW w:w="1985" w:type="dxa"/>
            <w:vAlign w:val="center"/>
          </w:tcPr>
          <w:p w14:paraId="7F17F4A2" w14:textId="55923DB7" w:rsidR="0009455A" w:rsidRPr="008F55EC" w:rsidRDefault="00B95A9B" w:rsidP="00B95A9B">
            <w:pPr>
              <w:jc w:val="right"/>
              <w:rPr>
                <w:rFonts w:cs="Arial"/>
                <w:sz w:val="22"/>
                <w:szCs w:val="22"/>
                <w:lang w:val="en-US"/>
              </w:rPr>
            </w:pPr>
            <w:r>
              <w:rPr>
                <w:rFonts w:cs="Arial"/>
                <w:sz w:val="22"/>
                <w:szCs w:val="22"/>
                <w:lang w:val="en-US"/>
              </w:rPr>
              <w:t>$298,000</w:t>
            </w:r>
          </w:p>
        </w:tc>
      </w:tr>
      <w:tr w:rsidR="0009455A" w:rsidRPr="008F55EC" w14:paraId="05A9652B" w14:textId="77777777" w:rsidTr="00AA3C19">
        <w:tc>
          <w:tcPr>
            <w:tcW w:w="2972" w:type="dxa"/>
            <w:vAlign w:val="center"/>
          </w:tcPr>
          <w:p w14:paraId="15EA245D" w14:textId="4DC0E47E" w:rsidR="0009455A" w:rsidRPr="008F55EC" w:rsidRDefault="00B95A9B" w:rsidP="00AA3C19">
            <w:pPr>
              <w:rPr>
                <w:rFonts w:cs="Arial"/>
                <w:sz w:val="22"/>
                <w:szCs w:val="22"/>
                <w:lang w:val="en-US"/>
              </w:rPr>
            </w:pPr>
            <w:r>
              <w:rPr>
                <w:rFonts w:cs="Arial"/>
                <w:sz w:val="22"/>
                <w:szCs w:val="22"/>
                <w:lang w:val="en-US"/>
              </w:rPr>
              <w:t>Hobsons Bay</w:t>
            </w:r>
          </w:p>
        </w:tc>
        <w:tc>
          <w:tcPr>
            <w:tcW w:w="1985" w:type="dxa"/>
            <w:vAlign w:val="center"/>
          </w:tcPr>
          <w:p w14:paraId="5281B35D" w14:textId="644210D2" w:rsidR="0009455A" w:rsidRPr="008F55EC" w:rsidRDefault="00B95A9B" w:rsidP="00B95A9B">
            <w:pPr>
              <w:jc w:val="right"/>
              <w:rPr>
                <w:rFonts w:cs="Arial"/>
                <w:sz w:val="22"/>
                <w:szCs w:val="22"/>
                <w:lang w:val="en-US"/>
              </w:rPr>
            </w:pPr>
            <w:r>
              <w:rPr>
                <w:rFonts w:cs="Arial"/>
                <w:sz w:val="22"/>
                <w:szCs w:val="22"/>
                <w:lang w:val="en-US"/>
              </w:rPr>
              <w:t>$281,000</w:t>
            </w:r>
          </w:p>
        </w:tc>
      </w:tr>
    </w:tbl>
    <w:p w14:paraId="76E2F2E2" w14:textId="7F62F3D5" w:rsidR="00F64925" w:rsidRPr="009F7577" w:rsidRDefault="00C55B65" w:rsidP="00F221E1">
      <w:pPr>
        <w:pStyle w:val="Heading2"/>
        <w:rPr>
          <w:rFonts w:hint="eastAsia"/>
        </w:rPr>
      </w:pPr>
      <w:bookmarkStart w:id="34" w:name="_Toc175665308"/>
      <w:r>
        <w:t>Parkville</w:t>
      </w:r>
      <w:bookmarkEnd w:id="34"/>
    </w:p>
    <w:p w14:paraId="615ABC30" w14:textId="1DEED2A0" w:rsidR="00F64925" w:rsidRDefault="000F3A62" w:rsidP="000F3A62">
      <w:pPr>
        <w:pStyle w:val="Heading3"/>
        <w:rPr>
          <w:rFonts w:hint="eastAsia"/>
        </w:rPr>
      </w:pPr>
      <w:bookmarkStart w:id="35" w:name="_Toc175665309"/>
      <w:r>
        <w:t>Table 1</w:t>
      </w:r>
      <w:r w:rsidR="00C55B65">
        <w:t>8</w:t>
      </w:r>
      <w:r>
        <w:t xml:space="preserve"> – Spending by category, Q</w:t>
      </w:r>
      <w:r w:rsidR="00C55B65">
        <w:t>2</w:t>
      </w:r>
      <w:r>
        <w:t xml:space="preserve"> 2024</w:t>
      </w:r>
      <w:bookmarkEnd w:id="35"/>
    </w:p>
    <w:tbl>
      <w:tblPr>
        <w:tblStyle w:val="TableGrid"/>
        <w:tblW w:w="0" w:type="auto"/>
        <w:tblLook w:val="04A0" w:firstRow="1" w:lastRow="0" w:firstColumn="1" w:lastColumn="0" w:noHBand="0" w:noVBand="1"/>
      </w:tblPr>
      <w:tblGrid>
        <w:gridCol w:w="1980"/>
        <w:gridCol w:w="2977"/>
      </w:tblGrid>
      <w:tr w:rsidR="00F1256F" w:rsidRPr="008F55EC" w14:paraId="6934DB95" w14:textId="77777777" w:rsidTr="00AA3C19">
        <w:tc>
          <w:tcPr>
            <w:tcW w:w="1980" w:type="dxa"/>
            <w:vAlign w:val="center"/>
          </w:tcPr>
          <w:p w14:paraId="4510F52E" w14:textId="77777777" w:rsidR="00F1256F" w:rsidRPr="00F64925" w:rsidRDefault="00F1256F" w:rsidP="00AA3C19">
            <w:pPr>
              <w:rPr>
                <w:rFonts w:cs="Arial"/>
                <w:b/>
                <w:bCs/>
                <w:sz w:val="22"/>
                <w:szCs w:val="22"/>
                <w:lang w:val="en-US"/>
              </w:rPr>
            </w:pPr>
            <w:r w:rsidRPr="00F64925">
              <w:rPr>
                <w:rFonts w:cs="Arial"/>
                <w:b/>
                <w:bCs/>
                <w:sz w:val="22"/>
                <w:szCs w:val="22"/>
                <w:lang w:val="en-US"/>
              </w:rPr>
              <w:t>Category</w:t>
            </w:r>
          </w:p>
        </w:tc>
        <w:tc>
          <w:tcPr>
            <w:tcW w:w="2977" w:type="dxa"/>
            <w:vAlign w:val="center"/>
          </w:tcPr>
          <w:p w14:paraId="369ABC41" w14:textId="77777777" w:rsidR="00F1256F" w:rsidRPr="008F55EC" w:rsidRDefault="00F1256F" w:rsidP="00AA3C19">
            <w:pPr>
              <w:rPr>
                <w:rFonts w:cs="Arial"/>
                <w:sz w:val="22"/>
                <w:szCs w:val="22"/>
                <w:lang w:val="en-US"/>
              </w:rPr>
            </w:pPr>
            <w:r>
              <w:rPr>
                <w:rFonts w:cs="Arial"/>
                <w:b/>
                <w:bCs/>
                <w:color w:val="000000"/>
                <w:sz w:val="22"/>
                <w:szCs w:val="22"/>
              </w:rPr>
              <w:t>Adjusted Spend</w:t>
            </w:r>
          </w:p>
        </w:tc>
      </w:tr>
      <w:tr w:rsidR="00F1256F" w:rsidRPr="008F55EC" w14:paraId="44376793" w14:textId="77777777" w:rsidTr="00AA3C19">
        <w:tc>
          <w:tcPr>
            <w:tcW w:w="1980" w:type="dxa"/>
            <w:vAlign w:val="center"/>
          </w:tcPr>
          <w:p w14:paraId="2BD8D865" w14:textId="6A055914" w:rsidR="00F1256F" w:rsidRPr="008F55EC" w:rsidRDefault="00B95A9B" w:rsidP="00AA3C19">
            <w:pPr>
              <w:rPr>
                <w:rFonts w:cs="Arial"/>
                <w:sz w:val="22"/>
                <w:szCs w:val="22"/>
                <w:lang w:val="en-US"/>
              </w:rPr>
            </w:pPr>
            <w:r>
              <w:rPr>
                <w:rFonts w:cs="Arial"/>
                <w:sz w:val="22"/>
                <w:szCs w:val="22"/>
                <w:lang w:val="en-US"/>
              </w:rPr>
              <w:t>Entertainment</w:t>
            </w:r>
          </w:p>
        </w:tc>
        <w:tc>
          <w:tcPr>
            <w:tcW w:w="2977" w:type="dxa"/>
            <w:vAlign w:val="center"/>
          </w:tcPr>
          <w:p w14:paraId="38F2586F" w14:textId="4D65F001" w:rsidR="00F1256F" w:rsidRPr="008F55EC" w:rsidRDefault="00850060" w:rsidP="00B95A9B">
            <w:pPr>
              <w:jc w:val="right"/>
              <w:rPr>
                <w:rFonts w:cs="Arial"/>
                <w:sz w:val="22"/>
                <w:szCs w:val="22"/>
                <w:lang w:val="en-US"/>
              </w:rPr>
            </w:pPr>
            <w:r>
              <w:rPr>
                <w:rFonts w:cs="Arial"/>
                <w:sz w:val="22"/>
                <w:szCs w:val="22"/>
                <w:lang w:val="en-US"/>
              </w:rPr>
              <w:t>$18,637,000</w:t>
            </w:r>
          </w:p>
        </w:tc>
      </w:tr>
      <w:tr w:rsidR="00F1256F" w:rsidRPr="008F55EC" w14:paraId="0A8CAE5C" w14:textId="77777777" w:rsidTr="00AA3C19">
        <w:tc>
          <w:tcPr>
            <w:tcW w:w="1980" w:type="dxa"/>
            <w:vAlign w:val="center"/>
          </w:tcPr>
          <w:p w14:paraId="1C8D56A9" w14:textId="76AA6216" w:rsidR="00F1256F" w:rsidRPr="008F55EC" w:rsidRDefault="00B95A9B" w:rsidP="00AA3C19">
            <w:pPr>
              <w:rPr>
                <w:rFonts w:cs="Arial"/>
                <w:sz w:val="22"/>
                <w:szCs w:val="22"/>
                <w:lang w:val="en-US"/>
              </w:rPr>
            </w:pPr>
            <w:r>
              <w:rPr>
                <w:rFonts w:cs="Arial"/>
                <w:sz w:val="22"/>
                <w:szCs w:val="22"/>
                <w:lang w:val="en-US"/>
              </w:rPr>
              <w:t>Commercial</w:t>
            </w:r>
          </w:p>
        </w:tc>
        <w:tc>
          <w:tcPr>
            <w:tcW w:w="2977" w:type="dxa"/>
            <w:vAlign w:val="center"/>
          </w:tcPr>
          <w:p w14:paraId="75424637" w14:textId="585F4A50" w:rsidR="00F1256F" w:rsidRPr="008F55EC" w:rsidRDefault="00850060" w:rsidP="00B95A9B">
            <w:pPr>
              <w:jc w:val="right"/>
              <w:rPr>
                <w:rFonts w:cs="Arial"/>
                <w:sz w:val="22"/>
                <w:szCs w:val="22"/>
                <w:lang w:val="en-US"/>
              </w:rPr>
            </w:pPr>
            <w:r>
              <w:rPr>
                <w:rFonts w:cs="Arial"/>
                <w:sz w:val="22"/>
                <w:szCs w:val="22"/>
                <w:lang w:val="en-US"/>
              </w:rPr>
              <w:t>$15,032,000</w:t>
            </w:r>
          </w:p>
        </w:tc>
      </w:tr>
      <w:tr w:rsidR="00F1256F" w:rsidRPr="008F55EC" w14:paraId="6FD36665" w14:textId="77777777" w:rsidTr="00AA3C19">
        <w:tc>
          <w:tcPr>
            <w:tcW w:w="1980" w:type="dxa"/>
            <w:vAlign w:val="center"/>
          </w:tcPr>
          <w:p w14:paraId="5209B4FF" w14:textId="5E4D02AD" w:rsidR="00F1256F" w:rsidRDefault="00B95A9B" w:rsidP="00AA3C19">
            <w:pPr>
              <w:rPr>
                <w:rFonts w:cs="Arial"/>
                <w:color w:val="000000"/>
                <w:sz w:val="22"/>
                <w:szCs w:val="22"/>
              </w:rPr>
            </w:pPr>
            <w:r>
              <w:rPr>
                <w:rFonts w:cs="Arial"/>
                <w:color w:val="000000"/>
                <w:sz w:val="22"/>
                <w:szCs w:val="22"/>
              </w:rPr>
              <w:t>Retail</w:t>
            </w:r>
          </w:p>
        </w:tc>
        <w:tc>
          <w:tcPr>
            <w:tcW w:w="2977" w:type="dxa"/>
            <w:vAlign w:val="center"/>
          </w:tcPr>
          <w:p w14:paraId="59716F9B" w14:textId="069F7905" w:rsidR="00F1256F" w:rsidRPr="008F55EC" w:rsidRDefault="00850060" w:rsidP="00B95A9B">
            <w:pPr>
              <w:jc w:val="right"/>
              <w:rPr>
                <w:rFonts w:cs="Arial"/>
                <w:sz w:val="22"/>
                <w:szCs w:val="22"/>
                <w:lang w:val="en-US"/>
              </w:rPr>
            </w:pPr>
            <w:r>
              <w:rPr>
                <w:rFonts w:cs="Arial"/>
                <w:sz w:val="22"/>
                <w:szCs w:val="22"/>
                <w:lang w:val="en-US"/>
              </w:rPr>
              <w:t>$5,198,000</w:t>
            </w:r>
          </w:p>
        </w:tc>
      </w:tr>
      <w:tr w:rsidR="00F1256F" w:rsidRPr="008F55EC" w14:paraId="593ACD50" w14:textId="77777777" w:rsidTr="00AA3C19">
        <w:tc>
          <w:tcPr>
            <w:tcW w:w="1980" w:type="dxa"/>
            <w:vAlign w:val="center"/>
          </w:tcPr>
          <w:p w14:paraId="1C0C2FC6" w14:textId="04997FE6" w:rsidR="00F1256F" w:rsidRDefault="00B95A9B" w:rsidP="00AA3C19">
            <w:pPr>
              <w:rPr>
                <w:rFonts w:cs="Arial"/>
                <w:color w:val="000000"/>
                <w:sz w:val="22"/>
                <w:szCs w:val="22"/>
              </w:rPr>
            </w:pPr>
            <w:r>
              <w:rPr>
                <w:rFonts w:cs="Arial"/>
                <w:color w:val="000000"/>
                <w:sz w:val="22"/>
                <w:szCs w:val="22"/>
              </w:rPr>
              <w:t>Tourism</w:t>
            </w:r>
          </w:p>
        </w:tc>
        <w:tc>
          <w:tcPr>
            <w:tcW w:w="2977" w:type="dxa"/>
            <w:vAlign w:val="center"/>
          </w:tcPr>
          <w:p w14:paraId="1A9174CE" w14:textId="2B38A940" w:rsidR="00F1256F" w:rsidRPr="008F55EC" w:rsidRDefault="00850060" w:rsidP="00B95A9B">
            <w:pPr>
              <w:jc w:val="right"/>
              <w:rPr>
                <w:rFonts w:cs="Arial"/>
                <w:sz w:val="22"/>
                <w:szCs w:val="22"/>
                <w:lang w:val="en-US"/>
              </w:rPr>
            </w:pPr>
            <w:r>
              <w:rPr>
                <w:rFonts w:cs="Arial"/>
                <w:sz w:val="22"/>
                <w:szCs w:val="22"/>
                <w:lang w:val="en-US"/>
              </w:rPr>
              <w:t>$1,345,000</w:t>
            </w:r>
          </w:p>
        </w:tc>
      </w:tr>
    </w:tbl>
    <w:p w14:paraId="70F25F5E" w14:textId="670BDC8F" w:rsidR="00F64925" w:rsidRDefault="00F64925" w:rsidP="00F64925">
      <w:pPr>
        <w:pStyle w:val="Heading3"/>
        <w:rPr>
          <w:rFonts w:hint="eastAsia"/>
        </w:rPr>
      </w:pPr>
      <w:bookmarkStart w:id="36" w:name="_Toc175665310"/>
      <w:r>
        <w:t xml:space="preserve">Table </w:t>
      </w:r>
      <w:r w:rsidR="00C55B65">
        <w:t>19</w:t>
      </w:r>
      <w:r>
        <w:t xml:space="preserve"> – Work hours and non-work hours spend</w:t>
      </w:r>
      <w:r w:rsidR="00B776A9">
        <w:t xml:space="preserve"> in Parkville</w:t>
      </w:r>
      <w:r>
        <w:t>, Q</w:t>
      </w:r>
      <w:r w:rsidR="00C55B65">
        <w:t>2</w:t>
      </w:r>
      <w:r>
        <w:t xml:space="preserve"> 2024</w:t>
      </w:r>
      <w:bookmarkEnd w:id="36"/>
    </w:p>
    <w:tbl>
      <w:tblPr>
        <w:tblStyle w:val="TableGrid"/>
        <w:tblW w:w="0" w:type="auto"/>
        <w:tblLook w:val="04A0" w:firstRow="1" w:lastRow="0" w:firstColumn="1" w:lastColumn="0" w:noHBand="0" w:noVBand="1"/>
      </w:tblPr>
      <w:tblGrid>
        <w:gridCol w:w="2689"/>
        <w:gridCol w:w="2268"/>
        <w:gridCol w:w="3118"/>
      </w:tblGrid>
      <w:tr w:rsidR="00F64925" w:rsidRPr="008F55EC" w14:paraId="54036F09" w14:textId="77777777" w:rsidTr="00AA3C19">
        <w:tc>
          <w:tcPr>
            <w:tcW w:w="2689" w:type="dxa"/>
            <w:vAlign w:val="center"/>
          </w:tcPr>
          <w:p w14:paraId="003D56F8" w14:textId="77777777" w:rsidR="00F64925" w:rsidRPr="00F64925" w:rsidRDefault="00F64925" w:rsidP="00AA3C19">
            <w:pPr>
              <w:rPr>
                <w:rFonts w:cs="Arial"/>
                <w:b/>
                <w:bCs/>
                <w:sz w:val="22"/>
                <w:szCs w:val="22"/>
                <w:lang w:val="en-US"/>
              </w:rPr>
            </w:pPr>
            <w:r>
              <w:rPr>
                <w:rFonts w:cs="Arial"/>
                <w:b/>
                <w:bCs/>
                <w:sz w:val="22"/>
                <w:szCs w:val="22"/>
                <w:lang w:val="en-US"/>
              </w:rPr>
              <w:t>Time Period</w:t>
            </w:r>
          </w:p>
        </w:tc>
        <w:tc>
          <w:tcPr>
            <w:tcW w:w="2268" w:type="dxa"/>
            <w:vAlign w:val="center"/>
          </w:tcPr>
          <w:p w14:paraId="4C3E058A" w14:textId="77777777" w:rsidR="00F64925" w:rsidRPr="008F55EC" w:rsidRDefault="00F64925" w:rsidP="00AA3C19">
            <w:pPr>
              <w:rPr>
                <w:rFonts w:cs="Arial"/>
                <w:sz w:val="22"/>
                <w:szCs w:val="22"/>
                <w:lang w:val="en-US"/>
              </w:rPr>
            </w:pPr>
            <w:r>
              <w:rPr>
                <w:rFonts w:cs="Arial"/>
                <w:b/>
                <w:bCs/>
                <w:color w:val="000000"/>
                <w:sz w:val="22"/>
                <w:szCs w:val="22"/>
              </w:rPr>
              <w:t>Adjusted Spend</w:t>
            </w:r>
          </w:p>
        </w:tc>
        <w:tc>
          <w:tcPr>
            <w:tcW w:w="3118" w:type="dxa"/>
          </w:tcPr>
          <w:p w14:paraId="026767BD" w14:textId="77777777" w:rsidR="00F64925" w:rsidRDefault="00F64925" w:rsidP="00AA3C19">
            <w:pPr>
              <w:rPr>
                <w:rFonts w:cs="Arial"/>
                <w:b/>
                <w:bCs/>
                <w:color w:val="000000"/>
                <w:sz w:val="22"/>
                <w:szCs w:val="22"/>
              </w:rPr>
            </w:pPr>
            <w:r>
              <w:rPr>
                <w:rFonts w:cs="Arial"/>
                <w:b/>
                <w:bCs/>
                <w:color w:val="000000"/>
                <w:sz w:val="22"/>
                <w:szCs w:val="22"/>
              </w:rPr>
              <w:t>Percent of Average Spend</w:t>
            </w:r>
          </w:p>
        </w:tc>
      </w:tr>
      <w:tr w:rsidR="00F64925" w:rsidRPr="008F55EC" w14:paraId="1C622F60" w14:textId="77777777" w:rsidTr="00AA3C19">
        <w:tc>
          <w:tcPr>
            <w:tcW w:w="2689" w:type="dxa"/>
            <w:vAlign w:val="center"/>
          </w:tcPr>
          <w:p w14:paraId="22C7A103" w14:textId="77777777" w:rsidR="00F64925" w:rsidRPr="008F55EC" w:rsidRDefault="00F64925" w:rsidP="00AA3C19">
            <w:pPr>
              <w:rPr>
                <w:rFonts w:cs="Arial"/>
                <w:sz w:val="22"/>
                <w:szCs w:val="22"/>
                <w:lang w:val="en-US"/>
              </w:rPr>
            </w:pPr>
            <w:r>
              <w:rPr>
                <w:rFonts w:cs="Arial"/>
                <w:color w:val="000000"/>
                <w:sz w:val="22"/>
                <w:szCs w:val="22"/>
              </w:rPr>
              <w:t>Work hours</w:t>
            </w:r>
          </w:p>
        </w:tc>
        <w:tc>
          <w:tcPr>
            <w:tcW w:w="2268" w:type="dxa"/>
            <w:vAlign w:val="center"/>
          </w:tcPr>
          <w:p w14:paraId="5F78BA6B" w14:textId="7D5EC739" w:rsidR="00F64925" w:rsidRPr="008F55EC" w:rsidRDefault="00B95A9B" w:rsidP="00B95A9B">
            <w:pPr>
              <w:jc w:val="right"/>
              <w:rPr>
                <w:rFonts w:cs="Arial"/>
                <w:sz w:val="22"/>
                <w:szCs w:val="22"/>
                <w:lang w:val="en-US"/>
              </w:rPr>
            </w:pPr>
            <w:r>
              <w:rPr>
                <w:rFonts w:cs="Arial"/>
                <w:sz w:val="22"/>
                <w:szCs w:val="22"/>
                <w:lang w:val="en-US"/>
              </w:rPr>
              <w:t>$34,000,000</w:t>
            </w:r>
          </w:p>
        </w:tc>
        <w:tc>
          <w:tcPr>
            <w:tcW w:w="3118" w:type="dxa"/>
          </w:tcPr>
          <w:p w14:paraId="35947BE7" w14:textId="37ED87B3" w:rsidR="00F64925" w:rsidRPr="008F55EC" w:rsidRDefault="00B95A9B" w:rsidP="00B95A9B">
            <w:pPr>
              <w:jc w:val="right"/>
              <w:rPr>
                <w:rFonts w:cs="Arial"/>
                <w:sz w:val="22"/>
                <w:szCs w:val="22"/>
                <w:lang w:val="en-US"/>
              </w:rPr>
            </w:pPr>
            <w:r>
              <w:rPr>
                <w:rFonts w:cs="Arial"/>
                <w:sz w:val="22"/>
                <w:szCs w:val="22"/>
                <w:lang w:val="en-US"/>
              </w:rPr>
              <w:t>83%</w:t>
            </w:r>
          </w:p>
        </w:tc>
      </w:tr>
      <w:tr w:rsidR="00F64925" w:rsidRPr="008F55EC" w14:paraId="2D8EC084" w14:textId="77777777" w:rsidTr="00AA3C19">
        <w:tc>
          <w:tcPr>
            <w:tcW w:w="2689" w:type="dxa"/>
            <w:vAlign w:val="center"/>
          </w:tcPr>
          <w:p w14:paraId="7DC04346" w14:textId="77777777" w:rsidR="00F64925" w:rsidRPr="008F55EC" w:rsidRDefault="00F64925" w:rsidP="00AA3C19">
            <w:pPr>
              <w:rPr>
                <w:rFonts w:cs="Arial"/>
                <w:sz w:val="22"/>
                <w:szCs w:val="22"/>
                <w:lang w:val="en-US"/>
              </w:rPr>
            </w:pPr>
            <w:r>
              <w:rPr>
                <w:rFonts w:cs="Arial"/>
                <w:color w:val="000000"/>
                <w:sz w:val="22"/>
                <w:szCs w:val="22"/>
              </w:rPr>
              <w:t>Non-work hours</w:t>
            </w:r>
          </w:p>
        </w:tc>
        <w:tc>
          <w:tcPr>
            <w:tcW w:w="2268" w:type="dxa"/>
            <w:vAlign w:val="center"/>
          </w:tcPr>
          <w:p w14:paraId="53E1C69F" w14:textId="557AA832" w:rsidR="00F64925" w:rsidRPr="008F55EC" w:rsidRDefault="00B95A9B" w:rsidP="00B95A9B">
            <w:pPr>
              <w:jc w:val="right"/>
              <w:rPr>
                <w:rFonts w:cs="Arial"/>
                <w:sz w:val="22"/>
                <w:szCs w:val="22"/>
                <w:lang w:val="en-US"/>
              </w:rPr>
            </w:pPr>
            <w:r>
              <w:rPr>
                <w:rFonts w:cs="Arial"/>
                <w:sz w:val="22"/>
                <w:szCs w:val="22"/>
                <w:lang w:val="en-US"/>
              </w:rPr>
              <w:t>$7,000,000</w:t>
            </w:r>
          </w:p>
        </w:tc>
        <w:tc>
          <w:tcPr>
            <w:tcW w:w="3118" w:type="dxa"/>
          </w:tcPr>
          <w:p w14:paraId="178D94B6" w14:textId="0D23DE2D" w:rsidR="00F64925" w:rsidRPr="008F55EC" w:rsidRDefault="00B95A9B" w:rsidP="00B95A9B">
            <w:pPr>
              <w:jc w:val="right"/>
              <w:rPr>
                <w:rFonts w:cs="Arial"/>
                <w:sz w:val="22"/>
                <w:szCs w:val="22"/>
                <w:lang w:val="en-US"/>
              </w:rPr>
            </w:pPr>
            <w:r>
              <w:rPr>
                <w:rFonts w:cs="Arial"/>
                <w:sz w:val="22"/>
                <w:szCs w:val="22"/>
                <w:lang w:val="en-US"/>
              </w:rPr>
              <w:t>17%</w:t>
            </w:r>
          </w:p>
        </w:tc>
      </w:tr>
    </w:tbl>
    <w:p w14:paraId="3196D9FD" w14:textId="25BA42D1" w:rsidR="005B476C" w:rsidRDefault="005B476C" w:rsidP="005B476C">
      <w:pPr>
        <w:pStyle w:val="ListParagraph"/>
        <w:numPr>
          <w:ilvl w:val="0"/>
          <w:numId w:val="21"/>
        </w:numPr>
      </w:pPr>
      <w:r w:rsidRPr="005B476C">
        <w:t>Work hours are 8am to 6pm, Monday to Friday.</w:t>
      </w:r>
    </w:p>
    <w:p w14:paraId="7854EA9E" w14:textId="4C5B536D" w:rsidR="005B476C" w:rsidRDefault="005B476C" w:rsidP="005B476C">
      <w:pPr>
        <w:pStyle w:val="Heading3"/>
        <w:rPr>
          <w:rFonts w:hint="eastAsia"/>
        </w:rPr>
      </w:pPr>
      <w:bookmarkStart w:id="37" w:name="_Toc175665311"/>
      <w:r>
        <w:t>Table 2</w:t>
      </w:r>
      <w:r w:rsidR="00C55B65">
        <w:t>0</w:t>
      </w:r>
      <w:r>
        <w:t xml:space="preserve"> – </w:t>
      </w:r>
      <w:r w:rsidRPr="002031FC">
        <w:t xml:space="preserve">Weekday and weekend spend in </w:t>
      </w:r>
      <w:r w:rsidR="00C55B65">
        <w:t>Parkville</w:t>
      </w:r>
      <w:r w:rsidRPr="002031FC">
        <w:t>, Q</w:t>
      </w:r>
      <w:r w:rsidR="00C55B65">
        <w:t>2</w:t>
      </w:r>
      <w:r w:rsidRPr="002031FC">
        <w:t xml:space="preserve"> 2024</w:t>
      </w:r>
      <w:bookmarkEnd w:id="37"/>
      <w:r>
        <w:t xml:space="preserve"> </w:t>
      </w:r>
    </w:p>
    <w:tbl>
      <w:tblPr>
        <w:tblStyle w:val="TableGrid"/>
        <w:tblW w:w="0" w:type="auto"/>
        <w:tblLook w:val="04A0" w:firstRow="1" w:lastRow="0" w:firstColumn="1" w:lastColumn="0" w:noHBand="0" w:noVBand="1"/>
      </w:tblPr>
      <w:tblGrid>
        <w:gridCol w:w="2689"/>
        <w:gridCol w:w="2268"/>
        <w:gridCol w:w="3118"/>
      </w:tblGrid>
      <w:tr w:rsidR="005B476C" w:rsidRPr="008F55EC" w14:paraId="4860EF49" w14:textId="77777777" w:rsidTr="00922857">
        <w:tc>
          <w:tcPr>
            <w:tcW w:w="2689" w:type="dxa"/>
            <w:vAlign w:val="center"/>
          </w:tcPr>
          <w:p w14:paraId="6CB99A18" w14:textId="77777777" w:rsidR="005B476C" w:rsidRPr="00F64925" w:rsidRDefault="005B476C" w:rsidP="00922857">
            <w:pPr>
              <w:rPr>
                <w:rFonts w:cs="Arial"/>
                <w:b/>
                <w:bCs/>
                <w:sz w:val="22"/>
                <w:szCs w:val="22"/>
                <w:lang w:val="en-US"/>
              </w:rPr>
            </w:pPr>
            <w:r>
              <w:rPr>
                <w:rFonts w:cs="Arial"/>
                <w:b/>
                <w:bCs/>
                <w:sz w:val="22"/>
                <w:szCs w:val="22"/>
                <w:lang w:val="en-US"/>
              </w:rPr>
              <w:t>Time Period</w:t>
            </w:r>
          </w:p>
        </w:tc>
        <w:tc>
          <w:tcPr>
            <w:tcW w:w="2268" w:type="dxa"/>
            <w:vAlign w:val="center"/>
          </w:tcPr>
          <w:p w14:paraId="27597DBC" w14:textId="77777777" w:rsidR="005B476C" w:rsidRPr="008F55EC" w:rsidRDefault="005B476C" w:rsidP="00922857">
            <w:pPr>
              <w:rPr>
                <w:rFonts w:cs="Arial"/>
                <w:sz w:val="22"/>
                <w:szCs w:val="22"/>
                <w:lang w:val="en-US"/>
              </w:rPr>
            </w:pPr>
            <w:r>
              <w:rPr>
                <w:rFonts w:cs="Arial"/>
                <w:b/>
                <w:bCs/>
                <w:color w:val="000000"/>
                <w:sz w:val="22"/>
                <w:szCs w:val="22"/>
              </w:rPr>
              <w:t>Adjusted Spend</w:t>
            </w:r>
          </w:p>
        </w:tc>
        <w:tc>
          <w:tcPr>
            <w:tcW w:w="3118" w:type="dxa"/>
          </w:tcPr>
          <w:p w14:paraId="2F39683E" w14:textId="77777777" w:rsidR="005B476C" w:rsidRDefault="005B476C" w:rsidP="00922857">
            <w:pPr>
              <w:rPr>
                <w:rFonts w:cs="Arial"/>
                <w:b/>
                <w:bCs/>
                <w:color w:val="000000"/>
                <w:sz w:val="22"/>
                <w:szCs w:val="22"/>
              </w:rPr>
            </w:pPr>
            <w:r>
              <w:rPr>
                <w:rFonts w:cs="Arial"/>
                <w:b/>
                <w:bCs/>
                <w:color w:val="000000"/>
                <w:sz w:val="22"/>
                <w:szCs w:val="22"/>
              </w:rPr>
              <w:t>Percent of Average Spend</w:t>
            </w:r>
          </w:p>
        </w:tc>
      </w:tr>
      <w:tr w:rsidR="005B476C" w:rsidRPr="008F55EC" w14:paraId="2B2F8104" w14:textId="77777777" w:rsidTr="00922857">
        <w:tc>
          <w:tcPr>
            <w:tcW w:w="2689" w:type="dxa"/>
            <w:vAlign w:val="center"/>
          </w:tcPr>
          <w:p w14:paraId="49C8986A" w14:textId="77777777" w:rsidR="005B476C" w:rsidRPr="008F55EC" w:rsidRDefault="005B476C" w:rsidP="00922857">
            <w:pPr>
              <w:rPr>
                <w:rFonts w:cs="Arial"/>
                <w:sz w:val="22"/>
                <w:szCs w:val="22"/>
                <w:lang w:val="en-US"/>
              </w:rPr>
            </w:pPr>
            <w:r>
              <w:rPr>
                <w:rFonts w:cs="Arial"/>
                <w:color w:val="000000"/>
                <w:sz w:val="22"/>
                <w:szCs w:val="22"/>
              </w:rPr>
              <w:t>Weekdays</w:t>
            </w:r>
          </w:p>
        </w:tc>
        <w:tc>
          <w:tcPr>
            <w:tcW w:w="2268" w:type="dxa"/>
            <w:vAlign w:val="center"/>
          </w:tcPr>
          <w:p w14:paraId="2F8BECA1" w14:textId="15A7F7CA" w:rsidR="005B476C" w:rsidRPr="008F55EC" w:rsidRDefault="00B95A9B" w:rsidP="00B95A9B">
            <w:pPr>
              <w:jc w:val="right"/>
              <w:rPr>
                <w:rFonts w:cs="Arial"/>
                <w:sz w:val="22"/>
                <w:szCs w:val="22"/>
                <w:lang w:val="en-US"/>
              </w:rPr>
            </w:pPr>
            <w:r>
              <w:rPr>
                <w:rFonts w:cs="Arial"/>
                <w:sz w:val="22"/>
                <w:szCs w:val="22"/>
                <w:lang w:val="en-US"/>
              </w:rPr>
              <w:t>$35,000,000</w:t>
            </w:r>
          </w:p>
        </w:tc>
        <w:tc>
          <w:tcPr>
            <w:tcW w:w="3118" w:type="dxa"/>
          </w:tcPr>
          <w:p w14:paraId="2601B954" w14:textId="7C324067" w:rsidR="005B476C" w:rsidRPr="008F55EC" w:rsidRDefault="00B95A9B" w:rsidP="00B95A9B">
            <w:pPr>
              <w:jc w:val="right"/>
              <w:rPr>
                <w:rFonts w:cs="Arial"/>
                <w:sz w:val="22"/>
                <w:szCs w:val="22"/>
                <w:lang w:val="en-US"/>
              </w:rPr>
            </w:pPr>
            <w:r>
              <w:rPr>
                <w:rFonts w:cs="Arial"/>
                <w:sz w:val="22"/>
                <w:szCs w:val="22"/>
                <w:lang w:val="en-US"/>
              </w:rPr>
              <w:t>86%</w:t>
            </w:r>
          </w:p>
        </w:tc>
      </w:tr>
      <w:tr w:rsidR="005B476C" w:rsidRPr="008F55EC" w14:paraId="5FE9E507" w14:textId="77777777" w:rsidTr="00922857">
        <w:tc>
          <w:tcPr>
            <w:tcW w:w="2689" w:type="dxa"/>
            <w:vAlign w:val="center"/>
          </w:tcPr>
          <w:p w14:paraId="58754474" w14:textId="77777777" w:rsidR="005B476C" w:rsidRPr="008F55EC" w:rsidRDefault="005B476C" w:rsidP="00922857">
            <w:pPr>
              <w:rPr>
                <w:rFonts w:cs="Arial"/>
                <w:sz w:val="22"/>
                <w:szCs w:val="22"/>
                <w:lang w:val="en-US"/>
              </w:rPr>
            </w:pPr>
            <w:r>
              <w:rPr>
                <w:rFonts w:cs="Arial"/>
                <w:color w:val="000000"/>
                <w:sz w:val="22"/>
                <w:szCs w:val="22"/>
              </w:rPr>
              <w:lastRenderedPageBreak/>
              <w:t>Weekends</w:t>
            </w:r>
          </w:p>
        </w:tc>
        <w:tc>
          <w:tcPr>
            <w:tcW w:w="2268" w:type="dxa"/>
            <w:vAlign w:val="center"/>
          </w:tcPr>
          <w:p w14:paraId="25CFF35A" w14:textId="42A4D386" w:rsidR="005B476C" w:rsidRPr="008F55EC" w:rsidRDefault="00B95A9B" w:rsidP="00B95A9B">
            <w:pPr>
              <w:jc w:val="right"/>
              <w:rPr>
                <w:rFonts w:cs="Arial"/>
                <w:sz w:val="22"/>
                <w:szCs w:val="22"/>
                <w:lang w:val="en-US"/>
              </w:rPr>
            </w:pPr>
            <w:r>
              <w:rPr>
                <w:rFonts w:cs="Arial"/>
                <w:sz w:val="22"/>
                <w:szCs w:val="22"/>
                <w:lang w:val="en-US"/>
              </w:rPr>
              <w:t>$5,000,000</w:t>
            </w:r>
          </w:p>
        </w:tc>
        <w:tc>
          <w:tcPr>
            <w:tcW w:w="3118" w:type="dxa"/>
          </w:tcPr>
          <w:p w14:paraId="35B79C09" w14:textId="37FCF016" w:rsidR="005B476C" w:rsidRPr="008F55EC" w:rsidRDefault="00B95A9B" w:rsidP="00B95A9B">
            <w:pPr>
              <w:jc w:val="right"/>
              <w:rPr>
                <w:rFonts w:cs="Arial"/>
                <w:sz w:val="22"/>
                <w:szCs w:val="22"/>
                <w:lang w:val="en-US"/>
              </w:rPr>
            </w:pPr>
            <w:r>
              <w:rPr>
                <w:rFonts w:cs="Arial"/>
                <w:sz w:val="22"/>
                <w:szCs w:val="22"/>
                <w:lang w:val="en-US"/>
              </w:rPr>
              <w:t>14%</w:t>
            </w:r>
          </w:p>
        </w:tc>
      </w:tr>
    </w:tbl>
    <w:p w14:paraId="1D418280" w14:textId="1825676C" w:rsidR="00F64925" w:rsidRDefault="00F64925" w:rsidP="00F64925">
      <w:pPr>
        <w:pStyle w:val="Heading3"/>
        <w:rPr>
          <w:rFonts w:hint="eastAsia"/>
        </w:rPr>
      </w:pPr>
      <w:bookmarkStart w:id="38" w:name="_Toc175665312"/>
      <w:r>
        <w:t>Table 2</w:t>
      </w:r>
      <w:r w:rsidR="00C55B65">
        <w:t>1</w:t>
      </w:r>
      <w:r w:rsidR="005B476C">
        <w:t>.</w:t>
      </w:r>
      <w:r w:rsidR="002F4DE8">
        <w:t>a</w:t>
      </w:r>
      <w:r>
        <w:t xml:space="preserve"> – </w:t>
      </w:r>
      <w:r w:rsidR="005B476C" w:rsidRPr="005B476C">
        <w:t xml:space="preserve">Where spending in </w:t>
      </w:r>
      <w:r w:rsidR="00C55B65">
        <w:t>Parkville</w:t>
      </w:r>
      <w:r w:rsidR="00C55B65" w:rsidRPr="005B476C">
        <w:t xml:space="preserve"> </w:t>
      </w:r>
      <w:r w:rsidR="005B476C" w:rsidRPr="005B476C">
        <w:t>came from, Q</w:t>
      </w:r>
      <w:r w:rsidR="00C55B65">
        <w:t>2</w:t>
      </w:r>
      <w:r w:rsidR="005B476C" w:rsidRPr="005B476C">
        <w:t xml:space="preserve"> 2024</w:t>
      </w:r>
      <w:bookmarkEnd w:id="38"/>
    </w:p>
    <w:tbl>
      <w:tblPr>
        <w:tblStyle w:val="TableGrid"/>
        <w:tblW w:w="0" w:type="auto"/>
        <w:tblLook w:val="04A0" w:firstRow="1" w:lastRow="0" w:firstColumn="1" w:lastColumn="0" w:noHBand="0" w:noVBand="1"/>
      </w:tblPr>
      <w:tblGrid>
        <w:gridCol w:w="2972"/>
        <w:gridCol w:w="1985"/>
        <w:gridCol w:w="3118"/>
      </w:tblGrid>
      <w:tr w:rsidR="00BA5216" w:rsidRPr="008F55EC" w14:paraId="3CDFE7C2" w14:textId="77777777" w:rsidTr="00AA3C19">
        <w:tc>
          <w:tcPr>
            <w:tcW w:w="2972" w:type="dxa"/>
            <w:vAlign w:val="center"/>
          </w:tcPr>
          <w:p w14:paraId="108D6239" w14:textId="77777777" w:rsidR="00BA5216" w:rsidRPr="00F64925" w:rsidRDefault="00BA5216" w:rsidP="00AA3C19">
            <w:pPr>
              <w:rPr>
                <w:rFonts w:cs="Arial"/>
                <w:b/>
                <w:bCs/>
                <w:sz w:val="22"/>
                <w:szCs w:val="22"/>
                <w:lang w:val="en-US"/>
              </w:rPr>
            </w:pPr>
            <w:r>
              <w:rPr>
                <w:rFonts w:cs="Arial"/>
                <w:b/>
                <w:bCs/>
                <w:sz w:val="22"/>
                <w:szCs w:val="22"/>
                <w:lang w:val="en-US"/>
              </w:rPr>
              <w:t>Customer Type</w:t>
            </w:r>
          </w:p>
        </w:tc>
        <w:tc>
          <w:tcPr>
            <w:tcW w:w="1985" w:type="dxa"/>
            <w:vAlign w:val="center"/>
          </w:tcPr>
          <w:p w14:paraId="1AFDEED0" w14:textId="77777777" w:rsidR="00BA5216" w:rsidRPr="008F55EC" w:rsidRDefault="00BA5216" w:rsidP="00AA3C19">
            <w:pPr>
              <w:rPr>
                <w:rFonts w:cs="Arial"/>
                <w:sz w:val="22"/>
                <w:szCs w:val="22"/>
                <w:lang w:val="en-US"/>
              </w:rPr>
            </w:pPr>
            <w:r>
              <w:rPr>
                <w:rFonts w:cs="Arial"/>
                <w:b/>
                <w:bCs/>
                <w:color w:val="000000"/>
                <w:sz w:val="22"/>
                <w:szCs w:val="22"/>
              </w:rPr>
              <w:t>Adjusted Spend</w:t>
            </w:r>
          </w:p>
        </w:tc>
        <w:tc>
          <w:tcPr>
            <w:tcW w:w="3118" w:type="dxa"/>
          </w:tcPr>
          <w:p w14:paraId="1ABF6DB1" w14:textId="77777777" w:rsidR="00BA5216" w:rsidRDefault="00BA5216" w:rsidP="00AA3C19">
            <w:pPr>
              <w:rPr>
                <w:rFonts w:cs="Arial"/>
                <w:b/>
                <w:bCs/>
                <w:color w:val="000000"/>
                <w:sz w:val="22"/>
                <w:szCs w:val="22"/>
              </w:rPr>
            </w:pPr>
            <w:r>
              <w:rPr>
                <w:rFonts w:cs="Arial"/>
                <w:b/>
                <w:bCs/>
                <w:color w:val="000000"/>
                <w:sz w:val="22"/>
                <w:szCs w:val="22"/>
              </w:rPr>
              <w:t>Percent of Average Spend</w:t>
            </w:r>
          </w:p>
        </w:tc>
      </w:tr>
      <w:tr w:rsidR="00BA5216" w:rsidRPr="008F55EC" w14:paraId="052BE35B" w14:textId="77777777" w:rsidTr="00AA3C19">
        <w:tc>
          <w:tcPr>
            <w:tcW w:w="2972" w:type="dxa"/>
            <w:vAlign w:val="center"/>
          </w:tcPr>
          <w:p w14:paraId="74CAC9C0" w14:textId="77777777" w:rsidR="00BA5216" w:rsidRPr="008F55EC" w:rsidRDefault="00BA5216" w:rsidP="00AA3C19">
            <w:pPr>
              <w:rPr>
                <w:rFonts w:cs="Arial"/>
                <w:sz w:val="22"/>
                <w:szCs w:val="22"/>
                <w:lang w:val="en-US"/>
              </w:rPr>
            </w:pPr>
            <w:r>
              <w:rPr>
                <w:rFonts w:cs="Arial"/>
                <w:sz w:val="22"/>
                <w:szCs w:val="22"/>
                <w:lang w:val="en-US"/>
              </w:rPr>
              <w:t>City of Melbourne residents</w:t>
            </w:r>
          </w:p>
        </w:tc>
        <w:tc>
          <w:tcPr>
            <w:tcW w:w="1985" w:type="dxa"/>
            <w:vAlign w:val="center"/>
          </w:tcPr>
          <w:p w14:paraId="22AAC782" w14:textId="77A3D900" w:rsidR="00BA5216" w:rsidRPr="008F55EC" w:rsidRDefault="00B95A9B" w:rsidP="00B95A9B">
            <w:pPr>
              <w:jc w:val="right"/>
              <w:rPr>
                <w:rFonts w:cs="Arial"/>
                <w:sz w:val="22"/>
                <w:szCs w:val="22"/>
                <w:lang w:val="en-US"/>
              </w:rPr>
            </w:pPr>
            <w:r>
              <w:rPr>
                <w:rFonts w:cs="Arial"/>
                <w:sz w:val="22"/>
                <w:szCs w:val="22"/>
                <w:lang w:val="en-US"/>
              </w:rPr>
              <w:t>$2,000,000</w:t>
            </w:r>
          </w:p>
        </w:tc>
        <w:tc>
          <w:tcPr>
            <w:tcW w:w="3118" w:type="dxa"/>
          </w:tcPr>
          <w:p w14:paraId="0CB48A57" w14:textId="10A54EF8" w:rsidR="00BA5216" w:rsidRPr="008F55EC" w:rsidRDefault="00B95A9B" w:rsidP="00B95A9B">
            <w:pPr>
              <w:jc w:val="right"/>
              <w:rPr>
                <w:rFonts w:cs="Arial"/>
                <w:sz w:val="22"/>
                <w:szCs w:val="22"/>
                <w:lang w:val="en-US"/>
              </w:rPr>
            </w:pPr>
            <w:r>
              <w:rPr>
                <w:rFonts w:cs="Arial"/>
                <w:sz w:val="22"/>
                <w:szCs w:val="22"/>
                <w:lang w:val="en-US"/>
              </w:rPr>
              <w:t>4%</w:t>
            </w:r>
          </w:p>
        </w:tc>
      </w:tr>
      <w:tr w:rsidR="00BA5216" w:rsidRPr="008F55EC" w14:paraId="5EDC959D" w14:textId="77777777" w:rsidTr="00AA3C19">
        <w:tc>
          <w:tcPr>
            <w:tcW w:w="2972" w:type="dxa"/>
            <w:vAlign w:val="center"/>
          </w:tcPr>
          <w:p w14:paraId="7FBDD2ED" w14:textId="77777777" w:rsidR="00BA5216" w:rsidRPr="008F55EC" w:rsidRDefault="00BA5216" w:rsidP="00AA3C19">
            <w:pPr>
              <w:rPr>
                <w:rFonts w:cs="Arial"/>
                <w:sz w:val="22"/>
                <w:szCs w:val="22"/>
                <w:lang w:val="en-US"/>
              </w:rPr>
            </w:pPr>
            <w:r>
              <w:rPr>
                <w:rFonts w:cs="Arial"/>
                <w:color w:val="000000"/>
                <w:sz w:val="22"/>
                <w:szCs w:val="22"/>
              </w:rPr>
              <w:t>Visitors</w:t>
            </w:r>
          </w:p>
        </w:tc>
        <w:tc>
          <w:tcPr>
            <w:tcW w:w="1985" w:type="dxa"/>
            <w:vAlign w:val="center"/>
          </w:tcPr>
          <w:p w14:paraId="3051C922" w14:textId="5496CE1B" w:rsidR="00BA5216" w:rsidRPr="008F55EC" w:rsidRDefault="00B95A9B" w:rsidP="00B95A9B">
            <w:pPr>
              <w:jc w:val="right"/>
              <w:rPr>
                <w:rFonts w:cs="Arial"/>
                <w:sz w:val="22"/>
                <w:szCs w:val="22"/>
                <w:lang w:val="en-US"/>
              </w:rPr>
            </w:pPr>
            <w:r>
              <w:rPr>
                <w:rFonts w:cs="Arial"/>
                <w:sz w:val="22"/>
                <w:szCs w:val="22"/>
                <w:lang w:val="en-US"/>
              </w:rPr>
              <w:t>$38,000,000</w:t>
            </w:r>
          </w:p>
        </w:tc>
        <w:tc>
          <w:tcPr>
            <w:tcW w:w="3118" w:type="dxa"/>
          </w:tcPr>
          <w:p w14:paraId="4C9DDAB8" w14:textId="13D2852E" w:rsidR="00BA5216" w:rsidRPr="008F55EC" w:rsidRDefault="00B95A9B" w:rsidP="00B95A9B">
            <w:pPr>
              <w:jc w:val="right"/>
              <w:rPr>
                <w:rFonts w:cs="Arial"/>
                <w:sz w:val="22"/>
                <w:szCs w:val="22"/>
                <w:lang w:val="en-US"/>
              </w:rPr>
            </w:pPr>
            <w:r>
              <w:rPr>
                <w:rFonts w:cs="Arial"/>
                <w:sz w:val="22"/>
                <w:szCs w:val="22"/>
                <w:lang w:val="en-US"/>
              </w:rPr>
              <w:t>96%</w:t>
            </w:r>
          </w:p>
        </w:tc>
      </w:tr>
    </w:tbl>
    <w:p w14:paraId="75382AF5" w14:textId="6E37907C" w:rsidR="00F64925" w:rsidRDefault="00F64925" w:rsidP="00F64925">
      <w:pPr>
        <w:pStyle w:val="Heading3"/>
        <w:rPr>
          <w:rFonts w:hint="eastAsia"/>
        </w:rPr>
      </w:pPr>
      <w:bookmarkStart w:id="39" w:name="_Toc175665313"/>
      <w:r>
        <w:t>Table 2</w:t>
      </w:r>
      <w:r w:rsidR="00C55B65">
        <w:t>1</w:t>
      </w:r>
      <w:r w:rsidR="005B476C">
        <w:t>.</w:t>
      </w:r>
      <w:r w:rsidR="002F4DE8">
        <w:t>b</w:t>
      </w:r>
      <w:r>
        <w:t xml:space="preserve"> – </w:t>
      </w:r>
      <w:r w:rsidR="005B476C" w:rsidRPr="005B476C">
        <w:t xml:space="preserve">Where spending in </w:t>
      </w:r>
      <w:r w:rsidR="00C55B65">
        <w:t>Parkville</w:t>
      </w:r>
      <w:r w:rsidR="005B476C" w:rsidRPr="005B476C">
        <w:t xml:space="preserve"> came from, Q</w:t>
      </w:r>
      <w:r w:rsidR="00C55B65">
        <w:t>2</w:t>
      </w:r>
      <w:r w:rsidR="005B476C" w:rsidRPr="005B476C">
        <w:t xml:space="preserve"> 2024</w:t>
      </w:r>
      <w:bookmarkEnd w:id="39"/>
    </w:p>
    <w:tbl>
      <w:tblPr>
        <w:tblStyle w:val="TableGrid"/>
        <w:tblW w:w="0" w:type="auto"/>
        <w:tblLook w:val="04A0" w:firstRow="1" w:lastRow="0" w:firstColumn="1" w:lastColumn="0" w:noHBand="0" w:noVBand="1"/>
      </w:tblPr>
      <w:tblGrid>
        <w:gridCol w:w="2972"/>
        <w:gridCol w:w="1985"/>
      </w:tblGrid>
      <w:tr w:rsidR="00DA2F88" w:rsidRPr="008F55EC" w14:paraId="637B2AD6" w14:textId="77777777" w:rsidTr="00AA3C19">
        <w:tc>
          <w:tcPr>
            <w:tcW w:w="2972" w:type="dxa"/>
            <w:vAlign w:val="center"/>
          </w:tcPr>
          <w:p w14:paraId="2463D70C" w14:textId="77777777" w:rsidR="00DA2F88" w:rsidRPr="00F64925" w:rsidRDefault="00DA2F88" w:rsidP="00AA3C19">
            <w:pPr>
              <w:rPr>
                <w:rFonts w:cs="Arial"/>
                <w:b/>
                <w:bCs/>
                <w:sz w:val="22"/>
                <w:szCs w:val="22"/>
                <w:lang w:val="en-US"/>
              </w:rPr>
            </w:pPr>
            <w:r>
              <w:rPr>
                <w:rFonts w:cs="Arial"/>
                <w:b/>
                <w:bCs/>
                <w:sz w:val="22"/>
                <w:szCs w:val="22"/>
                <w:lang w:val="en-US"/>
              </w:rPr>
              <w:t>Neighborhood Origin</w:t>
            </w:r>
          </w:p>
        </w:tc>
        <w:tc>
          <w:tcPr>
            <w:tcW w:w="1985" w:type="dxa"/>
            <w:vAlign w:val="center"/>
          </w:tcPr>
          <w:p w14:paraId="253DA1BB" w14:textId="77777777" w:rsidR="00DA2F88" w:rsidRPr="008F55EC" w:rsidRDefault="00DA2F88" w:rsidP="00AA3C19">
            <w:pPr>
              <w:rPr>
                <w:rFonts w:cs="Arial"/>
                <w:sz w:val="22"/>
                <w:szCs w:val="22"/>
                <w:lang w:val="en-US"/>
              </w:rPr>
            </w:pPr>
            <w:r>
              <w:rPr>
                <w:rFonts w:cs="Arial"/>
                <w:b/>
                <w:bCs/>
                <w:color w:val="000000"/>
                <w:sz w:val="22"/>
                <w:szCs w:val="22"/>
              </w:rPr>
              <w:t>Adjusted Spend</w:t>
            </w:r>
          </w:p>
        </w:tc>
      </w:tr>
      <w:tr w:rsidR="00DA2F88" w:rsidRPr="008F55EC" w14:paraId="1148155B" w14:textId="77777777" w:rsidTr="00AA3C19">
        <w:tc>
          <w:tcPr>
            <w:tcW w:w="2972" w:type="dxa"/>
            <w:vAlign w:val="center"/>
          </w:tcPr>
          <w:p w14:paraId="07274470" w14:textId="7B9EE620" w:rsidR="00DA2F88" w:rsidRPr="008F55EC" w:rsidRDefault="00B95A9B" w:rsidP="00DA2F88">
            <w:pPr>
              <w:rPr>
                <w:rFonts w:cs="Arial"/>
                <w:sz w:val="22"/>
                <w:szCs w:val="22"/>
                <w:lang w:val="en-US"/>
              </w:rPr>
            </w:pPr>
            <w:r>
              <w:rPr>
                <w:rFonts w:cs="Arial"/>
                <w:sz w:val="22"/>
                <w:szCs w:val="22"/>
                <w:lang w:val="en-US"/>
              </w:rPr>
              <w:t>Brunswick – Coburg</w:t>
            </w:r>
          </w:p>
        </w:tc>
        <w:tc>
          <w:tcPr>
            <w:tcW w:w="1985" w:type="dxa"/>
            <w:vAlign w:val="center"/>
          </w:tcPr>
          <w:p w14:paraId="0879375C" w14:textId="5F829170" w:rsidR="00DA2F88" w:rsidRPr="008F55EC" w:rsidRDefault="00B95A9B" w:rsidP="00B95A9B">
            <w:pPr>
              <w:jc w:val="right"/>
              <w:rPr>
                <w:rFonts w:cs="Arial"/>
                <w:sz w:val="22"/>
                <w:szCs w:val="22"/>
                <w:lang w:val="en-US"/>
              </w:rPr>
            </w:pPr>
            <w:r>
              <w:rPr>
                <w:rFonts w:cs="Arial"/>
                <w:sz w:val="22"/>
                <w:szCs w:val="22"/>
                <w:lang w:val="en-US"/>
              </w:rPr>
              <w:t>$2,104,000</w:t>
            </w:r>
          </w:p>
        </w:tc>
      </w:tr>
      <w:tr w:rsidR="00DA2F88" w:rsidRPr="008F55EC" w14:paraId="1C64EB2D" w14:textId="77777777" w:rsidTr="00AA3C19">
        <w:tc>
          <w:tcPr>
            <w:tcW w:w="2972" w:type="dxa"/>
            <w:vAlign w:val="center"/>
          </w:tcPr>
          <w:p w14:paraId="15680FE4" w14:textId="34E988B2" w:rsidR="00DA2F88" w:rsidRPr="008F55EC" w:rsidRDefault="00B95A9B" w:rsidP="00DA2F88">
            <w:pPr>
              <w:rPr>
                <w:rFonts w:cs="Arial"/>
                <w:sz w:val="22"/>
                <w:szCs w:val="22"/>
                <w:lang w:val="en-US"/>
              </w:rPr>
            </w:pPr>
            <w:r>
              <w:rPr>
                <w:rFonts w:cs="Arial"/>
                <w:sz w:val="22"/>
                <w:szCs w:val="22"/>
                <w:lang w:val="en-US"/>
              </w:rPr>
              <w:t>Essendon</w:t>
            </w:r>
          </w:p>
        </w:tc>
        <w:tc>
          <w:tcPr>
            <w:tcW w:w="1985" w:type="dxa"/>
            <w:vAlign w:val="center"/>
          </w:tcPr>
          <w:p w14:paraId="54364A69" w14:textId="08FFE8EE" w:rsidR="00DA2F88" w:rsidRPr="008F55EC" w:rsidRDefault="00B95A9B" w:rsidP="00B95A9B">
            <w:pPr>
              <w:jc w:val="right"/>
              <w:rPr>
                <w:rFonts w:cs="Arial"/>
                <w:sz w:val="22"/>
                <w:szCs w:val="22"/>
                <w:lang w:val="en-US"/>
              </w:rPr>
            </w:pPr>
            <w:r>
              <w:rPr>
                <w:rFonts w:cs="Arial"/>
                <w:sz w:val="22"/>
                <w:szCs w:val="22"/>
                <w:lang w:val="en-US"/>
              </w:rPr>
              <w:t>$1,550,000</w:t>
            </w:r>
          </w:p>
        </w:tc>
      </w:tr>
      <w:tr w:rsidR="00DA2F88" w:rsidRPr="008F55EC" w14:paraId="31414ACE" w14:textId="77777777" w:rsidTr="00AA3C19">
        <w:tc>
          <w:tcPr>
            <w:tcW w:w="2972" w:type="dxa"/>
            <w:vAlign w:val="center"/>
          </w:tcPr>
          <w:p w14:paraId="669EEF78" w14:textId="11174A20" w:rsidR="00DA2F88" w:rsidRPr="008F55EC" w:rsidRDefault="00B95A9B" w:rsidP="00DA2F88">
            <w:pPr>
              <w:rPr>
                <w:rFonts w:cs="Arial"/>
                <w:sz w:val="22"/>
                <w:szCs w:val="22"/>
                <w:lang w:val="en-US"/>
              </w:rPr>
            </w:pPr>
            <w:proofErr w:type="spellStart"/>
            <w:r>
              <w:rPr>
                <w:rFonts w:cs="Arial"/>
                <w:sz w:val="22"/>
                <w:szCs w:val="22"/>
                <w:lang w:val="en-US"/>
              </w:rPr>
              <w:t>Yarra</w:t>
            </w:r>
            <w:proofErr w:type="spellEnd"/>
          </w:p>
        </w:tc>
        <w:tc>
          <w:tcPr>
            <w:tcW w:w="1985" w:type="dxa"/>
            <w:vAlign w:val="center"/>
          </w:tcPr>
          <w:p w14:paraId="7A55AB6D" w14:textId="25480C46" w:rsidR="00DA2F88" w:rsidRPr="008F55EC" w:rsidRDefault="00B95A9B" w:rsidP="00B95A9B">
            <w:pPr>
              <w:jc w:val="right"/>
              <w:rPr>
                <w:rFonts w:cs="Arial"/>
                <w:sz w:val="22"/>
                <w:szCs w:val="22"/>
                <w:lang w:val="en-US"/>
              </w:rPr>
            </w:pPr>
            <w:r>
              <w:rPr>
                <w:rFonts w:cs="Arial"/>
                <w:sz w:val="22"/>
                <w:szCs w:val="22"/>
                <w:lang w:val="en-US"/>
              </w:rPr>
              <w:t>$1,225,000</w:t>
            </w:r>
          </w:p>
        </w:tc>
      </w:tr>
      <w:tr w:rsidR="00DA2F88" w:rsidRPr="008F55EC" w14:paraId="75356000" w14:textId="77777777" w:rsidTr="00AA3C19">
        <w:tc>
          <w:tcPr>
            <w:tcW w:w="2972" w:type="dxa"/>
            <w:vAlign w:val="center"/>
          </w:tcPr>
          <w:p w14:paraId="30DF859F" w14:textId="297222B1" w:rsidR="00DA2F88" w:rsidRPr="008F55EC" w:rsidRDefault="00B95A9B" w:rsidP="00DA2F88">
            <w:pPr>
              <w:rPr>
                <w:rFonts w:cs="Arial"/>
                <w:sz w:val="22"/>
                <w:szCs w:val="22"/>
                <w:lang w:val="en-US"/>
              </w:rPr>
            </w:pPr>
            <w:r>
              <w:rPr>
                <w:rFonts w:cs="Arial"/>
                <w:sz w:val="22"/>
                <w:szCs w:val="22"/>
                <w:lang w:val="en-US"/>
              </w:rPr>
              <w:t>Boroondara</w:t>
            </w:r>
          </w:p>
        </w:tc>
        <w:tc>
          <w:tcPr>
            <w:tcW w:w="1985" w:type="dxa"/>
            <w:vAlign w:val="center"/>
          </w:tcPr>
          <w:p w14:paraId="0A15F4DD" w14:textId="4524AD9D" w:rsidR="00DA2F88" w:rsidRPr="008F55EC" w:rsidRDefault="00B95A9B" w:rsidP="00B95A9B">
            <w:pPr>
              <w:jc w:val="right"/>
              <w:rPr>
                <w:rFonts w:cs="Arial"/>
                <w:sz w:val="22"/>
                <w:szCs w:val="22"/>
                <w:lang w:val="en-US"/>
              </w:rPr>
            </w:pPr>
            <w:r>
              <w:rPr>
                <w:rFonts w:cs="Arial"/>
                <w:sz w:val="22"/>
                <w:szCs w:val="22"/>
                <w:lang w:val="en-US"/>
              </w:rPr>
              <w:t>$1,184,000</w:t>
            </w:r>
          </w:p>
        </w:tc>
      </w:tr>
      <w:tr w:rsidR="00DA2F88" w:rsidRPr="008F55EC" w14:paraId="60DB44FC" w14:textId="77777777" w:rsidTr="00AA3C19">
        <w:tc>
          <w:tcPr>
            <w:tcW w:w="2972" w:type="dxa"/>
            <w:vAlign w:val="center"/>
          </w:tcPr>
          <w:p w14:paraId="1BB0CA40" w14:textId="62E544BA" w:rsidR="00DA2F88" w:rsidRPr="008F55EC" w:rsidRDefault="00B95A9B" w:rsidP="00DA2F88">
            <w:pPr>
              <w:rPr>
                <w:rFonts w:cs="Arial"/>
                <w:sz w:val="22"/>
                <w:szCs w:val="22"/>
                <w:lang w:val="en-US"/>
              </w:rPr>
            </w:pPr>
            <w:r>
              <w:rPr>
                <w:rFonts w:cs="Arial"/>
                <w:sz w:val="22"/>
                <w:szCs w:val="22"/>
                <w:lang w:val="en-US"/>
              </w:rPr>
              <w:t>Hobsons Bay</w:t>
            </w:r>
          </w:p>
        </w:tc>
        <w:tc>
          <w:tcPr>
            <w:tcW w:w="1985" w:type="dxa"/>
            <w:vAlign w:val="center"/>
          </w:tcPr>
          <w:p w14:paraId="684BC29A" w14:textId="6A9B0D64" w:rsidR="00DA2F88" w:rsidRPr="008F55EC" w:rsidRDefault="00B95A9B" w:rsidP="00B95A9B">
            <w:pPr>
              <w:jc w:val="right"/>
              <w:rPr>
                <w:rFonts w:cs="Arial"/>
                <w:sz w:val="22"/>
                <w:szCs w:val="22"/>
                <w:lang w:val="en-US"/>
              </w:rPr>
            </w:pPr>
            <w:r>
              <w:rPr>
                <w:rFonts w:cs="Arial"/>
                <w:sz w:val="22"/>
                <w:szCs w:val="22"/>
                <w:lang w:val="en-US"/>
              </w:rPr>
              <w:t>$939,000</w:t>
            </w:r>
          </w:p>
        </w:tc>
      </w:tr>
    </w:tbl>
    <w:p w14:paraId="4DD131CC" w14:textId="38E47E96" w:rsidR="009A4F83" w:rsidRDefault="187E780C" w:rsidP="4E54D03C">
      <w:pPr>
        <w:pStyle w:val="Heading2"/>
        <w:rPr>
          <w:rFonts w:hint="eastAsia"/>
        </w:rPr>
      </w:pPr>
      <w:bookmarkStart w:id="40" w:name="_Toc175665314"/>
      <w:r>
        <w:t>Appendix 1</w:t>
      </w:r>
      <w:r w:rsidR="1E69780F">
        <w:t>:</w:t>
      </w:r>
      <w:r>
        <w:t xml:space="preserve"> Data sources</w:t>
      </w:r>
      <w:bookmarkEnd w:id="40"/>
    </w:p>
    <w:p w14:paraId="7CA176A4" w14:textId="7643DCB8" w:rsidR="005B476C" w:rsidRPr="00454F3D" w:rsidRDefault="005B476C" w:rsidP="00E67C31">
      <w:pPr>
        <w:pStyle w:val="NormalWeb"/>
        <w:spacing w:after="0"/>
        <w:rPr>
          <w:rFonts w:ascii="Arial" w:hAnsi="Arial" w:cs="Arial"/>
          <w:color w:val="000000" w:themeColor="text1"/>
          <w:sz w:val="20"/>
          <w:szCs w:val="20"/>
          <w:shd w:val="clear" w:color="auto" w:fill="FFFFFF"/>
        </w:rPr>
      </w:pPr>
      <w:r w:rsidRPr="005B476C">
        <w:rPr>
          <w:rFonts w:ascii="Arial" w:hAnsi="Arial" w:cs="Arial"/>
          <w:color w:val="000000" w:themeColor="text1"/>
          <w:sz w:val="20"/>
          <w:szCs w:val="20"/>
          <w:shd w:val="clear" w:color="auto" w:fill="FFFFFF"/>
        </w:rPr>
        <w:t>Spendmapp by Geografia (inflation adjusted spend); City of Melbourne Pedestrian counting system</w:t>
      </w:r>
      <w:r w:rsidR="003C49CE">
        <w:rPr>
          <w:rFonts w:ascii="Arial" w:hAnsi="Arial" w:cs="Arial"/>
          <w:color w:val="000000" w:themeColor="text1"/>
          <w:sz w:val="20"/>
          <w:szCs w:val="20"/>
          <w:shd w:val="clear" w:color="auto" w:fill="FFFFFF"/>
        </w:rPr>
        <w:t>.</w:t>
      </w:r>
    </w:p>
    <w:sectPr w:rsidR="005B476C" w:rsidRPr="00454F3D" w:rsidSect="003258DE">
      <w:endnotePr>
        <w:numFmt w:val="decimal"/>
      </w:endnotePr>
      <w:pgSz w:w="11900" w:h="16840"/>
      <w:pgMar w:top="1135" w:right="985"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7B00A" w14:textId="77777777" w:rsidR="00D70FFC" w:rsidRDefault="00D70FFC" w:rsidP="00BC719D">
      <w:pPr>
        <w:spacing w:after="0"/>
      </w:pPr>
      <w:r>
        <w:separator/>
      </w:r>
    </w:p>
  </w:endnote>
  <w:endnote w:type="continuationSeparator" w:id="0">
    <w:p w14:paraId="60061E4C" w14:textId="77777777" w:rsidR="00D70FFC" w:rsidRDefault="00D70FFC"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4D5A5" w14:textId="77777777" w:rsidR="00D70FFC" w:rsidRDefault="00D70FFC" w:rsidP="00577A39">
      <w:pPr>
        <w:spacing w:after="40" w:line="240" w:lineRule="auto"/>
      </w:pPr>
      <w:r>
        <w:separator/>
      </w:r>
    </w:p>
  </w:footnote>
  <w:footnote w:type="continuationSeparator" w:id="0">
    <w:p w14:paraId="3DEEC669" w14:textId="77777777" w:rsidR="00D70FFC" w:rsidRDefault="00D70FFC" w:rsidP="00EA2130">
      <w:r>
        <w:continuationSeparator/>
      </w:r>
    </w:p>
  </w:footnote>
  <w:footnote w:id="1">
    <w:p w14:paraId="66984BBC" w14:textId="5CCFAB03" w:rsidR="004921FD" w:rsidRDefault="004921FD">
      <w:pPr>
        <w:pStyle w:val="FootnoteText"/>
      </w:pPr>
      <w:r>
        <w:rPr>
          <w:rStyle w:val="FootnoteReference"/>
        </w:rPr>
        <w:footnoteRef/>
      </w:r>
      <w:r>
        <w:t xml:space="preserve"> </w:t>
      </w:r>
      <w:r w:rsidRPr="004921FD">
        <w:t>https://www.retail.org.au/twilight-trade</w:t>
      </w:r>
    </w:p>
  </w:footnote>
  <w:footnote w:id="2">
    <w:p w14:paraId="7D90D153" w14:textId="4FE74C64" w:rsidR="004921FD" w:rsidRDefault="004921FD">
      <w:pPr>
        <w:pStyle w:val="FootnoteText"/>
      </w:pPr>
      <w:r>
        <w:rPr>
          <w:rStyle w:val="FootnoteReference"/>
        </w:rPr>
        <w:footnoteRef/>
      </w:r>
      <w:r>
        <w:t xml:space="preserve"> </w:t>
      </w:r>
      <w:r w:rsidRPr="004921FD">
        <w:t>https://qvm.com.au/renewal-program/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4" w15:restartNumberingAfterBreak="0">
    <w:nsid w:val="12A57FDB"/>
    <w:multiLevelType w:val="hybridMultilevel"/>
    <w:tmpl w:val="9A7AB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6" w15:restartNumberingAfterBreak="0">
    <w:nsid w:val="28394ED0"/>
    <w:multiLevelType w:val="hybridMultilevel"/>
    <w:tmpl w:val="7A069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2B5D1C"/>
    <w:multiLevelType w:val="multilevel"/>
    <w:tmpl w:val="16506B6C"/>
    <w:numStyleLink w:val="ListNumbers"/>
  </w:abstractNum>
  <w:abstractNum w:abstractNumId="8" w15:restartNumberingAfterBreak="0">
    <w:nsid w:val="2B801772"/>
    <w:multiLevelType w:val="hybridMultilevel"/>
    <w:tmpl w:val="6FE2C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C10957"/>
    <w:multiLevelType w:val="multilevel"/>
    <w:tmpl w:val="16506B6C"/>
    <w:numStyleLink w:val="ListNumbers"/>
  </w:abstractNum>
  <w:abstractNum w:abstractNumId="11"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E1209CA"/>
    <w:multiLevelType w:val="multilevel"/>
    <w:tmpl w:val="16506B6C"/>
    <w:numStyleLink w:val="ListNumbers"/>
  </w:abstractNum>
  <w:abstractNum w:abstractNumId="13" w15:restartNumberingAfterBreak="0">
    <w:nsid w:val="6F7B1210"/>
    <w:multiLevelType w:val="hybridMultilevel"/>
    <w:tmpl w:val="5964A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A2C43DC"/>
    <w:multiLevelType w:val="multilevel"/>
    <w:tmpl w:val="16506B6C"/>
    <w:numStyleLink w:val="ListNumbers"/>
  </w:abstractNum>
  <w:abstractNum w:abstractNumId="15"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1275137882">
    <w:abstractNumId w:val="3"/>
  </w:num>
  <w:num w:numId="2" w16cid:durableId="405613552">
    <w:abstractNumId w:val="5"/>
  </w:num>
  <w:num w:numId="3" w16cid:durableId="233589251">
    <w:abstractNumId w:val="14"/>
  </w:num>
  <w:num w:numId="4" w16cid:durableId="1036200147">
    <w:abstractNumId w:val="0"/>
  </w:num>
  <w:num w:numId="5" w16cid:durableId="9570334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3458045">
    <w:abstractNumId w:val="7"/>
  </w:num>
  <w:num w:numId="7" w16cid:durableId="17119570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7336334">
    <w:abstractNumId w:val="12"/>
  </w:num>
  <w:num w:numId="9" w16cid:durableId="50619418">
    <w:abstractNumId w:val="10"/>
  </w:num>
  <w:num w:numId="10" w16cid:durableId="2089185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0251299">
    <w:abstractNumId w:val="1"/>
  </w:num>
  <w:num w:numId="12" w16cid:durableId="285091406">
    <w:abstractNumId w:val="9"/>
  </w:num>
  <w:num w:numId="13" w16cid:durableId="494489681">
    <w:abstractNumId w:val="11"/>
  </w:num>
  <w:num w:numId="14" w16cid:durableId="1930893562">
    <w:abstractNumId w:val="15"/>
  </w:num>
  <w:num w:numId="15" w16cid:durableId="18204894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5824233">
    <w:abstractNumId w:val="2"/>
  </w:num>
  <w:num w:numId="17" w16cid:durableId="1957834181">
    <w:abstractNumId w:val="6"/>
  </w:num>
  <w:num w:numId="18" w16cid:durableId="741022207">
    <w:abstractNumId w:val="3"/>
  </w:num>
  <w:num w:numId="19" w16cid:durableId="2146309773">
    <w:abstractNumId w:val="3"/>
  </w:num>
  <w:num w:numId="20" w16cid:durableId="1552888415">
    <w:abstractNumId w:val="4"/>
  </w:num>
  <w:num w:numId="21" w16cid:durableId="236475997">
    <w:abstractNumId w:val="13"/>
  </w:num>
  <w:num w:numId="22" w16cid:durableId="449007518">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915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A91"/>
    <w:rsid w:val="00020B35"/>
    <w:rsid w:val="00043793"/>
    <w:rsid w:val="000437C5"/>
    <w:rsid w:val="000474AE"/>
    <w:rsid w:val="000532DE"/>
    <w:rsid w:val="00071857"/>
    <w:rsid w:val="00094246"/>
    <w:rsid w:val="0009455A"/>
    <w:rsid w:val="000A2BDA"/>
    <w:rsid w:val="000A48D5"/>
    <w:rsid w:val="000A53E6"/>
    <w:rsid w:val="000B5EAA"/>
    <w:rsid w:val="000C1D7A"/>
    <w:rsid w:val="000E616B"/>
    <w:rsid w:val="000F28AB"/>
    <w:rsid w:val="000F3535"/>
    <w:rsid w:val="000F3A62"/>
    <w:rsid w:val="00124A99"/>
    <w:rsid w:val="00126138"/>
    <w:rsid w:val="00135F5D"/>
    <w:rsid w:val="00151C6A"/>
    <w:rsid w:val="001772B1"/>
    <w:rsid w:val="00190B0E"/>
    <w:rsid w:val="001B51BF"/>
    <w:rsid w:val="001D69B8"/>
    <w:rsid w:val="001F46B4"/>
    <w:rsid w:val="001F554D"/>
    <w:rsid w:val="002031FC"/>
    <w:rsid w:val="00210889"/>
    <w:rsid w:val="002436A6"/>
    <w:rsid w:val="002438B7"/>
    <w:rsid w:val="0024773F"/>
    <w:rsid w:val="00247B25"/>
    <w:rsid w:val="00260A86"/>
    <w:rsid w:val="00283798"/>
    <w:rsid w:val="00293B5C"/>
    <w:rsid w:val="002A0493"/>
    <w:rsid w:val="002A3841"/>
    <w:rsid w:val="002A4C65"/>
    <w:rsid w:val="002D630D"/>
    <w:rsid w:val="002E01B9"/>
    <w:rsid w:val="002E4153"/>
    <w:rsid w:val="002F47B6"/>
    <w:rsid w:val="002F4DE8"/>
    <w:rsid w:val="002F646F"/>
    <w:rsid w:val="002F6A88"/>
    <w:rsid w:val="0030394E"/>
    <w:rsid w:val="003258DE"/>
    <w:rsid w:val="003560A1"/>
    <w:rsid w:val="00380F44"/>
    <w:rsid w:val="00387840"/>
    <w:rsid w:val="00392688"/>
    <w:rsid w:val="003C1BF2"/>
    <w:rsid w:val="003C49CE"/>
    <w:rsid w:val="003D63A8"/>
    <w:rsid w:val="003E3A9F"/>
    <w:rsid w:val="003F6DFC"/>
    <w:rsid w:val="00407429"/>
    <w:rsid w:val="00411D07"/>
    <w:rsid w:val="00423541"/>
    <w:rsid w:val="00426584"/>
    <w:rsid w:val="00431D45"/>
    <w:rsid w:val="00454F3D"/>
    <w:rsid w:val="004564F4"/>
    <w:rsid w:val="00457042"/>
    <w:rsid w:val="0045832B"/>
    <w:rsid w:val="00464284"/>
    <w:rsid w:val="004878DB"/>
    <w:rsid w:val="004921FD"/>
    <w:rsid w:val="00493E0A"/>
    <w:rsid w:val="00494A2D"/>
    <w:rsid w:val="004A26E3"/>
    <w:rsid w:val="004B0A87"/>
    <w:rsid w:val="004C1AB5"/>
    <w:rsid w:val="004D00DD"/>
    <w:rsid w:val="004E1ECE"/>
    <w:rsid w:val="004F54F5"/>
    <w:rsid w:val="00535159"/>
    <w:rsid w:val="0053666A"/>
    <w:rsid w:val="00557799"/>
    <w:rsid w:val="005620A0"/>
    <w:rsid w:val="0056634E"/>
    <w:rsid w:val="0057264C"/>
    <w:rsid w:val="00577A39"/>
    <w:rsid w:val="005814F5"/>
    <w:rsid w:val="005B476C"/>
    <w:rsid w:val="005B506B"/>
    <w:rsid w:val="005C3F28"/>
    <w:rsid w:val="005C7F51"/>
    <w:rsid w:val="005D0A71"/>
    <w:rsid w:val="005D30BA"/>
    <w:rsid w:val="005F4391"/>
    <w:rsid w:val="00600AE1"/>
    <w:rsid w:val="0061211D"/>
    <w:rsid w:val="006443D9"/>
    <w:rsid w:val="00687D4A"/>
    <w:rsid w:val="006A2F63"/>
    <w:rsid w:val="006A3718"/>
    <w:rsid w:val="006C0085"/>
    <w:rsid w:val="006C7F7B"/>
    <w:rsid w:val="007100E4"/>
    <w:rsid w:val="00712950"/>
    <w:rsid w:val="00715B3E"/>
    <w:rsid w:val="00723A75"/>
    <w:rsid w:val="0073401D"/>
    <w:rsid w:val="007361D8"/>
    <w:rsid w:val="00737A99"/>
    <w:rsid w:val="00756954"/>
    <w:rsid w:val="00757EEC"/>
    <w:rsid w:val="00782E37"/>
    <w:rsid w:val="007967C3"/>
    <w:rsid w:val="007A0AA6"/>
    <w:rsid w:val="007A2C76"/>
    <w:rsid w:val="007E291E"/>
    <w:rsid w:val="007E6347"/>
    <w:rsid w:val="007F0661"/>
    <w:rsid w:val="007F2FF2"/>
    <w:rsid w:val="00802A52"/>
    <w:rsid w:val="00806F0F"/>
    <w:rsid w:val="00823A07"/>
    <w:rsid w:val="00825D3D"/>
    <w:rsid w:val="00831224"/>
    <w:rsid w:val="00850060"/>
    <w:rsid w:val="00850D66"/>
    <w:rsid w:val="00855F84"/>
    <w:rsid w:val="0086439A"/>
    <w:rsid w:val="00881C97"/>
    <w:rsid w:val="0088586D"/>
    <w:rsid w:val="008A42B1"/>
    <w:rsid w:val="008B512A"/>
    <w:rsid w:val="008D1BB5"/>
    <w:rsid w:val="008D2DDA"/>
    <w:rsid w:val="008E2476"/>
    <w:rsid w:val="008F55EC"/>
    <w:rsid w:val="009043FC"/>
    <w:rsid w:val="009050C6"/>
    <w:rsid w:val="00906338"/>
    <w:rsid w:val="0091365A"/>
    <w:rsid w:val="0092528F"/>
    <w:rsid w:val="00955E32"/>
    <w:rsid w:val="009565CE"/>
    <w:rsid w:val="0097181E"/>
    <w:rsid w:val="00990B3C"/>
    <w:rsid w:val="009A37F3"/>
    <w:rsid w:val="009A4F83"/>
    <w:rsid w:val="009B4DE8"/>
    <w:rsid w:val="009B6E1F"/>
    <w:rsid w:val="009C5A76"/>
    <w:rsid w:val="009D1FBA"/>
    <w:rsid w:val="009F4681"/>
    <w:rsid w:val="009F7577"/>
    <w:rsid w:val="00A01D13"/>
    <w:rsid w:val="00A0CCC5"/>
    <w:rsid w:val="00A121B3"/>
    <w:rsid w:val="00A20ABD"/>
    <w:rsid w:val="00A50617"/>
    <w:rsid w:val="00A5193E"/>
    <w:rsid w:val="00A74C66"/>
    <w:rsid w:val="00A8651A"/>
    <w:rsid w:val="00AA4303"/>
    <w:rsid w:val="00AB6132"/>
    <w:rsid w:val="00AD2B6E"/>
    <w:rsid w:val="00AF02E0"/>
    <w:rsid w:val="00AF4B64"/>
    <w:rsid w:val="00B10CC8"/>
    <w:rsid w:val="00B152AF"/>
    <w:rsid w:val="00B334DD"/>
    <w:rsid w:val="00B53D5A"/>
    <w:rsid w:val="00B61F7F"/>
    <w:rsid w:val="00B776A9"/>
    <w:rsid w:val="00B93B1F"/>
    <w:rsid w:val="00B95A9B"/>
    <w:rsid w:val="00BA5216"/>
    <w:rsid w:val="00BC5E8E"/>
    <w:rsid w:val="00BC719D"/>
    <w:rsid w:val="00BE100F"/>
    <w:rsid w:val="00BE1269"/>
    <w:rsid w:val="00BE4B49"/>
    <w:rsid w:val="00BE6801"/>
    <w:rsid w:val="00C0291B"/>
    <w:rsid w:val="00C05740"/>
    <w:rsid w:val="00C07190"/>
    <w:rsid w:val="00C14F9F"/>
    <w:rsid w:val="00C2007C"/>
    <w:rsid w:val="00C37F6A"/>
    <w:rsid w:val="00C42412"/>
    <w:rsid w:val="00C55B65"/>
    <w:rsid w:val="00C72568"/>
    <w:rsid w:val="00C73DA2"/>
    <w:rsid w:val="00C75211"/>
    <w:rsid w:val="00CA189C"/>
    <w:rsid w:val="00CA3730"/>
    <w:rsid w:val="00CB2D6A"/>
    <w:rsid w:val="00CB5C49"/>
    <w:rsid w:val="00CB6145"/>
    <w:rsid w:val="00CD382D"/>
    <w:rsid w:val="00D00427"/>
    <w:rsid w:val="00D02C4A"/>
    <w:rsid w:val="00D1252D"/>
    <w:rsid w:val="00D23D2B"/>
    <w:rsid w:val="00D378BC"/>
    <w:rsid w:val="00D57437"/>
    <w:rsid w:val="00D70FFC"/>
    <w:rsid w:val="00D77363"/>
    <w:rsid w:val="00DA2F88"/>
    <w:rsid w:val="00DB4981"/>
    <w:rsid w:val="00DE63D0"/>
    <w:rsid w:val="00E16E93"/>
    <w:rsid w:val="00E4646D"/>
    <w:rsid w:val="00E5089C"/>
    <w:rsid w:val="00E54E84"/>
    <w:rsid w:val="00E617E0"/>
    <w:rsid w:val="00E63C2E"/>
    <w:rsid w:val="00E63D29"/>
    <w:rsid w:val="00E67C31"/>
    <w:rsid w:val="00E82344"/>
    <w:rsid w:val="00E84AAE"/>
    <w:rsid w:val="00E86DCD"/>
    <w:rsid w:val="00E94A1C"/>
    <w:rsid w:val="00EA2130"/>
    <w:rsid w:val="00EB4501"/>
    <w:rsid w:val="00EC4AF9"/>
    <w:rsid w:val="00ED7629"/>
    <w:rsid w:val="00EF11AE"/>
    <w:rsid w:val="00F03DF7"/>
    <w:rsid w:val="00F07FBE"/>
    <w:rsid w:val="00F1256F"/>
    <w:rsid w:val="00F221E1"/>
    <w:rsid w:val="00F24B46"/>
    <w:rsid w:val="00F353EB"/>
    <w:rsid w:val="00F4048D"/>
    <w:rsid w:val="00F41FC6"/>
    <w:rsid w:val="00F61A91"/>
    <w:rsid w:val="00F61B69"/>
    <w:rsid w:val="00F62D9C"/>
    <w:rsid w:val="00F63593"/>
    <w:rsid w:val="00F64925"/>
    <w:rsid w:val="00F7371C"/>
    <w:rsid w:val="00F83261"/>
    <w:rsid w:val="00F84BB4"/>
    <w:rsid w:val="00F91691"/>
    <w:rsid w:val="00F93CD4"/>
    <w:rsid w:val="00FA2DFF"/>
    <w:rsid w:val="00FC6D23"/>
    <w:rsid w:val="00FE3C74"/>
    <w:rsid w:val="00FF1497"/>
    <w:rsid w:val="0145CC04"/>
    <w:rsid w:val="014A4C4F"/>
    <w:rsid w:val="02BBB97C"/>
    <w:rsid w:val="0348DECB"/>
    <w:rsid w:val="03663EB7"/>
    <w:rsid w:val="03AD7957"/>
    <w:rsid w:val="03C134BF"/>
    <w:rsid w:val="03D36A49"/>
    <w:rsid w:val="03E78DCD"/>
    <w:rsid w:val="042BB4CD"/>
    <w:rsid w:val="04512D8C"/>
    <w:rsid w:val="045B0738"/>
    <w:rsid w:val="05428B3C"/>
    <w:rsid w:val="0610C301"/>
    <w:rsid w:val="06C4207D"/>
    <w:rsid w:val="07005A6D"/>
    <w:rsid w:val="07624D09"/>
    <w:rsid w:val="07D9B43F"/>
    <w:rsid w:val="082ED43B"/>
    <w:rsid w:val="08DD5BDE"/>
    <w:rsid w:val="09820762"/>
    <w:rsid w:val="09B6A70F"/>
    <w:rsid w:val="0A7158FB"/>
    <w:rsid w:val="0BF76274"/>
    <w:rsid w:val="0C9ADCCB"/>
    <w:rsid w:val="0CC5343C"/>
    <w:rsid w:val="0CCC6100"/>
    <w:rsid w:val="0D12CE77"/>
    <w:rsid w:val="0D316584"/>
    <w:rsid w:val="0D3BC60C"/>
    <w:rsid w:val="0D5FC073"/>
    <w:rsid w:val="0E68C946"/>
    <w:rsid w:val="0E82E29E"/>
    <w:rsid w:val="0EF83AAF"/>
    <w:rsid w:val="0F0795DC"/>
    <w:rsid w:val="0F80CD0C"/>
    <w:rsid w:val="0FF72CE0"/>
    <w:rsid w:val="1001101E"/>
    <w:rsid w:val="10DC2FFF"/>
    <w:rsid w:val="1139249F"/>
    <w:rsid w:val="11781967"/>
    <w:rsid w:val="123C9FDF"/>
    <w:rsid w:val="12B11292"/>
    <w:rsid w:val="1362A70F"/>
    <w:rsid w:val="14283F80"/>
    <w:rsid w:val="14755713"/>
    <w:rsid w:val="14F93311"/>
    <w:rsid w:val="158991A8"/>
    <w:rsid w:val="15A44170"/>
    <w:rsid w:val="15C1A20D"/>
    <w:rsid w:val="167583B8"/>
    <w:rsid w:val="170E7BD2"/>
    <w:rsid w:val="17317FE7"/>
    <w:rsid w:val="17F91915"/>
    <w:rsid w:val="183FC745"/>
    <w:rsid w:val="187E780C"/>
    <w:rsid w:val="18AE1C69"/>
    <w:rsid w:val="197AB14E"/>
    <w:rsid w:val="197B1902"/>
    <w:rsid w:val="198047DA"/>
    <w:rsid w:val="1A7CC4F3"/>
    <w:rsid w:val="1AE4DCB1"/>
    <w:rsid w:val="1B1897B9"/>
    <w:rsid w:val="1B53B10C"/>
    <w:rsid w:val="1CABCAC2"/>
    <w:rsid w:val="1D487513"/>
    <w:rsid w:val="1DD86966"/>
    <w:rsid w:val="1E035516"/>
    <w:rsid w:val="1E222B87"/>
    <w:rsid w:val="1E279452"/>
    <w:rsid w:val="1E69780F"/>
    <w:rsid w:val="1F3FD9C2"/>
    <w:rsid w:val="20B38B2F"/>
    <w:rsid w:val="20C91A7C"/>
    <w:rsid w:val="2103C8E2"/>
    <w:rsid w:val="214F514D"/>
    <w:rsid w:val="221CE01B"/>
    <w:rsid w:val="231FC18D"/>
    <w:rsid w:val="233D8265"/>
    <w:rsid w:val="236BE615"/>
    <w:rsid w:val="241A495C"/>
    <w:rsid w:val="243132B1"/>
    <w:rsid w:val="24C978B0"/>
    <w:rsid w:val="24D7A7CB"/>
    <w:rsid w:val="2560A39C"/>
    <w:rsid w:val="2574B3FB"/>
    <w:rsid w:val="258C8D59"/>
    <w:rsid w:val="26607E69"/>
    <w:rsid w:val="26FA3C68"/>
    <w:rsid w:val="27797E7F"/>
    <w:rsid w:val="27880DCC"/>
    <w:rsid w:val="28960CC9"/>
    <w:rsid w:val="28E0477A"/>
    <w:rsid w:val="28E64AA0"/>
    <w:rsid w:val="299B0A93"/>
    <w:rsid w:val="2ADA1679"/>
    <w:rsid w:val="2B1071F5"/>
    <w:rsid w:val="2B11FC09"/>
    <w:rsid w:val="2BDC474C"/>
    <w:rsid w:val="2C397881"/>
    <w:rsid w:val="2C6D538B"/>
    <w:rsid w:val="2CB86921"/>
    <w:rsid w:val="2D254E1D"/>
    <w:rsid w:val="2D891BB8"/>
    <w:rsid w:val="2DA1FE0A"/>
    <w:rsid w:val="2DFCB352"/>
    <w:rsid w:val="2E4E3B0A"/>
    <w:rsid w:val="2F1E76AA"/>
    <w:rsid w:val="2FAFC587"/>
    <w:rsid w:val="30A86A5C"/>
    <w:rsid w:val="30FBFD97"/>
    <w:rsid w:val="3123BD02"/>
    <w:rsid w:val="316D2B27"/>
    <w:rsid w:val="31893B85"/>
    <w:rsid w:val="3194E1A1"/>
    <w:rsid w:val="3256176C"/>
    <w:rsid w:val="326307A3"/>
    <w:rsid w:val="334FA992"/>
    <w:rsid w:val="33F1E7CD"/>
    <w:rsid w:val="3408D65E"/>
    <w:rsid w:val="343FB8EE"/>
    <w:rsid w:val="34404030"/>
    <w:rsid w:val="345E3437"/>
    <w:rsid w:val="35578C1C"/>
    <w:rsid w:val="357C7D57"/>
    <w:rsid w:val="357CD871"/>
    <w:rsid w:val="36517721"/>
    <w:rsid w:val="36574FC1"/>
    <w:rsid w:val="36607FFB"/>
    <w:rsid w:val="36C12A01"/>
    <w:rsid w:val="36CF0EF0"/>
    <w:rsid w:val="36E52243"/>
    <w:rsid w:val="370F00C0"/>
    <w:rsid w:val="389AF5BC"/>
    <w:rsid w:val="38CBE130"/>
    <w:rsid w:val="39634DB4"/>
    <w:rsid w:val="3A315ED5"/>
    <w:rsid w:val="3B24621D"/>
    <w:rsid w:val="3BE2EED2"/>
    <w:rsid w:val="3BFAAFAF"/>
    <w:rsid w:val="3CD79448"/>
    <w:rsid w:val="3D65DE49"/>
    <w:rsid w:val="3DACB734"/>
    <w:rsid w:val="3DE9FCCD"/>
    <w:rsid w:val="3E1ACAD5"/>
    <w:rsid w:val="3E7859D6"/>
    <w:rsid w:val="3F29E304"/>
    <w:rsid w:val="3F7E106D"/>
    <w:rsid w:val="408399E8"/>
    <w:rsid w:val="41F4DED7"/>
    <w:rsid w:val="44B33698"/>
    <w:rsid w:val="44BD4FA5"/>
    <w:rsid w:val="44C9D3BF"/>
    <w:rsid w:val="4543BE19"/>
    <w:rsid w:val="45EC3D86"/>
    <w:rsid w:val="46F98A23"/>
    <w:rsid w:val="47159F14"/>
    <w:rsid w:val="485B753B"/>
    <w:rsid w:val="48D16E43"/>
    <w:rsid w:val="49125138"/>
    <w:rsid w:val="49125F3A"/>
    <w:rsid w:val="4A4D3FD6"/>
    <w:rsid w:val="4AF64FFC"/>
    <w:rsid w:val="4B5BDEE2"/>
    <w:rsid w:val="4B845550"/>
    <w:rsid w:val="4B98CF33"/>
    <w:rsid w:val="4C67D49C"/>
    <w:rsid w:val="4CD0BF5F"/>
    <w:rsid w:val="4CD29EF8"/>
    <w:rsid w:val="4D7C8862"/>
    <w:rsid w:val="4E1B9E89"/>
    <w:rsid w:val="4E54D03C"/>
    <w:rsid w:val="4EBE4ADD"/>
    <w:rsid w:val="4FD24E3C"/>
    <w:rsid w:val="5074F170"/>
    <w:rsid w:val="5099C81D"/>
    <w:rsid w:val="51402F2F"/>
    <w:rsid w:val="5248B933"/>
    <w:rsid w:val="52FCD427"/>
    <w:rsid w:val="53216078"/>
    <w:rsid w:val="545A2F48"/>
    <w:rsid w:val="5490B6C4"/>
    <w:rsid w:val="5520FABF"/>
    <w:rsid w:val="55EF2DFC"/>
    <w:rsid w:val="56FA8925"/>
    <w:rsid w:val="580D722C"/>
    <w:rsid w:val="58ECF327"/>
    <w:rsid w:val="590B054F"/>
    <w:rsid w:val="5A12C811"/>
    <w:rsid w:val="5A17F09F"/>
    <w:rsid w:val="5A2F1EB5"/>
    <w:rsid w:val="5A4CB05E"/>
    <w:rsid w:val="5AC7F228"/>
    <w:rsid w:val="5B5E1CE4"/>
    <w:rsid w:val="5B6FF901"/>
    <w:rsid w:val="5B8C7642"/>
    <w:rsid w:val="5C1FB3B5"/>
    <w:rsid w:val="5D360104"/>
    <w:rsid w:val="5D5C36C7"/>
    <w:rsid w:val="5DDD5DE2"/>
    <w:rsid w:val="5E6BB41B"/>
    <w:rsid w:val="5E759EF8"/>
    <w:rsid w:val="5F4C9C60"/>
    <w:rsid w:val="5F645A1A"/>
    <w:rsid w:val="5FCB2623"/>
    <w:rsid w:val="6001D6D8"/>
    <w:rsid w:val="60347B3F"/>
    <w:rsid w:val="6104DC5D"/>
    <w:rsid w:val="611DCA08"/>
    <w:rsid w:val="615EA0A4"/>
    <w:rsid w:val="61B67A2E"/>
    <w:rsid w:val="620630CE"/>
    <w:rsid w:val="628F57B8"/>
    <w:rsid w:val="62A4B937"/>
    <w:rsid w:val="62CDDF22"/>
    <w:rsid w:val="62FE7EC7"/>
    <w:rsid w:val="631B860B"/>
    <w:rsid w:val="6339CEE7"/>
    <w:rsid w:val="633B5BA8"/>
    <w:rsid w:val="658F05AB"/>
    <w:rsid w:val="6652CD05"/>
    <w:rsid w:val="66B2ABA8"/>
    <w:rsid w:val="66C019B0"/>
    <w:rsid w:val="6944A808"/>
    <w:rsid w:val="6A0DB341"/>
    <w:rsid w:val="6A14EC0C"/>
    <w:rsid w:val="6A5E0301"/>
    <w:rsid w:val="6AD3462F"/>
    <w:rsid w:val="6B7ABC11"/>
    <w:rsid w:val="6BAF0BE1"/>
    <w:rsid w:val="6BB764FD"/>
    <w:rsid w:val="6BC275C3"/>
    <w:rsid w:val="6C478F04"/>
    <w:rsid w:val="6C857157"/>
    <w:rsid w:val="6CA1FDE4"/>
    <w:rsid w:val="6DD68F26"/>
    <w:rsid w:val="6DD85439"/>
    <w:rsid w:val="6E05E174"/>
    <w:rsid w:val="6E0E4118"/>
    <w:rsid w:val="6E7F3C05"/>
    <w:rsid w:val="6E831894"/>
    <w:rsid w:val="6EC05636"/>
    <w:rsid w:val="6ECB9F36"/>
    <w:rsid w:val="6F41F810"/>
    <w:rsid w:val="6F7971CE"/>
    <w:rsid w:val="6F91A30E"/>
    <w:rsid w:val="71999C99"/>
    <w:rsid w:val="71AFD59B"/>
    <w:rsid w:val="71BC0529"/>
    <w:rsid w:val="71CB510A"/>
    <w:rsid w:val="71EE8478"/>
    <w:rsid w:val="71F26184"/>
    <w:rsid w:val="72B6D088"/>
    <w:rsid w:val="731A514E"/>
    <w:rsid w:val="73ABA245"/>
    <w:rsid w:val="7413D658"/>
    <w:rsid w:val="743C5AD7"/>
    <w:rsid w:val="7445C518"/>
    <w:rsid w:val="74B3E851"/>
    <w:rsid w:val="75B99BD8"/>
    <w:rsid w:val="761044F5"/>
    <w:rsid w:val="761B0CEF"/>
    <w:rsid w:val="76287AD1"/>
    <w:rsid w:val="762D7D8A"/>
    <w:rsid w:val="769EC22D"/>
    <w:rsid w:val="76AEC020"/>
    <w:rsid w:val="7751C2CF"/>
    <w:rsid w:val="777C0DE6"/>
    <w:rsid w:val="786A1B8E"/>
    <w:rsid w:val="795B45EE"/>
    <w:rsid w:val="79EE9DE5"/>
    <w:rsid w:val="79F0DE77"/>
    <w:rsid w:val="7BABBD47"/>
    <w:rsid w:val="7BEDE1DB"/>
    <w:rsid w:val="7C76DB2B"/>
    <w:rsid w:val="7C89A8F5"/>
    <w:rsid w:val="7CBF6A36"/>
    <w:rsid w:val="7CFEA517"/>
    <w:rsid w:val="7D7C5774"/>
    <w:rsid w:val="7D8DCEE4"/>
    <w:rsid w:val="7EED4622"/>
    <w:rsid w:val="7F4FA1F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FB7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2A52"/>
    <w:rPr>
      <w:rFonts w:ascii="Arial Bold" w:eastAsia="MS Gothic" w:hAnsi="Arial Bold"/>
      <w:bCs/>
      <w:sz w:val="28"/>
      <w:szCs w:val="32"/>
      <w:lang w:val="en-US" w:eastAsia="en-US"/>
    </w:rPr>
  </w:style>
  <w:style w:type="character" w:customStyle="1" w:styleId="Heading2Char">
    <w:name w:val="Heading 2 Char"/>
    <w:link w:val="Heading2"/>
    <w:rsid w:val="00802A52"/>
    <w:rPr>
      <w:rFonts w:ascii="Arial Bold" w:eastAsia="MS Gothic" w:hAnsi="Arial Bold"/>
      <w:bCs/>
      <w:sz w:val="24"/>
      <w:szCs w:val="26"/>
      <w:lang w:val="en-US" w:eastAsia="en-US"/>
    </w:rPr>
  </w:style>
  <w:style w:type="character" w:customStyle="1" w:styleId="Heading3Char">
    <w:name w:val="Heading 3 Char"/>
    <w:link w:val="Heading3"/>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qFormat/>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paragraph" w:styleId="NormalWeb">
    <w:name w:val="Normal (Web)"/>
    <w:basedOn w:val="Normal"/>
    <w:uiPriority w:val="99"/>
    <w:semiHidden/>
    <w:unhideWhenUsed/>
    <w:rsid w:val="00B334DD"/>
    <w:pPr>
      <w:spacing w:before="100" w:beforeAutospacing="1" w:after="100" w:afterAutospacing="1" w:line="240" w:lineRule="auto"/>
    </w:pPr>
    <w:rPr>
      <w:rFonts w:ascii="Times New Roman" w:eastAsia="Times New Roman" w:hAnsi="Times New Roman"/>
      <w:sz w:val="24"/>
      <w:lang w:eastAsia="en-AU"/>
    </w:rPr>
  </w:style>
  <w:style w:type="character" w:customStyle="1" w:styleId="normaltextrun">
    <w:name w:val="normaltextrun"/>
    <w:basedOn w:val="DefaultParagraphFont"/>
    <w:rsid w:val="00C72568"/>
  </w:style>
  <w:style w:type="character" w:customStyle="1" w:styleId="eop">
    <w:name w:val="eop"/>
    <w:basedOn w:val="DefaultParagraphFont"/>
    <w:rsid w:val="00C72568"/>
  </w:style>
  <w:style w:type="character" w:styleId="UnresolvedMention">
    <w:name w:val="Unresolved Mention"/>
    <w:basedOn w:val="DefaultParagraphFont"/>
    <w:uiPriority w:val="99"/>
    <w:semiHidden/>
    <w:unhideWhenUsed/>
    <w:rsid w:val="007A2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2334">
      <w:bodyDiv w:val="1"/>
      <w:marLeft w:val="0"/>
      <w:marRight w:val="0"/>
      <w:marTop w:val="0"/>
      <w:marBottom w:val="0"/>
      <w:divBdr>
        <w:top w:val="none" w:sz="0" w:space="0" w:color="auto"/>
        <w:left w:val="none" w:sz="0" w:space="0" w:color="auto"/>
        <w:bottom w:val="none" w:sz="0" w:space="0" w:color="auto"/>
        <w:right w:val="none" w:sz="0" w:space="0" w:color="auto"/>
      </w:divBdr>
    </w:div>
    <w:div w:id="371465322">
      <w:bodyDiv w:val="1"/>
      <w:marLeft w:val="0"/>
      <w:marRight w:val="0"/>
      <w:marTop w:val="0"/>
      <w:marBottom w:val="0"/>
      <w:divBdr>
        <w:top w:val="none" w:sz="0" w:space="0" w:color="auto"/>
        <w:left w:val="none" w:sz="0" w:space="0" w:color="auto"/>
        <w:bottom w:val="none" w:sz="0" w:space="0" w:color="auto"/>
        <w:right w:val="none" w:sz="0" w:space="0" w:color="auto"/>
      </w:divBdr>
    </w:div>
    <w:div w:id="821778563">
      <w:bodyDiv w:val="1"/>
      <w:marLeft w:val="0"/>
      <w:marRight w:val="0"/>
      <w:marTop w:val="0"/>
      <w:marBottom w:val="0"/>
      <w:divBdr>
        <w:top w:val="none" w:sz="0" w:space="0" w:color="auto"/>
        <w:left w:val="none" w:sz="0" w:space="0" w:color="auto"/>
        <w:bottom w:val="none" w:sz="0" w:space="0" w:color="auto"/>
        <w:right w:val="none" w:sz="0" w:space="0" w:color="auto"/>
      </w:divBdr>
    </w:div>
    <w:div w:id="1035153221">
      <w:bodyDiv w:val="1"/>
      <w:marLeft w:val="0"/>
      <w:marRight w:val="0"/>
      <w:marTop w:val="0"/>
      <w:marBottom w:val="0"/>
      <w:divBdr>
        <w:top w:val="none" w:sz="0" w:space="0" w:color="auto"/>
        <w:left w:val="none" w:sz="0" w:space="0" w:color="auto"/>
        <w:bottom w:val="none" w:sz="0" w:space="0" w:color="auto"/>
        <w:right w:val="none" w:sz="0" w:space="0" w:color="auto"/>
      </w:divBdr>
    </w:div>
    <w:div w:id="1038971055">
      <w:bodyDiv w:val="1"/>
      <w:marLeft w:val="0"/>
      <w:marRight w:val="0"/>
      <w:marTop w:val="0"/>
      <w:marBottom w:val="0"/>
      <w:divBdr>
        <w:top w:val="none" w:sz="0" w:space="0" w:color="auto"/>
        <w:left w:val="none" w:sz="0" w:space="0" w:color="auto"/>
        <w:bottom w:val="none" w:sz="0" w:space="0" w:color="auto"/>
        <w:right w:val="none" w:sz="0" w:space="0" w:color="auto"/>
      </w:divBdr>
    </w:div>
    <w:div w:id="1391271058">
      <w:bodyDiv w:val="1"/>
      <w:marLeft w:val="0"/>
      <w:marRight w:val="0"/>
      <w:marTop w:val="0"/>
      <w:marBottom w:val="0"/>
      <w:divBdr>
        <w:top w:val="none" w:sz="0" w:space="0" w:color="auto"/>
        <w:left w:val="none" w:sz="0" w:space="0" w:color="auto"/>
        <w:bottom w:val="none" w:sz="0" w:space="0" w:color="auto"/>
        <w:right w:val="none" w:sz="0" w:space="0" w:color="auto"/>
      </w:divBdr>
    </w:div>
    <w:div w:id="1704818558">
      <w:bodyDiv w:val="1"/>
      <w:marLeft w:val="0"/>
      <w:marRight w:val="0"/>
      <w:marTop w:val="0"/>
      <w:marBottom w:val="0"/>
      <w:divBdr>
        <w:top w:val="none" w:sz="0" w:space="0" w:color="auto"/>
        <w:left w:val="none" w:sz="0" w:space="0" w:color="auto"/>
        <w:bottom w:val="none" w:sz="0" w:space="0" w:color="auto"/>
        <w:right w:val="none" w:sz="0" w:space="0" w:color="auto"/>
      </w:divBdr>
    </w:div>
    <w:div w:id="1717200012">
      <w:bodyDiv w:val="1"/>
      <w:marLeft w:val="0"/>
      <w:marRight w:val="0"/>
      <w:marTop w:val="0"/>
      <w:marBottom w:val="0"/>
      <w:divBdr>
        <w:top w:val="none" w:sz="0" w:space="0" w:color="auto"/>
        <w:left w:val="none" w:sz="0" w:space="0" w:color="auto"/>
        <w:bottom w:val="none" w:sz="0" w:space="0" w:color="auto"/>
        <w:right w:val="none" w:sz="0" w:space="0" w:color="auto"/>
      </w:divBdr>
    </w:div>
    <w:div w:id="1723869162">
      <w:bodyDiv w:val="1"/>
      <w:marLeft w:val="0"/>
      <w:marRight w:val="0"/>
      <w:marTop w:val="0"/>
      <w:marBottom w:val="0"/>
      <w:divBdr>
        <w:top w:val="none" w:sz="0" w:space="0" w:color="auto"/>
        <w:left w:val="none" w:sz="0" w:space="0" w:color="auto"/>
        <w:bottom w:val="none" w:sz="0" w:space="0" w:color="auto"/>
        <w:right w:val="none" w:sz="0" w:space="0" w:color="auto"/>
      </w:divBdr>
    </w:div>
    <w:div w:id="1806728723">
      <w:bodyDiv w:val="1"/>
      <w:marLeft w:val="0"/>
      <w:marRight w:val="0"/>
      <w:marTop w:val="0"/>
      <w:marBottom w:val="0"/>
      <w:divBdr>
        <w:top w:val="none" w:sz="0" w:space="0" w:color="auto"/>
        <w:left w:val="none" w:sz="0" w:space="0" w:color="auto"/>
        <w:bottom w:val="none" w:sz="0" w:space="0" w:color="auto"/>
        <w:right w:val="none" w:sz="0" w:space="0" w:color="auto"/>
      </w:divBdr>
    </w:div>
    <w:div w:id="2026469256">
      <w:bodyDiv w:val="1"/>
      <w:marLeft w:val="0"/>
      <w:marRight w:val="0"/>
      <w:marTop w:val="0"/>
      <w:marBottom w:val="0"/>
      <w:divBdr>
        <w:top w:val="none" w:sz="0" w:space="0" w:color="auto"/>
        <w:left w:val="none" w:sz="0" w:space="0" w:color="auto"/>
        <w:bottom w:val="none" w:sz="0" w:space="0" w:color="auto"/>
        <w:right w:val="none" w:sz="0" w:space="0" w:color="auto"/>
      </w:divBdr>
    </w:div>
    <w:div w:id="2037195683">
      <w:bodyDiv w:val="1"/>
      <w:marLeft w:val="0"/>
      <w:marRight w:val="0"/>
      <w:marTop w:val="0"/>
      <w:marBottom w:val="0"/>
      <w:divBdr>
        <w:top w:val="none" w:sz="0" w:space="0" w:color="auto"/>
        <w:left w:val="none" w:sz="0" w:space="0" w:color="auto"/>
        <w:bottom w:val="none" w:sz="0" w:space="0" w:color="auto"/>
        <w:right w:val="none" w:sz="0" w:space="0" w:color="auto"/>
      </w:divBdr>
    </w:div>
    <w:div w:id="21069211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tail.org.au/twilight-trad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qvm.com.au/renewal-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2049</Words>
  <Characters>11682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2024-09-04T05:24:00Z</dcterms:created>
  <dcterms:modified xsi:type="dcterms:W3CDTF">2024-09-04T05:24:00Z</dcterms:modified>
  <cp:contentStatus/>
</cp:coreProperties>
</file>