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0623" w14:textId="77777777" w:rsidR="00737A99" w:rsidRPr="005814F5" w:rsidRDefault="0091365A" w:rsidP="00020B35">
      <w:pPr>
        <w:spacing w:after="0"/>
        <w:jc w:val="right"/>
      </w:pPr>
      <w:r>
        <w:rPr>
          <w:noProof/>
          <w:lang w:eastAsia="en-AU"/>
        </w:rPr>
        <w:drawing>
          <wp:inline distT="0" distB="0" distL="0" distR="0" wp14:anchorId="0CDD7AE5" wp14:editId="27C052C6">
            <wp:extent cx="986790" cy="958215"/>
            <wp:effectExtent l="0" t="0" r="3810" b="0"/>
            <wp:docPr id="2" name="Picture 1" descr="City of Melbou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Melbour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D1D6C" w14:textId="50CAFD57" w:rsidR="003A2BCD" w:rsidRDefault="002F7BD8" w:rsidP="002F7BD8">
      <w:pPr>
        <w:pStyle w:val="DocumentTitle"/>
      </w:pPr>
      <w:r w:rsidRPr="003A2BCD">
        <w:rPr>
          <w:rFonts w:hint="eastAsia"/>
        </w:rPr>
        <w:t xml:space="preserve">How to create a smoke-free area </w:t>
      </w:r>
    </w:p>
    <w:p w14:paraId="31BE6E42" w14:textId="5CDF2660" w:rsidR="00D067DB" w:rsidRDefault="006F77D4" w:rsidP="002F7BD8">
      <w:r w:rsidRPr="006F77D4">
        <w:t xml:space="preserve">A City of Melbourne and Quit Victoria collaboration to </w:t>
      </w:r>
      <w:r w:rsidR="00CA6B2A">
        <w:t>support</w:t>
      </w:r>
      <w:r w:rsidRPr="006F77D4">
        <w:t xml:space="preserve"> other local government areas to implement smoke-free areas</w:t>
      </w:r>
      <w:r>
        <w:t>.</w:t>
      </w:r>
      <w:bookmarkStart w:id="0" w:name="_Toc403992345"/>
      <w:bookmarkStart w:id="1" w:name="_Toc403992580"/>
    </w:p>
    <w:p w14:paraId="7198B264" w14:textId="78037DF9" w:rsidR="003356AB" w:rsidRPr="003356AB" w:rsidRDefault="00B152AF" w:rsidP="002F7BD8">
      <w:r>
        <w:rPr>
          <w:rFonts w:hint="eastAsia"/>
        </w:rPr>
        <w:br w:type="page"/>
      </w:r>
      <w:bookmarkStart w:id="2" w:name="_Hlk177475590"/>
      <w:bookmarkEnd w:id="0"/>
      <w:bookmarkEnd w:id="1"/>
      <w:r w:rsidR="003356AB" w:rsidRPr="003356AB">
        <w:lastRenderedPageBreak/>
        <w:t xml:space="preserve">City of Melbourne </w:t>
      </w:r>
      <w:r w:rsidR="004666BC">
        <w:t>has</w:t>
      </w:r>
      <w:r w:rsidR="003356AB" w:rsidRPr="003356AB">
        <w:t xml:space="preserve"> been successfully implementing smoke-free areas since 2013. Following the pilot of a small CBD laneway which received strong community support, there are now</w:t>
      </w:r>
      <w:r w:rsidR="00AD0E44">
        <w:t xml:space="preserve">14 </w:t>
      </w:r>
      <w:r w:rsidR="003356AB" w:rsidRPr="003356AB">
        <w:t xml:space="preserve">smoke-free areas across the municipality. City of Melbourne </w:t>
      </w:r>
      <w:r w:rsidR="00B522FF">
        <w:t>has</w:t>
      </w:r>
      <w:r w:rsidR="003356AB" w:rsidRPr="003356AB">
        <w:t xml:space="preserve"> developed a comprehensive </w:t>
      </w:r>
      <w:hyperlink r:id="rId8" w:history="1">
        <w:r w:rsidR="003356AB" w:rsidRPr="003356AB">
          <w:rPr>
            <w:color w:val="0000FF" w:themeColor="hyperlink"/>
            <w:u w:val="single"/>
          </w:rPr>
          <w:t>Smoke-free Melbourne Policy</w:t>
        </w:r>
      </w:hyperlink>
      <w:r w:rsidR="002F7BD8">
        <w:rPr>
          <w:rStyle w:val="FootnoteReference"/>
          <w:color w:val="0000FF" w:themeColor="hyperlink"/>
          <w:u w:val="single"/>
        </w:rPr>
        <w:footnoteReference w:id="1"/>
      </w:r>
      <w:r w:rsidR="003356AB" w:rsidRPr="003356AB">
        <w:t xml:space="preserve"> to further protect the community from the harms of smoking and vaping. </w:t>
      </w:r>
    </w:p>
    <w:p w14:paraId="60A2D13E" w14:textId="77777777" w:rsidR="0069723F" w:rsidRDefault="0069723F" w:rsidP="002F7BD8">
      <w:pPr>
        <w:rPr>
          <w:rFonts w:eastAsia="Times New Roman" w:cs="Arial"/>
        </w:rPr>
      </w:pPr>
      <w:r>
        <w:rPr>
          <w:rFonts w:eastAsia="Times New Roman" w:cs="Arial"/>
        </w:rPr>
        <w:t>Under City of Melbourne’s local law, the</w:t>
      </w:r>
      <w:r w:rsidRPr="004C66C1">
        <w:rPr>
          <w:rFonts w:eastAsia="Times New Roman" w:cs="Arial"/>
        </w:rPr>
        <w:t xml:space="preserve"> definition of ‘smoking’ include</w:t>
      </w:r>
      <w:r>
        <w:rPr>
          <w:rFonts w:eastAsia="Times New Roman" w:cs="Arial"/>
        </w:rPr>
        <w:t>s</w:t>
      </w:r>
      <w:r w:rsidRPr="004C66C1">
        <w:rPr>
          <w:rFonts w:eastAsia="Times New Roman" w:cs="Arial"/>
        </w:rPr>
        <w:t xml:space="preserve"> e-cigarettes (or vaping)</w:t>
      </w:r>
      <w:r>
        <w:rPr>
          <w:rFonts w:eastAsia="Times New Roman" w:cs="Arial"/>
        </w:rPr>
        <w:t xml:space="preserve">, therefore both smoking and vaping are banned in City of Melbourne smoke-free areas. </w:t>
      </w:r>
    </w:p>
    <w:p w14:paraId="0A008D0F" w14:textId="4E4498A8" w:rsidR="003356AB" w:rsidRPr="00F923D5" w:rsidRDefault="003356AB" w:rsidP="00F923D5">
      <w:pPr>
        <w:rPr>
          <w:rFonts w:eastAsiaTheme="minorHAnsi" w:cs="Arial"/>
          <w:szCs w:val="16"/>
        </w:rPr>
      </w:pPr>
      <w:r w:rsidRPr="003356AB">
        <w:rPr>
          <w:rFonts w:eastAsiaTheme="minorHAnsi" w:cs="Arial"/>
          <w:szCs w:val="16"/>
        </w:rPr>
        <w:t>This document has been developed to provide a step</w:t>
      </w:r>
      <w:r w:rsidR="00B522FF">
        <w:rPr>
          <w:rFonts w:eastAsiaTheme="minorHAnsi" w:cs="Arial"/>
          <w:szCs w:val="16"/>
        </w:rPr>
        <w:t>-</w:t>
      </w:r>
      <w:r w:rsidRPr="003356AB">
        <w:rPr>
          <w:rFonts w:eastAsiaTheme="minorHAnsi" w:cs="Arial"/>
          <w:szCs w:val="16"/>
        </w:rPr>
        <w:t>by</w:t>
      </w:r>
      <w:r w:rsidR="00B522FF">
        <w:rPr>
          <w:rFonts w:eastAsiaTheme="minorHAnsi" w:cs="Arial"/>
          <w:szCs w:val="16"/>
        </w:rPr>
        <w:t>-</w:t>
      </w:r>
      <w:r w:rsidRPr="003356AB">
        <w:rPr>
          <w:rFonts w:eastAsiaTheme="minorHAnsi" w:cs="Arial"/>
          <w:szCs w:val="16"/>
        </w:rPr>
        <w:t>step guide for local governments who may also be looking to create smoke</w:t>
      </w:r>
      <w:r w:rsidR="00DE7003">
        <w:rPr>
          <w:rFonts w:eastAsiaTheme="minorHAnsi" w:cs="Arial"/>
          <w:szCs w:val="16"/>
        </w:rPr>
        <w:t>-</w:t>
      </w:r>
      <w:r w:rsidRPr="003356AB">
        <w:rPr>
          <w:rFonts w:eastAsiaTheme="minorHAnsi" w:cs="Arial"/>
          <w:szCs w:val="16"/>
        </w:rPr>
        <w:t>free areas.</w:t>
      </w:r>
      <w:r w:rsidR="00AD0E44">
        <w:rPr>
          <w:rFonts w:eastAsiaTheme="minorHAnsi" w:cs="Arial"/>
          <w:szCs w:val="16"/>
        </w:rPr>
        <w:t xml:space="preserve"> </w:t>
      </w:r>
      <w:r w:rsidR="00B522FF">
        <w:rPr>
          <w:rFonts w:eastAsiaTheme="minorHAnsi" w:cs="Arial"/>
          <w:szCs w:val="16"/>
        </w:rPr>
        <w:t>W</w:t>
      </w:r>
      <w:r w:rsidRPr="003356AB">
        <w:rPr>
          <w:rFonts w:eastAsiaTheme="minorHAnsi" w:cs="Arial"/>
          <w:szCs w:val="16"/>
        </w:rPr>
        <w:t>e acknowledge that other local governments may have different</w:t>
      </w:r>
      <w:r w:rsidR="00FF770A">
        <w:rPr>
          <w:rFonts w:eastAsiaTheme="minorHAnsi" w:cs="Arial"/>
          <w:szCs w:val="16"/>
        </w:rPr>
        <w:t xml:space="preserve"> legislation,</w:t>
      </w:r>
      <w:r w:rsidRPr="003356AB">
        <w:rPr>
          <w:rFonts w:eastAsiaTheme="minorHAnsi" w:cs="Arial"/>
          <w:szCs w:val="16"/>
        </w:rPr>
        <w:t xml:space="preserve"> internal procedures and/or structures,</w:t>
      </w:r>
      <w:r w:rsidR="00B522FF">
        <w:rPr>
          <w:rFonts w:eastAsiaTheme="minorHAnsi" w:cs="Arial"/>
          <w:szCs w:val="16"/>
        </w:rPr>
        <w:t xml:space="preserve"> in which case</w:t>
      </w:r>
      <w:r w:rsidRPr="003356AB">
        <w:rPr>
          <w:rFonts w:eastAsiaTheme="minorHAnsi" w:cs="Arial"/>
          <w:szCs w:val="16"/>
        </w:rPr>
        <w:t xml:space="preserve"> the following </w:t>
      </w:r>
      <w:r w:rsidR="00855388">
        <w:rPr>
          <w:rFonts w:eastAsiaTheme="minorHAnsi" w:cs="Arial"/>
          <w:szCs w:val="16"/>
        </w:rPr>
        <w:t>steps</w:t>
      </w:r>
      <w:r w:rsidR="00855388" w:rsidRPr="003356AB">
        <w:rPr>
          <w:rFonts w:eastAsiaTheme="minorHAnsi" w:cs="Arial"/>
          <w:szCs w:val="16"/>
        </w:rPr>
        <w:t xml:space="preserve"> </w:t>
      </w:r>
      <w:r w:rsidRPr="003356AB">
        <w:rPr>
          <w:rFonts w:eastAsiaTheme="minorHAnsi" w:cs="Arial"/>
          <w:szCs w:val="16"/>
        </w:rPr>
        <w:t>can be used as a</w:t>
      </w:r>
      <w:r w:rsidR="00B522FF">
        <w:rPr>
          <w:rFonts w:eastAsiaTheme="minorHAnsi" w:cs="Arial"/>
          <w:szCs w:val="16"/>
        </w:rPr>
        <w:t xml:space="preserve"> general</w:t>
      </w:r>
      <w:r w:rsidRPr="003356AB">
        <w:rPr>
          <w:rFonts w:eastAsiaTheme="minorHAnsi" w:cs="Arial"/>
          <w:szCs w:val="16"/>
        </w:rPr>
        <w:t xml:space="preserve"> guide</w:t>
      </w:r>
      <w:r w:rsidR="00B522FF">
        <w:rPr>
          <w:rFonts w:eastAsiaTheme="minorHAnsi" w:cs="Arial"/>
          <w:szCs w:val="16"/>
        </w:rPr>
        <w:t xml:space="preserve"> to support</w:t>
      </w:r>
      <w:r w:rsidR="00855388">
        <w:rPr>
          <w:rFonts w:eastAsiaTheme="minorHAnsi" w:cs="Arial"/>
          <w:szCs w:val="16"/>
        </w:rPr>
        <w:t xml:space="preserve"> the process.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493"/>
      </w:tblGrid>
      <w:tr w:rsidR="003356AB" w:rsidRPr="003356AB" w14:paraId="1D3FF2B4" w14:textId="77777777" w:rsidTr="003A494B">
        <w:tc>
          <w:tcPr>
            <w:tcW w:w="9493" w:type="dxa"/>
          </w:tcPr>
          <w:bookmarkEnd w:id="2"/>
          <w:p w14:paraId="52302D1F" w14:textId="2E47E473" w:rsidR="003356AB" w:rsidRPr="002F7BD8" w:rsidRDefault="003A494B" w:rsidP="002F7BD8">
            <w:pPr>
              <w:pStyle w:val="TableofFigures"/>
              <w:rPr>
                <w:b/>
                <w:color w:val="009FAC"/>
                <w:szCs w:val="22"/>
              </w:rPr>
            </w:pPr>
            <w:r w:rsidRPr="002F7BD8">
              <w:rPr>
                <w:b/>
              </w:rPr>
              <w:t xml:space="preserve">Prepare and </w:t>
            </w:r>
            <w:r w:rsidR="008E6768">
              <w:rPr>
                <w:b/>
              </w:rPr>
              <w:t>p</w:t>
            </w:r>
            <w:r w:rsidRPr="002F7BD8">
              <w:rPr>
                <w:b/>
              </w:rPr>
              <w:t xml:space="preserve">lan for </w:t>
            </w:r>
            <w:r w:rsidR="008E6768">
              <w:rPr>
                <w:b/>
              </w:rPr>
              <w:t>c</w:t>
            </w:r>
            <w:r w:rsidRPr="002F7BD8">
              <w:rPr>
                <w:b/>
              </w:rPr>
              <w:t xml:space="preserve">ommunity </w:t>
            </w:r>
            <w:r w:rsidR="008E6768">
              <w:rPr>
                <w:b/>
              </w:rPr>
              <w:t>e</w:t>
            </w:r>
            <w:r w:rsidRPr="002F7BD8">
              <w:rPr>
                <w:b/>
              </w:rPr>
              <w:t>ngagement</w:t>
            </w:r>
          </w:p>
        </w:tc>
      </w:tr>
      <w:tr w:rsidR="003356AB" w:rsidRPr="003356AB" w14:paraId="188B427A" w14:textId="77777777" w:rsidTr="007619A0">
        <w:trPr>
          <w:trHeight w:val="1570"/>
        </w:trPr>
        <w:tc>
          <w:tcPr>
            <w:tcW w:w="9493" w:type="dxa"/>
          </w:tcPr>
          <w:p w14:paraId="394EA135" w14:textId="72CED480" w:rsidR="003356AB" w:rsidRP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>Select an area to propose as smoke-free and seek approval from relevant senior management and/or councillors. This could be an area that has high pedestrian activity or high levels of smoking activity</w:t>
            </w:r>
            <w:r w:rsidR="00B24F53">
              <w:rPr>
                <w:rFonts w:cs="Arial"/>
                <w:sz w:val="20"/>
                <w:szCs w:val="20"/>
              </w:rPr>
              <w:t xml:space="preserve">. High smoking activity may be evident through increased </w:t>
            </w:r>
            <w:r w:rsidRPr="003356AB">
              <w:rPr>
                <w:rFonts w:cs="Arial"/>
                <w:sz w:val="20"/>
                <w:szCs w:val="20"/>
              </w:rPr>
              <w:t>cigarette butt</w:t>
            </w:r>
            <w:r w:rsidR="00B24F53">
              <w:rPr>
                <w:rFonts w:cs="Arial"/>
                <w:sz w:val="20"/>
                <w:szCs w:val="20"/>
              </w:rPr>
              <w:t xml:space="preserve"> litter</w:t>
            </w:r>
            <w:r w:rsidRPr="003356AB">
              <w:rPr>
                <w:rFonts w:cs="Arial"/>
                <w:sz w:val="20"/>
                <w:szCs w:val="20"/>
              </w:rPr>
              <w:t>,</w:t>
            </w:r>
            <w:r w:rsidR="00791378">
              <w:rPr>
                <w:rFonts w:cs="Arial"/>
                <w:sz w:val="20"/>
                <w:szCs w:val="20"/>
              </w:rPr>
              <w:t xml:space="preserve"> or</w:t>
            </w:r>
            <w:r w:rsidRPr="003356AB">
              <w:rPr>
                <w:rFonts w:cs="Arial"/>
                <w:sz w:val="20"/>
                <w:szCs w:val="20"/>
              </w:rPr>
              <w:t xml:space="preserve"> </w:t>
            </w:r>
            <w:r w:rsidR="00791378">
              <w:rPr>
                <w:rFonts w:cs="Arial"/>
                <w:sz w:val="20"/>
                <w:szCs w:val="20"/>
              </w:rPr>
              <w:t>community</w:t>
            </w:r>
            <w:r w:rsidR="00791378" w:rsidRPr="003356AB">
              <w:rPr>
                <w:rFonts w:cs="Arial"/>
                <w:sz w:val="20"/>
                <w:szCs w:val="20"/>
              </w:rPr>
              <w:t xml:space="preserve"> </w:t>
            </w:r>
            <w:r w:rsidRPr="003356AB">
              <w:rPr>
                <w:rFonts w:cs="Arial"/>
                <w:sz w:val="20"/>
                <w:szCs w:val="20"/>
              </w:rPr>
              <w:t>complaints</w:t>
            </w:r>
            <w:r w:rsidR="00791378">
              <w:rPr>
                <w:rFonts w:cs="Arial"/>
                <w:sz w:val="20"/>
                <w:szCs w:val="20"/>
              </w:rPr>
              <w:t xml:space="preserve"> in a particular area.</w:t>
            </w:r>
            <w:r w:rsidRPr="003356AB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3356AB" w:rsidRPr="003356AB" w14:paraId="41644701" w14:textId="77777777" w:rsidTr="003A494B">
        <w:trPr>
          <w:trHeight w:val="3297"/>
        </w:trPr>
        <w:tc>
          <w:tcPr>
            <w:tcW w:w="9493" w:type="dxa"/>
          </w:tcPr>
          <w:p w14:paraId="3181FC17" w14:textId="77777777" w:rsidR="003356AB" w:rsidRP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 xml:space="preserve">Meet with key branches and teams across council to discuss the upcoming proposal. Key internal and external stakeholders to consider are listed towards the end of this document. </w:t>
            </w:r>
          </w:p>
          <w:p w14:paraId="62B0D9EB" w14:textId="3996284F" w:rsid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>Select the approach to be taken and dates for community engagement to take place.</w:t>
            </w:r>
          </w:p>
          <w:p w14:paraId="7622A95F" w14:textId="50952A73" w:rsidR="006443DB" w:rsidRPr="006443DB" w:rsidRDefault="006443DB" w:rsidP="006443D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Develop a community engagement plan, identifying key stakeholders, activities, and engagement questions.</w:t>
            </w:r>
          </w:p>
          <w:p w14:paraId="11ECB99F" w14:textId="03BB3002" w:rsidR="003356AB" w:rsidRP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 xml:space="preserve">Consider groups within in the community that are harder to reach and implement processes to encourage their engagement. E.g. </w:t>
            </w:r>
            <w:r w:rsidR="008E6768">
              <w:rPr>
                <w:rFonts w:cs="Arial"/>
                <w:sz w:val="20"/>
                <w:szCs w:val="20"/>
              </w:rPr>
              <w:t>o</w:t>
            </w:r>
            <w:r w:rsidRPr="003356AB">
              <w:rPr>
                <w:rFonts w:cs="Arial"/>
                <w:sz w:val="20"/>
                <w:szCs w:val="20"/>
              </w:rPr>
              <w:t>lder adults, culturally and linguistically diverse groups.</w:t>
            </w:r>
          </w:p>
          <w:p w14:paraId="4199B93E" w14:textId="4D7D8462" w:rsidR="003356AB" w:rsidRP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 xml:space="preserve">If budget is available, a consultant can be engaged to support the community engagement activities. At City of Melbourne, community engagement of the smaller smoke-free areas </w:t>
            </w:r>
            <w:r w:rsidR="00AD0E44">
              <w:rPr>
                <w:rFonts w:cs="Arial"/>
                <w:sz w:val="20"/>
                <w:szCs w:val="20"/>
              </w:rPr>
              <w:t>is</w:t>
            </w:r>
            <w:r w:rsidR="00AD0E44" w:rsidRPr="003356AB">
              <w:rPr>
                <w:rFonts w:cs="Arial"/>
                <w:sz w:val="20"/>
                <w:szCs w:val="20"/>
              </w:rPr>
              <w:t xml:space="preserve"> </w:t>
            </w:r>
            <w:r w:rsidRPr="003356AB">
              <w:rPr>
                <w:rFonts w:cs="Arial"/>
                <w:sz w:val="20"/>
                <w:szCs w:val="20"/>
              </w:rPr>
              <w:t xml:space="preserve">managed internally, whereas a consultant </w:t>
            </w:r>
            <w:r w:rsidR="00AD0E44">
              <w:rPr>
                <w:rFonts w:cs="Arial"/>
                <w:sz w:val="20"/>
                <w:szCs w:val="20"/>
              </w:rPr>
              <w:t xml:space="preserve">has been </w:t>
            </w:r>
            <w:r w:rsidRPr="003356AB">
              <w:rPr>
                <w:rFonts w:cs="Arial"/>
                <w:sz w:val="20"/>
                <w:szCs w:val="20"/>
              </w:rPr>
              <w:t xml:space="preserve">utilised in some of the larger smoke-free areas. </w:t>
            </w:r>
          </w:p>
        </w:tc>
      </w:tr>
      <w:tr w:rsidR="003356AB" w:rsidRPr="003356AB" w14:paraId="293AF407" w14:textId="77777777" w:rsidTr="003A494B">
        <w:trPr>
          <w:trHeight w:val="548"/>
        </w:trPr>
        <w:tc>
          <w:tcPr>
            <w:tcW w:w="9493" w:type="dxa"/>
          </w:tcPr>
          <w:p w14:paraId="3F04D624" w14:textId="77777777" w:rsidR="003356AB" w:rsidRP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 xml:space="preserve">Contact your council’s Geographic Information System (GIS) team to request a map of the smoke-free area. </w:t>
            </w:r>
          </w:p>
          <w:p w14:paraId="379808AF" w14:textId="634C792B" w:rsid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>Contact your council’s Communications team to request the development of a communications plan, including a list of key messages for the smoke-free area.</w:t>
            </w:r>
          </w:p>
          <w:p w14:paraId="5E91E0BD" w14:textId="134DE19B" w:rsidR="003356AB" w:rsidRP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>Develop</w:t>
            </w:r>
            <w:r w:rsidR="003D2D81">
              <w:rPr>
                <w:rFonts w:cs="Arial"/>
                <w:sz w:val="20"/>
                <w:szCs w:val="20"/>
              </w:rPr>
              <w:t xml:space="preserve"> campaign collateral including</w:t>
            </w:r>
            <w:r w:rsidRPr="003356AB">
              <w:rPr>
                <w:rFonts w:cs="Arial"/>
                <w:sz w:val="20"/>
                <w:szCs w:val="20"/>
              </w:rPr>
              <w:t xml:space="preserve"> flyers, </w:t>
            </w:r>
            <w:proofErr w:type="gramStart"/>
            <w:r w:rsidRPr="003356AB">
              <w:rPr>
                <w:rFonts w:cs="Arial"/>
                <w:sz w:val="20"/>
                <w:szCs w:val="20"/>
              </w:rPr>
              <w:t>posters</w:t>
            </w:r>
            <w:proofErr w:type="gramEnd"/>
            <w:r w:rsidRPr="003356AB">
              <w:rPr>
                <w:rFonts w:cs="Arial"/>
                <w:sz w:val="20"/>
                <w:szCs w:val="20"/>
              </w:rPr>
              <w:t xml:space="preserve"> and handouts to support community engagement activities.</w:t>
            </w:r>
          </w:p>
          <w:p w14:paraId="1D679139" w14:textId="23C1E7D4" w:rsidR="003356AB" w:rsidRP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 xml:space="preserve">If </w:t>
            </w:r>
            <w:r w:rsidR="00F923D5" w:rsidRPr="003356AB">
              <w:rPr>
                <w:rFonts w:cs="Arial"/>
                <w:sz w:val="20"/>
                <w:szCs w:val="20"/>
              </w:rPr>
              <w:t>using</w:t>
            </w:r>
            <w:r w:rsidRPr="003356AB">
              <w:rPr>
                <w:rFonts w:cs="Arial"/>
                <w:sz w:val="20"/>
                <w:szCs w:val="20"/>
              </w:rPr>
              <w:t xml:space="preserve"> a council online engagement platform, prepare the community engagement page</w:t>
            </w:r>
            <w:r w:rsidR="00791378">
              <w:rPr>
                <w:rFonts w:cs="Arial"/>
                <w:sz w:val="20"/>
                <w:szCs w:val="20"/>
              </w:rPr>
              <w:t>.</w:t>
            </w:r>
          </w:p>
        </w:tc>
      </w:tr>
      <w:tr w:rsidR="003356AB" w:rsidRPr="003356AB" w14:paraId="6C3EB6DF" w14:textId="77777777" w:rsidTr="003A494B">
        <w:tc>
          <w:tcPr>
            <w:tcW w:w="9493" w:type="dxa"/>
          </w:tcPr>
          <w:p w14:paraId="55B06C7C" w14:textId="77777777" w:rsidR="003356AB" w:rsidRPr="002F7BD8" w:rsidRDefault="002F7BD8" w:rsidP="002F7BD8">
            <w:pPr>
              <w:rPr>
                <w:b/>
                <w:color w:val="009FAC"/>
                <w:sz w:val="20"/>
                <w:szCs w:val="20"/>
              </w:rPr>
            </w:pPr>
            <w:r w:rsidRPr="002F7BD8">
              <w:rPr>
                <w:b/>
                <w:lang w:val="en-US"/>
              </w:rPr>
              <w:t>Undertake community engagement</w:t>
            </w:r>
          </w:p>
        </w:tc>
      </w:tr>
      <w:tr w:rsidR="003356AB" w:rsidRPr="003356AB" w14:paraId="2B82A385" w14:textId="77777777" w:rsidTr="003A494B">
        <w:tc>
          <w:tcPr>
            <w:tcW w:w="9493" w:type="dxa"/>
          </w:tcPr>
          <w:p w14:paraId="3CFA8372" w14:textId="0629FE52" w:rsidR="003356AB" w:rsidRP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 xml:space="preserve">Undertake community engagement </w:t>
            </w:r>
            <w:r w:rsidR="00F923D5" w:rsidRPr="003356AB">
              <w:rPr>
                <w:rFonts w:cs="Arial"/>
                <w:sz w:val="20"/>
                <w:szCs w:val="20"/>
              </w:rPr>
              <w:t>using</w:t>
            </w:r>
            <w:r w:rsidRPr="003356AB">
              <w:rPr>
                <w:rFonts w:cs="Arial"/>
                <w:sz w:val="20"/>
                <w:szCs w:val="20"/>
              </w:rPr>
              <w:t xml:space="preserve"> a range of activities such as:</w:t>
            </w:r>
          </w:p>
          <w:p w14:paraId="71917EC2" w14:textId="7D0F3AEA" w:rsidR="003356AB" w:rsidRPr="003356AB" w:rsidRDefault="003356AB" w:rsidP="003356AB">
            <w:pPr>
              <w:numPr>
                <w:ilvl w:val="0"/>
                <w:numId w:val="18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>online surveys, including the use of an online</w:t>
            </w:r>
            <w:r w:rsidR="001A1F87">
              <w:rPr>
                <w:rFonts w:cs="Arial"/>
                <w:sz w:val="20"/>
                <w:szCs w:val="20"/>
              </w:rPr>
              <w:t xml:space="preserve"> engagement</w:t>
            </w:r>
            <w:r w:rsidRPr="003356AB">
              <w:rPr>
                <w:rFonts w:cs="Arial"/>
                <w:sz w:val="20"/>
                <w:szCs w:val="20"/>
              </w:rPr>
              <w:t xml:space="preserve"> platform if </w:t>
            </w:r>
            <w:proofErr w:type="gramStart"/>
            <w:r w:rsidRPr="003356AB">
              <w:rPr>
                <w:rFonts w:cs="Arial"/>
                <w:sz w:val="20"/>
                <w:szCs w:val="20"/>
              </w:rPr>
              <w:t>applicable</w:t>
            </w:r>
            <w:proofErr w:type="gramEnd"/>
          </w:p>
          <w:p w14:paraId="75B8CA37" w14:textId="02F75CF1" w:rsidR="003356AB" w:rsidRPr="003356AB" w:rsidRDefault="003356AB" w:rsidP="003356AB">
            <w:pPr>
              <w:numPr>
                <w:ilvl w:val="0"/>
                <w:numId w:val="18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>face-to-face intercept surveys to collect information from the community</w:t>
            </w:r>
            <w:r w:rsidR="00D36C32">
              <w:rPr>
                <w:rFonts w:cs="Arial"/>
                <w:sz w:val="20"/>
                <w:szCs w:val="20"/>
              </w:rPr>
              <w:t xml:space="preserve"> in the </w:t>
            </w:r>
            <w:proofErr w:type="gramStart"/>
            <w:r w:rsidR="00D36C32">
              <w:rPr>
                <w:rFonts w:cs="Arial"/>
                <w:sz w:val="20"/>
                <w:szCs w:val="20"/>
              </w:rPr>
              <w:t>area</w:t>
            </w:r>
            <w:proofErr w:type="gramEnd"/>
          </w:p>
          <w:p w14:paraId="4D3295FE" w14:textId="54530F4B" w:rsidR="003356AB" w:rsidRPr="003356AB" w:rsidRDefault="003356AB" w:rsidP="003356AB">
            <w:pPr>
              <w:numPr>
                <w:ilvl w:val="0"/>
                <w:numId w:val="18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 xml:space="preserve">workshops with </w:t>
            </w:r>
            <w:r w:rsidR="001A1F87">
              <w:rPr>
                <w:rFonts w:cs="Arial"/>
                <w:sz w:val="20"/>
                <w:szCs w:val="20"/>
              </w:rPr>
              <w:t xml:space="preserve"> key</w:t>
            </w:r>
            <w:r w:rsidRPr="003356AB">
              <w:rPr>
                <w:rFonts w:cs="Arial"/>
                <w:sz w:val="20"/>
                <w:szCs w:val="20"/>
              </w:rPr>
              <w:t xml:space="preserve"> community groups </w:t>
            </w:r>
            <w:r w:rsidR="001A1F87">
              <w:rPr>
                <w:rFonts w:cs="Arial"/>
                <w:sz w:val="20"/>
                <w:szCs w:val="20"/>
              </w:rPr>
              <w:t>and</w:t>
            </w:r>
            <w:r w:rsidRPr="003356AB">
              <w:rPr>
                <w:rFonts w:cs="Arial"/>
                <w:sz w:val="20"/>
                <w:szCs w:val="20"/>
              </w:rPr>
              <w:t xml:space="preserve"> businesses – this may be necessary if the proposal is controversial.</w:t>
            </w:r>
          </w:p>
          <w:p w14:paraId="28B10E69" w14:textId="3E75E050" w:rsidR="003356AB" w:rsidRP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 xml:space="preserve">Work with your Communications team to utilise council’s communication channels including website, social </w:t>
            </w:r>
            <w:r w:rsidR="00E67FEE" w:rsidRPr="003356AB">
              <w:rPr>
                <w:rFonts w:cs="Arial"/>
                <w:sz w:val="20"/>
                <w:szCs w:val="20"/>
              </w:rPr>
              <w:t>media,</w:t>
            </w:r>
            <w:r w:rsidRPr="003356AB">
              <w:rPr>
                <w:rFonts w:cs="Arial"/>
                <w:sz w:val="20"/>
                <w:szCs w:val="20"/>
              </w:rPr>
              <w:t xml:space="preserve"> and newsletters to promote the community engagement.</w:t>
            </w:r>
          </w:p>
        </w:tc>
      </w:tr>
      <w:tr w:rsidR="003356AB" w:rsidRPr="003356AB" w14:paraId="0855E418" w14:textId="77777777" w:rsidTr="003A494B">
        <w:tc>
          <w:tcPr>
            <w:tcW w:w="9493" w:type="dxa"/>
          </w:tcPr>
          <w:p w14:paraId="4DC7E2D5" w14:textId="4B2B24B2" w:rsidR="003356AB" w:rsidRP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>Conduct a mail</w:t>
            </w:r>
            <w:r w:rsidR="00E67FEE">
              <w:rPr>
                <w:rFonts w:cs="Arial"/>
                <w:sz w:val="20"/>
                <w:szCs w:val="20"/>
              </w:rPr>
              <w:t>-</w:t>
            </w:r>
            <w:r w:rsidRPr="003356AB">
              <w:rPr>
                <w:rFonts w:cs="Arial"/>
                <w:sz w:val="20"/>
                <w:szCs w:val="20"/>
              </w:rPr>
              <w:t xml:space="preserve">out to all building owners and occupiers abutting the proposed area. </w:t>
            </w:r>
          </w:p>
        </w:tc>
      </w:tr>
      <w:tr w:rsidR="003356AB" w:rsidRPr="003356AB" w14:paraId="69B60ABC" w14:textId="77777777" w:rsidTr="003A494B">
        <w:tc>
          <w:tcPr>
            <w:tcW w:w="9493" w:type="dxa"/>
          </w:tcPr>
          <w:p w14:paraId="621C109C" w14:textId="03DEA4D8" w:rsidR="003356AB" w:rsidRP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lastRenderedPageBreak/>
              <w:t>Discuss and promote the smoke-free area engagement with public health</w:t>
            </w:r>
            <w:r w:rsidR="00E67FEE">
              <w:rPr>
                <w:rFonts w:cs="Arial"/>
                <w:sz w:val="20"/>
                <w:szCs w:val="20"/>
              </w:rPr>
              <w:t xml:space="preserve"> and </w:t>
            </w:r>
            <w:r w:rsidRPr="003356AB">
              <w:rPr>
                <w:rFonts w:cs="Arial"/>
                <w:sz w:val="20"/>
                <w:szCs w:val="20"/>
              </w:rPr>
              <w:t>tobacco control experts</w:t>
            </w:r>
            <w:r w:rsidR="00E67FEE">
              <w:rPr>
                <w:rFonts w:cs="Arial"/>
                <w:sz w:val="20"/>
                <w:szCs w:val="20"/>
              </w:rPr>
              <w:t>,</w:t>
            </w:r>
            <w:r w:rsidRPr="003356AB">
              <w:rPr>
                <w:rFonts w:cs="Arial"/>
                <w:sz w:val="20"/>
                <w:szCs w:val="20"/>
              </w:rPr>
              <w:t xml:space="preserve"> and health promotion organisations, such as Q</w:t>
            </w:r>
            <w:r w:rsidR="00AD0E44">
              <w:rPr>
                <w:rFonts w:cs="Arial"/>
                <w:sz w:val="20"/>
                <w:szCs w:val="20"/>
              </w:rPr>
              <w:t>uit</w:t>
            </w:r>
            <w:r w:rsidRPr="003356AB">
              <w:rPr>
                <w:rFonts w:cs="Arial"/>
                <w:sz w:val="20"/>
                <w:szCs w:val="20"/>
              </w:rPr>
              <w:t xml:space="preserve"> Victoria and VicHealth.</w:t>
            </w:r>
          </w:p>
        </w:tc>
      </w:tr>
      <w:tr w:rsidR="003356AB" w:rsidRPr="003356AB" w14:paraId="76CFB8C4" w14:textId="77777777" w:rsidTr="003A494B">
        <w:tc>
          <w:tcPr>
            <w:tcW w:w="9493" w:type="dxa"/>
          </w:tcPr>
          <w:p w14:paraId="07C6B4E1" w14:textId="6F9FEA98" w:rsidR="003356AB" w:rsidRP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 xml:space="preserve">Promote the engagement internally </w:t>
            </w:r>
            <w:r w:rsidR="004C09D1">
              <w:rPr>
                <w:rFonts w:cs="Arial"/>
                <w:sz w:val="20"/>
                <w:szCs w:val="20"/>
              </w:rPr>
              <w:t>via</w:t>
            </w:r>
            <w:r w:rsidRPr="003356AB">
              <w:rPr>
                <w:rFonts w:cs="Arial"/>
                <w:sz w:val="20"/>
                <w:szCs w:val="20"/>
              </w:rPr>
              <w:t xml:space="preserve"> in-house communication </w:t>
            </w:r>
            <w:r w:rsidR="00E67FEE">
              <w:rPr>
                <w:rFonts w:cs="Arial"/>
                <w:sz w:val="20"/>
                <w:szCs w:val="20"/>
              </w:rPr>
              <w:t>channels</w:t>
            </w:r>
            <w:r w:rsidRPr="003356AB">
              <w:rPr>
                <w:rFonts w:cs="Arial"/>
                <w:sz w:val="20"/>
                <w:szCs w:val="20"/>
              </w:rPr>
              <w:t xml:space="preserve">. </w:t>
            </w:r>
          </w:p>
          <w:p w14:paraId="6D15C266" w14:textId="0D0BD332" w:rsidR="003356AB" w:rsidRPr="003356AB" w:rsidRDefault="00E67FEE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Keep </w:t>
            </w:r>
            <w:r w:rsidR="003356AB" w:rsidRPr="003356AB">
              <w:rPr>
                <w:rFonts w:cs="Arial"/>
                <w:sz w:val="20"/>
                <w:szCs w:val="20"/>
              </w:rPr>
              <w:t>internal stakeholders</w:t>
            </w:r>
            <w:r>
              <w:rPr>
                <w:rFonts w:cs="Arial"/>
                <w:sz w:val="20"/>
                <w:szCs w:val="20"/>
              </w:rPr>
              <w:t xml:space="preserve"> informed and seek their feedback.</w:t>
            </w:r>
          </w:p>
        </w:tc>
      </w:tr>
      <w:tr w:rsidR="003356AB" w:rsidRPr="003356AB" w14:paraId="2BDB8CF3" w14:textId="77777777" w:rsidTr="003A494B">
        <w:tc>
          <w:tcPr>
            <w:tcW w:w="9493" w:type="dxa"/>
          </w:tcPr>
          <w:p w14:paraId="19F01ED5" w14:textId="77777777" w:rsidR="003356AB" w:rsidRP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>Keep your council’s Media team updated on the engagement process and expected outcomes. Request the development of a media release in preparation for the report going to council.</w:t>
            </w:r>
          </w:p>
        </w:tc>
      </w:tr>
      <w:tr w:rsidR="003356AB" w:rsidRPr="003356AB" w14:paraId="425F3804" w14:textId="77777777" w:rsidTr="003A494B">
        <w:tc>
          <w:tcPr>
            <w:tcW w:w="9493" w:type="dxa"/>
          </w:tcPr>
          <w:p w14:paraId="20BB0944" w14:textId="19B1D293" w:rsidR="003356AB" w:rsidRPr="003356AB" w:rsidRDefault="003A494B" w:rsidP="002F7BD8">
            <w:pPr>
              <w:rPr>
                <w:color w:val="009FAC"/>
                <w:sz w:val="20"/>
                <w:szCs w:val="20"/>
              </w:rPr>
            </w:pPr>
            <w:r w:rsidRPr="00FF770A">
              <w:rPr>
                <w:b/>
              </w:rPr>
              <w:t xml:space="preserve">Prepare community engagement and council </w:t>
            </w:r>
            <w:r w:rsidR="00E67FEE">
              <w:rPr>
                <w:b/>
              </w:rPr>
              <w:t>r</w:t>
            </w:r>
            <w:r w:rsidRPr="00FF770A">
              <w:rPr>
                <w:b/>
              </w:rPr>
              <w:t>eport</w:t>
            </w:r>
          </w:p>
        </w:tc>
      </w:tr>
      <w:tr w:rsidR="003356AB" w:rsidRPr="003356AB" w14:paraId="202501A6" w14:textId="77777777" w:rsidTr="003A494B">
        <w:tc>
          <w:tcPr>
            <w:tcW w:w="9493" w:type="dxa"/>
          </w:tcPr>
          <w:p w14:paraId="59F4C1C6" w14:textId="77777777" w:rsidR="003356AB" w:rsidRP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>Develop a report that highlights key findings and feedback from the community engagement activities.</w:t>
            </w:r>
          </w:p>
          <w:p w14:paraId="1DBABE58" w14:textId="4B11CE23" w:rsidR="003356AB" w:rsidRPr="003356AB" w:rsidRDefault="003356AB" w:rsidP="002F7BD8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 xml:space="preserve">Prepare a </w:t>
            </w:r>
            <w:r w:rsidR="00AD0E44">
              <w:rPr>
                <w:rFonts w:cs="Arial"/>
                <w:sz w:val="20"/>
                <w:szCs w:val="20"/>
              </w:rPr>
              <w:t xml:space="preserve">council committee </w:t>
            </w:r>
            <w:r w:rsidRPr="003356AB">
              <w:rPr>
                <w:rFonts w:cs="Arial"/>
                <w:sz w:val="20"/>
                <w:szCs w:val="20"/>
              </w:rPr>
              <w:t>report that includes the smoke-free area proposal and community engagement re</w:t>
            </w:r>
            <w:r w:rsidR="0087691F">
              <w:rPr>
                <w:rFonts w:cs="Arial"/>
                <w:sz w:val="20"/>
                <w:szCs w:val="20"/>
              </w:rPr>
              <w:t>port</w:t>
            </w:r>
            <w:r w:rsidRPr="003356AB">
              <w:rPr>
                <w:rFonts w:cs="Arial"/>
                <w:sz w:val="20"/>
                <w:szCs w:val="20"/>
              </w:rPr>
              <w:t xml:space="preserve"> for councillor discussion and endorsement. An example of a City of Melbourne </w:t>
            </w:r>
            <w:hyperlink r:id="rId9" w:history="1">
              <w:r w:rsidRPr="00C8721D">
                <w:rPr>
                  <w:rStyle w:val="Hyperlink"/>
                  <w:rFonts w:cs="Arial"/>
                  <w:sz w:val="20"/>
                  <w:szCs w:val="20"/>
                </w:rPr>
                <w:t>smoke-free area proposal repor</w:t>
              </w:r>
              <w:r w:rsidR="00070CDA" w:rsidRPr="00C8721D">
                <w:rPr>
                  <w:rStyle w:val="Hyperlink"/>
                  <w:rFonts w:cs="Arial"/>
                  <w:sz w:val="20"/>
                  <w:szCs w:val="20"/>
                </w:rPr>
                <w:t>t</w:t>
              </w:r>
            </w:hyperlink>
            <w:r w:rsidRPr="003356AB">
              <w:rPr>
                <w:rFonts w:cs="Arial"/>
                <w:sz w:val="20"/>
                <w:szCs w:val="20"/>
              </w:rPr>
              <w:t xml:space="preserve"> can be found</w:t>
            </w:r>
            <w:r w:rsidR="002F7BD8">
              <w:rPr>
                <w:rFonts w:cs="Arial"/>
                <w:sz w:val="20"/>
                <w:szCs w:val="20"/>
              </w:rPr>
              <w:t xml:space="preserve"> online.</w:t>
            </w:r>
            <w:r w:rsidRPr="003356AB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3356AB" w:rsidRPr="003356AB" w14:paraId="5C0E9C10" w14:textId="77777777" w:rsidTr="003A494B">
        <w:trPr>
          <w:trHeight w:val="800"/>
        </w:trPr>
        <w:tc>
          <w:tcPr>
            <w:tcW w:w="9493" w:type="dxa"/>
          </w:tcPr>
          <w:p w14:paraId="46BD0250" w14:textId="3D36C990" w:rsidR="003356AB" w:rsidRP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 xml:space="preserve">Prepare the communications plan for the smoke-free area announcement in the lead up to seeking </w:t>
            </w:r>
            <w:r w:rsidR="003D2D81">
              <w:rPr>
                <w:rFonts w:cs="Arial"/>
                <w:sz w:val="20"/>
                <w:szCs w:val="20"/>
              </w:rPr>
              <w:t>C</w:t>
            </w:r>
            <w:r w:rsidRPr="003356AB">
              <w:rPr>
                <w:rFonts w:cs="Arial"/>
                <w:sz w:val="20"/>
                <w:szCs w:val="20"/>
              </w:rPr>
              <w:t>ouncil endorsement.</w:t>
            </w:r>
            <w:r w:rsidRPr="003356AB">
              <w:rPr>
                <w:rFonts w:cs="Arial"/>
                <w:sz w:val="20"/>
                <w:szCs w:val="20"/>
              </w:rPr>
              <w:tab/>
            </w:r>
          </w:p>
        </w:tc>
      </w:tr>
      <w:tr w:rsidR="003356AB" w:rsidRPr="003356AB" w14:paraId="2C937EF5" w14:textId="77777777" w:rsidTr="003A494B">
        <w:tc>
          <w:tcPr>
            <w:tcW w:w="9493" w:type="dxa"/>
          </w:tcPr>
          <w:p w14:paraId="37860C52" w14:textId="09F8ABDF" w:rsidR="003356AB" w:rsidRPr="002F7BD8" w:rsidRDefault="003A494B" w:rsidP="002F7BD8">
            <w:pPr>
              <w:rPr>
                <w:b/>
                <w:color w:val="009FAC"/>
                <w:sz w:val="20"/>
                <w:szCs w:val="20"/>
              </w:rPr>
            </w:pPr>
            <w:r w:rsidRPr="002F7BD8">
              <w:rPr>
                <w:b/>
              </w:rPr>
              <w:t xml:space="preserve">Seek </w:t>
            </w:r>
            <w:r w:rsidR="00E67FEE">
              <w:rPr>
                <w:b/>
              </w:rPr>
              <w:t>e</w:t>
            </w:r>
            <w:r w:rsidRPr="002F7BD8">
              <w:rPr>
                <w:b/>
              </w:rPr>
              <w:t xml:space="preserve">ndorsement from </w:t>
            </w:r>
            <w:r w:rsidR="00E67FEE">
              <w:rPr>
                <w:b/>
              </w:rPr>
              <w:t>C</w:t>
            </w:r>
            <w:r w:rsidRPr="002F7BD8">
              <w:rPr>
                <w:b/>
              </w:rPr>
              <w:t>ouncil</w:t>
            </w:r>
          </w:p>
        </w:tc>
      </w:tr>
      <w:tr w:rsidR="003356AB" w:rsidRPr="003356AB" w14:paraId="3882E645" w14:textId="77777777" w:rsidTr="003A494B">
        <w:tc>
          <w:tcPr>
            <w:tcW w:w="9493" w:type="dxa"/>
          </w:tcPr>
          <w:p w14:paraId="317A3653" w14:textId="77777777" w:rsidR="003356AB" w:rsidRP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 xml:space="preserve">Brief senior management about the key findings from the community engagement and identify potential questions councillors may have. </w:t>
            </w:r>
          </w:p>
        </w:tc>
      </w:tr>
      <w:tr w:rsidR="003356AB" w:rsidRPr="003356AB" w14:paraId="7E11B5D1" w14:textId="77777777" w:rsidTr="003A494B">
        <w:tc>
          <w:tcPr>
            <w:tcW w:w="9493" w:type="dxa"/>
          </w:tcPr>
          <w:p w14:paraId="10C8AFEC" w14:textId="23E64E6C" w:rsidR="003356AB" w:rsidRP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 xml:space="preserve">Submit the proposal to </w:t>
            </w:r>
            <w:r w:rsidR="00E67FEE">
              <w:rPr>
                <w:rFonts w:cs="Arial"/>
                <w:sz w:val="20"/>
                <w:szCs w:val="20"/>
              </w:rPr>
              <w:t>C</w:t>
            </w:r>
            <w:r w:rsidRPr="003356AB">
              <w:rPr>
                <w:rFonts w:cs="Arial"/>
                <w:sz w:val="20"/>
                <w:szCs w:val="20"/>
              </w:rPr>
              <w:t>ouncil for endorsement.</w:t>
            </w:r>
          </w:p>
        </w:tc>
      </w:tr>
      <w:tr w:rsidR="003356AB" w:rsidRPr="003356AB" w14:paraId="24D78DA8" w14:textId="77777777" w:rsidTr="003A494B">
        <w:tc>
          <w:tcPr>
            <w:tcW w:w="9493" w:type="dxa"/>
          </w:tcPr>
          <w:p w14:paraId="0878FEE7" w14:textId="2C6C984F" w:rsidR="003356AB" w:rsidRPr="002F7BD8" w:rsidRDefault="002F7BD8" w:rsidP="002F7BD8">
            <w:pPr>
              <w:rPr>
                <w:b/>
                <w:color w:val="009FAC"/>
                <w:sz w:val="20"/>
                <w:szCs w:val="20"/>
              </w:rPr>
            </w:pPr>
            <w:r w:rsidRPr="002F7BD8">
              <w:rPr>
                <w:b/>
                <w:lang w:val="en-US"/>
              </w:rPr>
              <w:t xml:space="preserve">Implement smoke-free area if endorsed by </w:t>
            </w:r>
            <w:r w:rsidR="00AC5FF5">
              <w:rPr>
                <w:b/>
                <w:lang w:val="en-US"/>
              </w:rPr>
              <w:t>C</w:t>
            </w:r>
            <w:r w:rsidRPr="002F7BD8">
              <w:rPr>
                <w:b/>
                <w:lang w:val="en-US"/>
              </w:rPr>
              <w:t>ouncil</w:t>
            </w:r>
          </w:p>
        </w:tc>
      </w:tr>
      <w:tr w:rsidR="003356AB" w:rsidRPr="003356AB" w14:paraId="54285E4A" w14:textId="77777777" w:rsidTr="003A494B">
        <w:tc>
          <w:tcPr>
            <w:tcW w:w="9493" w:type="dxa"/>
          </w:tcPr>
          <w:p w14:paraId="7C62202C" w14:textId="5D1BE4DE" w:rsidR="003356AB" w:rsidRP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>Work with your council’s legal team to develop the Local Law documentation for the smoke-free area.</w:t>
            </w:r>
          </w:p>
          <w:p w14:paraId="5B793663" w14:textId="77777777" w:rsidR="003356AB" w:rsidRP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 xml:space="preserve">Refer to steps outlined in the </w:t>
            </w:r>
            <w:hyperlink r:id="rId10" w:anchor=":~:text=(1)%20Before%20a%20Council%20makes,with%20the%20local%20law%20requirements." w:history="1">
              <w:r w:rsidRPr="002F7BD8">
                <w:rPr>
                  <w:rFonts w:cs="Arial"/>
                  <w:color w:val="0000FF" w:themeColor="hyperlink"/>
                  <w:sz w:val="20"/>
                  <w:szCs w:val="20"/>
                  <w:u w:val="single"/>
                </w:rPr>
                <w:t xml:space="preserve">Local Government Act 2020 </w:t>
              </w:r>
              <w:r w:rsidRPr="002F7BD8">
                <w:rPr>
                  <w:rFonts w:cs="Arial"/>
                  <w:color w:val="0000FF" w:themeColor="hyperlink"/>
                  <w:sz w:val="20"/>
                  <w:szCs w:val="20"/>
                  <w:u w:val="single"/>
                </w:rPr>
                <w:softHyphen/>
                <w:t>– Section 74</w:t>
              </w:r>
              <w:r w:rsidR="002F7BD8" w:rsidRPr="002F7BD8">
                <w:rPr>
                  <w:rStyle w:val="FootnoteReference"/>
                  <w:rFonts w:cs="Arial"/>
                  <w:i/>
                  <w:color w:val="0000FF" w:themeColor="hyperlink"/>
                  <w:sz w:val="20"/>
                  <w:szCs w:val="20"/>
                  <w:u w:val="single"/>
                </w:rPr>
                <w:footnoteReference w:id="2"/>
              </w:r>
              <w:r w:rsidRPr="002F7BD8">
                <w:rPr>
                  <w:rFonts w:cs="Arial"/>
                  <w:i/>
                  <w:color w:val="0000FF" w:themeColor="hyperlink"/>
                  <w:sz w:val="20"/>
                  <w:szCs w:val="20"/>
                  <w:u w:val="single"/>
                </w:rPr>
                <w:t>.</w:t>
              </w:r>
            </w:hyperlink>
          </w:p>
        </w:tc>
      </w:tr>
      <w:tr w:rsidR="003356AB" w:rsidRPr="003356AB" w14:paraId="021FB991" w14:textId="77777777" w:rsidTr="003A494B">
        <w:tc>
          <w:tcPr>
            <w:tcW w:w="9493" w:type="dxa"/>
          </w:tcPr>
          <w:p w14:paraId="2BB60D0F" w14:textId="3E07B9CA" w:rsidR="003356AB" w:rsidRP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 xml:space="preserve">Implement key communication processes to inform the community of the smoke-free area. </w:t>
            </w:r>
            <w:r w:rsidR="00F923D5" w:rsidRPr="003356AB">
              <w:rPr>
                <w:rFonts w:cs="Arial"/>
                <w:sz w:val="20"/>
                <w:szCs w:val="20"/>
              </w:rPr>
              <w:t>Use</w:t>
            </w:r>
            <w:r w:rsidRPr="003356AB">
              <w:rPr>
                <w:rFonts w:cs="Arial"/>
                <w:sz w:val="20"/>
                <w:szCs w:val="20"/>
              </w:rPr>
              <w:t xml:space="preserve"> communication </w:t>
            </w:r>
            <w:r w:rsidR="00FE2B9D">
              <w:rPr>
                <w:rFonts w:cs="Arial"/>
                <w:sz w:val="20"/>
                <w:szCs w:val="20"/>
              </w:rPr>
              <w:t>channels</w:t>
            </w:r>
            <w:r w:rsidR="00FE2B9D" w:rsidRPr="003356AB">
              <w:rPr>
                <w:rFonts w:cs="Arial"/>
                <w:sz w:val="20"/>
                <w:szCs w:val="20"/>
              </w:rPr>
              <w:t xml:space="preserve"> </w:t>
            </w:r>
            <w:r w:rsidRPr="003356AB">
              <w:rPr>
                <w:rFonts w:cs="Arial"/>
                <w:sz w:val="20"/>
                <w:szCs w:val="20"/>
              </w:rPr>
              <w:t>such as social media</w:t>
            </w:r>
            <w:r w:rsidR="00FE2B9D">
              <w:rPr>
                <w:rFonts w:cs="Arial"/>
                <w:sz w:val="20"/>
                <w:szCs w:val="20"/>
              </w:rPr>
              <w:t xml:space="preserve"> </w:t>
            </w:r>
            <w:r w:rsidRPr="003356AB">
              <w:rPr>
                <w:rFonts w:cs="Arial"/>
                <w:sz w:val="20"/>
                <w:szCs w:val="20"/>
              </w:rPr>
              <w:t>and</w:t>
            </w:r>
            <w:r w:rsidR="0087691F">
              <w:rPr>
                <w:rFonts w:cs="Arial"/>
                <w:sz w:val="20"/>
                <w:szCs w:val="20"/>
              </w:rPr>
              <w:t xml:space="preserve"> your</w:t>
            </w:r>
            <w:r w:rsidRPr="003356AB">
              <w:rPr>
                <w:rFonts w:cs="Arial"/>
                <w:sz w:val="20"/>
                <w:szCs w:val="20"/>
              </w:rPr>
              <w:t xml:space="preserve"> council</w:t>
            </w:r>
            <w:r w:rsidR="003D2D81">
              <w:rPr>
                <w:rFonts w:cs="Arial"/>
                <w:sz w:val="20"/>
                <w:szCs w:val="20"/>
              </w:rPr>
              <w:t>’s online</w:t>
            </w:r>
            <w:r w:rsidRPr="003356AB">
              <w:rPr>
                <w:rFonts w:cs="Arial"/>
                <w:sz w:val="20"/>
                <w:szCs w:val="20"/>
              </w:rPr>
              <w:t xml:space="preserve"> community engagement </w:t>
            </w:r>
            <w:r w:rsidR="003D2D81">
              <w:rPr>
                <w:rFonts w:cs="Arial"/>
                <w:sz w:val="20"/>
                <w:szCs w:val="20"/>
              </w:rPr>
              <w:t>platform</w:t>
            </w:r>
            <w:r w:rsidRPr="003356AB">
              <w:rPr>
                <w:rFonts w:cs="Arial"/>
                <w:sz w:val="20"/>
                <w:szCs w:val="20"/>
              </w:rPr>
              <w:t xml:space="preserve">. </w:t>
            </w:r>
          </w:p>
        </w:tc>
      </w:tr>
      <w:tr w:rsidR="003356AB" w:rsidRPr="003356AB" w14:paraId="47B4DB23" w14:textId="77777777" w:rsidTr="003A494B">
        <w:tc>
          <w:tcPr>
            <w:tcW w:w="9493" w:type="dxa"/>
          </w:tcPr>
          <w:p w14:paraId="161E9D3C" w14:textId="4B30C67F" w:rsidR="003356AB" w:rsidRP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>Collaborate with council’s Design and Communications teams to develop signage for the smoke-free</w:t>
            </w:r>
            <w:r w:rsidR="00FE2B9D">
              <w:rPr>
                <w:rFonts w:cs="Arial"/>
                <w:sz w:val="20"/>
                <w:szCs w:val="20"/>
              </w:rPr>
              <w:t xml:space="preserve"> </w:t>
            </w:r>
            <w:r w:rsidRPr="003356AB">
              <w:rPr>
                <w:rFonts w:cs="Arial"/>
                <w:sz w:val="20"/>
                <w:szCs w:val="20"/>
              </w:rPr>
              <w:t xml:space="preserve">area. Consider temporary signage options such as footpath decals while waiting for permanent signage to be installed. </w:t>
            </w:r>
          </w:p>
          <w:p w14:paraId="2F82CB0F" w14:textId="066E5B81" w:rsidR="003356AB" w:rsidRPr="003356AB" w:rsidRDefault="003356AB" w:rsidP="003356AB">
            <w:pPr>
              <w:numPr>
                <w:ilvl w:val="0"/>
                <w:numId w:val="1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88" w:lineRule="auto"/>
              <w:ind w:left="459"/>
              <w:rPr>
                <w:rFonts w:cs="Arial"/>
                <w:sz w:val="20"/>
                <w:szCs w:val="20"/>
              </w:rPr>
            </w:pPr>
            <w:r w:rsidRPr="003356AB">
              <w:rPr>
                <w:rFonts w:cs="Arial"/>
                <w:sz w:val="20"/>
                <w:szCs w:val="20"/>
              </w:rPr>
              <w:t>Ensure council’s Compliance teams are also consulted about the implementation of signage. Compliance teams should be trained on the council’s expectations around the education and enforcement of the smoke-free area. It is recommended that an education first approach</w:t>
            </w:r>
            <w:r w:rsidR="003D2D81">
              <w:rPr>
                <w:rFonts w:cs="Arial"/>
                <w:sz w:val="20"/>
                <w:szCs w:val="20"/>
              </w:rPr>
              <w:t xml:space="preserve"> is used </w:t>
            </w:r>
            <w:r w:rsidR="00855388">
              <w:rPr>
                <w:rFonts w:cs="Arial"/>
                <w:sz w:val="20"/>
                <w:szCs w:val="20"/>
              </w:rPr>
              <w:t>during</w:t>
            </w:r>
            <w:r w:rsidR="003D2D81">
              <w:rPr>
                <w:rFonts w:cs="Arial"/>
                <w:sz w:val="20"/>
                <w:szCs w:val="20"/>
              </w:rPr>
              <w:t xml:space="preserve"> the</w:t>
            </w:r>
            <w:r w:rsidR="00855388">
              <w:rPr>
                <w:rFonts w:cs="Arial"/>
                <w:sz w:val="20"/>
                <w:szCs w:val="20"/>
              </w:rPr>
              <w:t xml:space="preserve"> first six months of implementing a smoke-free area.</w:t>
            </w:r>
            <w:r w:rsidRPr="003356AB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00479BA5" w14:textId="324C749E" w:rsidR="003356AB" w:rsidRPr="003356AB" w:rsidRDefault="003356AB" w:rsidP="003356AB">
      <w:pPr>
        <w:pStyle w:val="Heading1"/>
        <w:rPr>
          <w:rFonts w:ascii="Arial" w:hAnsi="Arial" w:cs="Arial"/>
          <w:sz w:val="20"/>
          <w:szCs w:val="20"/>
        </w:rPr>
      </w:pPr>
      <w:r w:rsidRPr="003356AB">
        <w:rPr>
          <w:rFonts w:ascii="Arial" w:eastAsiaTheme="minorEastAsia" w:hAnsi="Arial" w:cs="Arial"/>
          <w:bCs w:val="0"/>
          <w:sz w:val="20"/>
          <w:szCs w:val="20"/>
        </w:rPr>
        <w:t xml:space="preserve">For more information on City of Melbourne’s Smoke-free Melbourne Policy and smoke-free areas visit </w:t>
      </w:r>
      <w:hyperlink r:id="rId11" w:history="1">
        <w:r w:rsidRPr="00587BB1">
          <w:rPr>
            <w:rStyle w:val="Hyperlink"/>
            <w:rFonts w:ascii="Arial" w:eastAsiaTheme="minorEastAsia" w:hAnsi="Arial" w:cs="Arial"/>
            <w:bCs w:val="0"/>
            <w:sz w:val="20"/>
            <w:szCs w:val="20"/>
          </w:rPr>
          <w:t>City of Melbourne</w:t>
        </w:r>
        <w:r w:rsidR="002F7BD8" w:rsidRPr="00587BB1">
          <w:rPr>
            <w:rStyle w:val="Hyperlink"/>
            <w:rFonts w:ascii="Arial" w:eastAsiaTheme="minorEastAsia" w:hAnsi="Arial" w:cs="Arial"/>
            <w:bCs w:val="0"/>
            <w:sz w:val="20"/>
            <w:szCs w:val="20"/>
            <w:vertAlign w:val="superscript"/>
          </w:rPr>
          <w:footnoteReference w:id="3"/>
        </w:r>
      </w:hyperlink>
      <w:r w:rsidRPr="003356AB">
        <w:rPr>
          <w:rFonts w:ascii="Arial" w:eastAsiaTheme="minorEastAsia" w:hAnsi="Arial" w:cs="Arial"/>
          <w:bCs w:val="0"/>
          <w:sz w:val="20"/>
          <w:szCs w:val="20"/>
        </w:rPr>
        <w:t xml:space="preserve"> and online </w:t>
      </w:r>
      <w:hyperlink r:id="rId12" w:history="1">
        <w:r w:rsidRPr="003356AB">
          <w:rPr>
            <w:rFonts w:ascii="Arial" w:eastAsiaTheme="minorEastAsia" w:hAnsi="Arial" w:cs="Arial"/>
            <w:bCs w:val="0"/>
            <w:color w:val="0000FF" w:themeColor="hyperlink"/>
            <w:sz w:val="20"/>
            <w:szCs w:val="20"/>
            <w:u w:val="single"/>
          </w:rPr>
          <w:t>community engagement platform</w:t>
        </w:r>
      </w:hyperlink>
      <w:r w:rsidR="00070CDA">
        <w:rPr>
          <w:rStyle w:val="FootnoteReference"/>
          <w:rFonts w:ascii="Arial" w:eastAsiaTheme="minorEastAsia" w:hAnsi="Arial" w:cs="Arial"/>
          <w:bCs w:val="0"/>
          <w:color w:val="0000FF" w:themeColor="hyperlink"/>
          <w:sz w:val="20"/>
          <w:szCs w:val="20"/>
          <w:u w:val="single"/>
        </w:rPr>
        <w:footnoteReference w:id="4"/>
      </w:r>
      <w:r w:rsidRPr="003356AB">
        <w:rPr>
          <w:rFonts w:ascii="Arial" w:eastAsiaTheme="minorEastAsia" w:hAnsi="Arial" w:cs="Arial"/>
          <w:bCs w:val="0"/>
          <w:sz w:val="20"/>
          <w:szCs w:val="20"/>
        </w:rPr>
        <w:t>.</w:t>
      </w:r>
      <w:r w:rsidRPr="003356AB">
        <w:rPr>
          <w:rFonts w:ascii="Arial" w:eastAsiaTheme="minorEastAsia" w:hAnsi="Arial" w:cs="Arial"/>
          <w:bCs w:val="0"/>
          <w:sz w:val="20"/>
          <w:szCs w:val="20"/>
        </w:rPr>
        <w:br/>
      </w:r>
      <w:r w:rsidRPr="003356AB">
        <w:rPr>
          <w:rFonts w:ascii="Arial" w:eastAsiaTheme="minorEastAsia" w:hAnsi="Arial" w:cs="Arial"/>
          <w:bCs w:val="0"/>
          <w:sz w:val="20"/>
          <w:szCs w:val="20"/>
        </w:rPr>
        <w:br/>
        <w:t xml:space="preserve">Further resources to strengthen tobacco control in your local government area can also be found in the </w:t>
      </w:r>
      <w:hyperlink r:id="rId13" w:history="1">
        <w:r w:rsidRPr="003356AB">
          <w:rPr>
            <w:rFonts w:ascii="Arial" w:eastAsiaTheme="minorEastAsia" w:hAnsi="Arial" w:cs="Arial"/>
            <w:bCs w:val="0"/>
            <w:color w:val="0000FF" w:themeColor="hyperlink"/>
            <w:sz w:val="20"/>
            <w:szCs w:val="20"/>
            <w:u w:val="single"/>
          </w:rPr>
          <w:t>VicHealth Local Government Partnership module</w:t>
        </w:r>
        <w:r w:rsidR="00070CDA">
          <w:rPr>
            <w:rStyle w:val="FootnoteReference"/>
            <w:rFonts w:ascii="Arial" w:eastAsiaTheme="minorEastAsia" w:hAnsi="Arial" w:cs="Arial"/>
            <w:bCs w:val="0"/>
            <w:color w:val="0000FF" w:themeColor="hyperlink"/>
            <w:sz w:val="20"/>
            <w:szCs w:val="20"/>
            <w:u w:val="single"/>
          </w:rPr>
          <w:footnoteReference w:id="5"/>
        </w:r>
        <w:r w:rsidRPr="003356AB">
          <w:rPr>
            <w:rFonts w:ascii="Arial" w:eastAsiaTheme="minorEastAsia" w:hAnsi="Arial" w:cs="Arial"/>
            <w:bCs w:val="0"/>
            <w:color w:val="0000FF" w:themeColor="hyperlink"/>
            <w:sz w:val="20"/>
            <w:szCs w:val="20"/>
            <w:u w:val="single"/>
          </w:rPr>
          <w:t>.</w:t>
        </w:r>
      </w:hyperlink>
    </w:p>
    <w:p w14:paraId="562AB8D2" w14:textId="718C2852" w:rsidR="003A494B" w:rsidRDefault="003A494B" w:rsidP="003A494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288" w:lineRule="auto"/>
        <w:jc w:val="both"/>
        <w:rPr>
          <w:rFonts w:eastAsiaTheme="minorHAnsi" w:cs="Arial"/>
          <w:szCs w:val="16"/>
        </w:rPr>
      </w:pPr>
      <w:r w:rsidRPr="003A494B">
        <w:rPr>
          <w:rFonts w:eastAsiaTheme="minorHAnsi" w:cs="Arial"/>
          <w:szCs w:val="16"/>
        </w:rPr>
        <w:t>This document has been developed to provide a step</w:t>
      </w:r>
      <w:r w:rsidR="00855388">
        <w:rPr>
          <w:rFonts w:eastAsiaTheme="minorHAnsi" w:cs="Arial"/>
          <w:szCs w:val="16"/>
        </w:rPr>
        <w:t>-</w:t>
      </w:r>
      <w:r w:rsidRPr="003A494B">
        <w:rPr>
          <w:rFonts w:eastAsiaTheme="minorHAnsi" w:cs="Arial"/>
          <w:szCs w:val="16"/>
        </w:rPr>
        <w:t>by</w:t>
      </w:r>
      <w:r w:rsidR="00855388">
        <w:rPr>
          <w:rFonts w:eastAsiaTheme="minorHAnsi" w:cs="Arial"/>
          <w:szCs w:val="16"/>
        </w:rPr>
        <w:t>-</w:t>
      </w:r>
      <w:r w:rsidRPr="003A494B">
        <w:rPr>
          <w:rFonts w:eastAsiaTheme="minorHAnsi" w:cs="Arial"/>
          <w:szCs w:val="16"/>
        </w:rPr>
        <w:t>step guide for local governments who may also be looking to create smoke areas. While we acknowledge that other local governments may have different internal procedures and/or structures, the following process can be replicated or used as a guide</w:t>
      </w:r>
      <w:r>
        <w:rPr>
          <w:rFonts w:eastAsiaTheme="minorHAnsi" w:cs="Arial"/>
          <w:szCs w:val="16"/>
        </w:rPr>
        <w:t>.</w:t>
      </w:r>
    </w:p>
    <w:p w14:paraId="081EAF86" w14:textId="7FBF2388" w:rsidR="00D067DB" w:rsidRPr="0069723F" w:rsidRDefault="00D067DB" w:rsidP="0069723F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288" w:lineRule="auto"/>
        <w:jc w:val="both"/>
        <w:rPr>
          <w:rFonts w:eastAsiaTheme="minorHAnsi" w:cs="Arial"/>
          <w:szCs w:val="16"/>
        </w:rPr>
      </w:pPr>
      <w:r w:rsidRPr="00D067DB">
        <w:rPr>
          <w:rFonts w:eastAsiaTheme="minorHAnsi" w:cs="Arial"/>
          <w:szCs w:val="16"/>
        </w:rPr>
        <w:lastRenderedPageBreak/>
        <w:t>Key internal and external stakeholders to consider when preparing for community engagement for a smoke-free area proposal:</w:t>
      </w:r>
    </w:p>
    <w:tbl>
      <w:tblPr>
        <w:tblStyle w:val="ListTable3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4352"/>
      </w:tblGrid>
      <w:tr w:rsidR="00D067DB" w:rsidRPr="00D067DB" w14:paraId="2714937D" w14:textId="77777777" w:rsidTr="002C6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04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C405F21" w14:textId="77777777" w:rsidR="00D067DB" w:rsidRPr="00070CDA" w:rsidRDefault="00070CDA" w:rsidP="00070CDA">
            <w:pPr>
              <w:rPr>
                <w:lang w:val="en-AU"/>
              </w:rPr>
            </w:pPr>
            <w:r w:rsidRPr="00070CDA">
              <w:rPr>
                <w:color w:val="auto"/>
                <w:sz w:val="22"/>
                <w:lang w:val="en-AU"/>
              </w:rPr>
              <w:t>Internal stakeholders</w:t>
            </w:r>
          </w:p>
        </w:tc>
        <w:tc>
          <w:tcPr>
            <w:tcW w:w="4352" w:type="dxa"/>
            <w:shd w:val="clear" w:color="auto" w:fill="auto"/>
          </w:tcPr>
          <w:p w14:paraId="6C8E3859" w14:textId="77777777" w:rsidR="00D067DB" w:rsidRPr="00070CDA" w:rsidRDefault="00D067DB" w:rsidP="00070C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lang w:val="en-AU"/>
              </w:rPr>
            </w:pPr>
            <w:r w:rsidRPr="00070CDA">
              <w:rPr>
                <w:color w:val="auto"/>
                <w:sz w:val="22"/>
                <w:lang w:val="en-AU"/>
              </w:rPr>
              <w:t>External stakeholders</w:t>
            </w:r>
          </w:p>
        </w:tc>
      </w:tr>
      <w:tr w:rsidR="00D067DB" w:rsidRPr="00D067DB" w14:paraId="3ECA66DC" w14:textId="77777777" w:rsidTr="002C6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B6ADE47" w14:textId="434FA405" w:rsidR="00D067DB" w:rsidRPr="00D067DB" w:rsidRDefault="00D067DB" w:rsidP="00D067DB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line="288" w:lineRule="auto"/>
              <w:rPr>
                <w:rFonts w:eastAsiaTheme="minorHAnsi" w:cs="Arial"/>
                <w:b w:val="0"/>
                <w:sz w:val="20"/>
                <w:szCs w:val="20"/>
                <w:lang w:val="en-AU"/>
              </w:rPr>
            </w:pPr>
            <w:r w:rsidRPr="00D067DB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 xml:space="preserve">Environmental </w:t>
            </w:r>
            <w:r w:rsidR="0087691F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>H</w:t>
            </w:r>
            <w:r w:rsidRPr="00D067DB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>ealth</w:t>
            </w:r>
          </w:p>
        </w:tc>
        <w:tc>
          <w:tcPr>
            <w:tcW w:w="4352" w:type="dxa"/>
            <w:tcBorders>
              <w:top w:val="none" w:sz="0" w:space="0" w:color="auto"/>
              <w:bottom w:val="none" w:sz="0" w:space="0" w:color="auto"/>
            </w:tcBorders>
          </w:tcPr>
          <w:p w14:paraId="2DDE28A7" w14:textId="1045D613" w:rsidR="00D067DB" w:rsidRPr="00D067DB" w:rsidRDefault="00D067DB" w:rsidP="00D067DB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 w:val="20"/>
                <w:szCs w:val="20"/>
                <w:lang w:val="en-AU"/>
              </w:rPr>
            </w:pPr>
            <w:r w:rsidRPr="00D067DB">
              <w:rPr>
                <w:rFonts w:eastAsiaTheme="minorHAnsi" w:cs="Arial"/>
                <w:sz w:val="20"/>
                <w:szCs w:val="20"/>
                <w:lang w:val="en-AU"/>
              </w:rPr>
              <w:t>Businesses within the proposed smoke-free area</w:t>
            </w:r>
            <w:r w:rsidRPr="00D067DB" w:rsidDel="00507051">
              <w:rPr>
                <w:rFonts w:eastAsiaTheme="minorHAnsi" w:cs="Arial"/>
                <w:sz w:val="20"/>
                <w:szCs w:val="20"/>
                <w:lang w:val="en-AU"/>
              </w:rPr>
              <w:t xml:space="preserve"> </w:t>
            </w:r>
          </w:p>
        </w:tc>
      </w:tr>
      <w:tr w:rsidR="00D067DB" w:rsidRPr="00D067DB" w14:paraId="245DF1C1" w14:textId="77777777" w:rsidTr="002C6490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4" w:type="dxa"/>
            <w:tcBorders>
              <w:right w:val="none" w:sz="0" w:space="0" w:color="auto"/>
            </w:tcBorders>
          </w:tcPr>
          <w:p w14:paraId="75D8D7BE" w14:textId="77777777" w:rsidR="00D067DB" w:rsidRPr="00D067DB" w:rsidRDefault="00D067DB" w:rsidP="00D067DB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line="288" w:lineRule="auto"/>
              <w:rPr>
                <w:rFonts w:eastAsiaTheme="minorHAnsi" w:cs="Arial"/>
                <w:b w:val="0"/>
                <w:sz w:val="20"/>
                <w:szCs w:val="20"/>
                <w:lang w:val="en-AU"/>
              </w:rPr>
            </w:pPr>
            <w:r w:rsidRPr="00D067DB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>Legal</w:t>
            </w:r>
          </w:p>
        </w:tc>
        <w:tc>
          <w:tcPr>
            <w:tcW w:w="4352" w:type="dxa"/>
          </w:tcPr>
          <w:p w14:paraId="1AD97B5A" w14:textId="1B063781" w:rsidR="00D067DB" w:rsidRPr="00D067DB" w:rsidRDefault="00D067DB" w:rsidP="00D067DB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0"/>
                <w:szCs w:val="20"/>
                <w:lang w:val="en-AU"/>
              </w:rPr>
            </w:pPr>
            <w:r w:rsidRPr="00D067DB">
              <w:rPr>
                <w:rFonts w:eastAsiaTheme="minorHAnsi" w:cs="Arial"/>
                <w:sz w:val="20"/>
                <w:szCs w:val="20"/>
                <w:lang w:val="en-AU"/>
              </w:rPr>
              <w:t>Building and property owners abutting the proposed smoke-free</w:t>
            </w:r>
            <w:r w:rsidR="00DC053E">
              <w:rPr>
                <w:rFonts w:eastAsiaTheme="minorHAnsi" w:cs="Arial"/>
                <w:sz w:val="20"/>
                <w:szCs w:val="20"/>
                <w:lang w:val="en-AU"/>
              </w:rPr>
              <w:t xml:space="preserve"> </w:t>
            </w:r>
            <w:r w:rsidRPr="00D067DB">
              <w:rPr>
                <w:rFonts w:eastAsiaTheme="minorHAnsi" w:cs="Arial"/>
                <w:sz w:val="20"/>
                <w:szCs w:val="20"/>
                <w:lang w:val="en-AU"/>
              </w:rPr>
              <w:t>area</w:t>
            </w:r>
          </w:p>
        </w:tc>
      </w:tr>
      <w:tr w:rsidR="00D067DB" w:rsidRPr="00D067DB" w14:paraId="158EA9C0" w14:textId="77777777" w:rsidTr="002C6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3104C95" w14:textId="6E9E8E10" w:rsidR="00D067DB" w:rsidRPr="00D067DB" w:rsidRDefault="00D067DB" w:rsidP="00D067DB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line="288" w:lineRule="auto"/>
              <w:rPr>
                <w:rFonts w:eastAsiaTheme="minorHAnsi" w:cs="Arial"/>
                <w:b w:val="0"/>
                <w:sz w:val="20"/>
                <w:szCs w:val="20"/>
                <w:lang w:val="en-AU"/>
              </w:rPr>
            </w:pPr>
            <w:r w:rsidRPr="00D067DB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 xml:space="preserve">Media and </w:t>
            </w:r>
            <w:r w:rsidR="0087691F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>C</w:t>
            </w:r>
            <w:r w:rsidRPr="00D067DB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 xml:space="preserve">ommunications </w:t>
            </w:r>
          </w:p>
        </w:tc>
        <w:tc>
          <w:tcPr>
            <w:tcW w:w="4352" w:type="dxa"/>
            <w:tcBorders>
              <w:top w:val="none" w:sz="0" w:space="0" w:color="auto"/>
              <w:bottom w:val="none" w:sz="0" w:space="0" w:color="auto"/>
            </w:tcBorders>
          </w:tcPr>
          <w:p w14:paraId="6356D74E" w14:textId="77777777" w:rsidR="00D067DB" w:rsidRPr="00D067DB" w:rsidRDefault="00D067DB" w:rsidP="00D067DB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 w:val="20"/>
                <w:szCs w:val="20"/>
                <w:lang w:val="en-AU"/>
              </w:rPr>
            </w:pPr>
            <w:r w:rsidRPr="00D067DB">
              <w:rPr>
                <w:rFonts w:eastAsiaTheme="minorHAnsi" w:cs="Arial"/>
                <w:sz w:val="20"/>
                <w:szCs w:val="20"/>
                <w:lang w:val="en-AU"/>
              </w:rPr>
              <w:t>General community members who use the proposed area</w:t>
            </w:r>
          </w:p>
        </w:tc>
      </w:tr>
      <w:tr w:rsidR="00D067DB" w:rsidRPr="00D067DB" w14:paraId="3C47B9D9" w14:textId="77777777" w:rsidTr="002C6490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4" w:type="dxa"/>
            <w:tcBorders>
              <w:right w:val="none" w:sz="0" w:space="0" w:color="auto"/>
            </w:tcBorders>
          </w:tcPr>
          <w:p w14:paraId="1D12D922" w14:textId="36953758" w:rsidR="00D067DB" w:rsidRPr="00D067DB" w:rsidRDefault="00D067DB" w:rsidP="00D067DB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line="288" w:lineRule="auto"/>
              <w:rPr>
                <w:rFonts w:eastAsiaTheme="minorHAnsi" w:cs="Arial"/>
                <w:b w:val="0"/>
                <w:sz w:val="20"/>
                <w:szCs w:val="20"/>
                <w:lang w:val="en-AU"/>
              </w:rPr>
            </w:pPr>
            <w:r w:rsidRPr="00D067DB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>On-</w:t>
            </w:r>
            <w:r w:rsidR="0087691F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>S</w:t>
            </w:r>
            <w:r w:rsidRPr="00D067DB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 xml:space="preserve">treet </w:t>
            </w:r>
            <w:r w:rsidR="0087691F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>C</w:t>
            </w:r>
            <w:r w:rsidRPr="00D067DB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 xml:space="preserve">ompliance/Local </w:t>
            </w:r>
            <w:r w:rsidR="00855388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>l</w:t>
            </w:r>
            <w:r w:rsidRPr="00D067DB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>aws</w:t>
            </w:r>
          </w:p>
        </w:tc>
        <w:tc>
          <w:tcPr>
            <w:tcW w:w="4352" w:type="dxa"/>
          </w:tcPr>
          <w:p w14:paraId="7720B189" w14:textId="1BB2311B" w:rsidR="00D067DB" w:rsidRPr="00D067DB" w:rsidRDefault="00D067DB" w:rsidP="00D067DB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0"/>
                <w:szCs w:val="20"/>
                <w:lang w:val="en-AU"/>
              </w:rPr>
            </w:pPr>
            <w:r w:rsidRPr="00D067DB">
              <w:rPr>
                <w:rFonts w:eastAsiaTheme="minorHAnsi" w:cs="Arial"/>
                <w:sz w:val="20"/>
                <w:szCs w:val="20"/>
                <w:lang w:val="en-AU"/>
              </w:rPr>
              <w:t xml:space="preserve">Other key groups, sporting clubs, </w:t>
            </w:r>
            <w:r w:rsidR="00DC053E" w:rsidRPr="00D067DB">
              <w:rPr>
                <w:rFonts w:eastAsiaTheme="minorHAnsi" w:cs="Arial"/>
                <w:sz w:val="20"/>
                <w:szCs w:val="20"/>
                <w:lang w:val="en-AU"/>
              </w:rPr>
              <w:t>universities,</w:t>
            </w:r>
            <w:r w:rsidRPr="00D067DB">
              <w:rPr>
                <w:rFonts w:eastAsiaTheme="minorHAnsi" w:cs="Arial"/>
                <w:sz w:val="20"/>
                <w:szCs w:val="20"/>
                <w:lang w:val="en-AU"/>
              </w:rPr>
              <w:t xml:space="preserve"> and organisations in the area</w:t>
            </w:r>
          </w:p>
        </w:tc>
      </w:tr>
      <w:tr w:rsidR="00D067DB" w:rsidRPr="00D067DB" w14:paraId="1B8EECF5" w14:textId="77777777" w:rsidTr="002C6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6B19506" w14:textId="240704EA" w:rsidR="00D067DB" w:rsidRPr="00D067DB" w:rsidRDefault="00D067DB" w:rsidP="00D067DB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line="288" w:lineRule="auto"/>
              <w:rPr>
                <w:rFonts w:eastAsiaTheme="minorHAnsi" w:cs="Arial"/>
                <w:b w:val="0"/>
                <w:sz w:val="20"/>
                <w:szCs w:val="20"/>
                <w:lang w:val="en-AU"/>
              </w:rPr>
            </w:pPr>
            <w:r w:rsidRPr="00D067DB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 xml:space="preserve">Community </w:t>
            </w:r>
            <w:r w:rsidR="0087691F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>E</w:t>
            </w:r>
            <w:r w:rsidRPr="00D067DB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>ngagement</w:t>
            </w:r>
            <w:r w:rsidRPr="00D067DB" w:rsidDel="00507051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4352" w:type="dxa"/>
            <w:tcBorders>
              <w:top w:val="none" w:sz="0" w:space="0" w:color="auto"/>
              <w:bottom w:val="none" w:sz="0" w:space="0" w:color="auto"/>
            </w:tcBorders>
          </w:tcPr>
          <w:p w14:paraId="05AEBCD5" w14:textId="77777777" w:rsidR="00D067DB" w:rsidRPr="00D067DB" w:rsidRDefault="00D067DB" w:rsidP="00D067DB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 w:val="20"/>
                <w:szCs w:val="20"/>
                <w:lang w:val="en-AU"/>
              </w:rPr>
            </w:pPr>
            <w:r w:rsidRPr="00D067DB">
              <w:rPr>
                <w:rFonts w:eastAsiaTheme="minorHAnsi" w:cs="Arial"/>
                <w:sz w:val="20"/>
                <w:szCs w:val="20"/>
                <w:lang w:val="en-AU"/>
              </w:rPr>
              <w:t>Health promotion organisations</w:t>
            </w:r>
          </w:p>
        </w:tc>
      </w:tr>
      <w:tr w:rsidR="00D067DB" w:rsidRPr="00D067DB" w14:paraId="3A4CAF8E" w14:textId="77777777" w:rsidTr="002C6490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4" w:type="dxa"/>
            <w:tcBorders>
              <w:right w:val="none" w:sz="0" w:space="0" w:color="auto"/>
            </w:tcBorders>
          </w:tcPr>
          <w:p w14:paraId="5525219C" w14:textId="2C5F6E1D" w:rsidR="00D067DB" w:rsidRPr="00D067DB" w:rsidRDefault="00D067DB" w:rsidP="00D067DB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line="288" w:lineRule="auto"/>
              <w:rPr>
                <w:rFonts w:eastAsiaTheme="minorHAnsi" w:cs="Arial"/>
                <w:b w:val="0"/>
                <w:sz w:val="20"/>
                <w:szCs w:val="20"/>
                <w:lang w:val="en-AU"/>
              </w:rPr>
            </w:pPr>
            <w:r w:rsidRPr="00D067DB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 xml:space="preserve">Senior </w:t>
            </w:r>
            <w:r w:rsidR="00855388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>m</w:t>
            </w:r>
            <w:r w:rsidRPr="00D067DB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>anagement</w:t>
            </w:r>
          </w:p>
        </w:tc>
        <w:tc>
          <w:tcPr>
            <w:tcW w:w="4352" w:type="dxa"/>
          </w:tcPr>
          <w:p w14:paraId="0C8736C4" w14:textId="7359420C" w:rsidR="00D067DB" w:rsidRPr="00D067DB" w:rsidRDefault="00D067DB" w:rsidP="00D067DB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0"/>
                <w:szCs w:val="20"/>
                <w:lang w:val="en-AU"/>
              </w:rPr>
            </w:pPr>
            <w:r w:rsidRPr="00D067DB">
              <w:rPr>
                <w:rFonts w:eastAsiaTheme="minorHAnsi" w:cs="Arial"/>
                <w:sz w:val="20"/>
                <w:szCs w:val="20"/>
                <w:lang w:val="en-AU"/>
              </w:rPr>
              <w:t>Public health</w:t>
            </w:r>
            <w:r w:rsidR="00855388">
              <w:rPr>
                <w:rFonts w:eastAsiaTheme="minorHAnsi" w:cs="Arial"/>
                <w:sz w:val="20"/>
                <w:szCs w:val="20"/>
                <w:lang w:val="en-AU"/>
              </w:rPr>
              <w:t xml:space="preserve"> and </w:t>
            </w:r>
            <w:r w:rsidRPr="00D067DB">
              <w:rPr>
                <w:rFonts w:eastAsiaTheme="minorHAnsi" w:cs="Arial"/>
                <w:sz w:val="20"/>
                <w:szCs w:val="20"/>
                <w:lang w:val="en-AU"/>
              </w:rPr>
              <w:t>tobacco control experts</w:t>
            </w:r>
          </w:p>
        </w:tc>
      </w:tr>
      <w:tr w:rsidR="00D067DB" w:rsidRPr="00D067DB" w14:paraId="79A5EBF4" w14:textId="77777777" w:rsidTr="002C6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AF7B6D3" w14:textId="77777777" w:rsidR="00D067DB" w:rsidRPr="00D067DB" w:rsidRDefault="00D067DB" w:rsidP="00D067DB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line="288" w:lineRule="auto"/>
              <w:rPr>
                <w:rFonts w:eastAsiaTheme="minorHAnsi" w:cs="Arial"/>
                <w:b w:val="0"/>
                <w:sz w:val="20"/>
                <w:szCs w:val="20"/>
                <w:lang w:val="en-AU"/>
              </w:rPr>
            </w:pPr>
            <w:r w:rsidRPr="00D067DB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>Design team</w:t>
            </w:r>
          </w:p>
        </w:tc>
        <w:tc>
          <w:tcPr>
            <w:tcW w:w="4352" w:type="dxa"/>
            <w:tcBorders>
              <w:top w:val="none" w:sz="0" w:space="0" w:color="auto"/>
              <w:bottom w:val="none" w:sz="0" w:space="0" w:color="auto"/>
            </w:tcBorders>
          </w:tcPr>
          <w:p w14:paraId="7C2D8721" w14:textId="4247AE36" w:rsidR="00D067DB" w:rsidRPr="00D067DB" w:rsidRDefault="00855388" w:rsidP="00D067DB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 w:val="20"/>
                <w:szCs w:val="20"/>
                <w:lang w:val="en-AU"/>
              </w:rPr>
            </w:pPr>
            <w:r>
              <w:rPr>
                <w:rFonts w:eastAsiaTheme="minorHAnsi" w:cs="Arial"/>
                <w:sz w:val="20"/>
                <w:szCs w:val="20"/>
                <w:lang w:val="en-AU"/>
              </w:rPr>
              <w:t>Community engagement c</w:t>
            </w:r>
            <w:r w:rsidR="00D067DB" w:rsidRPr="00D067DB">
              <w:rPr>
                <w:rFonts w:eastAsiaTheme="minorHAnsi" w:cs="Arial"/>
                <w:sz w:val="20"/>
                <w:szCs w:val="20"/>
                <w:lang w:val="en-AU"/>
              </w:rPr>
              <w:t>onsultant (if needed)</w:t>
            </w:r>
          </w:p>
        </w:tc>
      </w:tr>
      <w:tr w:rsidR="00D067DB" w:rsidRPr="00D067DB" w14:paraId="5755B0C2" w14:textId="77777777" w:rsidTr="002C6490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4" w:type="dxa"/>
            <w:tcBorders>
              <w:right w:val="none" w:sz="0" w:space="0" w:color="auto"/>
            </w:tcBorders>
          </w:tcPr>
          <w:p w14:paraId="6D59F04A" w14:textId="715D73FD" w:rsidR="00D067DB" w:rsidRPr="00D067DB" w:rsidRDefault="00D067DB" w:rsidP="00D067DB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line="288" w:lineRule="auto"/>
              <w:rPr>
                <w:rFonts w:eastAsiaTheme="minorHAnsi" w:cs="Arial"/>
                <w:b w:val="0"/>
                <w:sz w:val="20"/>
                <w:szCs w:val="20"/>
                <w:lang w:val="en-AU"/>
              </w:rPr>
            </w:pPr>
            <w:r w:rsidRPr="00D067DB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 xml:space="preserve">Council </w:t>
            </w:r>
            <w:r w:rsidR="0087691F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>B</w:t>
            </w:r>
            <w:r w:rsidRPr="00D067DB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>usiness/</w:t>
            </w:r>
            <w:r w:rsidR="0087691F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>G</w:t>
            </w:r>
            <w:r w:rsidRPr="00D067DB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>overnance</w:t>
            </w:r>
          </w:p>
        </w:tc>
        <w:tc>
          <w:tcPr>
            <w:tcW w:w="4352" w:type="dxa"/>
          </w:tcPr>
          <w:p w14:paraId="2E644271" w14:textId="77777777" w:rsidR="00D067DB" w:rsidRPr="00D067DB" w:rsidRDefault="00D067DB" w:rsidP="00D067DB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0"/>
                <w:szCs w:val="20"/>
                <w:lang w:val="en-AU"/>
              </w:rPr>
            </w:pPr>
          </w:p>
        </w:tc>
      </w:tr>
      <w:tr w:rsidR="00D067DB" w:rsidRPr="00D067DB" w14:paraId="3EE458FC" w14:textId="77777777" w:rsidTr="002C6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D6AD5CD" w14:textId="77777777" w:rsidR="00D067DB" w:rsidRPr="00D067DB" w:rsidRDefault="00D067DB" w:rsidP="00D067DB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line="288" w:lineRule="auto"/>
              <w:rPr>
                <w:rFonts w:eastAsiaTheme="minorHAnsi" w:cs="Arial"/>
                <w:b w:val="0"/>
                <w:sz w:val="20"/>
                <w:szCs w:val="20"/>
                <w:lang w:val="en-AU"/>
              </w:rPr>
            </w:pPr>
            <w:r w:rsidRPr="00D067DB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>Finance</w:t>
            </w:r>
            <w:r w:rsidRPr="00D067DB" w:rsidDel="00507051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4352" w:type="dxa"/>
            <w:tcBorders>
              <w:top w:val="none" w:sz="0" w:space="0" w:color="auto"/>
              <w:bottom w:val="none" w:sz="0" w:space="0" w:color="auto"/>
            </w:tcBorders>
          </w:tcPr>
          <w:p w14:paraId="5698CC59" w14:textId="77777777" w:rsidR="00D067DB" w:rsidRPr="00D067DB" w:rsidRDefault="00D067DB" w:rsidP="00D067DB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 w:val="20"/>
                <w:szCs w:val="20"/>
                <w:lang w:val="en-AU"/>
              </w:rPr>
            </w:pPr>
          </w:p>
        </w:tc>
      </w:tr>
      <w:tr w:rsidR="00D067DB" w:rsidRPr="00D067DB" w14:paraId="7862AB21" w14:textId="77777777" w:rsidTr="002C6490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4" w:type="dxa"/>
            <w:tcBorders>
              <w:right w:val="none" w:sz="0" w:space="0" w:color="auto"/>
            </w:tcBorders>
          </w:tcPr>
          <w:p w14:paraId="59368F8A" w14:textId="77777777" w:rsidR="00D067DB" w:rsidRPr="00D067DB" w:rsidRDefault="00D067DB" w:rsidP="00D067DB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line="288" w:lineRule="auto"/>
              <w:rPr>
                <w:rFonts w:eastAsiaTheme="minorHAnsi" w:cs="Arial"/>
                <w:b w:val="0"/>
                <w:sz w:val="20"/>
                <w:szCs w:val="20"/>
                <w:lang w:val="en-AU"/>
              </w:rPr>
            </w:pPr>
            <w:r w:rsidRPr="00D067DB">
              <w:rPr>
                <w:rFonts w:eastAsiaTheme="minorHAnsi" w:cs="Arial"/>
                <w:b w:val="0"/>
                <w:sz w:val="20"/>
                <w:szCs w:val="20"/>
                <w:lang w:val="en-AU"/>
              </w:rPr>
              <w:t>Councillors</w:t>
            </w:r>
          </w:p>
        </w:tc>
        <w:tc>
          <w:tcPr>
            <w:tcW w:w="4352" w:type="dxa"/>
          </w:tcPr>
          <w:p w14:paraId="1D2D92BA" w14:textId="77777777" w:rsidR="00D067DB" w:rsidRPr="00D067DB" w:rsidRDefault="00D067DB" w:rsidP="00D067DB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sz w:val="20"/>
                <w:szCs w:val="20"/>
                <w:lang w:val="en-AU"/>
              </w:rPr>
            </w:pPr>
          </w:p>
        </w:tc>
      </w:tr>
    </w:tbl>
    <w:p w14:paraId="7C4C0EB7" w14:textId="77777777" w:rsidR="003356AB" w:rsidRPr="004A26E3" w:rsidRDefault="003356AB">
      <w:pPr>
        <w:pStyle w:val="Heading1"/>
        <w:rPr>
          <w:rFonts w:hint="eastAsia"/>
        </w:rPr>
      </w:pPr>
    </w:p>
    <w:sectPr w:rsidR="003356AB" w:rsidRPr="004A26E3" w:rsidSect="00EF11AE">
      <w:endnotePr>
        <w:numFmt w:val="decimal"/>
      </w:endnotePr>
      <w:pgSz w:w="11900" w:h="16840"/>
      <w:pgMar w:top="1418" w:right="98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2E2F" w14:textId="77777777" w:rsidR="00D067DB" w:rsidRDefault="00D067DB" w:rsidP="00BC719D">
      <w:pPr>
        <w:spacing w:after="0"/>
      </w:pPr>
      <w:r>
        <w:separator/>
      </w:r>
    </w:p>
  </w:endnote>
  <w:endnote w:type="continuationSeparator" w:id="0">
    <w:p w14:paraId="70C6EE6E" w14:textId="77777777" w:rsidR="00D067DB" w:rsidRDefault="00D067DB" w:rsidP="00EA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3685" w14:textId="77777777" w:rsidR="00D067DB" w:rsidRDefault="00D067DB" w:rsidP="00577A39">
      <w:pPr>
        <w:spacing w:after="40" w:line="240" w:lineRule="auto"/>
      </w:pPr>
      <w:r>
        <w:separator/>
      </w:r>
    </w:p>
  </w:footnote>
  <w:footnote w:type="continuationSeparator" w:id="0">
    <w:p w14:paraId="28153A66" w14:textId="77777777" w:rsidR="00D067DB" w:rsidRDefault="00D067DB" w:rsidP="00EA2130">
      <w:r>
        <w:continuationSeparator/>
      </w:r>
    </w:p>
  </w:footnote>
  <w:footnote w:id="1">
    <w:p w14:paraId="78E7F385" w14:textId="77777777" w:rsidR="002F7BD8" w:rsidRPr="002F7BD8" w:rsidRDefault="002F7BD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2F7BD8">
        <w:t>https://hdp-au-prod-app-com-participate-files.s3.ap-southeast-2.amazonaws.com/2316/4446/1973/050909r09_COME_Smoke-Free_Melbourne_Policy_WEB.pdf</w:t>
      </w:r>
    </w:p>
  </w:footnote>
  <w:footnote w:id="2">
    <w:p w14:paraId="5493AE2E" w14:textId="77777777" w:rsidR="002F7BD8" w:rsidRPr="002F7BD8" w:rsidRDefault="002F7BD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2F7BD8">
        <w:t>http://classic.austlii.edu.au/au/legis/vic/consol_act/lga2020182/s74.html#:~:text=(1)%20Before%20a%20Council%20makes,with%20the%20local%20law%20requirements.</w:t>
      </w:r>
    </w:p>
  </w:footnote>
  <w:footnote w:id="3">
    <w:p w14:paraId="408E0748" w14:textId="627EFBF9" w:rsidR="002F7BD8" w:rsidRPr="002F7BD8" w:rsidRDefault="002F7BD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587BB1" w:rsidRPr="00587BB1">
        <w:t>https://www.melbourne.vic.gov.au/smoking-and-vaping</w:t>
      </w:r>
    </w:p>
  </w:footnote>
  <w:footnote w:id="4">
    <w:p w14:paraId="23BA3691" w14:textId="77777777" w:rsidR="00070CDA" w:rsidRPr="00070CDA" w:rsidRDefault="00070CD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70CDA">
        <w:t>https://participate.melbourne.vic.gov.au/smokefree</w:t>
      </w:r>
    </w:p>
  </w:footnote>
  <w:footnote w:id="5">
    <w:p w14:paraId="39CC113F" w14:textId="77777777" w:rsidR="00070CDA" w:rsidRPr="00070CDA" w:rsidRDefault="00070CD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70CDA">
        <w:t>https://www.vichealth.vic.gov.au/-/media/2023/VLGP/Strengthening-Tobacco-Control_VLGP.pdf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D7047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E16EBE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2B036AB"/>
    <w:multiLevelType w:val="hybridMultilevel"/>
    <w:tmpl w:val="6C96502C"/>
    <w:lvl w:ilvl="0" w:tplc="8EE8C2C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1651D5"/>
    <w:multiLevelType w:val="hybridMultilevel"/>
    <w:tmpl w:val="306C1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D51CC"/>
    <w:multiLevelType w:val="multilevel"/>
    <w:tmpl w:val="41269988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4"/>
        </w:tabs>
        <w:ind w:left="1071" w:hanging="357"/>
      </w:pPr>
      <w:rPr>
        <w:rFonts w:ascii="Symbol" w:hAnsi="Symbol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1431"/>
        </w:tabs>
        <w:ind w:left="1428" w:hanging="35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8"/>
        </w:tabs>
        <w:ind w:left="1785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5" w15:restartNumberingAfterBreak="0">
    <w:nsid w:val="25AA25E9"/>
    <w:multiLevelType w:val="multilevel"/>
    <w:tmpl w:val="16506B6C"/>
    <w:styleLink w:val="ListNumbers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31"/>
        </w:tabs>
        <w:ind w:left="1731" w:hanging="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6" w15:restartNumberingAfterBreak="0">
    <w:nsid w:val="2A2B5D1C"/>
    <w:multiLevelType w:val="multilevel"/>
    <w:tmpl w:val="16506B6C"/>
    <w:numStyleLink w:val="ListNumbers"/>
  </w:abstractNum>
  <w:abstractNum w:abstractNumId="7" w15:restartNumberingAfterBreak="0">
    <w:nsid w:val="35D56F47"/>
    <w:multiLevelType w:val="hybridMultilevel"/>
    <w:tmpl w:val="9126D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164BA"/>
    <w:multiLevelType w:val="hybridMultilevel"/>
    <w:tmpl w:val="E49CBFE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10957"/>
    <w:multiLevelType w:val="multilevel"/>
    <w:tmpl w:val="16506B6C"/>
    <w:numStyleLink w:val="ListNumbers"/>
  </w:abstractNum>
  <w:abstractNum w:abstractNumId="10" w15:restartNumberingAfterBreak="0">
    <w:nsid w:val="618D1D39"/>
    <w:multiLevelType w:val="hybridMultilevel"/>
    <w:tmpl w:val="B3B472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209CA"/>
    <w:multiLevelType w:val="multilevel"/>
    <w:tmpl w:val="16506B6C"/>
    <w:numStyleLink w:val="ListNumbers"/>
  </w:abstractNum>
  <w:abstractNum w:abstractNumId="12" w15:restartNumberingAfterBreak="0">
    <w:nsid w:val="7A2C43DC"/>
    <w:multiLevelType w:val="multilevel"/>
    <w:tmpl w:val="16506B6C"/>
    <w:numStyleLink w:val="ListNumbers"/>
  </w:abstractNum>
  <w:abstractNum w:abstractNumId="13" w15:restartNumberingAfterBreak="0">
    <w:nsid w:val="7DD1201F"/>
    <w:multiLevelType w:val="multilevel"/>
    <w:tmpl w:val="16506B6C"/>
    <w:lvl w:ilvl="0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31"/>
        </w:tabs>
        <w:ind w:left="1731" w:hanging="767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num w:numId="1" w16cid:durableId="2053572044">
    <w:abstractNumId w:val="4"/>
  </w:num>
  <w:num w:numId="2" w16cid:durableId="1893691370">
    <w:abstractNumId w:val="5"/>
  </w:num>
  <w:num w:numId="3" w16cid:durableId="24910791">
    <w:abstractNumId w:val="12"/>
  </w:num>
  <w:num w:numId="4" w16cid:durableId="983772784">
    <w:abstractNumId w:val="0"/>
  </w:num>
  <w:num w:numId="5" w16cid:durableId="1327222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7930628">
    <w:abstractNumId w:val="6"/>
  </w:num>
  <w:num w:numId="7" w16cid:durableId="1700625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7619101">
    <w:abstractNumId w:val="11"/>
  </w:num>
  <w:num w:numId="9" w16cid:durableId="605816920">
    <w:abstractNumId w:val="9"/>
  </w:num>
  <w:num w:numId="10" w16cid:durableId="12808007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2290950">
    <w:abstractNumId w:val="1"/>
  </w:num>
  <w:num w:numId="12" w16cid:durableId="1038355934">
    <w:abstractNumId w:val="7"/>
  </w:num>
  <w:num w:numId="13" w16cid:durableId="507403993">
    <w:abstractNumId w:val="10"/>
  </w:num>
  <w:num w:numId="14" w16cid:durableId="684675772">
    <w:abstractNumId w:val="13"/>
  </w:num>
  <w:num w:numId="15" w16cid:durableId="15278638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0653944">
    <w:abstractNumId w:val="2"/>
  </w:num>
  <w:num w:numId="17" w16cid:durableId="1640332113">
    <w:abstractNumId w:val="3"/>
  </w:num>
  <w:num w:numId="18" w16cid:durableId="111004877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DB"/>
    <w:rsid w:val="00020B35"/>
    <w:rsid w:val="000437C5"/>
    <w:rsid w:val="000474AE"/>
    <w:rsid w:val="00070CDA"/>
    <w:rsid w:val="00071857"/>
    <w:rsid w:val="000A2BDA"/>
    <w:rsid w:val="000A48D5"/>
    <w:rsid w:val="000B5EAA"/>
    <w:rsid w:val="000F3535"/>
    <w:rsid w:val="00190B0E"/>
    <w:rsid w:val="001A1F87"/>
    <w:rsid w:val="001B51BF"/>
    <w:rsid w:val="001F46B4"/>
    <w:rsid w:val="001F554D"/>
    <w:rsid w:val="00221358"/>
    <w:rsid w:val="002436A6"/>
    <w:rsid w:val="002438B7"/>
    <w:rsid w:val="0024773F"/>
    <w:rsid w:val="00265C1E"/>
    <w:rsid w:val="002D630D"/>
    <w:rsid w:val="002E4153"/>
    <w:rsid w:val="002F47B6"/>
    <w:rsid w:val="002F6A88"/>
    <w:rsid w:val="002F7BD8"/>
    <w:rsid w:val="003356AB"/>
    <w:rsid w:val="00380F44"/>
    <w:rsid w:val="00392688"/>
    <w:rsid w:val="003A2BCD"/>
    <w:rsid w:val="003A494B"/>
    <w:rsid w:val="003D2D81"/>
    <w:rsid w:val="003D63A8"/>
    <w:rsid w:val="003E3A9F"/>
    <w:rsid w:val="00407429"/>
    <w:rsid w:val="00426584"/>
    <w:rsid w:val="00431D45"/>
    <w:rsid w:val="004564F4"/>
    <w:rsid w:val="00457042"/>
    <w:rsid w:val="004666BC"/>
    <w:rsid w:val="004878DB"/>
    <w:rsid w:val="00493E0A"/>
    <w:rsid w:val="00494A2D"/>
    <w:rsid w:val="004A26E3"/>
    <w:rsid w:val="004C09D1"/>
    <w:rsid w:val="004C1633"/>
    <w:rsid w:val="004D00DD"/>
    <w:rsid w:val="004E1ECE"/>
    <w:rsid w:val="004F54F5"/>
    <w:rsid w:val="00535159"/>
    <w:rsid w:val="0053666A"/>
    <w:rsid w:val="005620A0"/>
    <w:rsid w:val="0056634E"/>
    <w:rsid w:val="0057264C"/>
    <w:rsid w:val="00577A39"/>
    <w:rsid w:val="005814F5"/>
    <w:rsid w:val="00587BB1"/>
    <w:rsid w:val="005D30BA"/>
    <w:rsid w:val="005F2CF7"/>
    <w:rsid w:val="005F4391"/>
    <w:rsid w:val="006443DB"/>
    <w:rsid w:val="00687D4A"/>
    <w:rsid w:val="0069723F"/>
    <w:rsid w:val="006A2F63"/>
    <w:rsid w:val="006A3718"/>
    <w:rsid w:val="006C6A9E"/>
    <w:rsid w:val="006C7F7B"/>
    <w:rsid w:val="006F77D4"/>
    <w:rsid w:val="00712950"/>
    <w:rsid w:val="00715B3E"/>
    <w:rsid w:val="0073401D"/>
    <w:rsid w:val="007361D8"/>
    <w:rsid w:val="00737A99"/>
    <w:rsid w:val="007619A0"/>
    <w:rsid w:val="00782E37"/>
    <w:rsid w:val="00791378"/>
    <w:rsid w:val="007A0AA6"/>
    <w:rsid w:val="007E291E"/>
    <w:rsid w:val="007F0661"/>
    <w:rsid w:val="007F485A"/>
    <w:rsid w:val="00802A52"/>
    <w:rsid w:val="00806F0F"/>
    <w:rsid w:val="00831224"/>
    <w:rsid w:val="00850D66"/>
    <w:rsid w:val="00855388"/>
    <w:rsid w:val="00855F84"/>
    <w:rsid w:val="0087691F"/>
    <w:rsid w:val="00881C97"/>
    <w:rsid w:val="008A3204"/>
    <w:rsid w:val="008D2DDA"/>
    <w:rsid w:val="008E2476"/>
    <w:rsid w:val="008E6768"/>
    <w:rsid w:val="009043FC"/>
    <w:rsid w:val="009050C6"/>
    <w:rsid w:val="0091365A"/>
    <w:rsid w:val="00955E32"/>
    <w:rsid w:val="0097181E"/>
    <w:rsid w:val="00990B3C"/>
    <w:rsid w:val="009D1FBA"/>
    <w:rsid w:val="009F4681"/>
    <w:rsid w:val="00A01D13"/>
    <w:rsid w:val="00A121B3"/>
    <w:rsid w:val="00A54BE2"/>
    <w:rsid w:val="00A8651A"/>
    <w:rsid w:val="00A86D43"/>
    <w:rsid w:val="00AA4303"/>
    <w:rsid w:val="00AB6132"/>
    <w:rsid w:val="00AC5FF5"/>
    <w:rsid w:val="00AD0E44"/>
    <w:rsid w:val="00AD2B6E"/>
    <w:rsid w:val="00AF02E0"/>
    <w:rsid w:val="00B152AF"/>
    <w:rsid w:val="00B24F53"/>
    <w:rsid w:val="00B522FF"/>
    <w:rsid w:val="00B53D5A"/>
    <w:rsid w:val="00B61F7F"/>
    <w:rsid w:val="00B93B1F"/>
    <w:rsid w:val="00BA1768"/>
    <w:rsid w:val="00BC5E8E"/>
    <w:rsid w:val="00BC719D"/>
    <w:rsid w:val="00BE100F"/>
    <w:rsid w:val="00BE1269"/>
    <w:rsid w:val="00BE4B49"/>
    <w:rsid w:val="00BE6801"/>
    <w:rsid w:val="00C0291B"/>
    <w:rsid w:val="00C05740"/>
    <w:rsid w:val="00C07190"/>
    <w:rsid w:val="00C14F9F"/>
    <w:rsid w:val="00C2007C"/>
    <w:rsid w:val="00C37F6A"/>
    <w:rsid w:val="00C42412"/>
    <w:rsid w:val="00C73DA2"/>
    <w:rsid w:val="00C8721D"/>
    <w:rsid w:val="00CA3730"/>
    <w:rsid w:val="00CA6B2A"/>
    <w:rsid w:val="00CB6145"/>
    <w:rsid w:val="00CB63B7"/>
    <w:rsid w:val="00CD382D"/>
    <w:rsid w:val="00D00427"/>
    <w:rsid w:val="00D02C4A"/>
    <w:rsid w:val="00D067DB"/>
    <w:rsid w:val="00D36C32"/>
    <w:rsid w:val="00D660E3"/>
    <w:rsid w:val="00D74459"/>
    <w:rsid w:val="00D77363"/>
    <w:rsid w:val="00DC053E"/>
    <w:rsid w:val="00DE6845"/>
    <w:rsid w:val="00DE7003"/>
    <w:rsid w:val="00E4646D"/>
    <w:rsid w:val="00E5089C"/>
    <w:rsid w:val="00E67FEE"/>
    <w:rsid w:val="00E86DCD"/>
    <w:rsid w:val="00E94A1C"/>
    <w:rsid w:val="00EA2130"/>
    <w:rsid w:val="00EC4AF9"/>
    <w:rsid w:val="00ED7629"/>
    <w:rsid w:val="00EF11AE"/>
    <w:rsid w:val="00F03DF7"/>
    <w:rsid w:val="00F07FBE"/>
    <w:rsid w:val="00F24B46"/>
    <w:rsid w:val="00F4048D"/>
    <w:rsid w:val="00F41FC6"/>
    <w:rsid w:val="00F61B69"/>
    <w:rsid w:val="00F63593"/>
    <w:rsid w:val="00F83261"/>
    <w:rsid w:val="00F923D5"/>
    <w:rsid w:val="00FA2DFF"/>
    <w:rsid w:val="00FC6D23"/>
    <w:rsid w:val="00FE2B9D"/>
    <w:rsid w:val="00FF1497"/>
    <w:rsid w:val="00FF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9123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65A"/>
    <w:pPr>
      <w:spacing w:after="200" w:line="276" w:lineRule="auto"/>
    </w:pPr>
    <w:rPr>
      <w:rFonts w:ascii="Arial" w:hAnsi="Arial"/>
      <w:szCs w:val="24"/>
      <w:lang w:eastAsia="en-US"/>
    </w:rPr>
  </w:style>
  <w:style w:type="paragraph" w:styleId="Heading1">
    <w:name w:val="heading 1"/>
    <w:next w:val="Normal"/>
    <w:link w:val="Heading1Char"/>
    <w:qFormat/>
    <w:rsid w:val="00802A52"/>
    <w:pPr>
      <w:spacing w:before="400" w:after="240" w:line="276" w:lineRule="auto"/>
      <w:outlineLvl w:val="0"/>
    </w:pPr>
    <w:rPr>
      <w:rFonts w:ascii="Arial Bold" w:eastAsia="MS Gothic" w:hAnsi="Arial Bold"/>
      <w:bCs/>
      <w:sz w:val="28"/>
      <w:szCs w:val="32"/>
      <w:lang w:val="en-US" w:eastAsia="en-US"/>
    </w:rPr>
  </w:style>
  <w:style w:type="paragraph" w:styleId="Heading2">
    <w:name w:val="heading 2"/>
    <w:next w:val="Normal"/>
    <w:link w:val="Heading2Char"/>
    <w:qFormat/>
    <w:rsid w:val="00802A52"/>
    <w:pPr>
      <w:spacing w:before="320" w:after="200" w:line="276" w:lineRule="auto"/>
      <w:outlineLvl w:val="1"/>
    </w:pPr>
    <w:rPr>
      <w:rFonts w:ascii="Arial Bold" w:eastAsia="MS Gothic" w:hAnsi="Arial Bold"/>
      <w:bCs/>
      <w:sz w:val="24"/>
      <w:szCs w:val="26"/>
      <w:lang w:val="en-US" w:eastAsia="en-US"/>
    </w:rPr>
  </w:style>
  <w:style w:type="paragraph" w:styleId="Heading3">
    <w:name w:val="heading 3"/>
    <w:basedOn w:val="Heading2"/>
    <w:next w:val="Normal"/>
    <w:link w:val="Heading3Char"/>
    <w:qFormat/>
    <w:rsid w:val="00802A52"/>
    <w:pPr>
      <w:spacing w:before="280" w:after="160"/>
      <w:outlineLvl w:val="2"/>
    </w:pPr>
    <w:rPr>
      <w:bCs w:val="0"/>
      <w:sz w:val="22"/>
    </w:rPr>
  </w:style>
  <w:style w:type="paragraph" w:styleId="Heading4">
    <w:name w:val="heading 4"/>
    <w:basedOn w:val="Heading3"/>
    <w:next w:val="Normal"/>
    <w:link w:val="Heading4Char"/>
    <w:rsid w:val="00802A52"/>
    <w:pPr>
      <w:spacing w:before="200" w:after="120"/>
      <w:outlineLvl w:val="3"/>
    </w:pPr>
    <w:rPr>
      <w:rFonts w:eastAsia="MS Mincho"/>
      <w:bCs/>
      <w:sz w:val="20"/>
      <w:szCs w:val="28"/>
    </w:rPr>
  </w:style>
  <w:style w:type="paragraph" w:styleId="Heading5">
    <w:name w:val="heading 5"/>
    <w:basedOn w:val="Heading4"/>
    <w:next w:val="Normal"/>
    <w:link w:val="Heading5Char"/>
    <w:rsid w:val="00802A52"/>
    <w:pPr>
      <w:spacing w:after="80"/>
      <w:outlineLvl w:val="4"/>
    </w:pPr>
    <w:rPr>
      <w:rFonts w:ascii="Arial" w:hAnsi="Arial"/>
      <w:bCs w:val="0"/>
      <w:iCs/>
      <w:szCs w:val="26"/>
    </w:rPr>
  </w:style>
  <w:style w:type="paragraph" w:styleId="Heading6">
    <w:name w:val="heading 6"/>
    <w:basedOn w:val="Normal"/>
    <w:next w:val="Normal"/>
    <w:link w:val="Heading6Char"/>
    <w:rsid w:val="00C2007C"/>
    <w:p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rsid w:val="00C2007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2A52"/>
    <w:rPr>
      <w:rFonts w:ascii="Arial Bold" w:eastAsia="MS Gothic" w:hAnsi="Arial Bold"/>
      <w:bCs/>
      <w:sz w:val="28"/>
      <w:szCs w:val="32"/>
      <w:lang w:val="en-US" w:eastAsia="en-US"/>
    </w:rPr>
  </w:style>
  <w:style w:type="character" w:customStyle="1" w:styleId="Heading2Char">
    <w:name w:val="Heading 2 Char"/>
    <w:link w:val="Heading2"/>
    <w:rsid w:val="00802A52"/>
    <w:rPr>
      <w:rFonts w:ascii="Arial Bold" w:eastAsia="MS Gothic" w:hAnsi="Arial Bold"/>
      <w:bCs/>
      <w:sz w:val="24"/>
      <w:szCs w:val="26"/>
      <w:lang w:val="en-US" w:eastAsia="en-US"/>
    </w:rPr>
  </w:style>
  <w:style w:type="character" w:customStyle="1" w:styleId="Heading3Char">
    <w:name w:val="Heading 3 Char"/>
    <w:link w:val="Heading3"/>
    <w:rsid w:val="00802A52"/>
    <w:rPr>
      <w:rFonts w:ascii="Arial Bold" w:eastAsia="MS Gothic" w:hAnsi="Arial Bold"/>
      <w:sz w:val="22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13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A2130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11AE"/>
    <w:pPr>
      <w:tabs>
        <w:tab w:val="center" w:pos="4320"/>
        <w:tab w:val="right" w:pos="8640"/>
      </w:tabs>
      <w:spacing w:after="0" w:line="240" w:lineRule="auto"/>
    </w:pPr>
    <w:rPr>
      <w:sz w:val="18"/>
    </w:rPr>
  </w:style>
  <w:style w:type="character" w:customStyle="1" w:styleId="FooterChar">
    <w:name w:val="Footer Char"/>
    <w:link w:val="Footer"/>
    <w:uiPriority w:val="99"/>
    <w:rsid w:val="00EF11AE"/>
    <w:rPr>
      <w:rFonts w:ascii="Arial" w:hAnsi="Arial"/>
      <w:sz w:val="18"/>
      <w:szCs w:val="24"/>
      <w:lang w:eastAsia="en-US"/>
    </w:rPr>
  </w:style>
  <w:style w:type="table" w:styleId="TableGrid">
    <w:name w:val="Table Grid"/>
    <w:basedOn w:val="TableNormal"/>
    <w:uiPriority w:val="59"/>
    <w:rsid w:val="00190B0E"/>
    <w:rPr>
      <w:rFonts w:ascii="Arial" w:eastAsia="Cambria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DocumentMap">
    <w:name w:val="Document Map"/>
    <w:basedOn w:val="Normal"/>
    <w:link w:val="DocumentMapChar"/>
    <w:uiPriority w:val="99"/>
    <w:unhideWhenUsed/>
    <w:rsid w:val="00881C97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rsid w:val="00881C97"/>
    <w:rPr>
      <w:rFonts w:ascii="Lucida Grande" w:hAnsi="Lucida Grande" w:cs="Lucida Grande"/>
    </w:rPr>
  </w:style>
  <w:style w:type="paragraph" w:styleId="TOCHeading">
    <w:name w:val="TOC Heading"/>
    <w:basedOn w:val="Heading1"/>
    <w:next w:val="TOC1"/>
    <w:uiPriority w:val="39"/>
    <w:qFormat/>
    <w:rsid w:val="00C14F9F"/>
    <w:pPr>
      <w:outlineLvl w:val="9"/>
    </w:pPr>
    <w:rPr>
      <w:bCs w:val="0"/>
    </w:rPr>
  </w:style>
  <w:style w:type="paragraph" w:styleId="TOC1">
    <w:name w:val="toc 1"/>
    <w:basedOn w:val="Normal"/>
    <w:next w:val="Normal"/>
    <w:uiPriority w:val="39"/>
    <w:rsid w:val="00F07FBE"/>
    <w:pPr>
      <w:spacing w:after="120"/>
    </w:pPr>
  </w:style>
  <w:style w:type="character" w:customStyle="1" w:styleId="ItalicText">
    <w:name w:val="Italic Text"/>
    <w:qFormat/>
    <w:rsid w:val="00F63593"/>
    <w:rPr>
      <w:rFonts w:ascii="Arial" w:hAnsi="Arial"/>
      <w:i/>
      <w:sz w:val="20"/>
    </w:rPr>
  </w:style>
  <w:style w:type="paragraph" w:styleId="Header">
    <w:name w:val="header"/>
    <w:basedOn w:val="Normal"/>
    <w:next w:val="Normal"/>
    <w:link w:val="HeaderChar"/>
    <w:rsid w:val="00A121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21B3"/>
    <w:rPr>
      <w:sz w:val="24"/>
      <w:szCs w:val="24"/>
      <w:lang w:val="en-US" w:eastAsia="en-US"/>
    </w:rPr>
  </w:style>
  <w:style w:type="paragraph" w:styleId="ListBullet">
    <w:name w:val="List Bullet"/>
    <w:basedOn w:val="Normal"/>
    <w:qFormat/>
    <w:rsid w:val="007E291E"/>
    <w:pPr>
      <w:numPr>
        <w:numId w:val="1"/>
      </w:numPr>
      <w:spacing w:after="120"/>
    </w:pPr>
    <w:rPr>
      <w:lang w:val="en-US"/>
    </w:rPr>
  </w:style>
  <w:style w:type="paragraph" w:styleId="EndnoteText">
    <w:name w:val="endnote text"/>
    <w:basedOn w:val="Normal"/>
    <w:link w:val="EndnoteTextChar"/>
    <w:rsid w:val="00EF11AE"/>
    <w:pPr>
      <w:spacing w:after="40"/>
    </w:pPr>
    <w:rPr>
      <w:sz w:val="16"/>
      <w:szCs w:val="20"/>
    </w:rPr>
  </w:style>
  <w:style w:type="character" w:customStyle="1" w:styleId="EndnoteTextChar">
    <w:name w:val="Endnote Text Char"/>
    <w:link w:val="EndnoteText"/>
    <w:rsid w:val="00EF11AE"/>
    <w:rPr>
      <w:rFonts w:ascii="Arial" w:hAnsi="Arial"/>
      <w:sz w:val="16"/>
      <w:lang w:eastAsia="en-US"/>
    </w:rPr>
  </w:style>
  <w:style w:type="character" w:styleId="EndnoteReference">
    <w:name w:val="endnote reference"/>
    <w:rsid w:val="001F554D"/>
    <w:rPr>
      <w:vertAlign w:val="superscript"/>
    </w:rPr>
  </w:style>
  <w:style w:type="paragraph" w:styleId="FootnoteText">
    <w:name w:val="footnote text"/>
    <w:basedOn w:val="Normal"/>
    <w:link w:val="FootnoteTextChar"/>
    <w:rsid w:val="00EF11AE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EF11AE"/>
    <w:rPr>
      <w:rFonts w:ascii="Arial" w:hAnsi="Arial"/>
      <w:sz w:val="16"/>
      <w:lang w:eastAsia="en-US"/>
    </w:rPr>
  </w:style>
  <w:style w:type="character" w:styleId="FootnoteReference">
    <w:name w:val="footnote reference"/>
    <w:rsid w:val="001F554D"/>
    <w:rPr>
      <w:vertAlign w:val="superscript"/>
    </w:rPr>
  </w:style>
  <w:style w:type="paragraph" w:styleId="ListNumber">
    <w:name w:val="List Number"/>
    <w:basedOn w:val="Normal"/>
    <w:qFormat/>
    <w:rsid w:val="004878DB"/>
    <w:pPr>
      <w:numPr>
        <w:numId w:val="14"/>
      </w:numPr>
      <w:spacing w:after="120"/>
    </w:pPr>
  </w:style>
  <w:style w:type="paragraph" w:styleId="ListNumber2">
    <w:name w:val="List Number 2"/>
    <w:basedOn w:val="ListNumber"/>
    <w:rsid w:val="004878DB"/>
    <w:pPr>
      <w:numPr>
        <w:ilvl w:val="1"/>
      </w:numPr>
    </w:pPr>
  </w:style>
  <w:style w:type="paragraph" w:styleId="TableofFigures">
    <w:name w:val="table of figures"/>
    <w:basedOn w:val="Normal"/>
    <w:qFormat/>
    <w:rsid w:val="00493E0A"/>
    <w:pPr>
      <w:spacing w:after="0"/>
    </w:pPr>
    <w:rPr>
      <w:lang w:val="en-US"/>
    </w:rPr>
  </w:style>
  <w:style w:type="numbering" w:customStyle="1" w:styleId="ListBullets">
    <w:name w:val="ListBullets"/>
    <w:uiPriority w:val="99"/>
    <w:rsid w:val="00CA3730"/>
    <w:pPr>
      <w:numPr>
        <w:numId w:val="1"/>
      </w:numPr>
    </w:pPr>
  </w:style>
  <w:style w:type="paragraph" w:styleId="ListBullet2">
    <w:name w:val="List Bullet 2"/>
    <w:basedOn w:val="Normal"/>
    <w:rsid w:val="007E291E"/>
    <w:pPr>
      <w:numPr>
        <w:ilvl w:val="1"/>
        <w:numId w:val="1"/>
      </w:numPr>
      <w:spacing w:after="120"/>
    </w:pPr>
    <w:rPr>
      <w:lang w:val="en-US"/>
    </w:rPr>
  </w:style>
  <w:style w:type="paragraph" w:styleId="ListParagraph">
    <w:name w:val="List Paragraph"/>
    <w:basedOn w:val="Normal"/>
    <w:rsid w:val="004A26E3"/>
    <w:pPr>
      <w:numPr>
        <w:numId w:val="16"/>
      </w:numPr>
      <w:spacing w:after="120"/>
    </w:pPr>
    <w:rPr>
      <w:lang w:val="en-US"/>
    </w:rPr>
  </w:style>
  <w:style w:type="paragraph" w:styleId="ListBullet3">
    <w:name w:val="List Bullet 3"/>
    <w:basedOn w:val="Normal"/>
    <w:rsid w:val="007E291E"/>
    <w:pPr>
      <w:numPr>
        <w:ilvl w:val="2"/>
        <w:numId w:val="1"/>
      </w:numPr>
      <w:spacing w:after="120"/>
    </w:pPr>
  </w:style>
  <w:style w:type="paragraph" w:styleId="ListBullet4">
    <w:name w:val="List Bullet 4"/>
    <w:basedOn w:val="Normal"/>
    <w:rsid w:val="007E291E"/>
    <w:pPr>
      <w:numPr>
        <w:ilvl w:val="3"/>
        <w:numId w:val="1"/>
      </w:numPr>
      <w:spacing w:after="120"/>
      <w:ind w:left="1429"/>
    </w:pPr>
  </w:style>
  <w:style w:type="paragraph" w:styleId="ListBullet5">
    <w:name w:val="List Bullet 5"/>
    <w:basedOn w:val="Normal"/>
    <w:rsid w:val="007E291E"/>
    <w:pPr>
      <w:numPr>
        <w:ilvl w:val="4"/>
        <w:numId w:val="1"/>
      </w:numPr>
      <w:spacing w:after="120"/>
      <w:ind w:left="1786"/>
    </w:pPr>
  </w:style>
  <w:style w:type="paragraph" w:styleId="ListNumber3">
    <w:name w:val="List Number 3"/>
    <w:basedOn w:val="Normal"/>
    <w:rsid w:val="004878DB"/>
    <w:pPr>
      <w:numPr>
        <w:ilvl w:val="2"/>
        <w:numId w:val="14"/>
      </w:numPr>
      <w:spacing w:after="120"/>
    </w:pPr>
  </w:style>
  <w:style w:type="paragraph" w:styleId="ListNumber4">
    <w:name w:val="List Number 4"/>
    <w:basedOn w:val="Normal"/>
    <w:rsid w:val="004878DB"/>
    <w:pPr>
      <w:numPr>
        <w:ilvl w:val="3"/>
        <w:numId w:val="14"/>
      </w:numPr>
      <w:spacing w:after="120"/>
    </w:pPr>
  </w:style>
  <w:style w:type="numbering" w:customStyle="1" w:styleId="ListNumbers">
    <w:name w:val="ListNumbers"/>
    <w:uiPriority w:val="99"/>
    <w:rsid w:val="00D02C4A"/>
    <w:pPr>
      <w:numPr>
        <w:numId w:val="2"/>
      </w:numPr>
    </w:pPr>
  </w:style>
  <w:style w:type="character" w:customStyle="1" w:styleId="Heading4Char">
    <w:name w:val="Heading 4 Char"/>
    <w:link w:val="Heading4"/>
    <w:rsid w:val="00802A52"/>
    <w:rPr>
      <w:rFonts w:ascii="Arial Bold" w:hAnsi="Arial Bold"/>
      <w:bCs/>
      <w:szCs w:val="28"/>
      <w:lang w:val="en-US" w:eastAsia="en-US"/>
    </w:rPr>
  </w:style>
  <w:style w:type="paragraph" w:customStyle="1" w:styleId="Bold">
    <w:name w:val="Bold"/>
    <w:basedOn w:val="Normal"/>
    <w:next w:val="Normal"/>
    <w:link w:val="BoldChar"/>
    <w:qFormat/>
    <w:rsid w:val="008D2DDA"/>
    <w:rPr>
      <w:b/>
    </w:rPr>
  </w:style>
  <w:style w:type="paragraph" w:styleId="TOC2">
    <w:name w:val="toc 2"/>
    <w:basedOn w:val="Normal"/>
    <w:next w:val="Normal"/>
    <w:autoRedefine/>
    <w:uiPriority w:val="39"/>
    <w:rsid w:val="00C14F9F"/>
    <w:pPr>
      <w:tabs>
        <w:tab w:val="right" w:leader="dot" w:pos="9769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rsid w:val="00C2007C"/>
    <w:pPr>
      <w:tabs>
        <w:tab w:val="right" w:leader="dot" w:pos="9769"/>
      </w:tabs>
      <w:spacing w:after="120"/>
      <w:ind w:left="567"/>
    </w:pPr>
  </w:style>
  <w:style w:type="character" w:styleId="Hyperlink">
    <w:name w:val="Hyperlink"/>
    <w:uiPriority w:val="99"/>
    <w:unhideWhenUsed/>
    <w:rsid w:val="004E1ECE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C2007C"/>
    <w:pPr>
      <w:spacing w:after="120"/>
      <w:ind w:left="851"/>
    </w:pPr>
  </w:style>
  <w:style w:type="character" w:customStyle="1" w:styleId="Heading5Char">
    <w:name w:val="Heading 5 Char"/>
    <w:link w:val="Heading5"/>
    <w:rsid w:val="00802A52"/>
    <w:rPr>
      <w:rFonts w:ascii="Arial" w:hAnsi="Arial"/>
      <w:iCs/>
      <w:szCs w:val="26"/>
      <w:lang w:val="en-US" w:eastAsia="en-US"/>
    </w:rPr>
  </w:style>
  <w:style w:type="character" w:customStyle="1" w:styleId="Heading6Char">
    <w:name w:val="Heading 6 Char"/>
    <w:link w:val="Heading6"/>
    <w:rsid w:val="00C2007C"/>
    <w:rPr>
      <w:rFonts w:ascii="Arial" w:eastAsia="MS Mincho" w:hAnsi="Arial" w:cs="Times New Roman"/>
      <w:bCs/>
      <w:szCs w:val="22"/>
      <w:lang w:eastAsia="en-US"/>
    </w:rPr>
  </w:style>
  <w:style w:type="character" w:customStyle="1" w:styleId="Heading7Char">
    <w:name w:val="Heading 7 Char"/>
    <w:link w:val="Heading7"/>
    <w:rsid w:val="00C2007C"/>
    <w:rPr>
      <w:rFonts w:ascii="Arial" w:eastAsia="MS Mincho" w:hAnsi="Arial" w:cs="Times New Roman"/>
      <w:szCs w:val="24"/>
      <w:lang w:eastAsia="en-US"/>
    </w:rPr>
  </w:style>
  <w:style w:type="paragraph" w:styleId="TOC5">
    <w:name w:val="toc 5"/>
    <w:basedOn w:val="Normal"/>
    <w:next w:val="Normal"/>
    <w:autoRedefine/>
    <w:uiPriority w:val="39"/>
    <w:rsid w:val="00B152AF"/>
    <w:pPr>
      <w:spacing w:after="120"/>
      <w:ind w:left="1134"/>
    </w:pPr>
  </w:style>
  <w:style w:type="character" w:customStyle="1" w:styleId="BoldChar">
    <w:name w:val="Bold Char"/>
    <w:link w:val="Bold"/>
    <w:rsid w:val="00190B0E"/>
    <w:rPr>
      <w:rFonts w:ascii="Arial" w:hAnsi="Arial"/>
      <w:b/>
      <w:szCs w:val="24"/>
      <w:lang w:eastAsia="en-US"/>
    </w:rPr>
  </w:style>
  <w:style w:type="paragraph" w:styleId="Caption">
    <w:name w:val="caption"/>
    <w:basedOn w:val="Normal"/>
    <w:next w:val="Normal"/>
    <w:rsid w:val="0091365A"/>
    <w:pPr>
      <w:spacing w:before="240"/>
    </w:pPr>
    <w:rPr>
      <w:rFonts w:ascii="Arial Bold" w:hAnsi="Arial Bold"/>
      <w:b/>
      <w:bCs/>
      <w:szCs w:val="18"/>
    </w:rPr>
  </w:style>
  <w:style w:type="paragraph" w:styleId="TOAHeading">
    <w:name w:val="toa heading"/>
    <w:basedOn w:val="Normal"/>
    <w:next w:val="Normal"/>
    <w:rsid w:val="00380F44"/>
    <w:pPr>
      <w:spacing w:before="120"/>
    </w:pPr>
    <w:rPr>
      <w:rFonts w:ascii="Calibri" w:eastAsia="MS Gothic" w:hAnsi="Calibri"/>
      <w:b/>
      <w:bCs/>
      <w:sz w:val="24"/>
    </w:rPr>
  </w:style>
  <w:style w:type="character" w:styleId="Strong">
    <w:name w:val="Strong"/>
    <w:rsid w:val="00380F44"/>
    <w:rPr>
      <w:b/>
      <w:bCs/>
    </w:rPr>
  </w:style>
  <w:style w:type="paragraph" w:customStyle="1" w:styleId="DocumentTitle">
    <w:name w:val="Document Title"/>
    <w:basedOn w:val="Normal"/>
    <w:next w:val="Subtitle"/>
    <w:qFormat/>
    <w:rsid w:val="00C14F9F"/>
    <w:pPr>
      <w:spacing w:before="600" w:after="480"/>
    </w:pPr>
    <w:rPr>
      <w:noProof/>
      <w:sz w:val="52"/>
    </w:rPr>
  </w:style>
  <w:style w:type="paragraph" w:styleId="Title">
    <w:name w:val="Title"/>
    <w:basedOn w:val="Normal"/>
    <w:next w:val="Normal"/>
    <w:link w:val="TitleChar"/>
    <w:rsid w:val="00380F44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rsid w:val="000F3535"/>
    <w:pPr>
      <w:spacing w:after="360"/>
    </w:pPr>
    <w:rPr>
      <w:rFonts w:eastAsia="MS Gothic"/>
      <w:sz w:val="44"/>
    </w:rPr>
  </w:style>
  <w:style w:type="character" w:customStyle="1" w:styleId="SubtitleChar">
    <w:name w:val="Subtitle Char"/>
    <w:link w:val="Subtitle"/>
    <w:rsid w:val="000F3535"/>
    <w:rPr>
      <w:rFonts w:ascii="Arial" w:eastAsia="MS Gothic" w:hAnsi="Arial" w:cs="Times New Roman"/>
      <w:sz w:val="44"/>
      <w:szCs w:val="24"/>
      <w:lang w:eastAsia="en-US"/>
    </w:rPr>
  </w:style>
  <w:style w:type="paragraph" w:customStyle="1" w:styleId="Subtitle2">
    <w:name w:val="Subtitle2"/>
    <w:basedOn w:val="Subtitle"/>
    <w:next w:val="Heading1"/>
    <w:qFormat/>
    <w:rsid w:val="00380F44"/>
    <w:rPr>
      <w:sz w:val="36"/>
    </w:rPr>
  </w:style>
  <w:style w:type="character" w:customStyle="1" w:styleId="TitleChar">
    <w:name w:val="Title Char"/>
    <w:link w:val="Title"/>
    <w:rsid w:val="00380F44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Nospace">
    <w:name w:val="No space"/>
    <w:basedOn w:val="Normal"/>
    <w:qFormat/>
    <w:rsid w:val="00E86DCD"/>
    <w:pPr>
      <w:spacing w:after="0"/>
    </w:pPr>
    <w:rPr>
      <w:noProof/>
      <w:lang w:eastAsia="en-AU"/>
    </w:rPr>
  </w:style>
  <w:style w:type="paragraph" w:customStyle="1" w:styleId="CoMBodytext">
    <w:name w:val="CoM_Body text"/>
    <w:basedOn w:val="Normal"/>
    <w:link w:val="CoMBodytextChar"/>
    <w:qFormat/>
    <w:rsid w:val="00D067D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line="288" w:lineRule="auto"/>
    </w:pPr>
    <w:rPr>
      <w:rFonts w:eastAsiaTheme="minorHAnsi" w:cs="Arial"/>
      <w:szCs w:val="16"/>
    </w:rPr>
  </w:style>
  <w:style w:type="character" w:customStyle="1" w:styleId="CoMBodytextChar">
    <w:name w:val="CoM_Body text Char"/>
    <w:basedOn w:val="DefaultParagraphFont"/>
    <w:link w:val="CoMBodytext"/>
    <w:rsid w:val="00D067DB"/>
    <w:rPr>
      <w:rFonts w:ascii="Arial" w:eastAsiaTheme="minorHAnsi" w:hAnsi="Arial" w:cs="Arial"/>
      <w:szCs w:val="16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D067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D067DB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3356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A49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4666BC"/>
    <w:rPr>
      <w:rFonts w:ascii="Arial" w:hAnsi="Arial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DE700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700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E700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7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7003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semiHidden/>
    <w:unhideWhenUsed/>
    <w:rsid w:val="00AD0E4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dp-au-prod-app-com-participate-files.s3.ap-southeast-2.amazonaws.com/2316/4446/1973/050909r09_COME_Smoke-Free_Melbourne_Policy_WEB.pdf" TargetMode="External"/><Relationship Id="rId13" Type="http://schemas.openxmlformats.org/officeDocument/2006/relationships/hyperlink" Target="https://www.vichealth.vic.gov.au/-/media/2023/VLGP/Strengthening-Tobacco-Control_VLGP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articipate.melbourne.vic.gov.au/smokefr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lbourne.vic.gov.au/smoking-and-vapi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lassic.austlii.edu.au/au/legis/vic/consol_act/lga2020182/s7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vga-prod-files.s3.ap-southeast-4.amazonaws.com/public/2024-08/SEP24%20FMC1%20AGENDA%20ITEM%206.7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2024-09-17T22:20:00Z</dcterms:created>
  <dcterms:modified xsi:type="dcterms:W3CDTF">2024-09-17T22:21:00Z</dcterms:modified>
  <cp:contentStatus/>
</cp:coreProperties>
</file>