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01E2" w14:textId="77777777" w:rsidR="00083B97" w:rsidRPr="00820D7E" w:rsidRDefault="009A39A9" w:rsidP="00820D7E">
      <w:pPr>
        <w:pStyle w:val="Heading1"/>
      </w:pPr>
      <w:r w:rsidRPr="00820D7E">
        <w:t>FAIR ACCESS</w:t>
      </w:r>
      <w:r w:rsidR="00083B97" w:rsidRPr="00820D7E">
        <w:t xml:space="preserve"> </w:t>
      </w:r>
      <w:r w:rsidRPr="00820D7E">
        <w:t>SPORT AND RECREATION ALLOCATION AND USE POLICY</w:t>
      </w:r>
      <w:r w:rsidR="00083B97" w:rsidRPr="00820D7E">
        <w:t xml:space="preserve"> </w:t>
      </w:r>
      <w:r w:rsidRPr="00820D7E">
        <w:t>2024-2027</w:t>
      </w:r>
    </w:p>
    <w:p w14:paraId="0C797BD1" w14:textId="77777777" w:rsidR="00083B97" w:rsidRPr="00820D7E" w:rsidRDefault="00083B97" w:rsidP="00820D7E">
      <w:pPr>
        <w:pStyle w:val="BodyText"/>
      </w:pPr>
    </w:p>
    <w:p w14:paraId="2B8FA99D" w14:textId="77777777" w:rsidR="00083B97" w:rsidRPr="00820D7E" w:rsidRDefault="00083B97" w:rsidP="00820D7E">
      <w:pPr>
        <w:pStyle w:val="Heading2"/>
      </w:pPr>
      <w:r w:rsidRPr="00820D7E">
        <w:t>Acknowledgement the Traditional Owners</w:t>
      </w:r>
    </w:p>
    <w:p w14:paraId="416AB7B7" w14:textId="77777777" w:rsidR="00083B97" w:rsidRPr="00820D7E" w:rsidRDefault="00083B97" w:rsidP="00820D7E">
      <w:pPr>
        <w:pStyle w:val="BodyText"/>
      </w:pPr>
      <w:r w:rsidRPr="00820D7E">
        <w:t>The City of Melbourne respectfully acknowledges the Traditional Owners of the land we govern, the Wurundjeri Woi-wurrung and Bunurong / Boon Wurrung peoples of the Kulin and pays respect to their Elders past and present. We acknowledge and honor the unbroken spiritual, cultural and political connection they have maintained to this unique place for more than 2000 generations. We accept the invitation in the Uluru Statement from the Heart and are committed to walking together to build a better future.</w:t>
      </w:r>
    </w:p>
    <w:p w14:paraId="3616AC7E" w14:textId="77777777" w:rsidR="00083B97" w:rsidRPr="00820D7E" w:rsidRDefault="00083B97" w:rsidP="00820D7E">
      <w:pPr>
        <w:pStyle w:val="Heading2"/>
      </w:pPr>
      <w:r w:rsidRPr="00820D7E">
        <w:rPr>
          <w:noProof/>
        </w:rPr>
        <mc:AlternateContent>
          <mc:Choice Requires="wps">
            <w:drawing>
              <wp:anchor distT="0" distB="0" distL="0" distR="0" simplePos="0" relativeHeight="487599104" behindDoc="0" locked="0" layoutInCell="1" allowOverlap="1" wp14:anchorId="0B193D3B" wp14:editId="624EA885">
                <wp:simplePos x="0" y="0"/>
                <wp:positionH relativeFrom="page">
                  <wp:posOffset>0</wp:posOffset>
                </wp:positionH>
                <wp:positionV relativeFrom="page">
                  <wp:posOffset>3</wp:posOffset>
                </wp:positionV>
                <wp:extent cx="1270" cy="10692130"/>
                <wp:effectExtent l="0" t="0" r="0" b="0"/>
                <wp:wrapNone/>
                <wp:docPr id="154"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E4E1DD"/>
                        </a:solidFill>
                      </wps:spPr>
                      <wps:bodyPr wrap="square" lIns="0" tIns="0" rIns="0" bIns="0" rtlCol="0">
                        <a:prstTxWarp prst="textNoShape">
                          <a:avLst/>
                        </a:prstTxWarp>
                        <a:noAutofit/>
                      </wps:bodyPr>
                    </wps:wsp>
                  </a:graphicData>
                </a:graphic>
              </wp:anchor>
            </w:drawing>
          </mc:Choice>
          <mc:Fallback>
            <w:pict>
              <v:shape w14:anchorId="20829B13" id="Graphic 26" o:spid="_x0000_s1026" style="position:absolute;margin-left:0;margin-top:0;width:.1pt;height:841.9pt;z-index:487599104;visibility:visible;mso-wrap-style:square;mso-wrap-distance-left:0;mso-wrap-distance-top:0;mso-wrap-distance-right:0;mso-wrap-distance-bottom:0;mso-position-horizontal:absolute;mso-position-horizontal-relative:page;mso-position-vertical:absolute;mso-position-vertical-relative:page;v-text-anchor:top" coordsize="127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" path="m,l,10692003e" fillcolor="#e4e1dd" stroked="f">
                <v:path arrowok="t"/>
                <w10:wrap anchorx="page" anchory="page"/>
              </v:shape>
            </w:pict>
          </mc:Fallback>
        </mc:AlternateContent>
      </w:r>
      <w:r w:rsidRPr="00820D7E">
        <w:t>Contents</w:t>
      </w:r>
    </w:p>
    <w:p w14:paraId="1EE41C6A" w14:textId="1E119307" w:rsidR="00083B97" w:rsidRPr="00820D7E" w:rsidRDefault="00083B97" w:rsidP="00820D7E">
      <w:pPr>
        <w:pStyle w:val="BodyText"/>
      </w:pPr>
      <w:r w:rsidRPr="00820D7E">
        <w:t xml:space="preserve">The fair access sport and recreation </w:t>
      </w:r>
      <w:r w:rsidR="00820D7E">
        <w:t>allocation and use policy</w:t>
      </w:r>
      <w:r w:rsidRPr="00820D7E">
        <w:t xml:space="preserve"> </w:t>
      </w:r>
      <w:r w:rsidR="00820D7E">
        <w:t xml:space="preserve">was endorsed by council in June 2024. </w:t>
      </w:r>
      <w:r w:rsidRPr="00820D7E">
        <w:t xml:space="preserve">The contents of this document includes background information, objectives, key findings, purpose, context and alignment, </w:t>
      </w:r>
      <w:r w:rsidR="00820D7E">
        <w:t xml:space="preserve">scope and limitation, criteria for allocations </w:t>
      </w:r>
      <w:r w:rsidRPr="00820D7E">
        <w:t xml:space="preserve">and appendices. </w:t>
      </w:r>
    </w:p>
    <w:p w14:paraId="3022E2A7" w14:textId="77777777" w:rsidR="00083B97" w:rsidRPr="00820D7E" w:rsidRDefault="00083B97" w:rsidP="00820D7E">
      <w:pPr>
        <w:pStyle w:val="Heading2"/>
      </w:pPr>
      <w:r w:rsidRPr="00820D7E">
        <w:t>Background information</w:t>
      </w:r>
    </w:p>
    <w:p w14:paraId="455DF9D5" w14:textId="4DDC34C5" w:rsidR="00083B97" w:rsidRPr="00820D7E" w:rsidRDefault="00083B97" w:rsidP="00820D7E">
      <w:pPr>
        <w:pStyle w:val="BodyText"/>
      </w:pPr>
      <w:r w:rsidRPr="00820D7E">
        <w:t>Our city is where people of all cultures, backgrounds, ages, genders, sexualities, beliefs, and abilities are welcomed, celebrated, and protected. As a result, our urban communities are fair, sustainable, safe, affordable, and inclusive, drawing people from around the world to visit, work and live. We are proud of the vibrancy this diversity brings to every aspect of city life a quote from the Inclusive Melbourne Strategy 2022</w:t>
      </w:r>
      <w:r w:rsidR="007A78DB">
        <w:t>-20</w:t>
      </w:r>
      <w:r w:rsidRPr="00820D7E">
        <w:t>32.</w:t>
      </w:r>
    </w:p>
    <w:p w14:paraId="41464010" w14:textId="05DB5A91" w:rsidR="00083B97" w:rsidRPr="00820D7E" w:rsidRDefault="00083B97" w:rsidP="00820D7E">
      <w:pPr>
        <w:pStyle w:val="BodyText"/>
      </w:pPr>
      <w:r w:rsidRPr="00820D7E">
        <w:t>Sport and active recreation are highly visible and valued features of the City of Melbourne’s culture and identity. Our community sport and recreation facilities enrich our communities through supporting physical and mental wellbeing and the promotion of respect and fair-mindedness. These facilities are made available to various organisations, including sporting clubs, associations, community groups, schools, commercial operators and other</w:t>
      </w:r>
      <w:r w:rsidR="007A78DB">
        <w:t xml:space="preserve"> </w:t>
      </w:r>
      <w:r w:rsidRPr="00820D7E">
        <w:t>user groups to provide a range of participation opportunities.</w:t>
      </w:r>
    </w:p>
    <w:p w14:paraId="102FDE51" w14:textId="65CBA612" w:rsidR="00083B97" w:rsidRPr="00820D7E" w:rsidRDefault="00083B97" w:rsidP="00820D7E">
      <w:pPr>
        <w:pStyle w:val="BodyText"/>
      </w:pPr>
      <w:r w:rsidRPr="00820D7E">
        <w:t>Our diverse and fast</w:t>
      </w:r>
      <w:r w:rsidR="004B6775">
        <w:t xml:space="preserve"> </w:t>
      </w:r>
      <w:r w:rsidRPr="00820D7E">
        <w:t>growing population, the expansion of existing sports and recreation activities, and the emergence of new participation opportunities are increasing the demand for infrastructure and open spaces.</w:t>
      </w:r>
      <w:r w:rsidR="00820D7E">
        <w:t xml:space="preserve"> </w:t>
      </w:r>
      <w:r w:rsidRPr="00820D7E">
        <w:t>To support the health and wellbeing of our community, now and in the future, it’s imperative that we carefully plan and manage these resources.</w:t>
      </w:r>
    </w:p>
    <w:p w14:paraId="17708E83" w14:textId="50AEF221" w:rsidR="00083B97" w:rsidRPr="00820D7E" w:rsidRDefault="00083B97" w:rsidP="00820D7E">
      <w:pPr>
        <w:pStyle w:val="BodyText"/>
      </w:pPr>
      <w:r w:rsidRPr="00820D7E">
        <w:t xml:space="preserve">A Fair Access Policy Roadmap was developed by the Victorian Government’s Office for Women in Sport and Recreation, Sport and Recreation Victoria and VicHealth and released in August 2022. It aims to improve women’s and girls’ access to and use of community sports infrastructure. The Roadmap addresses Recommendation 6 from the Victorian Government’s Inquiry into Women and Girls in Sport and Active Recreation </w:t>
      </w:r>
      <w:r w:rsidR="007A78DB">
        <w:t xml:space="preserve">in </w:t>
      </w:r>
      <w:r w:rsidRPr="00820D7E">
        <w:t>2015</w:t>
      </w:r>
      <w:r w:rsidR="007A78DB">
        <w:t xml:space="preserve"> </w:t>
      </w:r>
      <w:r w:rsidRPr="00820D7E">
        <w:t>s</w:t>
      </w:r>
      <w:r w:rsidR="007A78DB">
        <w:t>ought</w:t>
      </w:r>
      <w:r w:rsidRPr="00820D7E">
        <w:t xml:space="preserve"> to “deliver female-friendly environments and equitable facility usage policies”.</w:t>
      </w:r>
    </w:p>
    <w:p w14:paraId="5417FD33" w14:textId="77777777" w:rsidR="00083B97" w:rsidRPr="00820D7E" w:rsidRDefault="00083B97" w:rsidP="00820D7E">
      <w:pPr>
        <w:pStyle w:val="BodyText"/>
      </w:pPr>
      <w:r w:rsidRPr="00820D7E">
        <w:t>Fair Access in the City of Melbourne has a primary focus on women and girls and acknowledges the multiple interacting experiences of individuals that need to be considered to improve participation in community sport and recreation. These include, but are not limited to, cultural and ethnic background, sexuality, age, gender, socio- economic status, education level, occupation, ability, faith, and beliefs. We also seek to improve participation opportunities for other underrepresented groups where possible.</w:t>
      </w:r>
    </w:p>
    <w:p w14:paraId="37595D8D" w14:textId="26E7BF60" w:rsidR="00083B97" w:rsidRPr="00820D7E" w:rsidRDefault="00083B97" w:rsidP="00820D7E">
      <w:pPr>
        <w:pStyle w:val="BodyText"/>
      </w:pPr>
      <w:r w:rsidRPr="00820D7E">
        <w:t xml:space="preserve">Our response to the </w:t>
      </w:r>
      <w:r w:rsidR="004B6775" w:rsidRPr="00820D7E">
        <w:t>roadmap</w:t>
      </w:r>
      <w:r w:rsidRPr="00820D7E">
        <w:t xml:space="preserve"> aims to build capacity to identify and eliminate systemic causes of gender inequality, ableism and cultural bias in policy, programs, communications, and community sports and recreation services delivery. We acknowledge that a number of user groups already provide a range of inclusive participation opportunities and we are committed to supporting and mentoring all groups to achieve fair access for all.</w:t>
      </w:r>
    </w:p>
    <w:p w14:paraId="202EDB0B" w14:textId="097ED2A4" w:rsidR="00083B97" w:rsidRDefault="00083B97" w:rsidP="00820D7E">
      <w:pPr>
        <w:pStyle w:val="BodyText"/>
      </w:pPr>
      <w:r w:rsidRPr="00820D7E">
        <w:softHyphen/>
      </w:r>
      <w:r w:rsidRPr="00820D7E">
        <w:softHyphen/>
        <w:t>We have developed a Fair Access Sport and Recreation Allocation and Use Policy and Fair Access Sport and Recreation Action Plan. The action plan and policy both seek to improve the access and use of the City of Melbourne’s community sports and recreation facilities.</w:t>
      </w:r>
    </w:p>
    <w:p w14:paraId="22BC4EDD" w14:textId="77777777" w:rsidR="004B6775" w:rsidRDefault="004B6775" w:rsidP="00820D7E">
      <w:pPr>
        <w:pStyle w:val="BodyText"/>
      </w:pPr>
    </w:p>
    <w:p w14:paraId="476C1CAE" w14:textId="77777777" w:rsidR="004B6775" w:rsidRPr="00820D7E" w:rsidRDefault="004B6775" w:rsidP="00820D7E">
      <w:pPr>
        <w:pStyle w:val="BodyText"/>
      </w:pPr>
    </w:p>
    <w:p w14:paraId="2E1AA606" w14:textId="77777777" w:rsidR="00083B97" w:rsidRPr="00820D7E" w:rsidRDefault="00083B97" w:rsidP="00820D7E">
      <w:pPr>
        <w:pStyle w:val="Heading2"/>
      </w:pPr>
      <w:r w:rsidRPr="00820D7E">
        <w:lastRenderedPageBreak/>
        <w:t>Guiding Principles</w:t>
      </w:r>
    </w:p>
    <w:p w14:paraId="4F600ED8" w14:textId="77777777" w:rsidR="00083B97" w:rsidRPr="00820D7E" w:rsidRDefault="00083B97" w:rsidP="00820D7E">
      <w:pPr>
        <w:pStyle w:val="BodyText"/>
      </w:pPr>
      <w:r w:rsidRPr="00820D7E">
        <w:t>Our Fair Access guiding principles are:</w:t>
      </w:r>
    </w:p>
    <w:p w14:paraId="33264611" w14:textId="77777777" w:rsidR="00083B97" w:rsidRPr="00820D7E" w:rsidRDefault="00083B97" w:rsidP="00820D7E">
      <w:pPr>
        <w:pStyle w:val="BodyText"/>
      </w:pPr>
      <w:r w:rsidRPr="00820D7E">
        <w:t>Community sports infrastructure and environments are genuinely welcoming, safe and inclusive.</w:t>
      </w:r>
    </w:p>
    <w:p w14:paraId="5E5ACC98" w14:textId="77777777" w:rsidR="00083B97" w:rsidRPr="00820D7E" w:rsidRDefault="00083B97" w:rsidP="00820D7E">
      <w:pPr>
        <w:pStyle w:val="BodyText"/>
      </w:pPr>
      <w:r w:rsidRPr="00820D7E">
        <w:t>Women and girls can fully participate in all aspects of community sport and active recreation, including as players, coaches, administrators, officials, volunteers and spectators.</w:t>
      </w:r>
    </w:p>
    <w:p w14:paraId="5C67DBED" w14:textId="77777777" w:rsidR="00083B97" w:rsidRPr="00820D7E" w:rsidRDefault="00083B97" w:rsidP="00820D7E">
      <w:pPr>
        <w:pStyle w:val="BodyText"/>
      </w:pPr>
      <w:r w:rsidRPr="00820D7E">
        <w:t>Women and girls will have equitable access to and use of community sports infrastructure of the highest quality available and most convenient.</w:t>
      </w:r>
    </w:p>
    <w:p w14:paraId="176D04D7" w14:textId="77777777" w:rsidR="00083B97" w:rsidRPr="00820D7E" w:rsidRDefault="00083B97" w:rsidP="00820D7E">
      <w:pPr>
        <w:pStyle w:val="BodyText"/>
      </w:pPr>
      <w:r w:rsidRPr="00820D7E">
        <w:t>Women and girls will have equitable access to and use of community sports infrastructure at the best and most popular competition and training times and locations.</w:t>
      </w:r>
    </w:p>
    <w:p w14:paraId="4C5F7B9B" w14:textId="77777777" w:rsidR="00083B97" w:rsidRPr="00820D7E" w:rsidRDefault="00083B97" w:rsidP="00820D7E">
      <w:pPr>
        <w:pStyle w:val="BodyText"/>
      </w:pPr>
      <w:r w:rsidRPr="00820D7E">
        <w:t>Women and girls will have equitable access to and use of community sports infrastructure to support existing and new participation opportunities and a variety of sports.</w:t>
      </w:r>
    </w:p>
    <w:p w14:paraId="0615B870" w14:textId="77777777" w:rsidR="00083B97" w:rsidRPr="00820D7E" w:rsidRDefault="00083B97" w:rsidP="00820D7E">
      <w:pPr>
        <w:pStyle w:val="BodyText"/>
      </w:pPr>
      <w:r w:rsidRPr="00820D7E">
        <w:t>Women and girls will be equitably represented in leadership and governance roles.</w:t>
      </w:r>
    </w:p>
    <w:p w14:paraId="0A514CF9" w14:textId="0A058158" w:rsidR="00083B97" w:rsidRPr="00820D7E" w:rsidRDefault="00083B97" w:rsidP="00820D7E">
      <w:pPr>
        <w:pStyle w:val="BodyText"/>
      </w:pPr>
      <w:r w:rsidRPr="00820D7E">
        <w:t>Encourage and support all user groups to understand and adopt gender</w:t>
      </w:r>
      <w:r w:rsidR="004B6775">
        <w:t xml:space="preserve"> </w:t>
      </w:r>
      <w:r w:rsidRPr="00820D7E">
        <w:t>equitable access and use practices.</w:t>
      </w:r>
    </w:p>
    <w:p w14:paraId="6C02AD58" w14:textId="78D22691" w:rsidR="00083B97" w:rsidRPr="00820D7E" w:rsidRDefault="00083B97" w:rsidP="00820D7E">
      <w:pPr>
        <w:pStyle w:val="BodyText"/>
      </w:pPr>
      <w:r w:rsidRPr="00820D7E">
        <w:t>Prioritise access, use and support to all user groups who demonstrate an ongoing commitment to gender</w:t>
      </w:r>
      <w:r w:rsidR="004B6775">
        <w:t xml:space="preserve"> </w:t>
      </w:r>
      <w:r w:rsidRPr="00820D7E">
        <w:t>equitable access and use of allocated community sports infrastructure.</w:t>
      </w:r>
    </w:p>
    <w:p w14:paraId="3DC0EE59" w14:textId="77777777" w:rsidR="00083B97" w:rsidRPr="00820D7E" w:rsidRDefault="00083B97" w:rsidP="00820D7E">
      <w:pPr>
        <w:pStyle w:val="BodyText"/>
      </w:pPr>
      <w:r w:rsidRPr="00820D7E">
        <w:t>The guiding principles will strengthen a culture of inclusion, care and respect at the community sport and recreation facilities in the City of Melbourne.</w:t>
      </w:r>
    </w:p>
    <w:p w14:paraId="2D849D08" w14:textId="77777777" w:rsidR="00083B97" w:rsidRPr="00820D7E" w:rsidRDefault="00083B97" w:rsidP="00820D7E">
      <w:pPr>
        <w:pStyle w:val="Heading2"/>
      </w:pPr>
      <w:r w:rsidRPr="00820D7E">
        <w:t>Objectives</w:t>
      </w:r>
    </w:p>
    <w:p w14:paraId="5389076F" w14:textId="78EC4EB6" w:rsidR="00083B97" w:rsidRPr="00820D7E" w:rsidRDefault="00083B97" w:rsidP="00820D7E">
      <w:pPr>
        <w:pStyle w:val="BodyText"/>
      </w:pPr>
      <w:r w:rsidRPr="00820D7E">
        <w:t xml:space="preserve">Our Fair Access objectives are to provide fair and equitable access to increase participation for women and girls in recreation and physical activity and </w:t>
      </w:r>
      <w:r w:rsidR="004B6775">
        <w:t>i</w:t>
      </w:r>
      <w:r w:rsidRPr="00820D7E">
        <w:t>ncrease the number and diversity of women and girls participating in recreation and physical activity and benefit from the associated physical, mental, social and wellbeing outcomes.</w:t>
      </w:r>
    </w:p>
    <w:p w14:paraId="4AEF0AC2" w14:textId="77777777" w:rsidR="00083B97" w:rsidRPr="00820D7E" w:rsidRDefault="00083B97" w:rsidP="00820D7E">
      <w:pPr>
        <w:pStyle w:val="Heading2"/>
      </w:pPr>
      <w:r w:rsidRPr="00820D7E">
        <w:t>Key Findings</w:t>
      </w:r>
    </w:p>
    <w:p w14:paraId="4F7CA1B9" w14:textId="77777777" w:rsidR="00083B97" w:rsidRPr="00820D7E" w:rsidRDefault="00083B97" w:rsidP="00820D7E">
      <w:pPr>
        <w:pStyle w:val="BodyText"/>
      </w:pPr>
      <w:r w:rsidRPr="00820D7E">
        <w:t>City of Melbourne undertook research and community engagement to identify the barriers women, girls and other underrepresented groups face to participation in sport and recreation. We identified barriers to involvement by users and non-users, as well as motivators for participating in sport and recreation.</w:t>
      </w:r>
    </w:p>
    <w:p w14:paraId="7B550999" w14:textId="77777777" w:rsidR="00083B97" w:rsidRPr="00820D7E" w:rsidRDefault="00083B97" w:rsidP="00820D7E">
      <w:pPr>
        <w:pStyle w:val="BodyText"/>
      </w:pPr>
      <w:r w:rsidRPr="00820D7E">
        <w:t>The key findings from the community engagement was that women and girls:</w:t>
      </w:r>
    </w:p>
    <w:p w14:paraId="729A1B00" w14:textId="0DD6D607" w:rsidR="00083B97" w:rsidRPr="00820D7E" w:rsidRDefault="00083B97" w:rsidP="00820D7E">
      <w:pPr>
        <w:pStyle w:val="BodyText"/>
      </w:pPr>
      <w:r w:rsidRPr="00820D7E">
        <w:t>want to feel safe getting to and from and while participating in community sports and recreation facilities at night</w:t>
      </w:r>
      <w:r w:rsidR="004B6775">
        <w:t xml:space="preserve">. They </w:t>
      </w:r>
      <w:r w:rsidRPr="00820D7E">
        <w:t>want sport and recreation facilities that are well designed and maintained to meet their needs</w:t>
      </w:r>
      <w:r w:rsidR="004B6775">
        <w:t xml:space="preserve">. They </w:t>
      </w:r>
      <w:r w:rsidRPr="00820D7E">
        <w:t>want to feel welcome and included at community sports and recreation facilities.</w:t>
      </w:r>
      <w:r w:rsidR="004B6775">
        <w:t xml:space="preserve"> They </w:t>
      </w:r>
      <w:r w:rsidRPr="00820D7E">
        <w:t>want to participate in sport and recreation in different ways, including activities that are more social, fun, non- competitive</w:t>
      </w:r>
      <w:r w:rsidR="004B6775">
        <w:t xml:space="preserve"> and </w:t>
      </w:r>
      <w:r w:rsidRPr="00820D7E">
        <w:t>routine, modified, culturally appropriate and family friendly.</w:t>
      </w:r>
      <w:r w:rsidR="004B6775">
        <w:t xml:space="preserve"> They </w:t>
      </w:r>
      <w:r w:rsidRPr="00820D7E">
        <w:t>want easier introductions to sports and recreation activities that are non-threatening, build skills and confidence, and provide a range of pathways.</w:t>
      </w:r>
      <w:r w:rsidR="004B6775">
        <w:t xml:space="preserve"> They </w:t>
      </w:r>
      <w:r w:rsidRPr="00820D7E">
        <w:t>want access to sports and recreation facilities and activities at convenient times and locations</w:t>
      </w:r>
      <w:r w:rsidR="004B6775">
        <w:t xml:space="preserve"> and they </w:t>
      </w:r>
      <w:r w:rsidRPr="00820D7E">
        <w:t>want nearby facilities that enable them to participate in the sports and recreation activities they are interested in.</w:t>
      </w:r>
    </w:p>
    <w:p w14:paraId="72CFEA37" w14:textId="77777777" w:rsidR="00EF7DD9" w:rsidRDefault="00083B97" w:rsidP="00820D7E">
      <w:pPr>
        <w:pStyle w:val="BodyText"/>
      </w:pPr>
      <w:r w:rsidRPr="00820D7E">
        <w:t xml:space="preserve">Other key findings were that women and girls need easily accessible information on participating in community sport and recreation and want people like them in leadership and facilitation roles. </w:t>
      </w:r>
    </w:p>
    <w:p w14:paraId="1D0AC95C" w14:textId="407F6845" w:rsidR="00083B97" w:rsidRPr="00820D7E" w:rsidRDefault="00083B97" w:rsidP="00820D7E">
      <w:pPr>
        <w:pStyle w:val="BodyText"/>
      </w:pPr>
      <w:r w:rsidRPr="00820D7E">
        <w:t>Women and girls also said they would benefit from the promotion of the opportunities and advantages of participating in community sport and recreation.</w:t>
      </w:r>
    </w:p>
    <w:p w14:paraId="41DB99BA" w14:textId="77777777" w:rsidR="00083B97" w:rsidRPr="00820D7E" w:rsidRDefault="00083B97" w:rsidP="00820D7E">
      <w:pPr>
        <w:pStyle w:val="BodyText"/>
      </w:pPr>
      <w:r w:rsidRPr="00820D7E">
        <w:t>Our research and community engagement also found that women and girls who experience financial barriers need suitable pricing to participate in sports and recreation. Another key finding was that women and girls want sport and recreation staff, facilitators and players to be respectful and welcoming to all people.</w:t>
      </w:r>
    </w:p>
    <w:p w14:paraId="20A53D1A" w14:textId="77777777" w:rsidR="00083B97" w:rsidRPr="00820D7E" w:rsidRDefault="00083B97" w:rsidP="00820D7E">
      <w:pPr>
        <w:pStyle w:val="Heading2"/>
      </w:pPr>
      <w:r w:rsidRPr="00820D7E">
        <w:t>Purpose</w:t>
      </w:r>
    </w:p>
    <w:p w14:paraId="7E25E1B0" w14:textId="1D43D6F9" w:rsidR="00083B97" w:rsidRPr="00820D7E" w:rsidRDefault="00083B97" w:rsidP="00820D7E">
      <w:pPr>
        <w:pStyle w:val="BodyText"/>
      </w:pPr>
      <w:r w:rsidRPr="00820D7E">
        <w:t>The purpose of this policy is to establish a clear, consistent, transparent and equitable approach to allocating the City of Melbourne’s community sport and recreation infrastructure. To outline expectations for user groups regarding their role in improving gender</w:t>
      </w:r>
      <w:r w:rsidR="004B6775">
        <w:t xml:space="preserve"> </w:t>
      </w:r>
      <w:r w:rsidRPr="00820D7E">
        <w:t xml:space="preserve">equitable access and use of the City of Melbourne’s community sport and recreation facilities and to establish criteria for prioritising the allocation of community sport and recreation facilities. </w:t>
      </w:r>
    </w:p>
    <w:p w14:paraId="0E501593" w14:textId="77777777" w:rsidR="00083B97" w:rsidRPr="00820D7E" w:rsidRDefault="00083B97" w:rsidP="00820D7E">
      <w:pPr>
        <w:pStyle w:val="Heading2"/>
      </w:pPr>
      <w:r w:rsidRPr="00820D7E">
        <w:t>Context and Alignment</w:t>
      </w:r>
    </w:p>
    <w:p w14:paraId="31586CF7" w14:textId="77777777" w:rsidR="00083B97" w:rsidRPr="00820D7E" w:rsidRDefault="00083B97" w:rsidP="00820D7E">
      <w:pPr>
        <w:pStyle w:val="BodyText"/>
      </w:pPr>
      <w:r w:rsidRPr="00820D7E">
        <w:t>The policy aligns with other City of Melbourne plans and strategies, and relevant state government legislation including the state governments Fair Access Policy Roadmap.</w:t>
      </w:r>
    </w:p>
    <w:p w14:paraId="686F33DE" w14:textId="4E9AD75D" w:rsidR="00854964" w:rsidRPr="00820D7E" w:rsidRDefault="00083B97" w:rsidP="00820D7E">
      <w:pPr>
        <w:pStyle w:val="BodyText"/>
      </w:pPr>
      <w:r w:rsidRPr="00820D7E">
        <w:t>The Fair access sport and recreation policy and its actions outlined in this action plan consider the City of Melbourne’s open space strategy, the recreation facilities provision framework and the Inclusive Melbourne strate</w:t>
      </w:r>
      <w:r w:rsidR="009A39A9" w:rsidRPr="00820D7E">
        <w:rPr>
          <w:noProof/>
        </w:rPr>
        <mc:AlternateContent>
          <mc:Choice Requires="wps">
            <w:drawing>
              <wp:anchor distT="0" distB="0" distL="0" distR="0" simplePos="0" relativeHeight="15731200" behindDoc="0" locked="0" layoutInCell="1" allowOverlap="1" wp14:anchorId="30C08F86" wp14:editId="664ED60D">
                <wp:simplePos x="0" y="0"/>
                <wp:positionH relativeFrom="page">
                  <wp:posOffset>0</wp:posOffset>
                </wp:positionH>
                <wp:positionV relativeFrom="page">
                  <wp:posOffset>3</wp:posOffset>
                </wp:positionV>
                <wp:extent cx="1270" cy="106921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692130"/>
                        </a:xfrm>
                        <a:custGeom>
                          <a:avLst/>
                          <a:gdLst/>
                          <a:ahLst/>
                          <a:cxnLst/>
                          <a:rect l="l" t="t" r="r" b="b"/>
                          <a:pathLst>
                            <a:path h="10692130">
                              <a:moveTo>
                                <a:pt x="0" y="0"/>
                              </a:moveTo>
                              <a:lnTo>
                                <a:pt x="0" y="10692003"/>
                              </a:lnTo>
                            </a:path>
                          </a:pathLst>
                        </a:custGeom>
                        <a:solidFill>
                          <a:srgbClr val="E4E1D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315pt;width:.1pt;height:841.9pt;mso-position-horizontal-relative:page;mso-position-vertical-relative:page;z-index:15731200" id="docshape26" coordorigin="0,0" coordsize="0,16838" path="m0,0l0,16838e" filled="true" fillcolor="#e4e1dd" stroked="false">
                <v:path arrowok="t"/>
                <v:fill type="solid"/>
                <w10:wrap type="none"/>
              </v:shape>
            </w:pict>
          </mc:Fallback>
        </mc:AlternateContent>
      </w:r>
      <w:r w:rsidR="009F67AB" w:rsidRPr="00820D7E">
        <w:t>g</w:t>
      </w:r>
      <w:r w:rsidR="009A39A9" w:rsidRPr="00820D7E">
        <w:t>y</w:t>
      </w:r>
      <w:r w:rsidR="004B6775">
        <w:t>.</w:t>
      </w:r>
    </w:p>
    <w:p w14:paraId="503DA561" w14:textId="77777777" w:rsidR="009A39A9" w:rsidRPr="00820D7E" w:rsidRDefault="009A39A9" w:rsidP="00EF7DD9">
      <w:pPr>
        <w:pStyle w:val="Heading2"/>
      </w:pPr>
      <w:r w:rsidRPr="00820D7E">
        <w:lastRenderedPageBreak/>
        <w:t>Scope and Limitations</w:t>
      </w:r>
    </w:p>
    <w:p w14:paraId="474C22B2" w14:textId="33968C0C" w:rsidR="00854964" w:rsidRPr="00820D7E" w:rsidRDefault="009A39A9" w:rsidP="00820D7E">
      <w:pPr>
        <w:pStyle w:val="BodyText"/>
      </w:pPr>
      <w:r w:rsidRPr="00820D7E">
        <w:t>The policy applies to the allocation and use of the City of Melbourne’s current and future community sport and recreation facilities, includ</w:t>
      </w:r>
      <w:r w:rsidR="00A1249B" w:rsidRPr="00820D7E">
        <w:t xml:space="preserve">es </w:t>
      </w:r>
      <w:r w:rsidRPr="00820D7E">
        <w:t xml:space="preserve">sporting fields and pavilions </w:t>
      </w:r>
      <w:r w:rsidR="007A78DB">
        <w:t>including those</w:t>
      </w:r>
      <w:r w:rsidRPr="00820D7E">
        <w:t xml:space="preserve"> in Royal Park, Fawkner Park, Princes Park, JJ Holland Park and Ron Barassi Senior Park</w:t>
      </w:r>
      <w:r w:rsidR="00A1249B" w:rsidRPr="00820D7E">
        <w:t xml:space="preserve">, </w:t>
      </w:r>
      <w:r w:rsidRPr="00820D7E">
        <w:t xml:space="preserve">recreation centres and facilities </w:t>
      </w:r>
      <w:r w:rsidR="007A78DB">
        <w:t>including</w:t>
      </w:r>
      <w:r w:rsidRPr="00820D7E">
        <w:t xml:space="preserve"> swimming pools, gyms, skating facilities, golf course</w:t>
      </w:r>
      <w:r w:rsidR="00A1249B" w:rsidRPr="00820D7E">
        <w:t xml:space="preserve"> and </w:t>
      </w:r>
      <w:r w:rsidRPr="00820D7E">
        <w:t>leased and licensed facilities – for rowing, boating, tennis, and bowling.</w:t>
      </w:r>
    </w:p>
    <w:p w14:paraId="06975AC7" w14:textId="77777777" w:rsidR="00854964" w:rsidRPr="00820D7E" w:rsidRDefault="009A39A9" w:rsidP="00820D7E">
      <w:pPr>
        <w:pStyle w:val="BodyText"/>
      </w:pPr>
      <w:r w:rsidRPr="00820D7E">
        <w:t>This policy is relevant for user groups wishing to use the City of Melbourne’s community sports infrastructure on a recurring or ongoing basis.</w:t>
      </w:r>
    </w:p>
    <w:p w14:paraId="577A6B11" w14:textId="5D7F9141" w:rsidR="00854964" w:rsidRPr="00820D7E" w:rsidRDefault="009A39A9" w:rsidP="00820D7E">
      <w:pPr>
        <w:pStyle w:val="BodyText"/>
      </w:pPr>
      <w:r w:rsidRPr="00820D7E">
        <w:t xml:space="preserve">The casual use </w:t>
      </w:r>
      <w:r w:rsidR="007A78DB">
        <w:t xml:space="preserve">or </w:t>
      </w:r>
      <w:r w:rsidRPr="00820D7E">
        <w:t>one</w:t>
      </w:r>
      <w:r w:rsidR="004B6775">
        <w:t xml:space="preserve"> </w:t>
      </w:r>
      <w:r w:rsidRPr="00820D7E">
        <w:t>off of the City of Melbourne’s community sport and recreation facilities does not fall within the scope of the policy. However, we will use the policy criteria to determine an allocation in the case of a clash between casual users.</w:t>
      </w:r>
    </w:p>
    <w:p w14:paraId="64F83671" w14:textId="77777777" w:rsidR="00854964" w:rsidRPr="00820D7E" w:rsidRDefault="009A39A9" w:rsidP="00EF7DD9">
      <w:pPr>
        <w:pStyle w:val="Heading2"/>
      </w:pPr>
      <w:r w:rsidRPr="00820D7E">
        <w:t>Allocation Process and Criteria</w:t>
      </w:r>
    </w:p>
    <w:p w14:paraId="362B340E" w14:textId="2BFC5219" w:rsidR="00854964" w:rsidRPr="00820D7E" w:rsidRDefault="009A39A9" w:rsidP="00820D7E">
      <w:pPr>
        <w:pStyle w:val="BodyText"/>
      </w:pPr>
      <w:r w:rsidRPr="00820D7E">
        <w:t>Sport and recreation facilities are allocated to provide sport or recreation programs or activities that benefit the City of Melbourne’s</w:t>
      </w:r>
      <w:r w:rsidR="00A1249B" w:rsidRPr="00820D7E">
        <w:t xml:space="preserve"> </w:t>
      </w:r>
      <w:r w:rsidRPr="00820D7E">
        <w:t>community and meet the Fair Access objectives.</w:t>
      </w:r>
    </w:p>
    <w:p w14:paraId="09ED3930" w14:textId="15C4675B" w:rsidR="00854964" w:rsidRPr="00820D7E" w:rsidRDefault="009A39A9" w:rsidP="00820D7E">
      <w:pPr>
        <w:pStyle w:val="BodyText"/>
      </w:pPr>
      <w:r w:rsidRPr="00820D7E">
        <w:t>The period for which a facility is allocated to a user group varies based on the type of community sports infrastructure and the</w:t>
      </w:r>
      <w:r w:rsidR="00A1249B" w:rsidRPr="00820D7E">
        <w:t xml:space="preserve"> </w:t>
      </w:r>
      <w:r w:rsidRPr="00820D7E">
        <w:t>seasonality of the sport or recreation activity. Allocations are commonly based on traditional sporting seasons</w:t>
      </w:r>
      <w:r w:rsidR="004B6775">
        <w:t>,</w:t>
      </w:r>
      <w:r w:rsidRPr="00820D7E">
        <w:t xml:space="preserve"> however, new and emerging sports and recreation activities may have different schedules, which we will accommodate where possible.</w:t>
      </w:r>
    </w:p>
    <w:p w14:paraId="5D8F5589" w14:textId="77777777" w:rsidR="00854964" w:rsidRPr="00820D7E" w:rsidRDefault="009A39A9" w:rsidP="00820D7E">
      <w:pPr>
        <w:pStyle w:val="BodyText"/>
      </w:pPr>
      <w:r w:rsidRPr="00820D7E">
        <w:t>User groups are required to submit a new application before each period to be considered for the new or continued allocation and use of the City of Melbourne’s community sport and recreation facilities.</w:t>
      </w:r>
    </w:p>
    <w:p w14:paraId="20988272" w14:textId="401BA404" w:rsidR="00854964" w:rsidRPr="00820D7E" w:rsidRDefault="009A39A9" w:rsidP="00820D7E">
      <w:pPr>
        <w:pStyle w:val="BodyText"/>
      </w:pPr>
      <w:r w:rsidRPr="00820D7E">
        <w:t>When allocation periods exceed one year, user groups must submit information annually that shows continued adherence to the eligibility criteria below and provide updated information about the indicators that demonstrate championing gender equity and fair access.</w:t>
      </w:r>
    </w:p>
    <w:p w14:paraId="0F76EA59" w14:textId="4CDBEBC3" w:rsidR="00854964" w:rsidRPr="00820D7E" w:rsidRDefault="009A39A9" w:rsidP="00820D7E">
      <w:pPr>
        <w:pStyle w:val="BodyText"/>
      </w:pPr>
      <w:r w:rsidRPr="00820D7E">
        <w:t>User groups are required to submit applications under the applicable timelines. Any applications received outside these times may be considered at the City of Melbourne’s sole discretion</w:t>
      </w:r>
      <w:r w:rsidR="004B6775">
        <w:t>,</w:t>
      </w:r>
      <w:r w:rsidRPr="00820D7E">
        <w:t xml:space="preserve"> however, they will only be assessed against the remaining capacity at the applicable facilities and not against other users’ requests.</w:t>
      </w:r>
    </w:p>
    <w:p w14:paraId="57008105" w14:textId="77777777" w:rsidR="00854964" w:rsidRPr="00820D7E" w:rsidRDefault="009A39A9" w:rsidP="00820D7E">
      <w:pPr>
        <w:pStyle w:val="BodyText"/>
      </w:pPr>
      <w:r w:rsidRPr="00820D7E">
        <w:t>All user groups must comply with the following criteria to be eligible to use community sports and recreation facilities.</w:t>
      </w:r>
    </w:p>
    <w:p w14:paraId="3749E4F0" w14:textId="3265BF30" w:rsidR="00A1249B" w:rsidRPr="00820D7E" w:rsidRDefault="00A1249B" w:rsidP="00820D7E">
      <w:pPr>
        <w:pStyle w:val="BodyText"/>
      </w:pPr>
      <w:r w:rsidRPr="00820D7E">
        <w:t xml:space="preserve">There is nine eligibility criteria for clubs to be assessed </w:t>
      </w:r>
      <w:r w:rsidR="00EF7DD9">
        <w:t>on these are;</w:t>
      </w:r>
    </w:p>
    <w:p w14:paraId="6546A0F2" w14:textId="6D79C11A" w:rsidR="00A1249B" w:rsidRPr="00820D7E" w:rsidRDefault="00EF7DD9" w:rsidP="00820D7E">
      <w:pPr>
        <w:pStyle w:val="BodyText"/>
      </w:pPr>
      <w:r>
        <w:t>Clubs should c</w:t>
      </w:r>
      <w:r w:rsidR="00A1249B" w:rsidRPr="00820D7E">
        <w:t>ommit to the Fair Access Guiding Principles and Objectives</w:t>
      </w:r>
      <w:r>
        <w:t>.</w:t>
      </w:r>
    </w:p>
    <w:p w14:paraId="61994AA4" w14:textId="72F1F9E1" w:rsidR="00A1249B" w:rsidRPr="00820D7E" w:rsidRDefault="00EF7DD9" w:rsidP="00820D7E">
      <w:pPr>
        <w:pStyle w:val="BodyText"/>
      </w:pPr>
      <w:r>
        <w:t>Clubs must c</w:t>
      </w:r>
      <w:r w:rsidR="00A1249B" w:rsidRPr="00820D7E">
        <w:t>omplete and submit an annual inclusion self-assessment</w:t>
      </w:r>
      <w:r>
        <w:t>.</w:t>
      </w:r>
    </w:p>
    <w:p w14:paraId="50D1508A" w14:textId="0A3AB73B" w:rsidR="00A1249B" w:rsidRPr="00820D7E" w:rsidRDefault="00EF7DD9" w:rsidP="00820D7E">
      <w:pPr>
        <w:pStyle w:val="BodyText"/>
      </w:pPr>
      <w:r>
        <w:t>Clubs must de</w:t>
      </w:r>
      <w:r w:rsidR="00A1249B" w:rsidRPr="00820D7E">
        <w:t>monstrate connection of participants to the City of Melbourne</w:t>
      </w:r>
      <w:r>
        <w:t>.</w:t>
      </w:r>
    </w:p>
    <w:p w14:paraId="090BAB9B" w14:textId="5D167BB9" w:rsidR="00A1249B" w:rsidRPr="00820D7E" w:rsidRDefault="00EF7DD9" w:rsidP="00820D7E">
      <w:pPr>
        <w:pStyle w:val="BodyText"/>
      </w:pPr>
      <w:r>
        <w:t xml:space="preserve">Clubs must </w:t>
      </w:r>
      <w:r w:rsidR="00A1249B" w:rsidRPr="00820D7E">
        <w:t>Adhere to Child Safety Standards</w:t>
      </w:r>
      <w:r>
        <w:t>.</w:t>
      </w:r>
    </w:p>
    <w:p w14:paraId="1FC31B3F" w14:textId="3948C034" w:rsidR="00A1249B" w:rsidRPr="00820D7E" w:rsidRDefault="00EF7DD9" w:rsidP="00820D7E">
      <w:pPr>
        <w:pStyle w:val="BodyText"/>
      </w:pPr>
      <w:r>
        <w:t>Clubs must a</w:t>
      </w:r>
      <w:r w:rsidR="00A1249B" w:rsidRPr="00820D7E">
        <w:t>dhere to the Victorian Government’s Fair Play Code</w:t>
      </w:r>
      <w:r>
        <w:t>.</w:t>
      </w:r>
    </w:p>
    <w:p w14:paraId="1AF913BC" w14:textId="02AB5D89" w:rsidR="00A1249B" w:rsidRPr="00820D7E" w:rsidRDefault="00EF7DD9" w:rsidP="00820D7E">
      <w:pPr>
        <w:pStyle w:val="BodyText"/>
      </w:pPr>
      <w:r>
        <w:t>Clubs must</w:t>
      </w:r>
      <w:r w:rsidRPr="00820D7E">
        <w:t xml:space="preserve"> </w:t>
      </w:r>
      <w:r>
        <w:t>a</w:t>
      </w:r>
      <w:r w:rsidR="00A1249B" w:rsidRPr="00820D7E">
        <w:t>dhere to City of Melbourne’s sport and recreation facilities terms and conditions of use</w:t>
      </w:r>
      <w:r>
        <w:t>.</w:t>
      </w:r>
    </w:p>
    <w:p w14:paraId="6076D096" w14:textId="0ED0BD4C" w:rsidR="00A1249B" w:rsidRPr="00820D7E" w:rsidRDefault="00EF7DD9" w:rsidP="00820D7E">
      <w:pPr>
        <w:pStyle w:val="BodyText"/>
      </w:pPr>
      <w:r>
        <w:t>Clubs must</w:t>
      </w:r>
      <w:r w:rsidRPr="00820D7E">
        <w:t xml:space="preserve"> </w:t>
      </w:r>
      <w:r>
        <w:t>a</w:t>
      </w:r>
      <w:r w:rsidR="00A1249B" w:rsidRPr="00820D7E">
        <w:t>dhere to City of Melbourne’s policies and requirements regarding smoking and vaping, alcohol, gambling, preference for the provision of healthy food, and sun safety</w:t>
      </w:r>
      <w:r>
        <w:t>.</w:t>
      </w:r>
    </w:p>
    <w:p w14:paraId="492CFAA9" w14:textId="6BF6E195" w:rsidR="00A1249B" w:rsidRPr="00820D7E" w:rsidRDefault="00EF7DD9" w:rsidP="00820D7E">
      <w:pPr>
        <w:pStyle w:val="BodyText"/>
      </w:pPr>
      <w:r>
        <w:t>Clubs must p</w:t>
      </w:r>
      <w:r w:rsidRPr="00820D7E">
        <w:t>rovide</w:t>
      </w:r>
      <w:r w:rsidR="00A1249B" w:rsidRPr="00820D7E">
        <w:t xml:space="preserve"> facility usage data i.e. participation information, program details and any other supporting documents as requested</w:t>
      </w:r>
      <w:r>
        <w:t>.</w:t>
      </w:r>
    </w:p>
    <w:p w14:paraId="6E6ADAE5" w14:textId="39588926" w:rsidR="00A1249B" w:rsidRDefault="00EF7DD9" w:rsidP="00820D7E">
      <w:pPr>
        <w:pStyle w:val="BodyText"/>
      </w:pPr>
      <w:r>
        <w:t>And clubs must prove a</w:t>
      </w:r>
      <w:r w:rsidR="00A1249B" w:rsidRPr="00820D7E">
        <w:t>ffiliation with a State Sporting Association or National Sporting body, if applicable</w:t>
      </w:r>
      <w:r>
        <w:t>.</w:t>
      </w:r>
    </w:p>
    <w:p w14:paraId="04398F1F" w14:textId="6498C3A0" w:rsidR="00854964" w:rsidRPr="00820D7E" w:rsidRDefault="00EF7DD9" w:rsidP="00820D7E">
      <w:pPr>
        <w:pStyle w:val="BodyText"/>
      </w:pPr>
      <w:r>
        <w:t>As</w:t>
      </w:r>
      <w:r w:rsidR="009A39A9" w:rsidRPr="00820D7E">
        <w:t xml:space="preserve"> competing demand for facilities exists, allocations will be made by assessing the information provided by user groups using </w:t>
      </w:r>
      <w:r>
        <w:t xml:space="preserve">six </w:t>
      </w:r>
      <w:r w:rsidR="009A39A9" w:rsidRPr="00820D7E">
        <w:t>indicators</w:t>
      </w:r>
      <w:r>
        <w:t xml:space="preserve"> of success</w:t>
      </w:r>
      <w:r w:rsidR="009A39A9" w:rsidRPr="00820D7E">
        <w:t xml:space="preserve"> and weighted ratings.</w:t>
      </w:r>
      <w:r w:rsidR="00C71E9E" w:rsidRPr="00820D7E">
        <w:t xml:space="preserve"> </w:t>
      </w:r>
      <w:r w:rsidR="009A39A9" w:rsidRPr="00820D7E">
        <w:t>User groups with higher assessment ratings against the indicators will be given priority access.</w:t>
      </w:r>
    </w:p>
    <w:p w14:paraId="64A27628" w14:textId="1546851C" w:rsidR="00A1249B" w:rsidRDefault="00A1249B" w:rsidP="00820D7E">
      <w:pPr>
        <w:pStyle w:val="BodyText"/>
      </w:pPr>
      <w:r w:rsidRPr="00820D7E">
        <w:t>There are six indicators o</w:t>
      </w:r>
      <w:r w:rsidR="00C71E9E" w:rsidRPr="00820D7E">
        <w:t>f fair access and gender equity that clubs will be assessed against</w:t>
      </w:r>
      <w:r w:rsidR="00EF7DD9">
        <w:t xml:space="preserve"> are:</w:t>
      </w:r>
    </w:p>
    <w:p w14:paraId="735A5E84" w14:textId="66F820CB" w:rsidR="00EF7DD9" w:rsidRDefault="00C71E9E" w:rsidP="00820D7E">
      <w:pPr>
        <w:pStyle w:val="BodyText"/>
      </w:pPr>
      <w:r w:rsidRPr="00820D7E">
        <w:t>Clubs need to Provide a current inclusion action plan this is worth 20</w:t>
      </w:r>
      <w:r w:rsidR="004B6775">
        <w:t xml:space="preserve"> percent</w:t>
      </w:r>
      <w:r w:rsidRPr="00820D7E">
        <w:t xml:space="preserve">. </w:t>
      </w:r>
    </w:p>
    <w:p w14:paraId="3C114837" w14:textId="19742CCC" w:rsidR="00EF7DD9" w:rsidRDefault="00C71E9E" w:rsidP="00820D7E">
      <w:pPr>
        <w:pStyle w:val="BodyText"/>
      </w:pPr>
      <w:r w:rsidRPr="00820D7E">
        <w:t>Clubs should have Membership and team compositions that demonstrate gender equity and Fair Access participation pathways this is also worth 20</w:t>
      </w:r>
      <w:r w:rsidR="004B6775">
        <w:t xml:space="preserve"> percent</w:t>
      </w:r>
      <w:r w:rsidRPr="00820D7E">
        <w:t xml:space="preserve">. </w:t>
      </w:r>
    </w:p>
    <w:p w14:paraId="385D9CED" w14:textId="370FFDA8" w:rsidR="00EF7DD9" w:rsidRDefault="00C71E9E" w:rsidP="00820D7E">
      <w:pPr>
        <w:pStyle w:val="BodyText"/>
      </w:pPr>
      <w:r w:rsidRPr="00820D7E">
        <w:t>Clubs should provide evidence of undertaking modified programs or activities encouraging participation by women and girls and underrepresented groups this could include non-competitive, accessible, developmental, social or family-friendly activities or initiatives. This is worth 15</w:t>
      </w:r>
      <w:r w:rsidR="004B6775">
        <w:t xml:space="preserve"> percent</w:t>
      </w:r>
      <w:r w:rsidRPr="00820D7E">
        <w:t xml:space="preserve">. </w:t>
      </w:r>
    </w:p>
    <w:p w14:paraId="69592395" w14:textId="185D28B8" w:rsidR="00EF7DD9" w:rsidRDefault="00C71E9E" w:rsidP="00820D7E">
      <w:pPr>
        <w:pStyle w:val="BodyText"/>
      </w:pPr>
      <w:r w:rsidRPr="00820D7E">
        <w:t>Clubs should have the ability to demonstrate diversity and equity in leadership positions, including board or committee members and coaching and support staff</w:t>
      </w:r>
      <w:r w:rsidR="00D37B1E" w:rsidRPr="00820D7E">
        <w:t xml:space="preserve"> worth 15</w:t>
      </w:r>
      <w:r w:rsidR="004B6775">
        <w:t xml:space="preserve"> percent</w:t>
      </w:r>
      <w:r w:rsidR="00D37B1E" w:rsidRPr="00820D7E">
        <w:t xml:space="preserve">. </w:t>
      </w:r>
    </w:p>
    <w:p w14:paraId="5A375A1B" w14:textId="2485008A" w:rsidR="00C71E9E" w:rsidRDefault="00D37B1E" w:rsidP="00820D7E">
      <w:pPr>
        <w:pStyle w:val="BodyText"/>
      </w:pPr>
      <w:r w:rsidRPr="00820D7E">
        <w:t>Clubs should have the a</w:t>
      </w:r>
      <w:r w:rsidR="00C71E9E" w:rsidRPr="00820D7E">
        <w:t>bility to provide evidence of completed training and education in diversity, equity and inclusion in community sport and recreation</w:t>
      </w:r>
      <w:r w:rsidRPr="00820D7E">
        <w:t xml:space="preserve"> worth 15</w:t>
      </w:r>
      <w:r w:rsidR="004B6775">
        <w:t xml:space="preserve"> percent</w:t>
      </w:r>
      <w:r w:rsidRPr="00820D7E">
        <w:t xml:space="preserve"> and clubs should provide p</w:t>
      </w:r>
      <w:r w:rsidR="00C71E9E" w:rsidRPr="00820D7E">
        <w:t xml:space="preserve">roof of equitable scheduling for all users, with women and girls and underrepresented groups allocated </w:t>
      </w:r>
      <w:r w:rsidR="00EF7DD9" w:rsidRPr="00820D7E">
        <w:t>favorable</w:t>
      </w:r>
      <w:r w:rsidR="00C71E9E" w:rsidRPr="00820D7E">
        <w:t xml:space="preserve"> times</w:t>
      </w:r>
      <w:r w:rsidRPr="00820D7E">
        <w:t xml:space="preserve"> with 15</w:t>
      </w:r>
      <w:r w:rsidR="004B6775">
        <w:t xml:space="preserve"> percent</w:t>
      </w:r>
      <w:r w:rsidRPr="00820D7E">
        <w:t>.</w:t>
      </w:r>
    </w:p>
    <w:p w14:paraId="480BEFDC" w14:textId="77777777" w:rsidR="004B6775" w:rsidRPr="00820D7E" w:rsidRDefault="004B6775" w:rsidP="00820D7E">
      <w:pPr>
        <w:pStyle w:val="BodyText"/>
      </w:pPr>
    </w:p>
    <w:p w14:paraId="2059FAAB" w14:textId="77777777" w:rsidR="00854964" w:rsidRPr="00820D7E" w:rsidRDefault="009A39A9" w:rsidP="00EF7DD9">
      <w:pPr>
        <w:pStyle w:val="Heading2"/>
      </w:pPr>
      <w:r w:rsidRPr="00820D7E">
        <w:lastRenderedPageBreak/>
        <w:t>Implementation</w:t>
      </w:r>
    </w:p>
    <w:p w14:paraId="36F23AE1" w14:textId="77777777" w:rsidR="00854964" w:rsidRPr="00820D7E" w:rsidRDefault="009A39A9" w:rsidP="00820D7E">
      <w:pPr>
        <w:pStyle w:val="BodyText"/>
      </w:pPr>
      <w:r w:rsidRPr="00820D7E">
        <w:t>City of Melbourne is committed to working with user groups, state sporting associations, the Victorian Government, neighbouring councils and health and community agencies to achieve equity in sport and recreation in the Melbourne municipality.</w:t>
      </w:r>
    </w:p>
    <w:p w14:paraId="680B792C" w14:textId="48032E22" w:rsidR="00854964" w:rsidRPr="00820D7E" w:rsidRDefault="00D37B1E" w:rsidP="00820D7E">
      <w:pPr>
        <w:pStyle w:val="BodyText"/>
      </w:pPr>
      <w:r w:rsidRPr="00820D7E">
        <w:t>T</w:t>
      </w:r>
      <w:r w:rsidR="009A39A9" w:rsidRPr="00820D7E">
        <w:t>he policy will apply to the allocation and use of community sport and recreation facilities</w:t>
      </w:r>
      <w:r w:rsidRPr="00820D7E">
        <w:t xml:space="preserve"> </w:t>
      </w:r>
      <w:r w:rsidR="009A39A9" w:rsidRPr="00820D7E">
        <w:t>for an initial three-year period, from 2024 to 2027.</w:t>
      </w:r>
    </w:p>
    <w:p w14:paraId="4787300D" w14:textId="4F1FBB4D" w:rsidR="00854964" w:rsidRPr="00820D7E" w:rsidRDefault="009A39A9" w:rsidP="00820D7E">
      <w:pPr>
        <w:pStyle w:val="BodyText"/>
      </w:pPr>
      <w:r w:rsidRPr="00820D7E">
        <w:t>The City of Melbourne recognises that clubs and associations may, explicitly or implicitly, define their membership on the basis of certain protected attributes in the Equal Opportunity Act 2010. The City of Melbourne will not adjudicate between clubs and associations about the different lawful bases on which</w:t>
      </w:r>
      <w:r w:rsidR="00D37B1E" w:rsidRPr="00820D7E">
        <w:t xml:space="preserve"> </w:t>
      </w:r>
      <w:r w:rsidRPr="00820D7E">
        <w:t>clubs and associations advance the interests of women and girls. The City of Melbourne will not duplicate or supplant the role of the Australian or Victorian Human Rights Commissions in adjudicating conflicts of rights in law, or the role of amateur and professional sporting associations in choosing the terms of their own sporting competitions.</w:t>
      </w:r>
    </w:p>
    <w:p w14:paraId="71D75F66" w14:textId="2492FD26" w:rsidR="00854964" w:rsidRPr="00820D7E" w:rsidRDefault="009A39A9" w:rsidP="00820D7E">
      <w:pPr>
        <w:pStyle w:val="BodyText"/>
      </w:pPr>
      <w:r w:rsidRPr="00820D7E">
        <w:t>The person from time to time occupying the position of Director Recreation and Waterways, as the authorised delegate of</w:t>
      </w:r>
      <w:r w:rsidR="00D37B1E" w:rsidRPr="00820D7E">
        <w:t xml:space="preserve"> </w:t>
      </w:r>
      <w:r w:rsidRPr="00820D7E">
        <w:t>Council, has the discretion to depart from the Policy where user groups may not be able to meet the ‘Championing Gender Equity and Fair Access Indicators’ in Section 7, but can demonstrate that they are meeting the needs of underrepresented groups or are offering a diversity of sport and recreation activities.</w:t>
      </w:r>
    </w:p>
    <w:p w14:paraId="6E73AF7B" w14:textId="0971D436" w:rsidR="00854964" w:rsidRPr="00820D7E" w:rsidRDefault="009A39A9" w:rsidP="00EF7DD9">
      <w:pPr>
        <w:pStyle w:val="Heading2"/>
      </w:pPr>
      <w:r w:rsidRPr="00820D7E">
        <w:t>Evaluation and Review</w:t>
      </w:r>
    </w:p>
    <w:p w14:paraId="67200362" w14:textId="77777777" w:rsidR="00854964" w:rsidRPr="00820D7E" w:rsidRDefault="009A39A9" w:rsidP="00820D7E">
      <w:pPr>
        <w:pStyle w:val="BodyText"/>
      </w:pPr>
      <w:r w:rsidRPr="00820D7E">
        <w:t>We will review the policy periodically to ensure that it reflects the intent of the guiding principles and that we are progressing towards our objectives.</w:t>
      </w:r>
    </w:p>
    <w:p w14:paraId="4F066141" w14:textId="77777777" w:rsidR="00854964" w:rsidRDefault="009A39A9" w:rsidP="00820D7E">
      <w:pPr>
        <w:pStyle w:val="BodyText"/>
      </w:pPr>
      <w:r w:rsidRPr="00820D7E">
        <w:t>We may also review the policy if</w:t>
      </w:r>
      <w:r w:rsidR="007A78DB">
        <w:t xml:space="preserve"> </w:t>
      </w:r>
      <w:r w:rsidRPr="00820D7E">
        <w:t>legislation changes</w:t>
      </w:r>
      <w:r w:rsidR="007A78DB">
        <w:t xml:space="preserve">, </w:t>
      </w:r>
      <w:r w:rsidRPr="00820D7E">
        <w:t>legal issues highlight a need for amendments</w:t>
      </w:r>
      <w:r w:rsidR="007A78DB">
        <w:t xml:space="preserve">, </w:t>
      </w:r>
      <w:r w:rsidRPr="00820D7E">
        <w:t>insurance and risk management issues arise</w:t>
      </w:r>
      <w:r w:rsidR="007A78DB">
        <w:t xml:space="preserve"> or if </w:t>
      </w:r>
      <w:r w:rsidRPr="00820D7E">
        <w:t>other City of Melbourne policy changes impact the administration and management of community sport and recreation facilities.</w:t>
      </w:r>
    </w:p>
    <w:p w14:paraId="56353F82" w14:textId="77777777" w:rsidR="009F6AF1" w:rsidRDefault="009A39A9" w:rsidP="009F6AF1">
      <w:pPr>
        <w:pStyle w:val="Heading2"/>
      </w:pPr>
      <w:bookmarkStart w:id="0" w:name="_TOC_250000"/>
      <w:bookmarkEnd w:id="0"/>
      <w:r w:rsidRPr="00820D7E">
        <w:t>APPENDICES</w:t>
      </w:r>
    </w:p>
    <w:p w14:paraId="533D0F96" w14:textId="4200F1EE" w:rsidR="00854964" w:rsidRPr="00820D7E" w:rsidRDefault="009A39A9" w:rsidP="009F6AF1">
      <w:pPr>
        <w:pStyle w:val="BodyText"/>
      </w:pPr>
      <w:r w:rsidRPr="00820D7E">
        <w:t xml:space="preserve">Appendix A </w:t>
      </w:r>
      <w:r w:rsidR="007A78DB">
        <w:t>is an overview of statistics relevant to the</w:t>
      </w:r>
      <w:r w:rsidRPr="00820D7E">
        <w:t xml:space="preserve"> City of Melbourne</w:t>
      </w:r>
      <w:r w:rsidR="007A78DB">
        <w:t xml:space="preserve">. The city of Melbourne has </w:t>
      </w:r>
      <w:r w:rsidRPr="00820D7E">
        <w:t>159,993 residents</w:t>
      </w:r>
      <w:r w:rsidR="007A78DB">
        <w:t xml:space="preserve"> of which </w:t>
      </w:r>
      <w:r w:rsidRPr="00820D7E">
        <w:t>50</w:t>
      </w:r>
      <w:r w:rsidR="004B6775">
        <w:t xml:space="preserve"> percent</w:t>
      </w:r>
      <w:r w:rsidRPr="00820D7E">
        <w:t xml:space="preserve"> </w:t>
      </w:r>
      <w:r w:rsidR="007A78DB">
        <w:t xml:space="preserve">are </w:t>
      </w:r>
      <w:r w:rsidRPr="00820D7E">
        <w:t>females</w:t>
      </w:r>
      <w:r w:rsidR="007A78DB">
        <w:t xml:space="preserve"> and </w:t>
      </w:r>
      <w:r w:rsidRPr="00820D7E">
        <w:t>50</w:t>
      </w:r>
      <w:r w:rsidR="004B6775">
        <w:t xml:space="preserve"> </w:t>
      </w:r>
      <w:r w:rsidR="004B6775">
        <w:t>percent</w:t>
      </w:r>
      <w:r w:rsidRPr="00820D7E">
        <w:t xml:space="preserve"> </w:t>
      </w:r>
      <w:r w:rsidR="007A78DB">
        <w:t xml:space="preserve">are </w:t>
      </w:r>
      <w:r w:rsidRPr="00820D7E">
        <w:t>males</w:t>
      </w:r>
      <w:r w:rsidR="007A78DB">
        <w:t>.</w:t>
      </w:r>
    </w:p>
    <w:p w14:paraId="71AC2F4B" w14:textId="2410F4ED" w:rsidR="00854964" w:rsidRDefault="009A39A9" w:rsidP="00820D7E">
      <w:pPr>
        <w:pStyle w:val="BodyText"/>
      </w:pPr>
      <w:r w:rsidRPr="00820D7E">
        <w:t>910,800 people live, work, visit, study or socialise in the municipality daily</w:t>
      </w:r>
      <w:r w:rsidR="007A78DB">
        <w:t xml:space="preserve">. </w:t>
      </w:r>
      <w:r w:rsidRPr="00820D7E">
        <w:t>55</w:t>
      </w:r>
      <w:r w:rsidR="004B6775">
        <w:t xml:space="preserve"> </w:t>
      </w:r>
      <w:r w:rsidR="004B6775">
        <w:t>percent</w:t>
      </w:r>
      <w:r w:rsidR="004B6775" w:rsidRPr="00820D7E">
        <w:t xml:space="preserve"> </w:t>
      </w:r>
      <w:r w:rsidR="007A78DB">
        <w:t>of our population are</w:t>
      </w:r>
      <w:r w:rsidRPr="00820D7E">
        <w:t xml:space="preserve"> born overseas</w:t>
      </w:r>
      <w:r w:rsidR="007A78DB">
        <w:t xml:space="preserve"> and </w:t>
      </w:r>
      <w:r w:rsidRPr="00820D7E">
        <w:t>46</w:t>
      </w:r>
      <w:r w:rsidR="004B6775">
        <w:t xml:space="preserve"> </w:t>
      </w:r>
      <w:r w:rsidR="004B6775">
        <w:t>percent</w:t>
      </w:r>
      <w:r w:rsidRPr="00820D7E">
        <w:t xml:space="preserve"> speak a language other than English</w:t>
      </w:r>
      <w:r w:rsidR="007A78DB">
        <w:t xml:space="preserve">. The city of Melbourne is home to </w:t>
      </w:r>
      <w:r w:rsidRPr="00820D7E">
        <w:t>87,000 overseas students</w:t>
      </w:r>
      <w:r w:rsidR="007A78DB">
        <w:t xml:space="preserve">. The City has </w:t>
      </w:r>
      <w:r w:rsidRPr="00820D7E">
        <w:t>3114 same-sex couple households</w:t>
      </w:r>
      <w:r w:rsidR="007A78DB">
        <w:t xml:space="preserve">, </w:t>
      </w:r>
      <w:r w:rsidRPr="00820D7E">
        <w:t>768 Aboriginal residents</w:t>
      </w:r>
      <w:r w:rsidR="007A78DB">
        <w:t xml:space="preserve"> and </w:t>
      </w:r>
      <w:r w:rsidRPr="00820D7E">
        <w:t>2.3</w:t>
      </w:r>
      <w:r w:rsidR="004B6775">
        <w:t xml:space="preserve"> </w:t>
      </w:r>
      <w:r w:rsidR="004B6775">
        <w:t>percent</w:t>
      </w:r>
      <w:r w:rsidR="007A78DB">
        <w:t xml:space="preserve"> of all </w:t>
      </w:r>
      <w:r w:rsidRPr="00820D7E">
        <w:t xml:space="preserve">residents </w:t>
      </w:r>
      <w:r w:rsidR="007A78DB">
        <w:t xml:space="preserve">a people </w:t>
      </w:r>
      <w:r w:rsidRPr="00820D7E">
        <w:t>with</w:t>
      </w:r>
      <w:r w:rsidR="007A78DB">
        <w:t xml:space="preserve"> a</w:t>
      </w:r>
      <w:r w:rsidRPr="00820D7E">
        <w:t xml:space="preserve"> disability</w:t>
      </w:r>
      <w:r w:rsidR="007A78DB">
        <w:t xml:space="preserve">. The city has a </w:t>
      </w:r>
      <w:r w:rsidRPr="00820D7E">
        <w:t>7.6</w:t>
      </w:r>
      <w:r w:rsidR="004B6775">
        <w:t xml:space="preserve"> </w:t>
      </w:r>
      <w:r w:rsidR="004B6775">
        <w:t>percent</w:t>
      </w:r>
      <w:r w:rsidRPr="00820D7E">
        <w:t xml:space="preserve"> unemployment rate</w:t>
      </w:r>
      <w:r w:rsidR="007A78DB">
        <w:t xml:space="preserve"> and </w:t>
      </w:r>
      <w:r w:rsidRPr="00820D7E">
        <w:t>31.7</w:t>
      </w:r>
      <w:r w:rsidR="004B6775">
        <w:t xml:space="preserve"> </w:t>
      </w:r>
      <w:r w:rsidR="004B6775">
        <w:t>percent</w:t>
      </w:r>
      <w:r w:rsidR="007A78DB">
        <w:t xml:space="preserve"> of our population</w:t>
      </w:r>
      <w:r w:rsidRPr="00820D7E">
        <w:t xml:space="preserve"> report</w:t>
      </w:r>
      <w:r w:rsidR="007A78DB">
        <w:t xml:space="preserve"> experiencing</w:t>
      </w:r>
      <w:r w:rsidRPr="00820D7E">
        <w:t xml:space="preserve"> food insecurity</w:t>
      </w:r>
      <w:r w:rsidR="007A78DB">
        <w:t xml:space="preserve">. These stats are from the </w:t>
      </w:r>
      <w:r w:rsidRPr="00820D7E">
        <w:t>City of Melbourne’s Annual Report 2022–2023</w:t>
      </w:r>
      <w:r w:rsidR="007A78DB">
        <w:t>.</w:t>
      </w:r>
    </w:p>
    <w:p w14:paraId="6721E2B4" w14:textId="25EE917E" w:rsidR="00854964" w:rsidRPr="00820D7E" w:rsidRDefault="007A78DB" w:rsidP="00820D7E">
      <w:pPr>
        <w:pStyle w:val="BodyText"/>
      </w:pPr>
      <w:r>
        <w:t xml:space="preserve">Additionally, from the </w:t>
      </w:r>
      <w:r w:rsidRPr="00820D7E">
        <w:t xml:space="preserve">City of Melbourne </w:t>
      </w:r>
      <w:r w:rsidR="004B6775">
        <w:t>L</w:t>
      </w:r>
      <w:r w:rsidRPr="00820D7E">
        <w:t>iveability and Social Indicators 2021</w:t>
      </w:r>
      <w:r>
        <w:t xml:space="preserve"> study we know that </w:t>
      </w:r>
      <w:r w:rsidR="009A39A9" w:rsidRPr="00820D7E">
        <w:t>61.1</w:t>
      </w:r>
      <w:r w:rsidR="004B6775">
        <w:t xml:space="preserve"> </w:t>
      </w:r>
      <w:r w:rsidR="004B6775">
        <w:t>percent</w:t>
      </w:r>
      <w:r w:rsidR="009A39A9" w:rsidRPr="00820D7E">
        <w:t xml:space="preserve"> of residents participated in sports and exercise activities in the last three months.</w:t>
      </w:r>
      <w:r>
        <w:t xml:space="preserve"> </w:t>
      </w:r>
      <w:r w:rsidR="009A39A9" w:rsidRPr="00820D7E">
        <w:t>54.5</w:t>
      </w:r>
      <w:r w:rsidR="004B6775">
        <w:t xml:space="preserve"> </w:t>
      </w:r>
      <w:r w:rsidR="004B6775">
        <w:t>percent</w:t>
      </w:r>
      <w:r w:rsidR="009A39A9" w:rsidRPr="00820D7E">
        <w:t xml:space="preserve"> of residents did so within the City of Melbourne.</w:t>
      </w:r>
      <w:r>
        <w:t xml:space="preserve"> </w:t>
      </w:r>
      <w:r w:rsidR="009A39A9" w:rsidRPr="00820D7E">
        <w:t>15.3</w:t>
      </w:r>
      <w:r w:rsidR="004B6775">
        <w:t xml:space="preserve"> </w:t>
      </w:r>
      <w:r w:rsidR="004B6775">
        <w:t>percent</w:t>
      </w:r>
      <w:r w:rsidR="009A39A9" w:rsidRPr="00820D7E">
        <w:t xml:space="preserve"> of residents participated in organised physical activity in the last three months</w:t>
      </w:r>
      <w:r>
        <w:t xml:space="preserve"> and </w:t>
      </w:r>
      <w:r w:rsidR="009A39A9" w:rsidRPr="00820D7E">
        <w:t>7.7</w:t>
      </w:r>
      <w:r w:rsidR="004B6775">
        <w:t xml:space="preserve"> </w:t>
      </w:r>
      <w:r w:rsidR="004B6775">
        <w:t>percent</w:t>
      </w:r>
      <w:r w:rsidR="009A39A9" w:rsidRPr="00820D7E">
        <w:t xml:space="preserve"> participated in physical activity organised by a fitness leisure or indoor sports centre in the last three months.</w:t>
      </w:r>
    </w:p>
    <w:p w14:paraId="6387457C" w14:textId="71825B78" w:rsidR="00854964" w:rsidRDefault="009A39A9" w:rsidP="00820D7E">
      <w:pPr>
        <w:pStyle w:val="BodyText"/>
      </w:pPr>
      <w:r w:rsidRPr="00820D7E">
        <w:t>6.6</w:t>
      </w:r>
      <w:r w:rsidR="004B6775">
        <w:t xml:space="preserve"> </w:t>
      </w:r>
      <w:r w:rsidR="004B6775">
        <w:t>percent</w:t>
      </w:r>
      <w:r w:rsidRPr="00820D7E">
        <w:t xml:space="preserve"> of residents participated in physical activity organised by a sports club or association over the last three months</w:t>
      </w:r>
      <w:r w:rsidR="007A78DB">
        <w:t>.</w:t>
      </w:r>
    </w:p>
    <w:p w14:paraId="2101B64C" w14:textId="5B8D5F87" w:rsidR="00854964" w:rsidRPr="00820D7E" w:rsidRDefault="009A39A9" w:rsidP="00820D7E">
      <w:pPr>
        <w:pStyle w:val="BodyText"/>
      </w:pPr>
      <w:r w:rsidRPr="00820D7E">
        <w:t xml:space="preserve">Appendix B </w:t>
      </w:r>
      <w:r w:rsidR="007A78DB">
        <w:t>is an overview of key</w:t>
      </w:r>
      <w:r w:rsidRPr="00820D7E">
        <w:t xml:space="preserve"> research</w:t>
      </w:r>
      <w:r w:rsidR="007A78DB">
        <w:t xml:space="preserve"> used to Inform the policy.</w:t>
      </w:r>
    </w:p>
    <w:p w14:paraId="2691C254" w14:textId="77777777" w:rsidR="007A78DB" w:rsidRDefault="009A39A9" w:rsidP="00820D7E">
      <w:pPr>
        <w:pStyle w:val="BodyText"/>
      </w:pPr>
      <w:r w:rsidRPr="00820D7E">
        <w:t>Gender Equality Act</w:t>
      </w:r>
      <w:r w:rsidR="007A78DB">
        <w:t xml:space="preserve">. </w:t>
      </w:r>
    </w:p>
    <w:p w14:paraId="2D0AD4B3" w14:textId="5A9E065E" w:rsidR="00854964" w:rsidRPr="00820D7E" w:rsidRDefault="009A39A9" w:rsidP="00820D7E">
      <w:pPr>
        <w:pStyle w:val="BodyText"/>
      </w:pPr>
      <w:r w:rsidRPr="00820D7E">
        <w:t xml:space="preserve">The Victorian Government’s Gender Equality Act 2020 requires that Councils </w:t>
      </w:r>
      <w:r w:rsidR="004B6775">
        <w:t>“</w:t>
      </w:r>
      <w:r w:rsidRPr="00820D7E">
        <w:t>must consider and promote gender equality; and take necessary and proportionate action towards achieving gender equality”. The Act includes a requirement, under Part One, Section 1</w:t>
      </w:r>
      <w:r w:rsidR="007A78DB">
        <w:t>a</w:t>
      </w:r>
      <w:r w:rsidRPr="00820D7E">
        <w:t>, that</w:t>
      </w:r>
      <w:r w:rsidR="007A78DB">
        <w:t xml:space="preserve"> </w:t>
      </w:r>
      <w:r w:rsidRPr="00820D7E">
        <w:t>a Gender Impact Assessment is completed when “developing or revising any policy of,</w:t>
      </w:r>
      <w:r w:rsidR="007A78DB">
        <w:t xml:space="preserve"> </w:t>
      </w:r>
      <w:r w:rsidRPr="00820D7E">
        <w:t>or program or service provided by, the entity that has a direct and significant impact upon the public”. The access and use of community sport and recreation infrastructure is a policy that directly and significantly impacts the public.</w:t>
      </w:r>
    </w:p>
    <w:p w14:paraId="64C21F35" w14:textId="77777777" w:rsidR="00854964" w:rsidRPr="00820D7E" w:rsidRDefault="009A39A9" w:rsidP="00820D7E">
      <w:pPr>
        <w:pStyle w:val="BodyText"/>
      </w:pPr>
      <w:r w:rsidRPr="00820D7E">
        <w:t>Fair Access Roadmap</w:t>
      </w:r>
    </w:p>
    <w:p w14:paraId="0634112B" w14:textId="77777777" w:rsidR="00854964" w:rsidRPr="00820D7E" w:rsidRDefault="009A39A9" w:rsidP="00820D7E">
      <w:pPr>
        <w:pStyle w:val="BodyText"/>
      </w:pPr>
      <w:r w:rsidRPr="00820D7E">
        <w:t>The Fair Access Roadmap guides local governments, sport and recreation user groups and others on improving gender-equitable access and use of publicly owned community sport and recreation infrastructure. It requires local councils to implement allocation and use policies and action plans. Victorian Government funding criteria for community sport infrastructure require gender equitable access and use policies to be in place from 1 July 2024.</w:t>
      </w:r>
    </w:p>
    <w:p w14:paraId="484A4B3C" w14:textId="77777777" w:rsidR="00854964" w:rsidRPr="00820D7E" w:rsidRDefault="009A39A9" w:rsidP="00820D7E">
      <w:pPr>
        <w:pStyle w:val="BodyText"/>
      </w:pPr>
      <w:r w:rsidRPr="00820D7E">
        <w:t>Community engagement and research</w:t>
      </w:r>
    </w:p>
    <w:p w14:paraId="612335E2" w14:textId="47724656" w:rsidR="00854964" w:rsidRPr="00820D7E" w:rsidRDefault="009A39A9" w:rsidP="00820D7E">
      <w:pPr>
        <w:pStyle w:val="BodyText"/>
      </w:pPr>
      <w:r w:rsidRPr="00820D7E">
        <w:t xml:space="preserve">City of Melbourne undertook research and community engagement to identify the barriers women, girls and other underrepresented groups face to participation in sport and recreation. We identified barriers to </w:t>
      </w:r>
      <w:r w:rsidRPr="00820D7E">
        <w:lastRenderedPageBreak/>
        <w:t>involvement by users and non</w:t>
      </w:r>
      <w:r w:rsidR="004B6775">
        <w:t>-</w:t>
      </w:r>
      <w:r w:rsidRPr="00820D7E">
        <w:t xml:space="preserve">users, as well as motivators for participating in sport and recreation. The key findings </w:t>
      </w:r>
      <w:r w:rsidR="00F0264F">
        <w:t xml:space="preserve">were that with regards to </w:t>
      </w:r>
      <w:r w:rsidRPr="00820D7E">
        <w:t>Infrastructure and environment</w:t>
      </w:r>
      <w:r w:rsidR="00F0264F">
        <w:t xml:space="preserve"> we should e</w:t>
      </w:r>
      <w:r w:rsidRPr="00820D7E">
        <w:t>nsure safety getting to and from and while participating at community sport and recreation facilities at night.</w:t>
      </w:r>
      <w:r w:rsidR="00F0264F">
        <w:t xml:space="preserve"> </w:t>
      </w:r>
      <w:r w:rsidRPr="00820D7E">
        <w:t>Provide well-designed and maintained sports and recreation facilities to meet their needs.</w:t>
      </w:r>
      <w:r w:rsidR="00F0264F">
        <w:t xml:space="preserve"> </w:t>
      </w:r>
      <w:r w:rsidRPr="00820D7E">
        <w:t>Ensure community members feel welcome and included at community sports and recreation facilities.</w:t>
      </w:r>
      <w:r w:rsidR="00F0264F">
        <w:t xml:space="preserve"> </w:t>
      </w:r>
      <w:r w:rsidRPr="00820D7E">
        <w:t>Provide access to sports and recreation facilities and activities at convenient times and locations.</w:t>
      </w:r>
      <w:r w:rsidR="00F0264F">
        <w:t xml:space="preserve"> </w:t>
      </w:r>
      <w:r w:rsidRPr="00820D7E">
        <w:t>Provide nearby facilities that enable participation in the sport and recreation activities that are of interest.</w:t>
      </w:r>
    </w:p>
    <w:p w14:paraId="028D1831" w14:textId="7296EB2D" w:rsidR="00854964" w:rsidRPr="00820D7E" w:rsidRDefault="00F0264F" w:rsidP="00820D7E">
      <w:pPr>
        <w:pStyle w:val="BodyText"/>
      </w:pPr>
      <w:r>
        <w:t>Feedback on a</w:t>
      </w:r>
      <w:r w:rsidR="009A39A9" w:rsidRPr="00820D7E">
        <w:t>ctivities</w:t>
      </w:r>
      <w:r>
        <w:t xml:space="preserve"> outlined we should p</w:t>
      </w:r>
      <w:r w:rsidR="009A39A9" w:rsidRPr="00820D7E">
        <w:t>rovide opportunities to participate in sport and recreation in different ways, including more social, fun, non-competitive/routine activities, modified, culturally appropriate and family friendly.</w:t>
      </w:r>
      <w:r>
        <w:t xml:space="preserve"> </w:t>
      </w:r>
      <w:r w:rsidR="009A39A9" w:rsidRPr="00820D7E">
        <w:t>Provide easier introductions to sport and recreation activities that are non-threatening, build skills and confidence, and provide a range of pathways.</w:t>
      </w:r>
      <w:r>
        <w:t xml:space="preserve"> </w:t>
      </w:r>
      <w:r w:rsidR="009A39A9" w:rsidRPr="00820D7E">
        <w:t>Provide suitable pricing for those experiencing financial barriers to participating in sport and recreation.</w:t>
      </w:r>
      <w:r>
        <w:t xml:space="preserve"> </w:t>
      </w:r>
      <w:r w:rsidR="009A39A9" w:rsidRPr="00820D7E">
        <w:t>Create greater diversity in leadership and facilitation roles.</w:t>
      </w:r>
      <w:r>
        <w:t xml:space="preserve"> </w:t>
      </w:r>
      <w:r w:rsidR="009A39A9" w:rsidRPr="00820D7E">
        <w:t>Ensure sport and recreation staff, facilitators, and players are respectful and welcoming to all people.</w:t>
      </w:r>
      <w:r>
        <w:t xml:space="preserve"> </w:t>
      </w:r>
      <w:r w:rsidR="009A39A9" w:rsidRPr="00820D7E">
        <w:t>Provide equitable access to sports and recreation facilities.</w:t>
      </w:r>
    </w:p>
    <w:p w14:paraId="6B2FDEB3" w14:textId="77777777" w:rsidR="00854964" w:rsidRDefault="009A39A9" w:rsidP="00820D7E">
      <w:pPr>
        <w:pStyle w:val="BodyText"/>
      </w:pPr>
      <w:r w:rsidRPr="00820D7E">
        <w:t>Information, engagement and partnership</w:t>
      </w:r>
      <w:r w:rsidR="00F0264F">
        <w:t xml:space="preserve"> </w:t>
      </w:r>
      <w:r w:rsidRPr="00820D7E">
        <w:t>Provide easily accessible information on community sport and recreation participation opportunities</w:t>
      </w:r>
      <w:r w:rsidR="00F0264F">
        <w:t xml:space="preserve"> and p</w:t>
      </w:r>
      <w:r w:rsidRPr="00820D7E">
        <w:t>romote the opportunities and advantages of participating in community sport and recreation.</w:t>
      </w:r>
    </w:p>
    <w:p w14:paraId="7D89001F" w14:textId="73264650" w:rsidR="00854964" w:rsidRDefault="009A39A9" w:rsidP="00820D7E">
      <w:pPr>
        <w:pStyle w:val="BodyText"/>
      </w:pPr>
      <w:r w:rsidRPr="00820D7E">
        <w:t xml:space="preserve">Appendix C </w:t>
      </w:r>
      <w:r w:rsidR="00F0264F">
        <w:t xml:space="preserve">demonstrates how the fair access sport and recreation allocation and use policy </w:t>
      </w:r>
      <w:r w:rsidRPr="00820D7E">
        <w:t xml:space="preserve">aligns with </w:t>
      </w:r>
      <w:r w:rsidR="00F0264F">
        <w:t xml:space="preserve">other council </w:t>
      </w:r>
      <w:r w:rsidRPr="00820D7E">
        <w:t>plans and strategies from the City of Melbourne.</w:t>
      </w:r>
    </w:p>
    <w:p w14:paraId="5123540A" w14:textId="67882CBC" w:rsidR="00F0264F" w:rsidRDefault="00F0264F" w:rsidP="00F0264F">
      <w:pPr>
        <w:pStyle w:val="BodyText"/>
      </w:pPr>
      <w:r>
        <w:t>City of Melbourne has six strategic objectives for its four-year Council Plan 2021-2025 in relevant response to the Community Vision. This includes the Access and Affordability objective which is delivered through several Major Initiatives, including Major Initiative 36 to provide Inclusive sports facilities for women. This also aligns to the united nations sustainable development goals 5 gender equality and 10 reduced inequalities.</w:t>
      </w:r>
    </w:p>
    <w:p w14:paraId="5FC310D3" w14:textId="00E910C2" w:rsidR="00F0264F" w:rsidRDefault="00F0264F" w:rsidP="00F0264F">
      <w:pPr>
        <w:pStyle w:val="BodyText"/>
      </w:pPr>
      <w:r>
        <w:t>The Council Plan 2021–2025 includes a Health and Wellbeing Plan containing six focus areas which align to the fair access policy including that all people feel safe and included when participating in community life, with zero tolerance of violence, including family violence, gender inequality, violence against women, racism and discrimination in all forms and that all people have equal access to employment, arts, culture, nature and physical activity. This policy also assists people are supported and encouraged to make healthy lifestyle decisions, including participating in sports and physical activity.</w:t>
      </w:r>
    </w:p>
    <w:p w14:paraId="7D34E385" w14:textId="4FC7A178" w:rsidR="00F0264F" w:rsidRDefault="00F0264F" w:rsidP="00F0264F">
      <w:pPr>
        <w:pStyle w:val="BodyText"/>
      </w:pPr>
      <w:r>
        <w:t>City of Melbourne’s Inclusive Melbourne Strategy 2022–2032 identifies three priority areas, including Priority 1: Organisation, services, programs and places for all of which one of the outcomes of Priority 1 is that ‘our services, programs and places are welcoming, safe, accessible, and affordable for all’. The indicator of success is ‘increased diversity of people and communities accessing services, programs and places’.</w:t>
      </w:r>
    </w:p>
    <w:p w14:paraId="54F0F29B" w14:textId="30F7BA78" w:rsidR="00F0264F" w:rsidRDefault="00F0264F" w:rsidP="00F0264F">
      <w:pPr>
        <w:pStyle w:val="BodyText"/>
      </w:pPr>
      <w:r>
        <w:t>Creating Communities of Equality and Respect also known as the Women’s Safety and Empowerment Action Plan 2021–2024 includes the themes to advance women and gender-diverse people’s leadership and participation in economic, social and civic life across the municipality and to promote the safety of women and gender-diverse people in our communities and public spaces which the Fair access sport and recreation allocation and use policy supports.</w:t>
      </w:r>
    </w:p>
    <w:p w14:paraId="52BE36FD" w14:textId="77777777" w:rsidR="009F6AF1" w:rsidRDefault="009F6AF1" w:rsidP="00820D7E">
      <w:pPr>
        <w:pStyle w:val="BodyText"/>
      </w:pPr>
      <w:r>
        <w:t xml:space="preserve">Lastly the </w:t>
      </w:r>
      <w:r w:rsidRPr="009F6AF1">
        <w:t>Women’s Participation in Sport and Active Recreation in Melbourne’s West: Action Plan for Change 2020–2025 provides evidence-based, strategic direction to project partners in Melbourne’s west to support the planning, development, and implementation of women’s and girls’ improved participation in sport and active recreation</w:t>
      </w:r>
      <w:r>
        <w:t xml:space="preserve"> which the Fair access sport and recreation allocation and use policy has drawn from.</w:t>
      </w:r>
    </w:p>
    <w:p w14:paraId="2D0F189C" w14:textId="7FFD126C" w:rsidR="00D37B1E" w:rsidRPr="00820D7E" w:rsidRDefault="009A39A9" w:rsidP="00820D7E">
      <w:pPr>
        <w:pStyle w:val="BodyText"/>
      </w:pPr>
      <w:r w:rsidRPr="00820D7E">
        <w:t xml:space="preserve">Appendix D </w:t>
      </w:r>
      <w:r w:rsidR="00D37B1E" w:rsidRPr="00820D7E">
        <w:t>is a list of all of the city of Melbourne’s Community Sport and Recreation Facilities that the Fair Access Recreation and Sport Allocation and Use Policy applies to in Parkville we have the Western Oval, Western Pavilion</w:t>
      </w:r>
      <w:r w:rsidR="009F6AF1">
        <w:t xml:space="preserve">, </w:t>
      </w:r>
      <w:r w:rsidR="00D37B1E" w:rsidRPr="00820D7E">
        <w:t>Ransford Oval, McAlister Oval, Ryder Oval, Ryder Pavilion, Poplar Oval, Poplar Pavilion, Walker East Oval, Walker West Oval, Smith Oval, Brens Oval, Brens Pavilion, Flemington Road Oval, Flemington Road Oval Pavilion, Ross Straw North Oval, Ross Straw South Oval, Ross Straw Pavilion.</w:t>
      </w:r>
    </w:p>
    <w:p w14:paraId="372FF1EA" w14:textId="77777777" w:rsidR="00D37B1E" w:rsidRPr="00820D7E" w:rsidRDefault="00D37B1E" w:rsidP="00820D7E">
      <w:pPr>
        <w:pStyle w:val="BodyText"/>
      </w:pPr>
      <w:r w:rsidRPr="00820D7E">
        <w:t>In Carlton this includes Crawford Oval, Southern Fields, Oval 1, Northern Pavilion, Southern Pavilion all located in princes park.</w:t>
      </w:r>
    </w:p>
    <w:p w14:paraId="1DE545B3" w14:textId="426FDF1F" w:rsidR="00D37B1E" w:rsidRPr="00820D7E" w:rsidRDefault="00D37B1E" w:rsidP="00820D7E">
      <w:pPr>
        <w:pStyle w:val="BodyText"/>
      </w:pPr>
      <w:r w:rsidRPr="00820D7E">
        <w:t>In Kensington this includes Oval 1 and 2, the synthetic pitch and Bill Vanina Pavilion in JJ Holand Park and Newmarket Reserve facilities, Newmarket Lawn and the Newmarket Reserve Pavilion.</w:t>
      </w:r>
      <w:r w:rsidR="009F6AF1">
        <w:t xml:space="preserve"> I</w:t>
      </w:r>
      <w:r w:rsidRPr="00820D7E">
        <w:t>n South Yarra this includes Cordner Oval and Lawns 13, 15, 16, 17, 18, 19 and 22 as well as the Southern Sports Area, Northern Pavilion and Southern Pavilion in Fawkner park.</w:t>
      </w:r>
      <w:r w:rsidR="009F6AF1">
        <w:t xml:space="preserve"> </w:t>
      </w:r>
      <w:r w:rsidRPr="00820D7E">
        <w:t>In Docklands this includes the Ron Barassi Snr Park facilities, Ron Barassi Snr Park Lawn and Ron Barassi Snr Pavilion</w:t>
      </w:r>
      <w:r w:rsidR="009F6AF1">
        <w:t xml:space="preserve">. </w:t>
      </w:r>
      <w:r w:rsidRPr="00820D7E">
        <w:t>In Melbourne this is the Edmund Herring Oval and associated Pavilion.</w:t>
      </w:r>
    </w:p>
    <w:p w14:paraId="7FAF9507" w14:textId="77777777" w:rsidR="00D37B1E" w:rsidRPr="00820D7E" w:rsidRDefault="00D37B1E" w:rsidP="00820D7E">
      <w:pPr>
        <w:pStyle w:val="BodyText"/>
      </w:pPr>
      <w:r w:rsidRPr="00820D7E">
        <w:t xml:space="preserve">Recreation facilities the fair access policy and actions apply to include Melbourne City Baths, Carlton Baths, Kensington Community Recreation Centre, North Melbourne Community Centre, North Melbourne Recreation </w:t>
      </w:r>
      <w:r w:rsidRPr="00820D7E">
        <w:lastRenderedPageBreak/>
        <w:t>Centre, Riverslide Skate Park, Kensington Skate Park and BMX Track, Flagstaff Gardens Multisport Courts, Docklands Multisport Courts, Royal Park Golf Course.</w:t>
      </w:r>
    </w:p>
    <w:p w14:paraId="0A41D0B3" w14:textId="77777777" w:rsidR="00D37B1E" w:rsidRDefault="00D37B1E" w:rsidP="00820D7E">
      <w:pPr>
        <w:pStyle w:val="BodyText"/>
      </w:pPr>
      <w:r w:rsidRPr="00820D7E">
        <w:t xml:space="preserve">Lease and </w:t>
      </w:r>
      <w:r w:rsidR="009F6AF1" w:rsidRPr="00820D7E">
        <w:t>licensed</w:t>
      </w:r>
      <w:r w:rsidRPr="00820D7E">
        <w:t xml:space="preserve"> facilities include Rowing facilities, Boating facilities, Carlton Gardens Tennis Courts, North Park Tennis Courts, Kensington Banks Tennis Courts, Princes Hill Tennis Courts, Parkville Tennis Courts, Fawkner Park Tennis Courts, Powlett Reserve Tennis Courts, Royal Park Tennis Courts, Flemington Kensington Bowling Greens, Princes Park Carlton Bowling Greens, Flagstaff Gardens Bowling Greens, North Melbourne Football Club, Carlton Football Club and the State Fencing Centre</w:t>
      </w:r>
      <w:r w:rsidR="009F6AF1">
        <w:t>.</w:t>
      </w:r>
    </w:p>
    <w:p w14:paraId="22EAC256" w14:textId="50CCD2E4" w:rsidR="00D37B1E" w:rsidRPr="00820D7E" w:rsidRDefault="009A39A9" w:rsidP="00820D7E">
      <w:pPr>
        <w:pStyle w:val="BodyText"/>
      </w:pPr>
      <w:r w:rsidRPr="00820D7E">
        <w:t xml:space="preserve">Appendix E </w:t>
      </w:r>
      <w:r w:rsidR="009F6AF1">
        <w:t xml:space="preserve">is a </w:t>
      </w:r>
      <w:r w:rsidR="00D37B1E" w:rsidRPr="00820D7E">
        <w:t>Glossary</w:t>
      </w:r>
      <w:r w:rsidR="009F6AF1">
        <w:t xml:space="preserve"> of terms.</w:t>
      </w:r>
    </w:p>
    <w:p w14:paraId="232E2E51" w14:textId="77777777" w:rsidR="00D37B1E" w:rsidRPr="00820D7E" w:rsidRDefault="00D37B1E" w:rsidP="00820D7E">
      <w:pPr>
        <w:pStyle w:val="BodyText"/>
      </w:pPr>
      <w:r w:rsidRPr="00820D7E">
        <w:t>City of Melbourne: the local government body responsible for the municipality of Melbourne.</w:t>
      </w:r>
    </w:p>
    <w:p w14:paraId="3DB3A16F" w14:textId="77777777" w:rsidR="00D37B1E" w:rsidRPr="00820D7E" w:rsidRDefault="00D37B1E" w:rsidP="00820D7E">
      <w:pPr>
        <w:pStyle w:val="BodyText"/>
      </w:pPr>
      <w:r w:rsidRPr="00820D7E">
        <w:t>Community sport and recreation facilities: refer to City of Melbourne-owned or managed sport and recreation infrastructure operated and maintained primarily to facilitate community sport and recreation activities. These facilities include sporting grounds and pavilions, aquatic and recreation centres, and other sports and recreation locations.</w:t>
      </w:r>
    </w:p>
    <w:p w14:paraId="2F44E828" w14:textId="77777777" w:rsidR="00D37B1E" w:rsidRPr="00820D7E" w:rsidRDefault="00D37B1E" w:rsidP="00820D7E">
      <w:pPr>
        <w:pStyle w:val="BodyText"/>
      </w:pPr>
      <w:r w:rsidRPr="00820D7E">
        <w:t>Fair Access: refers to making community sports and recreation facilities more equitable and inclusive to increase the participation of women and girls. Opportunities to improve participation for other underrepresented groups will also be considered.</w:t>
      </w:r>
    </w:p>
    <w:p w14:paraId="018B0F4A" w14:textId="77777777" w:rsidR="00D37B1E" w:rsidRPr="00820D7E" w:rsidRDefault="00D37B1E" w:rsidP="00820D7E">
      <w:pPr>
        <w:pStyle w:val="BodyText"/>
      </w:pPr>
      <w:r w:rsidRPr="00820D7E">
        <w:t>Gender equality: is where people of all genders have equal rights and opportunities. Equality does not mean that all people will become the same. Instead, their rights, responsibilities and opportunities will not depend on their gender.</w:t>
      </w:r>
    </w:p>
    <w:p w14:paraId="4ED64BAB" w14:textId="77777777" w:rsidR="00D37B1E" w:rsidRPr="00820D7E" w:rsidRDefault="00D37B1E" w:rsidP="00820D7E">
      <w:pPr>
        <w:pStyle w:val="BodyText"/>
      </w:pPr>
      <w:r w:rsidRPr="00820D7E">
        <w:t>Gender equity: is the provision of fairness and justice to achieve gender equality. It recognises that each person has different circumstances and allocates resources and opportunities to reach equal rights and outcomes. It means that some people might be given extra resources and opportunities to achieve outcomes equal to others.</w:t>
      </w:r>
    </w:p>
    <w:p w14:paraId="0E21CB66" w14:textId="77777777" w:rsidR="00D37B1E" w:rsidRPr="00820D7E" w:rsidRDefault="00D37B1E" w:rsidP="00820D7E">
      <w:pPr>
        <w:pStyle w:val="BodyText"/>
      </w:pPr>
      <w:r w:rsidRPr="00820D7E">
        <w:t>Gender Impact Assessment: a requirement under the Gender Equality Act 2020 to be carried out on policies, programs and services that directly and significantly impact the public. The assessment must evaluate a policy, program or service’s effects on people of different genders.</w:t>
      </w:r>
    </w:p>
    <w:p w14:paraId="4184B2B0" w14:textId="77777777" w:rsidR="00D37B1E" w:rsidRPr="00820D7E" w:rsidRDefault="00D37B1E" w:rsidP="00820D7E">
      <w:pPr>
        <w:pStyle w:val="BodyText"/>
      </w:pPr>
      <w:r w:rsidRPr="00820D7E">
        <w:t>The community: includes Traditional Owners, people who work, live, study, visit, pay rates or own a business in the municipality.</w:t>
      </w:r>
    </w:p>
    <w:p w14:paraId="1AC7F157" w14:textId="77777777" w:rsidR="00D37B1E" w:rsidRPr="00820D7E" w:rsidRDefault="00D37B1E" w:rsidP="00820D7E">
      <w:pPr>
        <w:pStyle w:val="BodyText"/>
      </w:pPr>
      <w:r w:rsidRPr="00820D7E">
        <w:t>Underrepresented groups: groups that have lower participation rates in community sport and recreation, including women and girls, Aboriginal people, people with disability, multicultural communities, LGBTIQA+ and gender diverse communities.</w:t>
      </w:r>
    </w:p>
    <w:p w14:paraId="1F763A34" w14:textId="1906DE34" w:rsidR="00854964" w:rsidRPr="00820D7E" w:rsidRDefault="00D37B1E" w:rsidP="00820D7E">
      <w:pPr>
        <w:pStyle w:val="BodyText"/>
      </w:pPr>
      <w:r w:rsidRPr="00820D7E">
        <w:t>User groups: organisations, including sporting clubs, associations, community groups, schools, commercial operators and others</w:t>
      </w:r>
    </w:p>
    <w:sectPr w:rsidR="00854964" w:rsidRPr="00820D7E" w:rsidSect="009F67AB">
      <w:footerReference w:type="even" r:id="rId7"/>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5FE4" w14:textId="77777777" w:rsidR="009A39A9" w:rsidRDefault="009A39A9">
      <w:r>
        <w:separator/>
      </w:r>
    </w:p>
  </w:endnote>
  <w:endnote w:type="continuationSeparator" w:id="0">
    <w:p w14:paraId="6FB8EAE4" w14:textId="77777777" w:rsidR="009A39A9" w:rsidRDefault="009A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altName w:val="Calibri"/>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Gotham Bold">
    <w:altName w:val="Gotham"/>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 Regular">
    <w:panose1 w:val="02000606020000020006"/>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830F" w14:textId="77777777" w:rsidR="00854964" w:rsidRDefault="0085496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8F26" w14:textId="77777777" w:rsidR="009A39A9" w:rsidRDefault="009A39A9">
      <w:r>
        <w:separator/>
      </w:r>
    </w:p>
  </w:footnote>
  <w:footnote w:type="continuationSeparator" w:id="0">
    <w:p w14:paraId="168BED39" w14:textId="77777777" w:rsidR="009A39A9" w:rsidRDefault="009A3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450"/>
    <w:multiLevelType w:val="hybridMultilevel"/>
    <w:tmpl w:val="4864789E"/>
    <w:lvl w:ilvl="0" w:tplc="B0BCAC1A">
      <w:numFmt w:val="bullet"/>
      <w:lvlText w:val="-"/>
      <w:lvlJc w:val="left"/>
      <w:pPr>
        <w:ind w:left="221"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FA564C2E">
      <w:numFmt w:val="bullet"/>
      <w:lvlText w:val="•"/>
      <w:lvlJc w:val="left"/>
      <w:pPr>
        <w:ind w:left="674" w:hanging="142"/>
      </w:pPr>
      <w:rPr>
        <w:rFonts w:hint="default"/>
        <w:lang w:val="en-US" w:eastAsia="en-US" w:bidi="ar-SA"/>
      </w:rPr>
    </w:lvl>
    <w:lvl w:ilvl="2" w:tplc="E4BC9F5A">
      <w:numFmt w:val="bullet"/>
      <w:lvlText w:val="•"/>
      <w:lvlJc w:val="left"/>
      <w:pPr>
        <w:ind w:left="1128" w:hanging="142"/>
      </w:pPr>
      <w:rPr>
        <w:rFonts w:hint="default"/>
        <w:lang w:val="en-US" w:eastAsia="en-US" w:bidi="ar-SA"/>
      </w:rPr>
    </w:lvl>
    <w:lvl w:ilvl="3" w:tplc="B71C1CAA">
      <w:numFmt w:val="bullet"/>
      <w:lvlText w:val="•"/>
      <w:lvlJc w:val="left"/>
      <w:pPr>
        <w:ind w:left="1582" w:hanging="142"/>
      </w:pPr>
      <w:rPr>
        <w:rFonts w:hint="default"/>
        <w:lang w:val="en-US" w:eastAsia="en-US" w:bidi="ar-SA"/>
      </w:rPr>
    </w:lvl>
    <w:lvl w:ilvl="4" w:tplc="024A3D96">
      <w:numFmt w:val="bullet"/>
      <w:lvlText w:val="•"/>
      <w:lvlJc w:val="left"/>
      <w:pPr>
        <w:ind w:left="2036" w:hanging="142"/>
      </w:pPr>
      <w:rPr>
        <w:rFonts w:hint="default"/>
        <w:lang w:val="en-US" w:eastAsia="en-US" w:bidi="ar-SA"/>
      </w:rPr>
    </w:lvl>
    <w:lvl w:ilvl="5" w:tplc="FD2653D6">
      <w:numFmt w:val="bullet"/>
      <w:lvlText w:val="•"/>
      <w:lvlJc w:val="left"/>
      <w:pPr>
        <w:ind w:left="2490" w:hanging="142"/>
      </w:pPr>
      <w:rPr>
        <w:rFonts w:hint="default"/>
        <w:lang w:val="en-US" w:eastAsia="en-US" w:bidi="ar-SA"/>
      </w:rPr>
    </w:lvl>
    <w:lvl w:ilvl="6" w:tplc="A522A8D4">
      <w:numFmt w:val="bullet"/>
      <w:lvlText w:val="•"/>
      <w:lvlJc w:val="left"/>
      <w:pPr>
        <w:ind w:left="2944" w:hanging="142"/>
      </w:pPr>
      <w:rPr>
        <w:rFonts w:hint="default"/>
        <w:lang w:val="en-US" w:eastAsia="en-US" w:bidi="ar-SA"/>
      </w:rPr>
    </w:lvl>
    <w:lvl w:ilvl="7" w:tplc="7A184DD2">
      <w:numFmt w:val="bullet"/>
      <w:lvlText w:val="•"/>
      <w:lvlJc w:val="left"/>
      <w:pPr>
        <w:ind w:left="3398" w:hanging="142"/>
      </w:pPr>
      <w:rPr>
        <w:rFonts w:hint="default"/>
        <w:lang w:val="en-US" w:eastAsia="en-US" w:bidi="ar-SA"/>
      </w:rPr>
    </w:lvl>
    <w:lvl w:ilvl="8" w:tplc="C772D2A2">
      <w:numFmt w:val="bullet"/>
      <w:lvlText w:val="•"/>
      <w:lvlJc w:val="left"/>
      <w:pPr>
        <w:ind w:left="3852" w:hanging="142"/>
      </w:pPr>
      <w:rPr>
        <w:rFonts w:hint="default"/>
        <w:lang w:val="en-US" w:eastAsia="en-US" w:bidi="ar-SA"/>
      </w:rPr>
    </w:lvl>
  </w:abstractNum>
  <w:abstractNum w:abstractNumId="1" w15:restartNumberingAfterBreak="0">
    <w:nsid w:val="102455E0"/>
    <w:multiLevelType w:val="hybridMultilevel"/>
    <w:tmpl w:val="8A0A31AE"/>
    <w:lvl w:ilvl="0" w:tplc="57745AA0">
      <w:numFmt w:val="bullet"/>
      <w:lvlText w:val="-"/>
      <w:lvlJc w:val="left"/>
      <w:pPr>
        <w:ind w:left="222"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1BFC1AD2">
      <w:numFmt w:val="bullet"/>
      <w:lvlText w:val="•"/>
      <w:lvlJc w:val="left"/>
      <w:pPr>
        <w:ind w:left="657" w:hanging="142"/>
      </w:pPr>
      <w:rPr>
        <w:rFonts w:hint="default"/>
        <w:lang w:val="en-US" w:eastAsia="en-US" w:bidi="ar-SA"/>
      </w:rPr>
    </w:lvl>
    <w:lvl w:ilvl="2" w:tplc="4EE05ABA">
      <w:numFmt w:val="bullet"/>
      <w:lvlText w:val="•"/>
      <w:lvlJc w:val="left"/>
      <w:pPr>
        <w:ind w:left="1095" w:hanging="142"/>
      </w:pPr>
      <w:rPr>
        <w:rFonts w:hint="default"/>
        <w:lang w:val="en-US" w:eastAsia="en-US" w:bidi="ar-SA"/>
      </w:rPr>
    </w:lvl>
    <w:lvl w:ilvl="3" w:tplc="E9420FF0">
      <w:numFmt w:val="bullet"/>
      <w:lvlText w:val="•"/>
      <w:lvlJc w:val="left"/>
      <w:pPr>
        <w:ind w:left="1533" w:hanging="142"/>
      </w:pPr>
      <w:rPr>
        <w:rFonts w:hint="default"/>
        <w:lang w:val="en-US" w:eastAsia="en-US" w:bidi="ar-SA"/>
      </w:rPr>
    </w:lvl>
    <w:lvl w:ilvl="4" w:tplc="BC48CD46">
      <w:numFmt w:val="bullet"/>
      <w:lvlText w:val="•"/>
      <w:lvlJc w:val="left"/>
      <w:pPr>
        <w:ind w:left="1970" w:hanging="142"/>
      </w:pPr>
      <w:rPr>
        <w:rFonts w:hint="default"/>
        <w:lang w:val="en-US" w:eastAsia="en-US" w:bidi="ar-SA"/>
      </w:rPr>
    </w:lvl>
    <w:lvl w:ilvl="5" w:tplc="B06CC35C">
      <w:numFmt w:val="bullet"/>
      <w:lvlText w:val="•"/>
      <w:lvlJc w:val="left"/>
      <w:pPr>
        <w:ind w:left="2408" w:hanging="142"/>
      </w:pPr>
      <w:rPr>
        <w:rFonts w:hint="default"/>
        <w:lang w:val="en-US" w:eastAsia="en-US" w:bidi="ar-SA"/>
      </w:rPr>
    </w:lvl>
    <w:lvl w:ilvl="6" w:tplc="1A6865AC">
      <w:numFmt w:val="bullet"/>
      <w:lvlText w:val="•"/>
      <w:lvlJc w:val="left"/>
      <w:pPr>
        <w:ind w:left="2846" w:hanging="142"/>
      </w:pPr>
      <w:rPr>
        <w:rFonts w:hint="default"/>
        <w:lang w:val="en-US" w:eastAsia="en-US" w:bidi="ar-SA"/>
      </w:rPr>
    </w:lvl>
    <w:lvl w:ilvl="7" w:tplc="10E444DC">
      <w:numFmt w:val="bullet"/>
      <w:lvlText w:val="•"/>
      <w:lvlJc w:val="left"/>
      <w:pPr>
        <w:ind w:left="3283" w:hanging="142"/>
      </w:pPr>
      <w:rPr>
        <w:rFonts w:hint="default"/>
        <w:lang w:val="en-US" w:eastAsia="en-US" w:bidi="ar-SA"/>
      </w:rPr>
    </w:lvl>
    <w:lvl w:ilvl="8" w:tplc="0B4CD5B8">
      <w:numFmt w:val="bullet"/>
      <w:lvlText w:val="•"/>
      <w:lvlJc w:val="left"/>
      <w:pPr>
        <w:ind w:left="3721" w:hanging="142"/>
      </w:pPr>
      <w:rPr>
        <w:rFonts w:hint="default"/>
        <w:lang w:val="en-US" w:eastAsia="en-US" w:bidi="ar-SA"/>
      </w:rPr>
    </w:lvl>
  </w:abstractNum>
  <w:abstractNum w:abstractNumId="2" w15:restartNumberingAfterBreak="0">
    <w:nsid w:val="10B93F43"/>
    <w:multiLevelType w:val="hybridMultilevel"/>
    <w:tmpl w:val="623C2246"/>
    <w:lvl w:ilvl="0" w:tplc="461E46B6">
      <w:numFmt w:val="bullet"/>
      <w:lvlText w:val="-"/>
      <w:lvlJc w:val="left"/>
      <w:pPr>
        <w:ind w:left="222"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0ADACE68">
      <w:numFmt w:val="bullet"/>
      <w:lvlText w:val="•"/>
      <w:lvlJc w:val="left"/>
      <w:pPr>
        <w:ind w:left="657" w:hanging="142"/>
      </w:pPr>
      <w:rPr>
        <w:rFonts w:hint="default"/>
        <w:lang w:val="en-US" w:eastAsia="en-US" w:bidi="ar-SA"/>
      </w:rPr>
    </w:lvl>
    <w:lvl w:ilvl="2" w:tplc="FD3A2D4E">
      <w:numFmt w:val="bullet"/>
      <w:lvlText w:val="•"/>
      <w:lvlJc w:val="left"/>
      <w:pPr>
        <w:ind w:left="1095" w:hanging="142"/>
      </w:pPr>
      <w:rPr>
        <w:rFonts w:hint="default"/>
        <w:lang w:val="en-US" w:eastAsia="en-US" w:bidi="ar-SA"/>
      </w:rPr>
    </w:lvl>
    <w:lvl w:ilvl="3" w:tplc="73A4DB62">
      <w:numFmt w:val="bullet"/>
      <w:lvlText w:val="•"/>
      <w:lvlJc w:val="left"/>
      <w:pPr>
        <w:ind w:left="1533" w:hanging="142"/>
      </w:pPr>
      <w:rPr>
        <w:rFonts w:hint="default"/>
        <w:lang w:val="en-US" w:eastAsia="en-US" w:bidi="ar-SA"/>
      </w:rPr>
    </w:lvl>
    <w:lvl w:ilvl="4" w:tplc="0138FFDA">
      <w:numFmt w:val="bullet"/>
      <w:lvlText w:val="•"/>
      <w:lvlJc w:val="left"/>
      <w:pPr>
        <w:ind w:left="1970" w:hanging="142"/>
      </w:pPr>
      <w:rPr>
        <w:rFonts w:hint="default"/>
        <w:lang w:val="en-US" w:eastAsia="en-US" w:bidi="ar-SA"/>
      </w:rPr>
    </w:lvl>
    <w:lvl w:ilvl="5" w:tplc="F1666B18">
      <w:numFmt w:val="bullet"/>
      <w:lvlText w:val="•"/>
      <w:lvlJc w:val="left"/>
      <w:pPr>
        <w:ind w:left="2408" w:hanging="142"/>
      </w:pPr>
      <w:rPr>
        <w:rFonts w:hint="default"/>
        <w:lang w:val="en-US" w:eastAsia="en-US" w:bidi="ar-SA"/>
      </w:rPr>
    </w:lvl>
    <w:lvl w:ilvl="6" w:tplc="F0C2F06A">
      <w:numFmt w:val="bullet"/>
      <w:lvlText w:val="•"/>
      <w:lvlJc w:val="left"/>
      <w:pPr>
        <w:ind w:left="2846" w:hanging="142"/>
      </w:pPr>
      <w:rPr>
        <w:rFonts w:hint="default"/>
        <w:lang w:val="en-US" w:eastAsia="en-US" w:bidi="ar-SA"/>
      </w:rPr>
    </w:lvl>
    <w:lvl w:ilvl="7" w:tplc="D5B2A556">
      <w:numFmt w:val="bullet"/>
      <w:lvlText w:val="•"/>
      <w:lvlJc w:val="left"/>
      <w:pPr>
        <w:ind w:left="3283" w:hanging="142"/>
      </w:pPr>
      <w:rPr>
        <w:rFonts w:hint="default"/>
        <w:lang w:val="en-US" w:eastAsia="en-US" w:bidi="ar-SA"/>
      </w:rPr>
    </w:lvl>
    <w:lvl w:ilvl="8" w:tplc="3DA68C62">
      <w:numFmt w:val="bullet"/>
      <w:lvlText w:val="•"/>
      <w:lvlJc w:val="left"/>
      <w:pPr>
        <w:ind w:left="3721" w:hanging="142"/>
      </w:pPr>
      <w:rPr>
        <w:rFonts w:hint="default"/>
        <w:lang w:val="en-US" w:eastAsia="en-US" w:bidi="ar-SA"/>
      </w:rPr>
    </w:lvl>
  </w:abstractNum>
  <w:abstractNum w:abstractNumId="3" w15:restartNumberingAfterBreak="0">
    <w:nsid w:val="1E141AB6"/>
    <w:multiLevelType w:val="hybridMultilevel"/>
    <w:tmpl w:val="BF42C9EE"/>
    <w:lvl w:ilvl="0" w:tplc="38B83DD0">
      <w:start w:val="1"/>
      <w:numFmt w:val="decimal"/>
      <w:lvlText w:val="%1."/>
      <w:lvlJc w:val="left"/>
      <w:pPr>
        <w:ind w:left="121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A5124A1C">
      <w:numFmt w:val="bullet"/>
      <w:lvlText w:val="•"/>
      <w:lvlJc w:val="left"/>
      <w:pPr>
        <w:ind w:left="170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2" w:tplc="8AFC8D12">
      <w:numFmt w:val="bullet"/>
      <w:lvlText w:val="•"/>
      <w:lvlJc w:val="left"/>
      <w:pPr>
        <w:ind w:left="2133" w:hanging="360"/>
      </w:pPr>
      <w:rPr>
        <w:rFonts w:hint="default"/>
        <w:lang w:val="en-US" w:eastAsia="en-US" w:bidi="ar-SA"/>
      </w:rPr>
    </w:lvl>
    <w:lvl w:ilvl="3" w:tplc="6FAA6B02">
      <w:numFmt w:val="bullet"/>
      <w:lvlText w:val="•"/>
      <w:lvlJc w:val="left"/>
      <w:pPr>
        <w:ind w:left="2567" w:hanging="360"/>
      </w:pPr>
      <w:rPr>
        <w:rFonts w:hint="default"/>
        <w:lang w:val="en-US" w:eastAsia="en-US" w:bidi="ar-SA"/>
      </w:rPr>
    </w:lvl>
    <w:lvl w:ilvl="4" w:tplc="A55078A2">
      <w:numFmt w:val="bullet"/>
      <w:lvlText w:val="•"/>
      <w:lvlJc w:val="left"/>
      <w:pPr>
        <w:ind w:left="3001" w:hanging="360"/>
      </w:pPr>
      <w:rPr>
        <w:rFonts w:hint="default"/>
        <w:lang w:val="en-US" w:eastAsia="en-US" w:bidi="ar-SA"/>
      </w:rPr>
    </w:lvl>
    <w:lvl w:ilvl="5" w:tplc="836E7C2C">
      <w:numFmt w:val="bullet"/>
      <w:lvlText w:val="•"/>
      <w:lvlJc w:val="left"/>
      <w:pPr>
        <w:ind w:left="3435" w:hanging="360"/>
      </w:pPr>
      <w:rPr>
        <w:rFonts w:hint="default"/>
        <w:lang w:val="en-US" w:eastAsia="en-US" w:bidi="ar-SA"/>
      </w:rPr>
    </w:lvl>
    <w:lvl w:ilvl="6" w:tplc="1690F1EA">
      <w:numFmt w:val="bullet"/>
      <w:lvlText w:val="•"/>
      <w:lvlJc w:val="left"/>
      <w:pPr>
        <w:ind w:left="3868" w:hanging="360"/>
      </w:pPr>
      <w:rPr>
        <w:rFonts w:hint="default"/>
        <w:lang w:val="en-US" w:eastAsia="en-US" w:bidi="ar-SA"/>
      </w:rPr>
    </w:lvl>
    <w:lvl w:ilvl="7" w:tplc="2A600F8A">
      <w:numFmt w:val="bullet"/>
      <w:lvlText w:val="•"/>
      <w:lvlJc w:val="left"/>
      <w:pPr>
        <w:ind w:left="4302" w:hanging="360"/>
      </w:pPr>
      <w:rPr>
        <w:rFonts w:hint="default"/>
        <w:lang w:val="en-US" w:eastAsia="en-US" w:bidi="ar-SA"/>
      </w:rPr>
    </w:lvl>
    <w:lvl w:ilvl="8" w:tplc="601C8E98">
      <w:numFmt w:val="bullet"/>
      <w:lvlText w:val="•"/>
      <w:lvlJc w:val="left"/>
      <w:pPr>
        <w:ind w:left="4736" w:hanging="360"/>
      </w:pPr>
      <w:rPr>
        <w:rFonts w:hint="default"/>
        <w:lang w:val="en-US" w:eastAsia="en-US" w:bidi="ar-SA"/>
      </w:rPr>
    </w:lvl>
  </w:abstractNum>
  <w:abstractNum w:abstractNumId="4" w15:restartNumberingAfterBreak="0">
    <w:nsid w:val="372F4D0F"/>
    <w:multiLevelType w:val="hybridMultilevel"/>
    <w:tmpl w:val="DE3EB49A"/>
    <w:lvl w:ilvl="0" w:tplc="1054BA7C">
      <w:numFmt w:val="bullet"/>
      <w:lvlText w:val="•"/>
      <w:lvlJc w:val="left"/>
      <w:pPr>
        <w:ind w:left="876"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A3B60D02">
      <w:numFmt w:val="bullet"/>
      <w:lvlText w:val="•"/>
      <w:lvlJc w:val="left"/>
      <w:pPr>
        <w:ind w:left="1408" w:hanging="360"/>
      </w:pPr>
      <w:rPr>
        <w:rFonts w:hint="default"/>
        <w:lang w:val="en-US" w:eastAsia="en-US" w:bidi="ar-SA"/>
      </w:rPr>
    </w:lvl>
    <w:lvl w:ilvl="2" w:tplc="4796BD80">
      <w:numFmt w:val="bullet"/>
      <w:lvlText w:val="•"/>
      <w:lvlJc w:val="left"/>
      <w:pPr>
        <w:ind w:left="1937" w:hanging="360"/>
      </w:pPr>
      <w:rPr>
        <w:rFonts w:hint="default"/>
        <w:lang w:val="en-US" w:eastAsia="en-US" w:bidi="ar-SA"/>
      </w:rPr>
    </w:lvl>
    <w:lvl w:ilvl="3" w:tplc="5AE0A010">
      <w:numFmt w:val="bullet"/>
      <w:lvlText w:val="•"/>
      <w:lvlJc w:val="left"/>
      <w:pPr>
        <w:ind w:left="2465" w:hanging="360"/>
      </w:pPr>
      <w:rPr>
        <w:rFonts w:hint="default"/>
        <w:lang w:val="en-US" w:eastAsia="en-US" w:bidi="ar-SA"/>
      </w:rPr>
    </w:lvl>
    <w:lvl w:ilvl="4" w:tplc="1610D4E8">
      <w:numFmt w:val="bullet"/>
      <w:lvlText w:val="•"/>
      <w:lvlJc w:val="left"/>
      <w:pPr>
        <w:ind w:left="2994" w:hanging="360"/>
      </w:pPr>
      <w:rPr>
        <w:rFonts w:hint="default"/>
        <w:lang w:val="en-US" w:eastAsia="en-US" w:bidi="ar-SA"/>
      </w:rPr>
    </w:lvl>
    <w:lvl w:ilvl="5" w:tplc="4D1452F4">
      <w:numFmt w:val="bullet"/>
      <w:lvlText w:val="•"/>
      <w:lvlJc w:val="left"/>
      <w:pPr>
        <w:ind w:left="3522" w:hanging="360"/>
      </w:pPr>
      <w:rPr>
        <w:rFonts w:hint="default"/>
        <w:lang w:val="en-US" w:eastAsia="en-US" w:bidi="ar-SA"/>
      </w:rPr>
    </w:lvl>
    <w:lvl w:ilvl="6" w:tplc="BDEC93F0">
      <w:numFmt w:val="bullet"/>
      <w:lvlText w:val="•"/>
      <w:lvlJc w:val="left"/>
      <w:pPr>
        <w:ind w:left="4051" w:hanging="360"/>
      </w:pPr>
      <w:rPr>
        <w:rFonts w:hint="default"/>
        <w:lang w:val="en-US" w:eastAsia="en-US" w:bidi="ar-SA"/>
      </w:rPr>
    </w:lvl>
    <w:lvl w:ilvl="7" w:tplc="CBB6A442">
      <w:numFmt w:val="bullet"/>
      <w:lvlText w:val="•"/>
      <w:lvlJc w:val="left"/>
      <w:pPr>
        <w:ind w:left="4580" w:hanging="360"/>
      </w:pPr>
      <w:rPr>
        <w:rFonts w:hint="default"/>
        <w:lang w:val="en-US" w:eastAsia="en-US" w:bidi="ar-SA"/>
      </w:rPr>
    </w:lvl>
    <w:lvl w:ilvl="8" w:tplc="10FA9090">
      <w:numFmt w:val="bullet"/>
      <w:lvlText w:val="•"/>
      <w:lvlJc w:val="left"/>
      <w:pPr>
        <w:ind w:left="5108" w:hanging="360"/>
      </w:pPr>
      <w:rPr>
        <w:rFonts w:hint="default"/>
        <w:lang w:val="en-US" w:eastAsia="en-US" w:bidi="ar-SA"/>
      </w:rPr>
    </w:lvl>
  </w:abstractNum>
  <w:abstractNum w:abstractNumId="5" w15:restartNumberingAfterBreak="0">
    <w:nsid w:val="3EE22B69"/>
    <w:multiLevelType w:val="hybridMultilevel"/>
    <w:tmpl w:val="22407D9A"/>
    <w:lvl w:ilvl="0" w:tplc="DC265650">
      <w:numFmt w:val="bullet"/>
      <w:lvlText w:val="-"/>
      <w:lvlJc w:val="left"/>
      <w:pPr>
        <w:ind w:left="221"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B1D275BC">
      <w:numFmt w:val="bullet"/>
      <w:lvlText w:val="•"/>
      <w:lvlJc w:val="left"/>
      <w:pPr>
        <w:ind w:left="674" w:hanging="142"/>
      </w:pPr>
      <w:rPr>
        <w:rFonts w:hint="default"/>
        <w:lang w:val="en-US" w:eastAsia="en-US" w:bidi="ar-SA"/>
      </w:rPr>
    </w:lvl>
    <w:lvl w:ilvl="2" w:tplc="1EBA4D7E">
      <w:numFmt w:val="bullet"/>
      <w:lvlText w:val="•"/>
      <w:lvlJc w:val="left"/>
      <w:pPr>
        <w:ind w:left="1128" w:hanging="142"/>
      </w:pPr>
      <w:rPr>
        <w:rFonts w:hint="default"/>
        <w:lang w:val="en-US" w:eastAsia="en-US" w:bidi="ar-SA"/>
      </w:rPr>
    </w:lvl>
    <w:lvl w:ilvl="3" w:tplc="3C2013FE">
      <w:numFmt w:val="bullet"/>
      <w:lvlText w:val="•"/>
      <w:lvlJc w:val="left"/>
      <w:pPr>
        <w:ind w:left="1582" w:hanging="142"/>
      </w:pPr>
      <w:rPr>
        <w:rFonts w:hint="default"/>
        <w:lang w:val="en-US" w:eastAsia="en-US" w:bidi="ar-SA"/>
      </w:rPr>
    </w:lvl>
    <w:lvl w:ilvl="4" w:tplc="60EE1EA2">
      <w:numFmt w:val="bullet"/>
      <w:lvlText w:val="•"/>
      <w:lvlJc w:val="left"/>
      <w:pPr>
        <w:ind w:left="2036" w:hanging="142"/>
      </w:pPr>
      <w:rPr>
        <w:rFonts w:hint="default"/>
        <w:lang w:val="en-US" w:eastAsia="en-US" w:bidi="ar-SA"/>
      </w:rPr>
    </w:lvl>
    <w:lvl w:ilvl="5" w:tplc="6EBC92F2">
      <w:numFmt w:val="bullet"/>
      <w:lvlText w:val="•"/>
      <w:lvlJc w:val="left"/>
      <w:pPr>
        <w:ind w:left="2490" w:hanging="142"/>
      </w:pPr>
      <w:rPr>
        <w:rFonts w:hint="default"/>
        <w:lang w:val="en-US" w:eastAsia="en-US" w:bidi="ar-SA"/>
      </w:rPr>
    </w:lvl>
    <w:lvl w:ilvl="6" w:tplc="BD260B2A">
      <w:numFmt w:val="bullet"/>
      <w:lvlText w:val="•"/>
      <w:lvlJc w:val="left"/>
      <w:pPr>
        <w:ind w:left="2944" w:hanging="142"/>
      </w:pPr>
      <w:rPr>
        <w:rFonts w:hint="default"/>
        <w:lang w:val="en-US" w:eastAsia="en-US" w:bidi="ar-SA"/>
      </w:rPr>
    </w:lvl>
    <w:lvl w:ilvl="7" w:tplc="B2E6A462">
      <w:numFmt w:val="bullet"/>
      <w:lvlText w:val="•"/>
      <w:lvlJc w:val="left"/>
      <w:pPr>
        <w:ind w:left="3398" w:hanging="142"/>
      </w:pPr>
      <w:rPr>
        <w:rFonts w:hint="default"/>
        <w:lang w:val="en-US" w:eastAsia="en-US" w:bidi="ar-SA"/>
      </w:rPr>
    </w:lvl>
    <w:lvl w:ilvl="8" w:tplc="D3B2D3AA">
      <w:numFmt w:val="bullet"/>
      <w:lvlText w:val="•"/>
      <w:lvlJc w:val="left"/>
      <w:pPr>
        <w:ind w:left="3852" w:hanging="142"/>
      </w:pPr>
      <w:rPr>
        <w:rFonts w:hint="default"/>
        <w:lang w:val="en-US" w:eastAsia="en-US" w:bidi="ar-SA"/>
      </w:rPr>
    </w:lvl>
  </w:abstractNum>
  <w:abstractNum w:abstractNumId="6" w15:restartNumberingAfterBreak="0">
    <w:nsid w:val="471D72C6"/>
    <w:multiLevelType w:val="hybridMultilevel"/>
    <w:tmpl w:val="AABC8860"/>
    <w:lvl w:ilvl="0" w:tplc="71925F0C">
      <w:numFmt w:val="bullet"/>
      <w:lvlText w:val="•"/>
      <w:lvlJc w:val="left"/>
      <w:pPr>
        <w:ind w:left="44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DB3C43AC">
      <w:numFmt w:val="bullet"/>
      <w:lvlText w:val="o"/>
      <w:lvlJc w:val="left"/>
      <w:pPr>
        <w:ind w:left="1119" w:hanging="190"/>
      </w:pPr>
      <w:rPr>
        <w:rFonts w:ascii="Gotham Book" w:eastAsia="Gotham Book" w:hAnsi="Gotham Book" w:cs="Gotham Book" w:hint="default"/>
        <w:b w:val="0"/>
        <w:bCs w:val="0"/>
        <w:i w:val="0"/>
        <w:iCs w:val="0"/>
        <w:color w:val="231F20"/>
        <w:spacing w:val="0"/>
        <w:w w:val="100"/>
        <w:sz w:val="20"/>
        <w:szCs w:val="20"/>
        <w:lang w:val="en-US" w:eastAsia="en-US" w:bidi="ar-SA"/>
      </w:rPr>
    </w:lvl>
    <w:lvl w:ilvl="2" w:tplc="8490F29E">
      <w:numFmt w:val="bullet"/>
      <w:lvlText w:val="•"/>
      <w:lvlJc w:val="left"/>
      <w:pPr>
        <w:ind w:left="1834" w:hanging="190"/>
      </w:pPr>
      <w:rPr>
        <w:rFonts w:hint="default"/>
        <w:lang w:val="en-US" w:eastAsia="en-US" w:bidi="ar-SA"/>
      </w:rPr>
    </w:lvl>
    <w:lvl w:ilvl="3" w:tplc="3ABA6F04">
      <w:numFmt w:val="bullet"/>
      <w:lvlText w:val="•"/>
      <w:lvlJc w:val="left"/>
      <w:pPr>
        <w:ind w:left="2548" w:hanging="190"/>
      </w:pPr>
      <w:rPr>
        <w:rFonts w:hint="default"/>
        <w:lang w:val="en-US" w:eastAsia="en-US" w:bidi="ar-SA"/>
      </w:rPr>
    </w:lvl>
    <w:lvl w:ilvl="4" w:tplc="651EA562">
      <w:numFmt w:val="bullet"/>
      <w:lvlText w:val="•"/>
      <w:lvlJc w:val="left"/>
      <w:pPr>
        <w:ind w:left="3262" w:hanging="190"/>
      </w:pPr>
      <w:rPr>
        <w:rFonts w:hint="default"/>
        <w:lang w:val="en-US" w:eastAsia="en-US" w:bidi="ar-SA"/>
      </w:rPr>
    </w:lvl>
    <w:lvl w:ilvl="5" w:tplc="1686698C">
      <w:numFmt w:val="bullet"/>
      <w:lvlText w:val="•"/>
      <w:lvlJc w:val="left"/>
      <w:pPr>
        <w:ind w:left="3976" w:hanging="190"/>
      </w:pPr>
      <w:rPr>
        <w:rFonts w:hint="default"/>
        <w:lang w:val="en-US" w:eastAsia="en-US" w:bidi="ar-SA"/>
      </w:rPr>
    </w:lvl>
    <w:lvl w:ilvl="6" w:tplc="A9F6BD6C">
      <w:numFmt w:val="bullet"/>
      <w:lvlText w:val="•"/>
      <w:lvlJc w:val="left"/>
      <w:pPr>
        <w:ind w:left="4691" w:hanging="190"/>
      </w:pPr>
      <w:rPr>
        <w:rFonts w:hint="default"/>
        <w:lang w:val="en-US" w:eastAsia="en-US" w:bidi="ar-SA"/>
      </w:rPr>
    </w:lvl>
    <w:lvl w:ilvl="7" w:tplc="4A90C90C">
      <w:numFmt w:val="bullet"/>
      <w:lvlText w:val="•"/>
      <w:lvlJc w:val="left"/>
      <w:pPr>
        <w:ind w:left="5405" w:hanging="190"/>
      </w:pPr>
      <w:rPr>
        <w:rFonts w:hint="default"/>
        <w:lang w:val="en-US" w:eastAsia="en-US" w:bidi="ar-SA"/>
      </w:rPr>
    </w:lvl>
    <w:lvl w:ilvl="8" w:tplc="85B64048">
      <w:numFmt w:val="bullet"/>
      <w:lvlText w:val="•"/>
      <w:lvlJc w:val="left"/>
      <w:pPr>
        <w:ind w:left="6119" w:hanging="190"/>
      </w:pPr>
      <w:rPr>
        <w:rFonts w:hint="default"/>
        <w:lang w:val="en-US" w:eastAsia="en-US" w:bidi="ar-SA"/>
      </w:rPr>
    </w:lvl>
  </w:abstractNum>
  <w:abstractNum w:abstractNumId="7" w15:restartNumberingAfterBreak="0">
    <w:nsid w:val="4B0829F3"/>
    <w:multiLevelType w:val="hybridMultilevel"/>
    <w:tmpl w:val="F75C36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3333FD"/>
    <w:multiLevelType w:val="hybridMultilevel"/>
    <w:tmpl w:val="78D281C6"/>
    <w:lvl w:ilvl="0" w:tplc="F91A0E72">
      <w:numFmt w:val="bullet"/>
      <w:lvlText w:val="•"/>
      <w:lvlJc w:val="left"/>
      <w:pPr>
        <w:ind w:left="44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716E1C4C">
      <w:numFmt w:val="bullet"/>
      <w:lvlText w:val="•"/>
      <w:lvlJc w:val="left"/>
      <w:pPr>
        <w:ind w:left="1150" w:hanging="360"/>
      </w:pPr>
      <w:rPr>
        <w:rFonts w:hint="default"/>
        <w:lang w:val="en-US" w:eastAsia="en-US" w:bidi="ar-SA"/>
      </w:rPr>
    </w:lvl>
    <w:lvl w:ilvl="2" w:tplc="D236054E">
      <w:numFmt w:val="bullet"/>
      <w:lvlText w:val="•"/>
      <w:lvlJc w:val="left"/>
      <w:pPr>
        <w:ind w:left="1861" w:hanging="360"/>
      </w:pPr>
      <w:rPr>
        <w:rFonts w:hint="default"/>
        <w:lang w:val="en-US" w:eastAsia="en-US" w:bidi="ar-SA"/>
      </w:rPr>
    </w:lvl>
    <w:lvl w:ilvl="3" w:tplc="F5322D1C">
      <w:numFmt w:val="bullet"/>
      <w:lvlText w:val="•"/>
      <w:lvlJc w:val="left"/>
      <w:pPr>
        <w:ind w:left="2572" w:hanging="360"/>
      </w:pPr>
      <w:rPr>
        <w:rFonts w:hint="default"/>
        <w:lang w:val="en-US" w:eastAsia="en-US" w:bidi="ar-SA"/>
      </w:rPr>
    </w:lvl>
    <w:lvl w:ilvl="4" w:tplc="082619F8">
      <w:numFmt w:val="bullet"/>
      <w:lvlText w:val="•"/>
      <w:lvlJc w:val="left"/>
      <w:pPr>
        <w:ind w:left="3283" w:hanging="360"/>
      </w:pPr>
      <w:rPr>
        <w:rFonts w:hint="default"/>
        <w:lang w:val="en-US" w:eastAsia="en-US" w:bidi="ar-SA"/>
      </w:rPr>
    </w:lvl>
    <w:lvl w:ilvl="5" w:tplc="BF64FF88">
      <w:numFmt w:val="bullet"/>
      <w:lvlText w:val="•"/>
      <w:lvlJc w:val="left"/>
      <w:pPr>
        <w:ind w:left="3994" w:hanging="360"/>
      </w:pPr>
      <w:rPr>
        <w:rFonts w:hint="default"/>
        <w:lang w:val="en-US" w:eastAsia="en-US" w:bidi="ar-SA"/>
      </w:rPr>
    </w:lvl>
    <w:lvl w:ilvl="6" w:tplc="A9A0E19C">
      <w:numFmt w:val="bullet"/>
      <w:lvlText w:val="•"/>
      <w:lvlJc w:val="left"/>
      <w:pPr>
        <w:ind w:left="4704" w:hanging="360"/>
      </w:pPr>
      <w:rPr>
        <w:rFonts w:hint="default"/>
        <w:lang w:val="en-US" w:eastAsia="en-US" w:bidi="ar-SA"/>
      </w:rPr>
    </w:lvl>
    <w:lvl w:ilvl="7" w:tplc="DEE23AE0">
      <w:numFmt w:val="bullet"/>
      <w:lvlText w:val="•"/>
      <w:lvlJc w:val="left"/>
      <w:pPr>
        <w:ind w:left="5415" w:hanging="360"/>
      </w:pPr>
      <w:rPr>
        <w:rFonts w:hint="default"/>
        <w:lang w:val="en-US" w:eastAsia="en-US" w:bidi="ar-SA"/>
      </w:rPr>
    </w:lvl>
    <w:lvl w:ilvl="8" w:tplc="016CEE30">
      <w:numFmt w:val="bullet"/>
      <w:lvlText w:val="•"/>
      <w:lvlJc w:val="left"/>
      <w:pPr>
        <w:ind w:left="6126" w:hanging="360"/>
      </w:pPr>
      <w:rPr>
        <w:rFonts w:hint="default"/>
        <w:lang w:val="en-US" w:eastAsia="en-US" w:bidi="ar-SA"/>
      </w:rPr>
    </w:lvl>
  </w:abstractNum>
  <w:abstractNum w:abstractNumId="9" w15:restartNumberingAfterBreak="0">
    <w:nsid w:val="52F7158B"/>
    <w:multiLevelType w:val="hybridMultilevel"/>
    <w:tmpl w:val="6D2804FA"/>
    <w:lvl w:ilvl="0" w:tplc="56CEAEFC">
      <w:start w:val="1"/>
      <w:numFmt w:val="decimal"/>
      <w:lvlText w:val="%1."/>
      <w:lvlJc w:val="left"/>
      <w:pPr>
        <w:ind w:left="44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677464B4">
      <w:numFmt w:val="bullet"/>
      <w:lvlText w:val="•"/>
      <w:lvlJc w:val="left"/>
      <w:pPr>
        <w:ind w:left="1150" w:hanging="360"/>
      </w:pPr>
      <w:rPr>
        <w:rFonts w:hint="default"/>
        <w:lang w:val="en-US" w:eastAsia="en-US" w:bidi="ar-SA"/>
      </w:rPr>
    </w:lvl>
    <w:lvl w:ilvl="2" w:tplc="EDCC6BAA">
      <w:numFmt w:val="bullet"/>
      <w:lvlText w:val="•"/>
      <w:lvlJc w:val="left"/>
      <w:pPr>
        <w:ind w:left="1861" w:hanging="360"/>
      </w:pPr>
      <w:rPr>
        <w:rFonts w:hint="default"/>
        <w:lang w:val="en-US" w:eastAsia="en-US" w:bidi="ar-SA"/>
      </w:rPr>
    </w:lvl>
    <w:lvl w:ilvl="3" w:tplc="F8B84238">
      <w:numFmt w:val="bullet"/>
      <w:lvlText w:val="•"/>
      <w:lvlJc w:val="left"/>
      <w:pPr>
        <w:ind w:left="2572" w:hanging="360"/>
      </w:pPr>
      <w:rPr>
        <w:rFonts w:hint="default"/>
        <w:lang w:val="en-US" w:eastAsia="en-US" w:bidi="ar-SA"/>
      </w:rPr>
    </w:lvl>
    <w:lvl w:ilvl="4" w:tplc="EF94C288">
      <w:numFmt w:val="bullet"/>
      <w:lvlText w:val="•"/>
      <w:lvlJc w:val="left"/>
      <w:pPr>
        <w:ind w:left="3283" w:hanging="360"/>
      </w:pPr>
      <w:rPr>
        <w:rFonts w:hint="default"/>
        <w:lang w:val="en-US" w:eastAsia="en-US" w:bidi="ar-SA"/>
      </w:rPr>
    </w:lvl>
    <w:lvl w:ilvl="5" w:tplc="704C957C">
      <w:numFmt w:val="bullet"/>
      <w:lvlText w:val="•"/>
      <w:lvlJc w:val="left"/>
      <w:pPr>
        <w:ind w:left="3994" w:hanging="360"/>
      </w:pPr>
      <w:rPr>
        <w:rFonts w:hint="default"/>
        <w:lang w:val="en-US" w:eastAsia="en-US" w:bidi="ar-SA"/>
      </w:rPr>
    </w:lvl>
    <w:lvl w:ilvl="6" w:tplc="5818E40A">
      <w:numFmt w:val="bullet"/>
      <w:lvlText w:val="•"/>
      <w:lvlJc w:val="left"/>
      <w:pPr>
        <w:ind w:left="4704" w:hanging="360"/>
      </w:pPr>
      <w:rPr>
        <w:rFonts w:hint="default"/>
        <w:lang w:val="en-US" w:eastAsia="en-US" w:bidi="ar-SA"/>
      </w:rPr>
    </w:lvl>
    <w:lvl w:ilvl="7" w:tplc="06A440FA">
      <w:numFmt w:val="bullet"/>
      <w:lvlText w:val="•"/>
      <w:lvlJc w:val="left"/>
      <w:pPr>
        <w:ind w:left="5415" w:hanging="360"/>
      </w:pPr>
      <w:rPr>
        <w:rFonts w:hint="default"/>
        <w:lang w:val="en-US" w:eastAsia="en-US" w:bidi="ar-SA"/>
      </w:rPr>
    </w:lvl>
    <w:lvl w:ilvl="8" w:tplc="4CE6A314">
      <w:numFmt w:val="bullet"/>
      <w:lvlText w:val="•"/>
      <w:lvlJc w:val="left"/>
      <w:pPr>
        <w:ind w:left="6126" w:hanging="360"/>
      </w:pPr>
      <w:rPr>
        <w:rFonts w:hint="default"/>
        <w:lang w:val="en-US" w:eastAsia="en-US" w:bidi="ar-SA"/>
      </w:rPr>
    </w:lvl>
  </w:abstractNum>
  <w:abstractNum w:abstractNumId="10" w15:restartNumberingAfterBreak="0">
    <w:nsid w:val="54CC4F83"/>
    <w:multiLevelType w:val="hybridMultilevel"/>
    <w:tmpl w:val="1742C168"/>
    <w:lvl w:ilvl="0" w:tplc="2D1CE600">
      <w:start w:val="3"/>
      <w:numFmt w:val="decimal"/>
      <w:lvlText w:val="%1."/>
      <w:lvlJc w:val="left"/>
      <w:pPr>
        <w:ind w:left="901" w:hanging="338"/>
        <w:jc w:val="right"/>
      </w:pPr>
      <w:rPr>
        <w:rFonts w:ascii="Gotham Bold" w:eastAsia="Gotham Bold" w:hAnsi="Gotham Bold" w:cs="Gotham Bold" w:hint="default"/>
        <w:b/>
        <w:bCs/>
        <w:i w:val="0"/>
        <w:iCs w:val="0"/>
        <w:color w:val="231F20"/>
        <w:spacing w:val="0"/>
        <w:w w:val="94"/>
        <w:sz w:val="28"/>
        <w:szCs w:val="28"/>
        <w:lang w:val="en-US" w:eastAsia="en-US" w:bidi="ar-SA"/>
      </w:rPr>
    </w:lvl>
    <w:lvl w:ilvl="1" w:tplc="1DD275F4">
      <w:numFmt w:val="bullet"/>
      <w:lvlText w:val="•"/>
      <w:lvlJc w:val="left"/>
      <w:pPr>
        <w:ind w:left="1414"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2" w:tplc="9E1619F6">
      <w:numFmt w:val="bullet"/>
      <w:lvlText w:val="•"/>
      <w:lvlJc w:val="left"/>
      <w:pPr>
        <w:ind w:left="1420" w:hanging="360"/>
      </w:pPr>
      <w:rPr>
        <w:rFonts w:hint="default"/>
        <w:lang w:val="en-US" w:eastAsia="en-US" w:bidi="ar-SA"/>
      </w:rPr>
    </w:lvl>
    <w:lvl w:ilvl="3" w:tplc="3530E5CC">
      <w:numFmt w:val="bullet"/>
      <w:lvlText w:val="•"/>
      <w:lvlJc w:val="left"/>
      <w:pPr>
        <w:ind w:left="1700" w:hanging="360"/>
      </w:pPr>
      <w:rPr>
        <w:rFonts w:hint="default"/>
        <w:lang w:val="en-US" w:eastAsia="en-US" w:bidi="ar-SA"/>
      </w:rPr>
    </w:lvl>
    <w:lvl w:ilvl="4" w:tplc="67A22920">
      <w:numFmt w:val="bullet"/>
      <w:lvlText w:val="•"/>
      <w:lvlJc w:val="left"/>
      <w:pPr>
        <w:ind w:left="1425" w:hanging="360"/>
      </w:pPr>
      <w:rPr>
        <w:rFonts w:hint="default"/>
        <w:lang w:val="en-US" w:eastAsia="en-US" w:bidi="ar-SA"/>
      </w:rPr>
    </w:lvl>
    <w:lvl w:ilvl="5" w:tplc="2466DDC2">
      <w:numFmt w:val="bullet"/>
      <w:lvlText w:val="•"/>
      <w:lvlJc w:val="left"/>
      <w:pPr>
        <w:ind w:left="1150" w:hanging="360"/>
      </w:pPr>
      <w:rPr>
        <w:rFonts w:hint="default"/>
        <w:lang w:val="en-US" w:eastAsia="en-US" w:bidi="ar-SA"/>
      </w:rPr>
    </w:lvl>
    <w:lvl w:ilvl="6" w:tplc="08B089DC">
      <w:numFmt w:val="bullet"/>
      <w:lvlText w:val="•"/>
      <w:lvlJc w:val="left"/>
      <w:pPr>
        <w:ind w:left="875" w:hanging="360"/>
      </w:pPr>
      <w:rPr>
        <w:rFonts w:hint="default"/>
        <w:lang w:val="en-US" w:eastAsia="en-US" w:bidi="ar-SA"/>
      </w:rPr>
    </w:lvl>
    <w:lvl w:ilvl="7" w:tplc="4EE04CB4">
      <w:numFmt w:val="bullet"/>
      <w:lvlText w:val="•"/>
      <w:lvlJc w:val="left"/>
      <w:pPr>
        <w:ind w:left="601" w:hanging="360"/>
      </w:pPr>
      <w:rPr>
        <w:rFonts w:hint="default"/>
        <w:lang w:val="en-US" w:eastAsia="en-US" w:bidi="ar-SA"/>
      </w:rPr>
    </w:lvl>
    <w:lvl w:ilvl="8" w:tplc="239A1364">
      <w:numFmt w:val="bullet"/>
      <w:lvlText w:val="•"/>
      <w:lvlJc w:val="left"/>
      <w:pPr>
        <w:ind w:left="326" w:hanging="360"/>
      </w:pPr>
      <w:rPr>
        <w:rFonts w:hint="default"/>
        <w:lang w:val="en-US" w:eastAsia="en-US" w:bidi="ar-SA"/>
      </w:rPr>
    </w:lvl>
  </w:abstractNum>
  <w:abstractNum w:abstractNumId="11" w15:restartNumberingAfterBreak="0">
    <w:nsid w:val="5839596E"/>
    <w:multiLevelType w:val="hybridMultilevel"/>
    <w:tmpl w:val="2A24F6F6"/>
    <w:lvl w:ilvl="0" w:tplc="C58C39C8">
      <w:start w:val="1"/>
      <w:numFmt w:val="decimal"/>
      <w:lvlText w:val="%1."/>
      <w:lvlJc w:val="left"/>
      <w:pPr>
        <w:ind w:left="440"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0A967138">
      <w:numFmt w:val="bullet"/>
      <w:lvlText w:val="•"/>
      <w:lvlJc w:val="left"/>
      <w:pPr>
        <w:ind w:left="1150" w:hanging="360"/>
      </w:pPr>
      <w:rPr>
        <w:rFonts w:hint="default"/>
        <w:lang w:val="en-US" w:eastAsia="en-US" w:bidi="ar-SA"/>
      </w:rPr>
    </w:lvl>
    <w:lvl w:ilvl="2" w:tplc="D5A25E3A">
      <w:numFmt w:val="bullet"/>
      <w:lvlText w:val="•"/>
      <w:lvlJc w:val="left"/>
      <w:pPr>
        <w:ind w:left="1861" w:hanging="360"/>
      </w:pPr>
      <w:rPr>
        <w:rFonts w:hint="default"/>
        <w:lang w:val="en-US" w:eastAsia="en-US" w:bidi="ar-SA"/>
      </w:rPr>
    </w:lvl>
    <w:lvl w:ilvl="3" w:tplc="6E7045F4">
      <w:numFmt w:val="bullet"/>
      <w:lvlText w:val="•"/>
      <w:lvlJc w:val="left"/>
      <w:pPr>
        <w:ind w:left="2572" w:hanging="360"/>
      </w:pPr>
      <w:rPr>
        <w:rFonts w:hint="default"/>
        <w:lang w:val="en-US" w:eastAsia="en-US" w:bidi="ar-SA"/>
      </w:rPr>
    </w:lvl>
    <w:lvl w:ilvl="4" w:tplc="F610686A">
      <w:numFmt w:val="bullet"/>
      <w:lvlText w:val="•"/>
      <w:lvlJc w:val="left"/>
      <w:pPr>
        <w:ind w:left="3283" w:hanging="360"/>
      </w:pPr>
      <w:rPr>
        <w:rFonts w:hint="default"/>
        <w:lang w:val="en-US" w:eastAsia="en-US" w:bidi="ar-SA"/>
      </w:rPr>
    </w:lvl>
    <w:lvl w:ilvl="5" w:tplc="09FA319A">
      <w:numFmt w:val="bullet"/>
      <w:lvlText w:val="•"/>
      <w:lvlJc w:val="left"/>
      <w:pPr>
        <w:ind w:left="3994" w:hanging="360"/>
      </w:pPr>
      <w:rPr>
        <w:rFonts w:hint="default"/>
        <w:lang w:val="en-US" w:eastAsia="en-US" w:bidi="ar-SA"/>
      </w:rPr>
    </w:lvl>
    <w:lvl w:ilvl="6" w:tplc="40186CEA">
      <w:numFmt w:val="bullet"/>
      <w:lvlText w:val="•"/>
      <w:lvlJc w:val="left"/>
      <w:pPr>
        <w:ind w:left="4704" w:hanging="360"/>
      </w:pPr>
      <w:rPr>
        <w:rFonts w:hint="default"/>
        <w:lang w:val="en-US" w:eastAsia="en-US" w:bidi="ar-SA"/>
      </w:rPr>
    </w:lvl>
    <w:lvl w:ilvl="7" w:tplc="EBF48500">
      <w:numFmt w:val="bullet"/>
      <w:lvlText w:val="•"/>
      <w:lvlJc w:val="left"/>
      <w:pPr>
        <w:ind w:left="5415" w:hanging="360"/>
      </w:pPr>
      <w:rPr>
        <w:rFonts w:hint="default"/>
        <w:lang w:val="en-US" w:eastAsia="en-US" w:bidi="ar-SA"/>
      </w:rPr>
    </w:lvl>
    <w:lvl w:ilvl="8" w:tplc="B61CDC32">
      <w:numFmt w:val="bullet"/>
      <w:lvlText w:val="•"/>
      <w:lvlJc w:val="left"/>
      <w:pPr>
        <w:ind w:left="6126" w:hanging="360"/>
      </w:pPr>
      <w:rPr>
        <w:rFonts w:hint="default"/>
        <w:lang w:val="en-US" w:eastAsia="en-US" w:bidi="ar-SA"/>
      </w:rPr>
    </w:lvl>
  </w:abstractNum>
  <w:abstractNum w:abstractNumId="12" w15:restartNumberingAfterBreak="0">
    <w:nsid w:val="700B196C"/>
    <w:multiLevelType w:val="hybridMultilevel"/>
    <w:tmpl w:val="E280F4EE"/>
    <w:lvl w:ilvl="0" w:tplc="FF305B76">
      <w:numFmt w:val="bullet"/>
      <w:lvlText w:val="-"/>
      <w:lvlJc w:val="left"/>
      <w:pPr>
        <w:ind w:left="221"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1FB8209E">
      <w:numFmt w:val="bullet"/>
      <w:lvlText w:val="•"/>
      <w:lvlJc w:val="left"/>
      <w:pPr>
        <w:ind w:left="674" w:hanging="142"/>
      </w:pPr>
      <w:rPr>
        <w:rFonts w:hint="default"/>
        <w:lang w:val="en-US" w:eastAsia="en-US" w:bidi="ar-SA"/>
      </w:rPr>
    </w:lvl>
    <w:lvl w:ilvl="2" w:tplc="AF888B72">
      <w:numFmt w:val="bullet"/>
      <w:lvlText w:val="•"/>
      <w:lvlJc w:val="left"/>
      <w:pPr>
        <w:ind w:left="1128" w:hanging="142"/>
      </w:pPr>
      <w:rPr>
        <w:rFonts w:hint="default"/>
        <w:lang w:val="en-US" w:eastAsia="en-US" w:bidi="ar-SA"/>
      </w:rPr>
    </w:lvl>
    <w:lvl w:ilvl="3" w:tplc="3B7C50E8">
      <w:numFmt w:val="bullet"/>
      <w:lvlText w:val="•"/>
      <w:lvlJc w:val="left"/>
      <w:pPr>
        <w:ind w:left="1582" w:hanging="142"/>
      </w:pPr>
      <w:rPr>
        <w:rFonts w:hint="default"/>
        <w:lang w:val="en-US" w:eastAsia="en-US" w:bidi="ar-SA"/>
      </w:rPr>
    </w:lvl>
    <w:lvl w:ilvl="4" w:tplc="40BE241C">
      <w:numFmt w:val="bullet"/>
      <w:lvlText w:val="•"/>
      <w:lvlJc w:val="left"/>
      <w:pPr>
        <w:ind w:left="2036" w:hanging="142"/>
      </w:pPr>
      <w:rPr>
        <w:rFonts w:hint="default"/>
        <w:lang w:val="en-US" w:eastAsia="en-US" w:bidi="ar-SA"/>
      </w:rPr>
    </w:lvl>
    <w:lvl w:ilvl="5" w:tplc="8B445510">
      <w:numFmt w:val="bullet"/>
      <w:lvlText w:val="•"/>
      <w:lvlJc w:val="left"/>
      <w:pPr>
        <w:ind w:left="2490" w:hanging="142"/>
      </w:pPr>
      <w:rPr>
        <w:rFonts w:hint="default"/>
        <w:lang w:val="en-US" w:eastAsia="en-US" w:bidi="ar-SA"/>
      </w:rPr>
    </w:lvl>
    <w:lvl w:ilvl="6" w:tplc="C3DED76A">
      <w:numFmt w:val="bullet"/>
      <w:lvlText w:val="•"/>
      <w:lvlJc w:val="left"/>
      <w:pPr>
        <w:ind w:left="2944" w:hanging="142"/>
      </w:pPr>
      <w:rPr>
        <w:rFonts w:hint="default"/>
        <w:lang w:val="en-US" w:eastAsia="en-US" w:bidi="ar-SA"/>
      </w:rPr>
    </w:lvl>
    <w:lvl w:ilvl="7" w:tplc="761481BC">
      <w:numFmt w:val="bullet"/>
      <w:lvlText w:val="•"/>
      <w:lvlJc w:val="left"/>
      <w:pPr>
        <w:ind w:left="3398" w:hanging="142"/>
      </w:pPr>
      <w:rPr>
        <w:rFonts w:hint="default"/>
        <w:lang w:val="en-US" w:eastAsia="en-US" w:bidi="ar-SA"/>
      </w:rPr>
    </w:lvl>
    <w:lvl w:ilvl="8" w:tplc="818A0D1E">
      <w:numFmt w:val="bullet"/>
      <w:lvlText w:val="•"/>
      <w:lvlJc w:val="left"/>
      <w:pPr>
        <w:ind w:left="3852" w:hanging="142"/>
      </w:pPr>
      <w:rPr>
        <w:rFonts w:hint="default"/>
        <w:lang w:val="en-US" w:eastAsia="en-US" w:bidi="ar-SA"/>
      </w:rPr>
    </w:lvl>
  </w:abstractNum>
  <w:abstractNum w:abstractNumId="13" w15:restartNumberingAfterBreak="0">
    <w:nsid w:val="729046EB"/>
    <w:multiLevelType w:val="hybridMultilevel"/>
    <w:tmpl w:val="DE445F9C"/>
    <w:lvl w:ilvl="0" w:tplc="7D5A75DC">
      <w:numFmt w:val="bullet"/>
      <w:lvlText w:val="•"/>
      <w:lvlJc w:val="left"/>
      <w:pPr>
        <w:ind w:left="985" w:hanging="360"/>
      </w:pPr>
      <w:rPr>
        <w:rFonts w:ascii="Gotham Book" w:eastAsia="Gotham Book" w:hAnsi="Gotham Book" w:cs="Gotham Book" w:hint="default"/>
        <w:b w:val="0"/>
        <w:bCs w:val="0"/>
        <w:i w:val="0"/>
        <w:iCs w:val="0"/>
        <w:color w:val="231F20"/>
        <w:spacing w:val="0"/>
        <w:w w:val="100"/>
        <w:sz w:val="20"/>
        <w:szCs w:val="20"/>
        <w:lang w:val="en-US" w:eastAsia="en-US" w:bidi="ar-SA"/>
      </w:rPr>
    </w:lvl>
    <w:lvl w:ilvl="1" w:tplc="D940167E">
      <w:numFmt w:val="bullet"/>
      <w:lvlText w:val="•"/>
      <w:lvlJc w:val="left"/>
      <w:pPr>
        <w:ind w:left="1507" w:hanging="360"/>
      </w:pPr>
      <w:rPr>
        <w:rFonts w:hint="default"/>
        <w:lang w:val="en-US" w:eastAsia="en-US" w:bidi="ar-SA"/>
      </w:rPr>
    </w:lvl>
    <w:lvl w:ilvl="2" w:tplc="28B62444">
      <w:numFmt w:val="bullet"/>
      <w:lvlText w:val="•"/>
      <w:lvlJc w:val="left"/>
      <w:pPr>
        <w:ind w:left="2035" w:hanging="360"/>
      </w:pPr>
      <w:rPr>
        <w:rFonts w:hint="default"/>
        <w:lang w:val="en-US" w:eastAsia="en-US" w:bidi="ar-SA"/>
      </w:rPr>
    </w:lvl>
    <w:lvl w:ilvl="3" w:tplc="A27ABD1C">
      <w:numFmt w:val="bullet"/>
      <w:lvlText w:val="•"/>
      <w:lvlJc w:val="left"/>
      <w:pPr>
        <w:ind w:left="2563" w:hanging="360"/>
      </w:pPr>
      <w:rPr>
        <w:rFonts w:hint="default"/>
        <w:lang w:val="en-US" w:eastAsia="en-US" w:bidi="ar-SA"/>
      </w:rPr>
    </w:lvl>
    <w:lvl w:ilvl="4" w:tplc="83DAB456">
      <w:numFmt w:val="bullet"/>
      <w:lvlText w:val="•"/>
      <w:lvlJc w:val="left"/>
      <w:pPr>
        <w:ind w:left="3091" w:hanging="360"/>
      </w:pPr>
      <w:rPr>
        <w:rFonts w:hint="default"/>
        <w:lang w:val="en-US" w:eastAsia="en-US" w:bidi="ar-SA"/>
      </w:rPr>
    </w:lvl>
    <w:lvl w:ilvl="5" w:tplc="E236C35E">
      <w:numFmt w:val="bullet"/>
      <w:lvlText w:val="•"/>
      <w:lvlJc w:val="left"/>
      <w:pPr>
        <w:ind w:left="3618" w:hanging="360"/>
      </w:pPr>
      <w:rPr>
        <w:rFonts w:hint="default"/>
        <w:lang w:val="en-US" w:eastAsia="en-US" w:bidi="ar-SA"/>
      </w:rPr>
    </w:lvl>
    <w:lvl w:ilvl="6" w:tplc="94727280">
      <w:numFmt w:val="bullet"/>
      <w:lvlText w:val="•"/>
      <w:lvlJc w:val="left"/>
      <w:pPr>
        <w:ind w:left="4146" w:hanging="360"/>
      </w:pPr>
      <w:rPr>
        <w:rFonts w:hint="default"/>
        <w:lang w:val="en-US" w:eastAsia="en-US" w:bidi="ar-SA"/>
      </w:rPr>
    </w:lvl>
    <w:lvl w:ilvl="7" w:tplc="3D122FB8">
      <w:numFmt w:val="bullet"/>
      <w:lvlText w:val="•"/>
      <w:lvlJc w:val="left"/>
      <w:pPr>
        <w:ind w:left="4674" w:hanging="360"/>
      </w:pPr>
      <w:rPr>
        <w:rFonts w:hint="default"/>
        <w:lang w:val="en-US" w:eastAsia="en-US" w:bidi="ar-SA"/>
      </w:rPr>
    </w:lvl>
    <w:lvl w:ilvl="8" w:tplc="314818EA">
      <w:numFmt w:val="bullet"/>
      <w:lvlText w:val="•"/>
      <w:lvlJc w:val="left"/>
      <w:pPr>
        <w:ind w:left="5202" w:hanging="360"/>
      </w:pPr>
      <w:rPr>
        <w:rFonts w:hint="default"/>
        <w:lang w:val="en-US" w:eastAsia="en-US" w:bidi="ar-SA"/>
      </w:rPr>
    </w:lvl>
  </w:abstractNum>
  <w:abstractNum w:abstractNumId="14" w15:restartNumberingAfterBreak="0">
    <w:nsid w:val="7C843534"/>
    <w:multiLevelType w:val="hybridMultilevel"/>
    <w:tmpl w:val="87AC76EA"/>
    <w:lvl w:ilvl="0" w:tplc="92204D1A">
      <w:numFmt w:val="bullet"/>
      <w:lvlText w:val="-"/>
      <w:lvlJc w:val="left"/>
      <w:pPr>
        <w:ind w:left="222" w:hanging="142"/>
      </w:pPr>
      <w:rPr>
        <w:rFonts w:ascii="Gotham Book" w:eastAsia="Gotham Book" w:hAnsi="Gotham Book" w:cs="Gotham Book" w:hint="default"/>
        <w:b w:val="0"/>
        <w:bCs w:val="0"/>
        <w:i w:val="0"/>
        <w:iCs w:val="0"/>
        <w:color w:val="231F20"/>
        <w:spacing w:val="0"/>
        <w:w w:val="100"/>
        <w:sz w:val="20"/>
        <w:szCs w:val="20"/>
        <w:lang w:val="en-US" w:eastAsia="en-US" w:bidi="ar-SA"/>
      </w:rPr>
    </w:lvl>
    <w:lvl w:ilvl="1" w:tplc="56069E40">
      <w:numFmt w:val="bullet"/>
      <w:lvlText w:val="•"/>
      <w:lvlJc w:val="left"/>
      <w:pPr>
        <w:ind w:left="657" w:hanging="142"/>
      </w:pPr>
      <w:rPr>
        <w:rFonts w:hint="default"/>
        <w:lang w:val="en-US" w:eastAsia="en-US" w:bidi="ar-SA"/>
      </w:rPr>
    </w:lvl>
    <w:lvl w:ilvl="2" w:tplc="A7BA30BA">
      <w:numFmt w:val="bullet"/>
      <w:lvlText w:val="•"/>
      <w:lvlJc w:val="left"/>
      <w:pPr>
        <w:ind w:left="1095" w:hanging="142"/>
      </w:pPr>
      <w:rPr>
        <w:rFonts w:hint="default"/>
        <w:lang w:val="en-US" w:eastAsia="en-US" w:bidi="ar-SA"/>
      </w:rPr>
    </w:lvl>
    <w:lvl w:ilvl="3" w:tplc="A5926D5C">
      <w:numFmt w:val="bullet"/>
      <w:lvlText w:val="•"/>
      <w:lvlJc w:val="left"/>
      <w:pPr>
        <w:ind w:left="1533" w:hanging="142"/>
      </w:pPr>
      <w:rPr>
        <w:rFonts w:hint="default"/>
        <w:lang w:val="en-US" w:eastAsia="en-US" w:bidi="ar-SA"/>
      </w:rPr>
    </w:lvl>
    <w:lvl w:ilvl="4" w:tplc="C650A488">
      <w:numFmt w:val="bullet"/>
      <w:lvlText w:val="•"/>
      <w:lvlJc w:val="left"/>
      <w:pPr>
        <w:ind w:left="1970" w:hanging="142"/>
      </w:pPr>
      <w:rPr>
        <w:rFonts w:hint="default"/>
        <w:lang w:val="en-US" w:eastAsia="en-US" w:bidi="ar-SA"/>
      </w:rPr>
    </w:lvl>
    <w:lvl w:ilvl="5" w:tplc="6CA471F4">
      <w:numFmt w:val="bullet"/>
      <w:lvlText w:val="•"/>
      <w:lvlJc w:val="left"/>
      <w:pPr>
        <w:ind w:left="2408" w:hanging="142"/>
      </w:pPr>
      <w:rPr>
        <w:rFonts w:hint="default"/>
        <w:lang w:val="en-US" w:eastAsia="en-US" w:bidi="ar-SA"/>
      </w:rPr>
    </w:lvl>
    <w:lvl w:ilvl="6" w:tplc="FE4096B8">
      <w:numFmt w:val="bullet"/>
      <w:lvlText w:val="•"/>
      <w:lvlJc w:val="left"/>
      <w:pPr>
        <w:ind w:left="2846" w:hanging="142"/>
      </w:pPr>
      <w:rPr>
        <w:rFonts w:hint="default"/>
        <w:lang w:val="en-US" w:eastAsia="en-US" w:bidi="ar-SA"/>
      </w:rPr>
    </w:lvl>
    <w:lvl w:ilvl="7" w:tplc="A8264B30">
      <w:numFmt w:val="bullet"/>
      <w:lvlText w:val="•"/>
      <w:lvlJc w:val="left"/>
      <w:pPr>
        <w:ind w:left="3283" w:hanging="142"/>
      </w:pPr>
      <w:rPr>
        <w:rFonts w:hint="default"/>
        <w:lang w:val="en-US" w:eastAsia="en-US" w:bidi="ar-SA"/>
      </w:rPr>
    </w:lvl>
    <w:lvl w:ilvl="8" w:tplc="0492924C">
      <w:numFmt w:val="bullet"/>
      <w:lvlText w:val="•"/>
      <w:lvlJc w:val="left"/>
      <w:pPr>
        <w:ind w:left="3721" w:hanging="142"/>
      </w:pPr>
      <w:rPr>
        <w:rFonts w:hint="default"/>
        <w:lang w:val="en-US" w:eastAsia="en-US" w:bidi="ar-SA"/>
      </w:rPr>
    </w:lvl>
  </w:abstractNum>
  <w:num w:numId="1" w16cid:durableId="1542134066">
    <w:abstractNumId w:val="2"/>
  </w:num>
  <w:num w:numId="2" w16cid:durableId="2100759598">
    <w:abstractNumId w:val="14"/>
  </w:num>
  <w:num w:numId="3" w16cid:durableId="50152596">
    <w:abstractNumId w:val="1"/>
  </w:num>
  <w:num w:numId="4" w16cid:durableId="197012163">
    <w:abstractNumId w:val="5"/>
  </w:num>
  <w:num w:numId="5" w16cid:durableId="898325178">
    <w:abstractNumId w:val="12"/>
  </w:num>
  <w:num w:numId="6" w16cid:durableId="508982676">
    <w:abstractNumId w:val="0"/>
  </w:num>
  <w:num w:numId="7" w16cid:durableId="1618679807">
    <w:abstractNumId w:val="11"/>
  </w:num>
  <w:num w:numId="8" w16cid:durableId="1344162814">
    <w:abstractNumId w:val="8"/>
  </w:num>
  <w:num w:numId="9" w16cid:durableId="1060977384">
    <w:abstractNumId w:val="9"/>
  </w:num>
  <w:num w:numId="10" w16cid:durableId="1393583318">
    <w:abstractNumId w:val="6"/>
  </w:num>
  <w:num w:numId="11" w16cid:durableId="675570550">
    <w:abstractNumId w:val="4"/>
  </w:num>
  <w:num w:numId="12" w16cid:durableId="2100297918">
    <w:abstractNumId w:val="13"/>
  </w:num>
  <w:num w:numId="13" w16cid:durableId="855193358">
    <w:abstractNumId w:val="10"/>
  </w:num>
  <w:num w:numId="14" w16cid:durableId="657538516">
    <w:abstractNumId w:val="3"/>
  </w:num>
  <w:num w:numId="15" w16cid:durableId="1366711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54964"/>
    <w:rsid w:val="00083B97"/>
    <w:rsid w:val="004B6775"/>
    <w:rsid w:val="007A78DB"/>
    <w:rsid w:val="00820D7E"/>
    <w:rsid w:val="00854964"/>
    <w:rsid w:val="009A39A9"/>
    <w:rsid w:val="009F67AB"/>
    <w:rsid w:val="009F6AF1"/>
    <w:rsid w:val="00A1249B"/>
    <w:rsid w:val="00C71E9E"/>
    <w:rsid w:val="00D37B1E"/>
    <w:rsid w:val="00EF7DD9"/>
    <w:rsid w:val="00F02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9A2BE"/>
  <w15:docId w15:val="{191ACBC2-88F0-49C2-B951-28232055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Book" w:eastAsia="Gotham Book" w:hAnsi="Gotham Book" w:cs="Gotham Book"/>
    </w:rPr>
  </w:style>
  <w:style w:type="paragraph" w:styleId="Heading1">
    <w:name w:val="heading 1"/>
    <w:basedOn w:val="Normal"/>
    <w:uiPriority w:val="9"/>
    <w:qFormat/>
    <w:rsid w:val="00820D7E"/>
    <w:pPr>
      <w:spacing w:before="97"/>
      <w:outlineLvl w:val="0"/>
    </w:pPr>
    <w:rPr>
      <w:rFonts w:ascii="Arial" w:eastAsia="CoM Regular" w:hAnsi="Arial" w:cs="CoM Regular"/>
      <w:sz w:val="60"/>
      <w:szCs w:val="60"/>
    </w:rPr>
  </w:style>
  <w:style w:type="paragraph" w:styleId="Heading2">
    <w:name w:val="heading 2"/>
    <w:basedOn w:val="Normal"/>
    <w:uiPriority w:val="9"/>
    <w:unhideWhenUsed/>
    <w:qFormat/>
    <w:rsid w:val="00820D7E"/>
    <w:pPr>
      <w:outlineLvl w:val="1"/>
    </w:pPr>
    <w:rPr>
      <w:rFonts w:ascii="Gotham Bold" w:eastAsia="CoM Regular" w:hAnsi="Gotham Bold" w:cs="CoM Regular"/>
      <w:sz w:val="28"/>
      <w:szCs w:val="52"/>
    </w:rPr>
  </w:style>
  <w:style w:type="paragraph" w:styleId="Heading3">
    <w:name w:val="heading 3"/>
    <w:basedOn w:val="Normal"/>
    <w:uiPriority w:val="9"/>
    <w:unhideWhenUsed/>
    <w:qFormat/>
    <w:pPr>
      <w:spacing w:before="60"/>
      <w:ind w:left="850"/>
      <w:outlineLvl w:val="2"/>
    </w:pPr>
    <w:rPr>
      <w:rFonts w:ascii="CoM Regular" w:eastAsia="CoM Regular" w:hAnsi="CoM Regular" w:cs="CoM Regular"/>
      <w:sz w:val="36"/>
      <w:szCs w:val="36"/>
    </w:rPr>
  </w:style>
  <w:style w:type="paragraph" w:styleId="Heading4">
    <w:name w:val="heading 4"/>
    <w:basedOn w:val="Normal"/>
    <w:uiPriority w:val="9"/>
    <w:unhideWhenUsed/>
    <w:qFormat/>
    <w:pPr>
      <w:ind w:left="850"/>
      <w:outlineLvl w:val="3"/>
    </w:pPr>
    <w:rPr>
      <w:rFonts w:ascii="Gotham Bold" w:eastAsia="Gotham Bold" w:hAnsi="Gotham Bold" w:cs="Gotham Bold"/>
      <w:b/>
      <w:bCs/>
      <w:sz w:val="28"/>
      <w:szCs w:val="28"/>
    </w:rPr>
  </w:style>
  <w:style w:type="paragraph" w:styleId="Heading5">
    <w:name w:val="heading 5"/>
    <w:basedOn w:val="Normal"/>
    <w:uiPriority w:val="9"/>
    <w:unhideWhenUsed/>
    <w:qFormat/>
    <w:pPr>
      <w:ind w:left="861"/>
      <w:outlineLvl w:val="4"/>
    </w:pPr>
  </w:style>
  <w:style w:type="paragraph" w:styleId="Heading6">
    <w:name w:val="heading 6"/>
    <w:basedOn w:val="Normal"/>
    <w:uiPriority w:val="9"/>
    <w:unhideWhenUsed/>
    <w:qFormat/>
    <w:pPr>
      <w:ind w:left="850"/>
      <w:outlineLvl w:val="5"/>
    </w:pPr>
    <w:rPr>
      <w:rFonts w:ascii="Arial" w:eastAsia="Arial" w:hAnsi="Arial" w:cs="Arial"/>
      <w:b/>
      <w:bCs/>
      <w:sz w:val="21"/>
      <w:szCs w:val="21"/>
    </w:rPr>
  </w:style>
  <w:style w:type="paragraph" w:styleId="Heading7">
    <w:name w:val="heading 7"/>
    <w:basedOn w:val="Normal"/>
    <w:uiPriority w:val="1"/>
    <w:qFormat/>
    <w:pPr>
      <w:ind w:left="479"/>
      <w:outlineLvl w:val="6"/>
    </w:pPr>
    <w:rPr>
      <w:rFonts w:ascii="Gotham Bold" w:eastAsia="Gotham Bold" w:hAnsi="Gotham Bold" w:cs="Gotham Bold"/>
      <w:b/>
      <w:bCs/>
      <w:sz w:val="20"/>
      <w:szCs w:val="20"/>
    </w:rPr>
  </w:style>
  <w:style w:type="paragraph" w:styleId="Heading8">
    <w:name w:val="heading 8"/>
    <w:basedOn w:val="Normal"/>
    <w:uiPriority w:val="1"/>
    <w:qFormat/>
    <w:pPr>
      <w:spacing w:before="309"/>
      <w:ind w:left="861"/>
      <w:outlineLvl w:val="7"/>
    </w:pPr>
    <w:rPr>
      <w:rFonts w:ascii="Gotham Bold" w:eastAsia="Gotham Bold" w:hAnsi="Gotham Bold" w:cs="Gotham Bold"/>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0"/>
      <w:ind w:left="850"/>
    </w:pPr>
    <w:rPr>
      <w:sz w:val="16"/>
      <w:szCs w:val="16"/>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76" w:hanging="360"/>
    </w:pPr>
  </w:style>
  <w:style w:type="paragraph" w:customStyle="1" w:styleId="TableParagraph">
    <w:name w:val="Table Paragraph"/>
    <w:basedOn w:val="Normal"/>
    <w:uiPriority w:val="1"/>
    <w:qFormat/>
    <w:pPr>
      <w:spacing w:before="38"/>
      <w:ind w:left="79"/>
    </w:pPr>
  </w:style>
  <w:style w:type="paragraph" w:styleId="Header">
    <w:name w:val="header"/>
    <w:basedOn w:val="Normal"/>
    <w:link w:val="HeaderChar"/>
    <w:uiPriority w:val="99"/>
    <w:unhideWhenUsed/>
    <w:rsid w:val="00A1249B"/>
    <w:pPr>
      <w:tabs>
        <w:tab w:val="center" w:pos="4513"/>
        <w:tab w:val="right" w:pos="9026"/>
      </w:tabs>
    </w:pPr>
  </w:style>
  <w:style w:type="character" w:customStyle="1" w:styleId="HeaderChar">
    <w:name w:val="Header Char"/>
    <w:basedOn w:val="DefaultParagraphFont"/>
    <w:link w:val="Header"/>
    <w:uiPriority w:val="99"/>
    <w:rsid w:val="00A1249B"/>
    <w:rPr>
      <w:rFonts w:ascii="Gotham Book" w:eastAsia="Gotham Book" w:hAnsi="Gotham Book" w:cs="Gotham Book"/>
    </w:rPr>
  </w:style>
  <w:style w:type="paragraph" w:styleId="Footer">
    <w:name w:val="footer"/>
    <w:basedOn w:val="Normal"/>
    <w:link w:val="FooterChar"/>
    <w:uiPriority w:val="99"/>
    <w:unhideWhenUsed/>
    <w:rsid w:val="00A1249B"/>
    <w:pPr>
      <w:tabs>
        <w:tab w:val="center" w:pos="4513"/>
        <w:tab w:val="right" w:pos="9026"/>
      </w:tabs>
    </w:pPr>
  </w:style>
  <w:style w:type="character" w:customStyle="1" w:styleId="FooterChar">
    <w:name w:val="Footer Char"/>
    <w:basedOn w:val="DefaultParagraphFont"/>
    <w:link w:val="Footer"/>
    <w:uiPriority w:val="99"/>
    <w:rsid w:val="00A1249B"/>
    <w:rPr>
      <w:rFonts w:ascii="Gotham Book" w:eastAsia="Gotham Book" w:hAnsi="Gotham Book" w:cs="Gotham Book"/>
    </w:rPr>
  </w:style>
  <w:style w:type="character" w:customStyle="1" w:styleId="BodyTextChar">
    <w:name w:val="Body Text Char"/>
    <w:basedOn w:val="DefaultParagraphFont"/>
    <w:link w:val="BodyText"/>
    <w:uiPriority w:val="1"/>
    <w:rsid w:val="00D37B1E"/>
    <w:rPr>
      <w:rFonts w:ascii="Gotham Book" w:eastAsia="Gotham Book" w:hAnsi="Gotham Book" w:cs="Gotham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O'Connor</cp:lastModifiedBy>
  <cp:revision>5</cp:revision>
  <dcterms:created xsi:type="dcterms:W3CDTF">2024-07-16T02:17:00Z</dcterms:created>
  <dcterms:modified xsi:type="dcterms:W3CDTF">2024-07-17T02:02:00Z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Adobe InDesign 19.3 (Windows)</vt:lpwstr>
  </property>
  <property fmtid="{D5CDD505-2E9C-101B-9397-08002B2CF9AE}" pid="4" name="LastSaved">
    <vt:filetime>2024-07-16T00:00:00Z</vt:filetime>
  </property>
  <property fmtid="{D5CDD505-2E9C-101B-9397-08002B2CF9AE}" pid="5" name="Producer">
    <vt:lpwstr>Adobe PDF Library 17.0</vt:lpwstr>
  </property>
  <property fmtid="{D5CDD505-2E9C-101B-9397-08002B2CF9AE}" pid="6" name="eDOCS AutoSave">
    <vt:lpwstr/>
  </property>
</Properties>
</file>